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35CD7">
      <w:pPr>
        <w:rPr>
          <w:rFonts w:eastAsia="Times New Roman"/>
          <w:vanish/>
        </w:rPr>
      </w:pPr>
      <w:r>
        <w:rPr>
          <w:rFonts w:eastAsia="Times New Roman"/>
          <w:vanish/>
        </w:rPr>
        <w:t>Открыть Диск</w:t>
      </w:r>
    </w:p>
    <w:p w:rsidR="00000000" w:rsidRDefault="00735CD7">
      <w:pPr>
        <w:rPr>
          <w:rStyle w:val="a3"/>
        </w:rPr>
      </w:pP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left="450" w:right="450"/>
        <w:jc w:val="center"/>
        <w:divId w:val="452872493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w:t>ПРАВИЛА</w:t>
      </w:r>
      <w:r>
        <w:rPr>
          <w:color w:val="000000"/>
        </w:rPr>
        <w:br/>
      </w:r>
      <w:r>
        <w:rPr>
          <w:b/>
          <w:bCs/>
          <w:color w:val="000000"/>
          <w:sz w:val="28"/>
          <w:szCs w:val="28"/>
        </w:rPr>
        <w:t>військового обліку призовників, військовозобов’язаних та резервістів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 xml:space="preserve">1. Призовники, </w:t>
      </w:r>
      <w:r>
        <w:rPr>
          <w:color w:val="000000"/>
        </w:rPr>
        <w:t>військовозобов’язані та резервісти повинні: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1) перебувати на військовому обліку: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за задекларованим (зареєстрованим) місцем проживання - у відповідних районних (міських) територіальних центрах комплектування та соціальної підтримки (військовозобов’язані СБУ</w:t>
      </w:r>
      <w:r>
        <w:rPr>
          <w:color w:val="000000"/>
        </w:rPr>
        <w:t xml:space="preserve"> - у Центральному управлінні або регіональних органах СБУ (далі - органи СБУ), військовозобов’язані Служби зовнішньої розвідки - у відповідному підрозділі Служби зовнішньої розвідки). Крім того, призовники, військовозобов’язані та резервісти, які проживают</w:t>
      </w:r>
      <w:r>
        <w:rPr>
          <w:color w:val="000000"/>
        </w:rPr>
        <w:t>ь в селах та селищах, а також у містах, де відсутні відповідні районні (міські) територіальні центри комплектування та соціальної підтримки, повинні перебувати на персонально-первинному військовому обліку у відповідних виконавчих органах сільських, селищни</w:t>
      </w:r>
      <w:r>
        <w:rPr>
          <w:color w:val="000000"/>
        </w:rPr>
        <w:t>х, міських рад;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за місцем роботи (навчання) - в центральних і місцевих органах виконавчої влади, в інших державних органах, в органах місцевого самоврядування, в органах військового управління (органах управління), військових частинах (підрозділах) Збройни</w:t>
      </w:r>
      <w:r>
        <w:rPr>
          <w:color w:val="000000"/>
        </w:rPr>
        <w:t>х Сил, інших утворених відповідно до законів України військових формувань, а також правоохоронних органах спеціального призначення, на підприємствах, в установах, організаціях, закладах освіти, закладах охорони здоров’я незалежно від підпорядкування і форм</w:t>
      </w:r>
      <w:r>
        <w:rPr>
          <w:color w:val="000000"/>
        </w:rPr>
        <w:t>и власності;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у разі вибуття за межі України на строк більше трьох місяців - за місцем консульського обліку в закордонних дипломатичних установах України;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2) прибувати за викликом районних (міських) територіальних центрів комплектування та соціальної підтри</w:t>
      </w:r>
      <w:r>
        <w:rPr>
          <w:color w:val="000000"/>
        </w:rPr>
        <w:t>мки, органів СБУ, підрозділів Служби зовнішньої розвідки на збірні пункти, призовні дільниці, до територіальних центрів комплектування та соціальної підтримки, органів СБУ, підрозділів Служби зовнішньої розвідки у строки, зазначені в отриманих ними докумен</w:t>
      </w:r>
      <w:r>
        <w:rPr>
          <w:color w:val="000000"/>
        </w:rPr>
        <w:t>тах (мобілізаційних розпорядженнях, повістках, розпорядженнях) районних (міських) територіальних центрів комплектування та соціальної підтримки, органів СБУ, підрозділів Служби зовнішньої розвідки для взяття на військовий облік та визначення призначення на</w:t>
      </w:r>
      <w:r>
        <w:rPr>
          <w:color w:val="000000"/>
        </w:rPr>
        <w:t xml:space="preserve"> особливий період, оформлення військово-облікових документів, проходження медичного огляду, направлення на підготовку з метою здобуття або вдосконалення військово-облікової спеціальності, призову на військову службу або на навчальні (перевірочні) та спеціа</w:t>
      </w:r>
      <w:r>
        <w:rPr>
          <w:color w:val="000000"/>
        </w:rPr>
        <w:t>льні збори військовозобов’язаних та резервістів;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3) не змінювати місце проживання з моменту оголошення мобілізації та у воєнний час без дозволу керівника відповідного районного (міського) територіального центру комплектування та соціальної підтримки (війсь</w:t>
      </w:r>
      <w:r>
        <w:rPr>
          <w:color w:val="000000"/>
        </w:rPr>
        <w:t>ковозобов’язаних та резервістів СБУ, Служби зовнішньої розвідки - без дозволу відповідного керівника);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4) проходити медичний огляд та лікування в закладах охорони здоров’я згідно з рішеннями комісій з питань приписки, призовних комісій або військово-лікарс</w:t>
      </w:r>
      <w:r>
        <w:rPr>
          <w:color w:val="000000"/>
        </w:rPr>
        <w:t>ьких комісій районних (міських) територіальних центрів комплектування та соціальної підтримки, закладів охорони здоров’я СБУ, а у Службі зовнішньої розвідки - за рішенням керівників відповідних підрозділів або військово-лікарської комісії Служби зовнішньої</w:t>
      </w:r>
      <w:r>
        <w:rPr>
          <w:color w:val="000000"/>
        </w:rPr>
        <w:t xml:space="preserve"> розвідки;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5) проходити підготовку до військової служби, військову службу і виконувати військовий обов’язок у запасі, проходити службу у військовому резерві;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6) особисто прибувати до районних (міських) територіальних центрів комплектування та соціальної пі</w:t>
      </w:r>
      <w:r>
        <w:rPr>
          <w:color w:val="000000"/>
        </w:rPr>
        <w:t>дтримки, органів СБУ, підрозділів Служби зовнішньої розвідки з паспортом громадянина України і військово-обліковими документами для зняття з військового обліку в разі вибуття в іншу місцевість до нового місця проживання, за межі України на постійне місце п</w:t>
      </w:r>
      <w:r>
        <w:rPr>
          <w:color w:val="000000"/>
        </w:rPr>
        <w:t>роживання або на строк більше трьох місяців, у разі зміни місця проживання в межах міста з переїздом на територію іншого адміністративного району;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7) особисто в семиденний строк з дня прибуття до нового місця проживання прибувати із паспортом громадянина У</w:t>
      </w:r>
      <w:r>
        <w:rPr>
          <w:color w:val="000000"/>
        </w:rPr>
        <w:t xml:space="preserve">країни і військово-обліковими документами до відповідного районного (міського) територіального центру комплектування та соціальної підтримки </w:t>
      </w:r>
      <w:r>
        <w:rPr>
          <w:color w:val="000000"/>
        </w:rPr>
        <w:lastRenderedPageBreak/>
        <w:t>(органу СБУ, підрозділу Служби зовнішньої розвідки, закордонної дипломатичної установи України), який організовує т</w:t>
      </w:r>
      <w:r>
        <w:rPr>
          <w:color w:val="000000"/>
        </w:rPr>
        <w:t>а веде військовий облік на території відповідної адміністративно-територіальної одиниці, для взяття на військовий облік;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 xml:space="preserve">8) особисто повідомляти в семиденний строк органам, в яких вони перебувають на військовому </w:t>
      </w:r>
      <w:r>
        <w:rPr>
          <w:color w:val="000000"/>
        </w:rPr>
        <w:t>обліку, про зміну персональних даних, зазначених у</w:t>
      </w:r>
      <w:r>
        <w:rPr>
          <w:color w:val="000000"/>
        </w:rPr>
        <w:t> </w:t>
      </w:r>
      <w:hyperlink r:id="rId4" w:history="1">
        <w:r>
          <w:rPr>
            <w:rStyle w:val="a3"/>
          </w:rPr>
          <w:t>статті 7</w:t>
        </w:r>
      </w:hyperlink>
      <w:r>
        <w:rPr>
          <w:color w:val="000000"/>
        </w:rPr>
        <w:t> Закону України “Про Єдиний державний реєстр призовників, військовозобов’язаних та резервістів”, а також надавати зазначеним органам документи, що п</w:t>
      </w:r>
      <w:r>
        <w:rPr>
          <w:color w:val="000000"/>
        </w:rPr>
        <w:t>ідтверджують право на відстрочку від призову на військову службу під час мобілізації з підстав, визначених у</w:t>
      </w:r>
      <w:r>
        <w:rPr>
          <w:color w:val="000000"/>
        </w:rPr>
        <w:t> </w:t>
      </w:r>
      <w:hyperlink r:id="rId5" w:history="1">
        <w:r>
          <w:rPr>
            <w:rStyle w:val="a3"/>
          </w:rPr>
          <w:t>статті 23</w:t>
        </w:r>
      </w:hyperlink>
      <w:r>
        <w:rPr>
          <w:color w:val="000000"/>
        </w:rPr>
        <w:t> Закону України “Про мобілізаційну підготовку та мобілізацію”;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9) негайно повідомляти ра</w:t>
      </w:r>
      <w:r>
        <w:rPr>
          <w:color w:val="000000"/>
        </w:rPr>
        <w:t>йонним (міським) територіальним центрам комплектування та соціальної підтримки, органам СБУ, підрозділам Служби зовнішньої розвідки за місцем військового обліку про втрату військово-облікового документа;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10) звіряти не рідше одного разу на п’ять років влас</w:t>
      </w:r>
      <w:r>
        <w:rPr>
          <w:color w:val="000000"/>
        </w:rPr>
        <w:t>ні персональні дані з обліковими даними районних (міських) територіальних центрів комплектування та соціальної підтримки, органів СБУ, підрозділів Служби зовнішньої розвідки;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11) подавати щороку до 1 жовтня до районних (міських) територіальних центрів комп</w:t>
      </w:r>
      <w:r>
        <w:rPr>
          <w:color w:val="000000"/>
        </w:rPr>
        <w:t>лектування та соціальної підтримки документи, що підтверджують право громадян на відстрочку від призову на строкову військову службу.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 xml:space="preserve">2. Якщо за будь-яких обставин повістка районного (міського) територіального центру комплектування та соціальної підтримки </w:t>
      </w:r>
      <w:r>
        <w:rPr>
          <w:color w:val="000000"/>
        </w:rPr>
        <w:t>не надійшла, громадяни призовного віку прибувають до призовної дільниці в десятиденний строк з дня початку відповідного чергового призову на строкову військову службу, визначеного указом Президента України.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3. Призовники, військовозобов’язані та резервісти</w:t>
      </w:r>
      <w:r>
        <w:rPr>
          <w:color w:val="000000"/>
        </w:rPr>
        <w:t xml:space="preserve"> за порушення правил військового обліку та законодавства про оборону, мобілізаційну підготовку та мобілізацію, зіпсуття або недбале зберігання військово-облікових документів, яке спричинило їх втрату, притягуються до адміністративної відповідальності згідн</w:t>
      </w:r>
      <w:r>
        <w:rPr>
          <w:color w:val="000000"/>
        </w:rPr>
        <w:t>о із</w:t>
      </w:r>
      <w:r>
        <w:rPr>
          <w:color w:val="000000"/>
        </w:rPr>
        <w:t> </w:t>
      </w:r>
      <w:hyperlink r:id="rId6" w:history="1">
        <w:r>
          <w:rPr>
            <w:rStyle w:val="a3"/>
          </w:rPr>
          <w:t>Кодексом України про адміністративні правопорушення</w:t>
        </w:r>
      </w:hyperlink>
      <w:r>
        <w:rPr>
          <w:color w:val="000000"/>
        </w:rPr>
        <w:t>.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ind w:firstLine="450"/>
        <w:jc w:val="both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4. Громадяни, які ухиляються від військового обліку, навчальних (перевірочних) або спеціальних зборів, від призову на строкову військову службу, військову с</w:t>
      </w:r>
      <w:r>
        <w:rPr>
          <w:color w:val="000000"/>
        </w:rPr>
        <w:t>лужбу за призовом осіб офіцерського складу, військову службу за призовом під час мобілізації, на особливий період, військову службу за призовом осіб із числа резервістів в особливий період, несуть кримінальну відповідальність.</w:t>
      </w:r>
    </w:p>
    <w:p w:rsidR="00000000" w:rsidRDefault="00735CD7">
      <w:pPr>
        <w:shd w:val="clear" w:color="auto" w:fill="FFFFFF"/>
        <w:jc w:val="center"/>
        <w:divId w:val="452872493"/>
        <w:rPr>
          <w:rFonts w:eastAsia="Times New Roman"/>
        </w:rPr>
      </w:pPr>
      <w:r>
        <w:rPr>
          <w:rFonts w:eastAsia="Times New Roman"/>
        </w:rPr>
        <w:pict>
          <v:rect id="_x0000_i1025" style="width:.05pt;height:1.5pt" o:hralign="center" o:hrstd="t" o:hr="t" fillcolor="#a0a0a0" stroked="f"/>
        </w:pic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</w:rPr>
        <w:t>Ознайомлений: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         </w:t>
      </w:r>
      <w:r>
        <w:rPr>
          <w:noProof/>
          <w:color w:val="000000"/>
        </w:rPr>
        <w:drawing>
          <wp:inline distT="0" distB="0" distL="0" distR="0">
            <wp:extent cx="685800" cy="28575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u w:val="single"/>
        </w:rPr>
        <w:t>                      </w:t>
      </w:r>
      <w:r>
        <w:rPr>
          <w:color w:val="000000"/>
          <w:u w:val="single"/>
        </w:rPr>
        <w:t> </w:t>
      </w:r>
      <w:r>
        <w:rPr>
          <w:color w:val="000000"/>
        </w:rPr>
        <w:t> 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   </w:t>
      </w:r>
      <w:proofErr w:type="spellStart"/>
      <w:r>
        <w:rPr>
          <w:color w:val="000000"/>
          <w:u w:val="single"/>
        </w:rPr>
        <w:t>Козурак</w:t>
      </w:r>
      <w:proofErr w:type="spellEnd"/>
      <w:r>
        <w:rPr>
          <w:color w:val="000000"/>
          <w:u w:val="single"/>
        </w:rPr>
        <w:t xml:space="preserve"> Денис                                            </w:t>
      </w:r>
      <w:r>
        <w:rPr>
          <w:color w:val="000000"/>
          <w:u w:val="single"/>
        </w:rPr>
        <w:t> </w:t>
      </w:r>
    </w:p>
    <w:p w:rsidR="00000000" w:rsidRDefault="00735CD7">
      <w:pPr>
        <w:pStyle w:val="a5"/>
        <w:shd w:val="clear" w:color="auto" w:fill="FFFFFF"/>
        <w:spacing w:before="0" w:beforeAutospacing="0" w:after="0" w:afterAutospacing="0"/>
        <w:divId w:val="452872493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vertAlign w:val="superscript"/>
        </w:rPr>
        <w:t>      </w:t>
      </w:r>
      <w:r>
        <w:rPr>
          <w:color w:val="000000"/>
          <w:vertAlign w:val="superscript"/>
        </w:rPr>
        <w:t>                                                                   (підпис)                                (ім’я, прізвище)</w:t>
      </w:r>
    </w:p>
    <w:p w:rsidR="00735CD7" w:rsidRDefault="00735CD7">
      <w:pPr>
        <w:pStyle w:val="a5"/>
        <w:shd w:val="clear" w:color="auto" w:fill="FFFFFF"/>
        <w:spacing w:before="0" w:beforeAutospacing="0" w:after="0" w:afterAutospacing="0"/>
        <w:divId w:val="452872493"/>
        <w:rPr>
          <w:rFonts w:ascii="Calibri" w:hAnsi="Calibri"/>
          <w:color w:val="000000"/>
          <w:sz w:val="22"/>
          <w:szCs w:val="22"/>
          <w14:glow w14:rad="190500">
            <w14:srgbClr w14:val="000000"/>
          </w14:glow>
        </w:rPr>
      </w:pPr>
      <w:r>
        <w:rPr>
          <w:color w:val="000000"/>
        </w:rPr>
        <w:t>Дата ознайомлення: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  28              </w:t>
      </w:r>
      <w:r>
        <w:rPr>
          <w:color w:val="000000"/>
          <w:u w:val="single"/>
        </w:rPr>
        <w:t> </w:t>
      </w:r>
      <w:r>
        <w:rPr>
          <w:color w:val="000000"/>
        </w:rPr>
        <w:t xml:space="preserve">  </w:t>
      </w:r>
      <w:r>
        <w:rPr>
          <w:color w:val="000000"/>
        </w:rPr>
        <w:t> </w:t>
      </w:r>
      <w:r>
        <w:rPr>
          <w:color w:val="000000"/>
          <w:u w:val="single"/>
        </w:rPr>
        <w:t>      06                 </w:t>
      </w:r>
      <w:r>
        <w:rPr>
          <w:color w:val="000000"/>
          <w:u w:val="single"/>
        </w:rPr>
        <w:t> </w:t>
      </w:r>
      <w:r>
        <w:rPr>
          <w:color w:val="000000"/>
        </w:rPr>
        <w:t> 2</w:t>
      </w:r>
      <w:r>
        <w:rPr>
          <w:color w:val="000000"/>
        </w:rPr>
        <w:t>0</w:t>
      </w:r>
      <w:r>
        <w:rPr>
          <w:color w:val="000000"/>
        </w:rPr>
        <w:t>23</w:t>
      </w:r>
      <w:r>
        <w:rPr>
          <w:color w:val="000000"/>
          <w:u w:val="single"/>
        </w:rPr>
        <w:t>       </w:t>
      </w:r>
      <w:r>
        <w:rPr>
          <w:color w:val="000000"/>
          <w:u w:val="single"/>
        </w:rPr>
        <w:t> </w:t>
      </w:r>
      <w:r>
        <w:rPr>
          <w:color w:val="000000"/>
        </w:rPr>
        <w:t> р.</w:t>
      </w:r>
    </w:p>
    <w:sectPr w:rsidR="00735C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C578B"/>
    <w:rsid w:val="002C578B"/>
    <w:rsid w:val="007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75947-E6A4-47F8-941D-D1B4D7B7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docs-ml-header-item">
    <w:name w:val="docs-ml-header-item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4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zakon.rada.gov.ua/laws/show/80731-10%26amp;sa%3DD%26amp;source%3Deditors%26amp;ust%3D1687989482895366%26amp;usg%3DAOvVaw0UKB0UdKIGZ0ZaBim60D-K&amp;sa=D&amp;source=docs&amp;ust=1687989482903967&amp;usg=AOvVaw3HwdMJSz8zAZr6ln-w-2Ev" TargetMode="External"/><Relationship Id="rId5" Type="http://schemas.openxmlformats.org/officeDocument/2006/relationships/hyperlink" Target="https://www.google.com/url?q=https://www.google.com/url?q%3Dhttps://zakon.rada.gov.ua/laws/show/3543-12%2523n420%26amp;sa%3DD%26amp;source%3Deditors%26amp;ust%3D1687989482894880%26amp;usg%3DAOvVaw1LUyV7_y1vjQgzX53jqTca&amp;sa=D&amp;source=docs&amp;ust=1687989482903458&amp;usg=AOvVaw37vLVFN0_oykZrApXNSLFx" TargetMode="External"/><Relationship Id="rId4" Type="http://schemas.openxmlformats.org/officeDocument/2006/relationships/hyperlink" Target="https://www.google.com/url?q=https://www.google.com/url?q%3Dhttps://zakon.rada.gov.ua/laws/show/1951-19%2523n50%26amp;sa%3DD%26amp;source%3Deditors%26amp;ust%3D1687989482894554%26amp;usg%3DAOvVaw2DP5x2CUYmBbGpQRJsgQrC&amp;sa=D&amp;source=docs&amp;ust=1687989482903218&amp;usg=AOvVaw3un0i0ellSd_POxeA_90lD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4957</Words>
  <Characters>2827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Правила військового обліку.docx</vt:lpstr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військового обліку.docx</dc:title>
  <dc:subject/>
  <dc:creator>Д</dc:creator>
  <cp:keywords/>
  <dc:description/>
  <cp:lastModifiedBy>Д</cp:lastModifiedBy>
  <cp:revision>2</cp:revision>
  <dcterms:created xsi:type="dcterms:W3CDTF">2023-06-28T21:16:00Z</dcterms:created>
  <dcterms:modified xsi:type="dcterms:W3CDTF">2023-06-28T21:16:00Z</dcterms:modified>
</cp:coreProperties>
</file>