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A8F" w:rsidRDefault="002E4D31">
      <w:pPr>
        <w:rPr>
          <w:rFonts w:eastAsia="Times New Roman"/>
          <w:vanish/>
        </w:rPr>
      </w:pPr>
      <w:r>
        <w:rPr>
          <w:rFonts w:eastAsia="Times New Roman"/>
          <w:vanish/>
        </w:rPr>
        <w:t>Открыть Диск</w:t>
      </w:r>
    </w:p>
    <w:p w:rsidR="00046A8F" w:rsidRDefault="00046A8F">
      <w:pPr>
        <w:pStyle w:val="a5"/>
        <w:shd w:val="clear" w:color="auto" w:fill="FFFFFF"/>
        <w:spacing w:before="0" w:beforeAutospacing="0" w:after="0" w:afterAutospacing="0"/>
        <w:divId w:val="2092265489"/>
        <w:rPr>
          <w:rFonts w:ascii="Calibri" w:hAnsi="Calibri"/>
          <w:color w:val="000000"/>
          <w:sz w:val="22"/>
          <w:szCs w:val="22"/>
        </w:rPr>
      </w:pPr>
    </w:p>
    <w:tbl>
      <w:tblPr>
        <w:tblW w:w="0" w:type="auto"/>
        <w:tblLook w:val="04A0" w:firstRow="1" w:lastRow="0" w:firstColumn="1" w:lastColumn="0" w:noHBand="0" w:noVBand="1"/>
      </w:tblPr>
      <w:tblGrid>
        <w:gridCol w:w="9619"/>
      </w:tblGrid>
      <w:tr w:rsidR="00046A8F">
        <w:trPr>
          <w:divId w:val="2092265489"/>
        </w:trPr>
        <w:tc>
          <w:tcPr>
            <w:tcW w:w="96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046A8F" w:rsidRDefault="002E4D31">
            <w:pPr>
              <w:pStyle w:val="a5"/>
              <w:spacing w:before="0" w:beforeAutospacing="0" w:after="0" w:afterAutospacing="0"/>
              <w:jc w:val="center"/>
              <w:rPr>
                <w:rFonts w:ascii="Calibri" w:hAnsi="Calibri"/>
                <w:noProof/>
                <w:color w:val="000000"/>
                <w:sz w:val="22"/>
                <w:szCs w:val="22"/>
                <w:bdr w:val="single" w:sz="2" w:space="0" w:color="000000" w:frame="1"/>
              </w:rPr>
            </w:pPr>
            <w:r>
              <w:rPr>
                <w:rFonts w:ascii="Calibri" w:hAnsi="Calibri"/>
                <w:noProof/>
                <w:color w:val="000000"/>
                <w:sz w:val="22"/>
                <w:szCs w:val="22"/>
                <w:bdr w:val="single" w:sz="2" w:space="0" w:color="000000" w:frame="1"/>
              </w:rPr>
              <w:drawing>
                <wp:inline distT="0" distB="0" distL="0" distR="0">
                  <wp:extent cx="571500" cy="762000"/>
                  <wp:effectExtent l="0" t="0" r="0" b="0"/>
                  <wp:docPr id="1" name="Рисунок 7" descr="mhtE1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mhtE1F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762000"/>
                          </a:xfrm>
                          <a:prstGeom prst="rect">
                            <a:avLst/>
                          </a:prstGeom>
                          <a:noFill/>
                          <a:ln>
                            <a:noFill/>
                          </a:ln>
                        </pic:spPr>
                      </pic:pic>
                    </a:graphicData>
                  </a:graphic>
                </wp:inline>
              </w:drawing>
            </w:r>
          </w:p>
        </w:tc>
      </w:tr>
      <w:tr w:rsidR="00046A8F">
        <w:trPr>
          <w:divId w:val="2092265489"/>
        </w:trPr>
        <w:tc>
          <w:tcPr>
            <w:tcW w:w="96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046A8F" w:rsidRDefault="002E4D31">
            <w:pPr>
              <w:pStyle w:val="a5"/>
              <w:spacing w:before="0" w:beforeAutospacing="0" w:after="0" w:afterAutospacing="0"/>
              <w:jc w:val="center"/>
              <w:rPr>
                <w:rFonts w:ascii="Calibri" w:hAnsi="Calibri"/>
                <w:color w:val="000000"/>
                <w:sz w:val="22"/>
                <w:szCs w:val="22"/>
              </w:rPr>
            </w:pPr>
            <w:r>
              <w:rPr>
                <w:b/>
                <w:bCs/>
                <w:color w:val="000000"/>
              </w:rPr>
              <w:t>КАБІНЕТ МІНІСТРІВ УКРАЇНИ</w:t>
            </w:r>
            <w:r>
              <w:rPr>
                <w:color w:val="000000"/>
              </w:rPr>
              <w:br/>
            </w:r>
            <w:r>
              <w:rPr>
                <w:b/>
                <w:bCs/>
                <w:color w:val="000000"/>
              </w:rPr>
              <w:t>ПОСТАНОВА</w:t>
            </w:r>
          </w:p>
        </w:tc>
      </w:tr>
      <w:tr w:rsidR="00046A8F">
        <w:trPr>
          <w:divId w:val="2092265489"/>
        </w:trPr>
        <w:tc>
          <w:tcPr>
            <w:tcW w:w="96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046A8F" w:rsidRDefault="002E4D31">
            <w:pPr>
              <w:pStyle w:val="a5"/>
              <w:spacing w:before="0" w:beforeAutospacing="0" w:after="0" w:afterAutospacing="0"/>
              <w:jc w:val="center"/>
              <w:rPr>
                <w:rFonts w:ascii="Calibri" w:hAnsi="Calibri"/>
                <w:color w:val="000000"/>
                <w:sz w:val="22"/>
                <w:szCs w:val="22"/>
              </w:rPr>
            </w:pPr>
            <w:r>
              <w:rPr>
                <w:b/>
                <w:bCs/>
                <w:color w:val="000000"/>
              </w:rPr>
              <w:t>від 21 жовтня 2022 р. № 1202</w:t>
            </w:r>
            <w:r>
              <w:rPr>
                <w:color w:val="000000"/>
              </w:rPr>
              <w:br/>
            </w:r>
            <w:r>
              <w:rPr>
                <w:b/>
                <w:bCs/>
                <w:color w:val="000000"/>
              </w:rPr>
              <w:t>Київ</w:t>
            </w:r>
          </w:p>
        </w:tc>
      </w:tr>
    </w:tbl>
    <w:p w:rsidR="00046A8F" w:rsidRDefault="002E4D31">
      <w:pPr>
        <w:pStyle w:val="a5"/>
        <w:shd w:val="clear" w:color="auto" w:fill="FFFFFF"/>
        <w:spacing w:before="0" w:beforeAutospacing="0" w:after="0" w:afterAutospacing="0"/>
        <w:jc w:val="center"/>
        <w:divId w:val="2092265489"/>
        <w:rPr>
          <w:rFonts w:ascii="Calibri" w:hAnsi="Calibri"/>
          <w:color w:val="000000"/>
          <w:sz w:val="22"/>
          <w:szCs w:val="22"/>
        </w:rPr>
      </w:pPr>
      <w:r>
        <w:rPr>
          <w:b/>
          <w:bCs/>
          <w:color w:val="333333"/>
        </w:rPr>
        <w:t>Деякі питання реалізації актів законодавства у сфері міграції в умовах воєнного стану</w:t>
      </w:r>
    </w:p>
    <w:p w:rsidR="00046A8F" w:rsidRDefault="002E4D31">
      <w:pPr>
        <w:pStyle w:val="a5"/>
        <w:shd w:val="clear" w:color="auto" w:fill="FFFFFF"/>
        <w:spacing w:before="0" w:beforeAutospacing="0" w:after="0" w:afterAutospacing="0"/>
        <w:ind w:firstLine="450"/>
        <w:jc w:val="both"/>
        <w:divId w:val="2092265489"/>
        <w:rPr>
          <w:rFonts w:ascii="Calibri" w:hAnsi="Calibri"/>
          <w:color w:val="000000"/>
          <w:sz w:val="22"/>
          <w:szCs w:val="22"/>
        </w:rPr>
      </w:pPr>
      <w:r>
        <w:rPr>
          <w:color w:val="333333"/>
        </w:rPr>
        <w:t>Відповідно до </w:t>
      </w:r>
      <w:hyperlink r:id="rId5" w:history="1">
        <w:r>
          <w:rPr>
            <w:rStyle w:val="a3"/>
          </w:rPr>
          <w:t>статей 12</w:t>
        </w:r>
      </w:hyperlink>
      <w:hyperlink r:id="rId6" w:history="1">
        <w:r>
          <w:rPr>
            <w:rStyle w:val="a3"/>
            <w:b/>
            <w:bCs/>
            <w:vertAlign w:val="superscript"/>
          </w:rPr>
          <w:t>-1</w:t>
        </w:r>
      </w:hyperlink>
      <w:r>
        <w:rPr>
          <w:color w:val="333333"/>
        </w:rPr>
        <w:t>, </w:t>
      </w:r>
      <w:hyperlink r:id="rId7" w:history="1">
        <w:r>
          <w:rPr>
            <w:rStyle w:val="a3"/>
          </w:rPr>
          <w:t>20</w:t>
        </w:r>
      </w:hyperlink>
      <w:r>
        <w:rPr>
          <w:color w:val="333333"/>
        </w:rPr>
        <w:t> Закону України “Про правовий режим воєнного стану” в умовах воєнного стану, введеного Указом Президента України від 24 лютого 2022 р. </w:t>
      </w:r>
      <w:hyperlink r:id="rId8" w:history="1">
        <w:r>
          <w:rPr>
            <w:rStyle w:val="a3"/>
          </w:rPr>
          <w:t>№ 64</w:t>
        </w:r>
      </w:hyperlink>
      <w:r>
        <w:rPr>
          <w:color w:val="333333"/>
        </w:rPr>
        <w:t> “Про введення воєнного стану в Україні”, Кабінет Міністрів України </w:t>
      </w:r>
      <w:r>
        <w:rPr>
          <w:b/>
          <w:bCs/>
          <w:color w:val="333333"/>
        </w:rPr>
        <w:t>постановляє</w:t>
      </w:r>
      <w:r>
        <w:rPr>
          <w:color w:val="333333"/>
        </w:rPr>
        <w:t>:</w:t>
      </w:r>
    </w:p>
    <w:p w:rsidR="00046A8F" w:rsidRDefault="002E4D31">
      <w:pPr>
        <w:pStyle w:val="a5"/>
        <w:shd w:val="clear" w:color="auto" w:fill="FFFFFF"/>
        <w:spacing w:before="0" w:beforeAutospacing="0" w:after="0" w:afterAutospacing="0"/>
        <w:ind w:firstLine="450"/>
        <w:jc w:val="both"/>
        <w:divId w:val="2092265489"/>
        <w:rPr>
          <w:rFonts w:ascii="Calibri" w:hAnsi="Calibri"/>
          <w:color w:val="000000"/>
          <w:sz w:val="22"/>
          <w:szCs w:val="22"/>
        </w:rPr>
      </w:pPr>
      <w:r>
        <w:rPr>
          <w:color w:val="333333"/>
        </w:rPr>
        <w:t>Установити, що:</w:t>
      </w:r>
    </w:p>
    <w:p w:rsidR="00046A8F" w:rsidRDefault="002E4D31">
      <w:pPr>
        <w:pStyle w:val="a5"/>
        <w:shd w:val="clear" w:color="auto" w:fill="FFFFFF"/>
        <w:spacing w:before="0" w:beforeAutospacing="0" w:after="0" w:afterAutospacing="0"/>
        <w:ind w:firstLine="450"/>
        <w:jc w:val="both"/>
        <w:divId w:val="2092265489"/>
        <w:rPr>
          <w:rFonts w:ascii="Calibri" w:hAnsi="Calibri"/>
          <w:color w:val="000000"/>
          <w:sz w:val="22"/>
          <w:szCs w:val="22"/>
        </w:rPr>
      </w:pPr>
      <w:r>
        <w:rPr>
          <w:color w:val="333333"/>
        </w:rPr>
        <w:t>посвідки на тимчасове чи постійне проживання, крім тих, які оформлені громадянам Російської Федерації, строк дії яких закінчився або які підлягають обміну відповідно до законодавства після 24 лютого 2022 р., підтверджують законні підстави для тимчасового чи постійного проживання в Україні та право на в’їзд в Україну на період воєнного стану та протягом 30 календарних днів з дня його припинення чи скасування;</w:t>
      </w:r>
    </w:p>
    <w:p w:rsidR="00046A8F" w:rsidRDefault="002E4D31">
      <w:pPr>
        <w:pStyle w:val="a5"/>
        <w:shd w:val="clear" w:color="auto" w:fill="FFFFFF"/>
        <w:spacing w:before="0" w:beforeAutospacing="0" w:after="0" w:afterAutospacing="0"/>
        <w:ind w:firstLine="450"/>
        <w:jc w:val="both"/>
        <w:divId w:val="2092265489"/>
        <w:rPr>
          <w:rFonts w:ascii="Calibri" w:hAnsi="Calibri"/>
          <w:color w:val="000000"/>
          <w:sz w:val="22"/>
          <w:szCs w:val="22"/>
        </w:rPr>
      </w:pPr>
      <w:r>
        <w:rPr>
          <w:color w:val="333333"/>
        </w:rPr>
        <w:t>іноземці або особи без громадянства, крім громадян Російської Федерації, зобов’язані в установленому законодавством порядку подати документи для обміну таких посвідок на тимчасове чи постійне проживання протягом 30 календарних днів з дня припинення або скасування воєнного стану;</w:t>
      </w:r>
    </w:p>
    <w:p w:rsidR="00046A8F" w:rsidRDefault="002E4D31">
      <w:pPr>
        <w:pStyle w:val="a5"/>
        <w:shd w:val="clear" w:color="auto" w:fill="FFFFFF"/>
        <w:spacing w:before="0" w:beforeAutospacing="0" w:after="0" w:afterAutospacing="0"/>
        <w:ind w:firstLine="450"/>
        <w:jc w:val="both"/>
        <w:divId w:val="2092265489"/>
        <w:rPr>
          <w:rFonts w:ascii="Calibri" w:hAnsi="Calibri"/>
          <w:color w:val="000000"/>
          <w:sz w:val="22"/>
          <w:szCs w:val="22"/>
        </w:rPr>
      </w:pPr>
      <w:r>
        <w:rPr>
          <w:color w:val="333333"/>
        </w:rPr>
        <w:t>паспорти громадян України у формі картки, строк дії яких закінчився за 30 днів до 24 лютого 2022 р. та після 24 лютого 2022 р., та паспорти громадянина України зразка 1994 року, до яких не вклеєно фотокартку особи у разі досягнення нею 25- чи 45-річного віку, строк вклеювання до яких настав за 30 днів до 24 лютого 2022 р. та після 24 лютого 2022 р., є документами, що посвідчують особу та підтверджують громадянство України та підлягають обміну або вклеюванню нових фотокарток відповідно до досягнутого віку протягом 30 календарних днів з дня припинення чи скасування воєнного стану.</w:t>
      </w:r>
    </w:p>
    <w:p w:rsidR="00046A8F" w:rsidRDefault="002E4D31">
      <w:pPr>
        <w:pStyle w:val="a5"/>
        <w:shd w:val="clear" w:color="auto" w:fill="FFFFFF"/>
        <w:spacing w:before="0" w:beforeAutospacing="0" w:after="0" w:afterAutospacing="0"/>
        <w:jc w:val="both"/>
        <w:divId w:val="2092265489"/>
        <w:rPr>
          <w:rFonts w:ascii="Calibri" w:hAnsi="Calibri"/>
          <w:color w:val="000000"/>
          <w:sz w:val="22"/>
          <w:szCs w:val="22"/>
        </w:rPr>
      </w:pPr>
      <w:r>
        <w:rPr>
          <w:b/>
          <w:bCs/>
          <w:color w:val="333333"/>
        </w:rPr>
        <w:t xml:space="preserve">Прем’єр-міністр України                                                                      Д. </w:t>
      </w:r>
      <w:proofErr w:type="spellStart"/>
      <w:r>
        <w:rPr>
          <w:b/>
          <w:bCs/>
          <w:color w:val="333333"/>
        </w:rPr>
        <w:t>Шмигаль</w:t>
      </w:r>
      <w:proofErr w:type="spellEnd"/>
    </w:p>
    <w:p w:rsidR="00046A8F" w:rsidRDefault="002E4D31">
      <w:pPr>
        <w:pStyle w:val="a5"/>
        <w:shd w:val="clear" w:color="auto" w:fill="FFFFFF"/>
        <w:spacing w:before="0" w:beforeAutospacing="0" w:after="0" w:afterAutospacing="0"/>
        <w:divId w:val="2092265489"/>
        <w:rPr>
          <w:rFonts w:ascii="Calibri" w:hAnsi="Calibri"/>
          <w:color w:val="000000"/>
          <w:sz w:val="22"/>
          <w:szCs w:val="22"/>
        </w:rPr>
      </w:pPr>
      <w:r>
        <w:rPr>
          <w:color w:val="000000"/>
        </w:rPr>
        <w:t xml:space="preserve">Ознайомлений: </w:t>
      </w:r>
      <w:r>
        <w:rPr>
          <w:color w:val="000000"/>
          <w:u w:val="single"/>
        </w:rPr>
        <w:t>        </w:t>
      </w:r>
      <w:r>
        <w:rPr>
          <w:noProof/>
          <w:color w:val="000000"/>
        </w:rPr>
        <w:drawing>
          <wp:inline distT="0" distB="0" distL="0" distR="0">
            <wp:extent cx="571500" cy="238125"/>
            <wp:effectExtent l="0" t="0" r="0" b="9525"/>
            <wp:docPr id="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9" cstate="print">
                      <a:extLst>
                        <a:ext uri="{BEBA8EAE-BF5A-486C-A8C5-ECC9F3942E4B}">
                          <a14:imgProps xmlns:a14="http://schemas.microsoft.com/office/drawing/2010/main">
                            <a14:imgLayer r:embed="rId10">
                              <a14:imgEffect>
                                <a14:artisticPhotocopy trans="0" detail="10"/>
                              </a14:imgEffect>
                            </a14:imgLayer>
                          </a14:imgProps>
                        </a:ex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r>
        <w:rPr>
          <w:color w:val="000000"/>
          <w:u w:val="single"/>
        </w:rPr>
        <w:t>                       </w:t>
      </w:r>
      <w:r>
        <w:rPr>
          <w:color w:val="000000"/>
        </w:rPr>
        <w:t xml:space="preserve">  </w:t>
      </w:r>
      <w:r>
        <w:rPr>
          <w:color w:val="000000"/>
          <w:u w:val="single"/>
        </w:rPr>
        <w:t>   </w:t>
      </w:r>
      <w:proofErr w:type="spellStart"/>
      <w:r>
        <w:rPr>
          <w:color w:val="000000"/>
          <w:u w:val="single"/>
        </w:rPr>
        <w:t>Козурак</w:t>
      </w:r>
      <w:proofErr w:type="spellEnd"/>
      <w:r>
        <w:rPr>
          <w:color w:val="000000"/>
          <w:u w:val="single"/>
        </w:rPr>
        <w:t xml:space="preserve"> Денис                                             </w:t>
      </w:r>
    </w:p>
    <w:p w:rsidR="00046A8F" w:rsidRDefault="002E4D31">
      <w:pPr>
        <w:pStyle w:val="a5"/>
        <w:shd w:val="clear" w:color="auto" w:fill="FFFFFF"/>
        <w:spacing w:before="0" w:beforeAutospacing="0" w:after="0" w:afterAutospacing="0"/>
        <w:divId w:val="2092265489"/>
        <w:rPr>
          <w:rFonts w:ascii="Calibri" w:hAnsi="Calibri"/>
          <w:color w:val="000000"/>
          <w:sz w:val="22"/>
          <w:szCs w:val="22"/>
        </w:rPr>
      </w:pPr>
      <w:r>
        <w:rPr>
          <w:color w:val="000000"/>
          <w:vertAlign w:val="superscript"/>
        </w:rPr>
        <w:t>                                                                     (підпис)                                (ім’я, прізвище)</w:t>
      </w:r>
    </w:p>
    <w:p w:rsidR="002E4D31" w:rsidRDefault="002E4D31">
      <w:pPr>
        <w:pStyle w:val="a5"/>
        <w:shd w:val="clear" w:color="auto" w:fill="FFFFFF"/>
        <w:spacing w:before="0" w:beforeAutospacing="0" w:after="0" w:afterAutospacing="0"/>
        <w:divId w:val="2092265489"/>
        <w:rPr>
          <w:rFonts w:ascii="Calibri" w:hAnsi="Calibri"/>
          <w:color w:val="000000"/>
          <w:sz w:val="22"/>
          <w:szCs w:val="22"/>
        </w:rPr>
      </w:pPr>
      <w:r>
        <w:rPr>
          <w:color w:val="000000"/>
        </w:rPr>
        <w:t>Дата ознайомлення:</w:t>
      </w:r>
      <w:r>
        <w:rPr>
          <w:color w:val="000000"/>
          <w:u w:val="single"/>
        </w:rPr>
        <w:t>  28               </w:t>
      </w:r>
      <w:r>
        <w:t>   </w:t>
      </w:r>
      <w:r>
        <w:rPr>
          <w:u w:val="single"/>
        </w:rPr>
        <w:t>      06                  </w:t>
      </w:r>
      <w:r>
        <w:t> 20</w:t>
      </w:r>
      <w:r>
        <w:rPr>
          <w:u w:val="single"/>
        </w:rPr>
        <w:t> 23       </w:t>
      </w:r>
      <w:r>
        <w:t> р.</w:t>
      </w:r>
      <w:bookmarkStart w:id="0" w:name="_GoBack"/>
      <w:bookmarkEnd w:id="0"/>
    </w:p>
    <w:sectPr w:rsidR="002E4D3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ED4"/>
    <w:rsid w:val="00046A8F"/>
    <w:rsid w:val="001A0ED4"/>
    <w:rsid w:val="002E4D31"/>
    <w:rsid w:val="008C158E"/>
    <w:rsid w:val="00983E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86098A-E31C-49A6-91EE-EAB3C9DB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uiPriority w:val="99"/>
    <w:semiHidden/>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01241">
      <w:marLeft w:val="0"/>
      <w:marRight w:val="0"/>
      <w:marTop w:val="0"/>
      <w:marBottom w:val="0"/>
      <w:divBdr>
        <w:top w:val="none" w:sz="0" w:space="0" w:color="auto"/>
        <w:left w:val="none" w:sz="0" w:space="0" w:color="auto"/>
        <w:bottom w:val="none" w:sz="0" w:space="0" w:color="auto"/>
        <w:right w:val="none" w:sz="0" w:space="0" w:color="auto"/>
      </w:divBdr>
      <w:divsChild>
        <w:div w:id="2050643349">
          <w:marLeft w:val="0"/>
          <w:marRight w:val="0"/>
          <w:marTop w:val="0"/>
          <w:marBottom w:val="0"/>
          <w:divBdr>
            <w:top w:val="none" w:sz="0" w:space="0" w:color="auto"/>
            <w:left w:val="none" w:sz="0" w:space="0" w:color="auto"/>
            <w:bottom w:val="none" w:sz="0" w:space="0" w:color="auto"/>
            <w:right w:val="none" w:sz="0" w:space="0" w:color="auto"/>
          </w:divBdr>
          <w:divsChild>
            <w:div w:id="1931153706">
              <w:marLeft w:val="0"/>
              <w:marRight w:val="0"/>
              <w:marTop w:val="0"/>
              <w:marBottom w:val="0"/>
              <w:divBdr>
                <w:top w:val="none" w:sz="0" w:space="0" w:color="auto"/>
                <w:left w:val="none" w:sz="0" w:space="0" w:color="auto"/>
                <w:bottom w:val="none" w:sz="0" w:space="0" w:color="auto"/>
                <w:right w:val="none" w:sz="0" w:space="0" w:color="auto"/>
              </w:divBdr>
              <w:divsChild>
                <w:div w:id="20922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google.com/url?q%3Dhttps://zakon.rada.gov.ua/laws/show/64/2022%26amp;sa%3DD%26amp;source%3Deditors%26amp;ust%3D1687985036944074%26amp;usg%3DAOvVaw2W3-5nSG6CK4OdDyT3-9XV&amp;sa=D&amp;source=docs&amp;ust=1687985037070742&amp;usg=AOvVaw1jozZgrsqY-WFRtZX1OmOJ" TargetMode="External"/><Relationship Id="rId3" Type="http://schemas.openxmlformats.org/officeDocument/2006/relationships/webSettings" Target="webSettings.xml"/><Relationship Id="rId7" Type="http://schemas.openxmlformats.org/officeDocument/2006/relationships/hyperlink" Target="https://www.google.com/url?q=https://www.google.com/url?q%3Dhttps://zakon.rada.gov.ua/laws/show/389-19%2523n181%26amp;sa%3DD%26amp;source%3Deditors%26amp;ust%3D1687985036943947%26amp;usg%3DAOvVaw3uCgjkQv4tKe1j8KeE1RqK&amp;sa=D&amp;source=docs&amp;ust=1687985037070652&amp;usg=AOvVaw3n0e94IFkVjdA2Plho7zf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s://www.google.com/url?q%3Dhttps://zakon.rada.gov.ua/laws/show/389-19%2523n255%26amp;sa%3DD%26amp;source%3Deditors%26amp;ust%3D1687985036943827%26amp;usg%3DAOvVaw21BrCLwSuNmuGHVAz2VK8d&amp;sa=D&amp;source=docs&amp;ust=1687985037070569&amp;usg=AOvVaw2I-QztfDBeikCxF3Lt6GzF" TargetMode="External"/><Relationship Id="rId11" Type="http://schemas.openxmlformats.org/officeDocument/2006/relationships/fontTable" Target="fontTable.xml"/><Relationship Id="rId5" Type="http://schemas.openxmlformats.org/officeDocument/2006/relationships/hyperlink" Target="https://www.google.com/url?q=https://www.google.com/url?q%3Dhttps://zakon.rada.gov.ua/laws/show/389-19%2523n255%26amp;sa%3DD%26amp;source%3Deditors%26amp;ust%3D1687985036943702%26amp;usg%3DAOvVaw1RxGAtxtOzymCoP1LWLNxQ&amp;sa=D&amp;source=docs&amp;ust=1687985037070473&amp;usg=AOvVaw1fDeBpDRd0IY_dOg8KFfqc" TargetMode="External"/><Relationship Id="rId10" Type="http://schemas.microsoft.com/office/2007/relationships/hdphoto" Target="media/hdphoto1.wdp"/><Relationship Id="rId4" Type="http://schemas.openxmlformats.org/officeDocument/2006/relationships/image" Target="media/image1.gif"/><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2135</Words>
  <Characters>1218</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Законодавство з військового обліку.docx</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Законодавство з військового обліку.docx</dc:title>
  <dc:subject/>
  <dc:creator>Д</dc:creator>
  <cp:keywords/>
  <dc:description/>
  <cp:lastModifiedBy>Д</cp:lastModifiedBy>
  <cp:revision>4</cp:revision>
  <dcterms:created xsi:type="dcterms:W3CDTF">2023-06-28T20:32:00Z</dcterms:created>
  <dcterms:modified xsi:type="dcterms:W3CDTF">2023-06-28T20:42:00Z</dcterms:modified>
</cp:coreProperties>
</file>