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RELATÓRIO DE REVISÃO CRÍTICA E DE RISCOS</w:t>
      </w:r>
    </w:p>
    <w:p>
      <w:r>
        <w:rPr>
          <w:b/>
          <w:sz w:val="26"/>
        </w:rPr>
        <w:t>Minuta de Relatório de Impacto e Riscos: Funcionalidades Críticas no ECA Digital</w:t>
      </w:r>
    </w:p>
    <w:p>
      <w:pPr>
        <w:spacing w:after="80"/>
      </w:pPr>
      <w:r>
        <w:rPr>
          <w:b w:val="0"/>
          <w:i/>
        </w:rPr>
        <w:t>Revisão por painel simulado (regulação de plataformas, child safety, LGPD, direito administrativo, regulação baseada em evidências). Documento de trabalho interno — CGPAR/COPR — Inteligência Regulatória.</w:t>
      </w:r>
    </w:p>
    <w:p>
      <w:pPr>
        <w:spacing w:after="80"/>
      </w:pPr>
      <w:r>
        <w:rPr>
          <w:b w:val="0"/>
          <w:i/>
        </w:rPr>
        <w:t>Data da revisão: 01/10/2026. Insumos: (i) Minuta de Relatório de Impacto e Riscos; (ii) planilha de análise dos relatórios de transparência (abas Matriz, Fontes, Entrada, Notas e critérios, Qualidade dos relatórios; consulta de 18/09/2026). Ficha de Métrica Mínima: arquivo recebido vazio (0 bytes).</w:t>
      </w:r>
    </w:p>
    <w:p>
      <w:pPr>
        <w:pStyle w:val="Heading1"/>
      </w:pPr>
      <w:r>
        <w:t>0. Leitura prévia: três avisos que condicionam todo o parecer</w:t>
      </w:r>
    </w:p>
    <w:p>
      <w:pPr>
        <w:spacing w:after="80"/>
      </w:pPr>
      <w:r>
        <w:rPr>
          <w:b/>
        </w:rPr>
        <w:t xml:space="preserve">1. O documento revisado é um relatório analítico, não um texto normativo. </w:t>
      </w:r>
      <w:r>
        <w:rPr>
          <w:b w:val="0"/>
        </w:rPr>
        <w:t>A minuta tem 5 seções e não tem artigos, incisos, prazos, sanções ou definições. Por isso, as Etapas 4 (fiscalização) e 7 (técnica legislativa) foram adaptadas. A Etapa 4 avalia as obrigações que a minuta propõe ou pressupõe. A Etapa 7 reescreve trechos do relatório e, no Anexo A, propõe dispositivos normativos mínimos que ainda não existem. Se existir um articulado separado, ele deve ser submetido a nova rodada.</w:t>
      </w:r>
    </w:p>
    <w:p>
      <w:pPr>
        <w:spacing w:after="80"/>
      </w:pPr>
      <w:r>
        <w:rPr>
          <w:b/>
        </w:rPr>
        <w:t xml:space="preserve">2. A Ficha de Métrica Mínima não foi recebida. </w:t>
      </w:r>
      <w:r>
        <w:rPr>
          <w:b w:val="0"/>
        </w:rPr>
        <w:t>O arquivo chegou com 0 bytes. A Etapa 3 audita candidatas a indicador extraídas da minuta (§4 e §5) e da planilha de 1º ciclo. Não audita a ficha efetiva. Reenviar o arquivo permite cruzar esta seção com o texto real.</w:t>
      </w:r>
    </w:p>
    <w:p>
      <w:pPr>
        <w:spacing w:after="80"/>
      </w:pPr>
      <w:r>
        <w:rPr>
          <w:b/>
        </w:rPr>
        <w:t xml:space="preserve">3. Benchmarks internacionais foram citados de memória, sem consulta a fontes online nesta sessão. </w:t>
      </w:r>
      <w:r>
        <w:rPr>
          <w:b w:val="0"/>
        </w:rPr>
        <w:t>A numeração exata de artigos e seções (OSA, DSA, guias da Ofcom, NIST) deve ser conferida antes de ir para qualquer documento oficial. Os conceitos citados são estáveis. A numeração pode estar imprecisa.</w:t>
      </w:r>
    </w:p>
    <w:p>
      <w:pPr>
        <w:pStyle w:val="Heading1"/>
      </w:pPr>
      <w:r>
        <w:t>1. Sumário executivo</w:t>
      </w:r>
    </w:p>
    <w:p>
      <w:pPr>
        <w:spacing w:after="80"/>
      </w:pPr>
      <w:r>
        <w:rPr>
          <w:b w:val="0"/>
          <w:i w:val="0"/>
        </w:rPr>
        <w:t>A tese central da minuta é correta e deve ser preservada: o "risco genérico citado" é um indicador saturado, e a unidade útil de supervisão é a funcionalidade que amplifica o dano (feed/recomendação, lives, mensageria privada, IA generativa, monetização). Essa lógica converge com o que a Ofcom (risk profiles por funcionalidade) e o DSA (art. 34, que inclui o desenho de sistemas de recomendação) já fazem.</w:t>
      </w:r>
    </w:p>
    <w:p>
      <w:pPr>
        <w:spacing w:after="80"/>
      </w:pPr>
      <w:r>
        <w:rPr>
          <w:b w:val="0"/>
          <w:i w:val="0"/>
        </w:rPr>
        <w:t>Mas, no estado atual, a minuta não resiste a um teste de consistência com a própria base de evidências. Os principais achados:</w:t>
      </w:r>
    </w:p>
    <w:p>
      <w:pPr>
        <w:pStyle w:val="ListBullet"/>
        <w:spacing w:after="40"/>
      </w:pPr>
      <w:r>
        <w:rPr>
          <w:b/>
        </w:rPr>
        <w:t>Inconsistência numérica (crítico).</w:t>
      </w:r>
      <w:r>
        <w:t xml:space="preserve"> A minuta fala em "19 relatórios", "18 plataformas" com detecção automatizada, "12" com Probabilidade×Gravidade e "9" com risco inerente/residual. A planilha lista 21 plataformas, das quais apenas 11 têm relatório ECA localizado, 9 não têm relatório localizado e 1 (Nintendo) está fora do escopo temporal. Contagens como 12 e 18 não cabem num universo de 11 relatórios. Sem reconciliação, a base numérica é indefensável em consulta pública.</w:t>
      </w:r>
    </w:p>
    <w:p>
      <w:pPr>
        <w:pStyle w:val="ListBullet"/>
        <w:spacing w:after="40"/>
      </w:pPr>
      <w:r>
        <w:rPr>
          <w:b/>
        </w:rPr>
        <w:t>Atribuição sem lastro (crítico).</w:t>
      </w:r>
      <w:r>
        <w:t xml:space="preserve"> A minuta cita a Twitch como fonte ("declarou textualmente…"), mas a planilha registra que não localizou relatório ECA da Twitch. Ou há uma fonte não documentada, ou a atribuição está errada. Se for erro, a minuta atribui a um agente regulado uma declaração que ele não fez no ciclo.</w:t>
      </w:r>
    </w:p>
    <w:p>
      <w:pPr>
        <w:pStyle w:val="ListBullet"/>
        <w:spacing w:after="40"/>
      </w:pPr>
      <w:r>
        <w:rPr>
          <w:b/>
        </w:rPr>
        <w:t>O maior achado ficou fora da minuta.</w:t>
      </w:r>
      <w:r>
        <w:t xml:space="preserve"> O achado de maior relevância regulatória do 1º ciclo é que 9 plataformas relevantes (X, Reddit, Snap, Telegram, LinkedIn, Twitch, Sony/PSN, Valve/Steam, Riot) não tiveram relatório localizado, e o Google/YouTube publicou o equivalente a 2,5/10 em cobertura. Essa omissão quase não aparece na minuta, que trata o ciclo como se a amostra fosse censitária.</w:t>
      </w:r>
    </w:p>
    <w:p>
      <w:pPr>
        <w:pStyle w:val="ListBullet"/>
        <w:spacing w:after="40"/>
      </w:pPr>
      <w:r>
        <w:rPr>
          <w:b/>
        </w:rPr>
        <w:t>Risco residual sem operacionalização.</w:t>
      </w:r>
      <w:r>
        <w:t xml:space="preserve"> "Risco residual" aparece como conceito aceito, mas a minuta não define critérios de escala, calibração ou validação. Epic Games declara risco residual "baixo" para Fortnite com 714.214 medidas no semestre. Esse número é compatível com a conclusão ou a contradiz? Sem denominador e sem critério público, não há como saber. Isso é terreno fértil para captura por autodeclaração.</w:t>
      </w:r>
    </w:p>
    <w:p>
      <w:pPr>
        <w:pStyle w:val="ListBullet"/>
        <w:spacing w:after="40"/>
      </w:pPr>
      <w:r>
        <w:rPr>
          <w:b/>
        </w:rPr>
        <w:t>Ficha de Métrica Mínima ainda é intenção.</w:t>
      </w:r>
      <w:r>
        <w:t xml:space="preserve"> A minuta propõe "parte fixa + parte rotativa" para a Ficha, mas não diz quais métricas fixas, com qual definição, denominador, janela temporal ou regime de verificação. O princípio está certo e a execução ainda não existe.</w:t>
      </w:r>
    </w:p>
    <w:p>
      <w:pPr>
        <w:spacing w:after="80"/>
      </w:pPr>
      <w:r>
        <w:rPr>
          <w:b/>
          <w:i w:val="0"/>
        </w:rPr>
        <w:t>Veredito resumido: Nota geral 6,0/10 no estado atual. A minuta é uma boa base conceitual, mas ainda não deve seguir para consulta pública sem a revisão substancial descrita na Etapa 8.</w:t>
      </w:r>
    </w:p>
    <w:p>
      <w:pPr>
        <w:pStyle w:val="Heading1"/>
      </w:pPr>
      <w:r>
        <w:t>2. Verificação cruzada: minuta × planilha de evidências</w:t>
      </w:r>
    </w:p>
    <w:p>
      <w:pPr>
        <w:spacing w:after="80"/>
      </w:pPr>
      <w:r>
        <w:rPr>
          <w:b w:val="0"/>
          <w:i w:val="0"/>
        </w:rPr>
        <w:t>Antes da análise estratégica, testei se as afirmações factuais da minuta são sustentadas pela base documental anexada. Resultado:</w:t>
      </w:r>
    </w:p>
    <w:tbl>
      <w:tblPr>
        <w:tblStyle w:val="TableGrid"/>
        <w:tblW w:type="auto" w:w="0"/>
        <w:tblLook w:firstColumn="1" w:firstRow="1" w:lastColumn="0" w:lastRow="0" w:noHBand="0" w:noVBand="1" w:val="04A0"/>
      </w:tblPr>
      <w:tblGrid>
        <w:gridCol w:w="3324"/>
        <w:gridCol w:w="3324"/>
        <w:gridCol w:w="3324"/>
      </w:tblGrid>
      <w:tr>
        <w:tc>
          <w:tcPr>
            <w:tcW w:type="dxa" w:w="2608"/>
            <w:shd w:val="clear" w:color="auto" w:fill="1F3A5F"/>
          </w:tcPr>
          <w:p>
            <w:r/>
            <w:r>
              <w:rPr>
                <w:b/>
                <w:color w:val="FFFFFF"/>
                <w:sz w:val="17"/>
              </w:rPr>
              <w:t>Afirmação da minuta</w:t>
            </w:r>
          </w:p>
        </w:tc>
        <w:tc>
          <w:tcPr>
            <w:tcW w:type="dxa" w:w="4762"/>
            <w:shd w:val="clear" w:color="auto" w:fill="1F3A5F"/>
          </w:tcPr>
          <w:p>
            <w:r/>
            <w:r>
              <w:rPr>
                <w:b/>
                <w:color w:val="FFFFFF"/>
                <w:sz w:val="17"/>
              </w:rPr>
              <w:t>O que a planilha mostra</w:t>
            </w:r>
          </w:p>
        </w:tc>
        <w:tc>
          <w:tcPr>
            <w:tcW w:type="dxa" w:w="2268"/>
            <w:shd w:val="clear" w:color="auto" w:fill="1F3A5F"/>
          </w:tcPr>
          <w:p>
            <w:r/>
            <w:r>
              <w:rPr>
                <w:b/>
                <w:color w:val="FFFFFF"/>
                <w:sz w:val="17"/>
              </w:rPr>
              <w:t>Status</w:t>
            </w:r>
          </w:p>
        </w:tc>
      </w:tr>
      <w:tr>
        <w:tc>
          <w:tcPr>
            <w:tcW w:type="dxa" w:w="2608"/>
          </w:tcPr>
          <w:p>
            <w:r/>
            <w:r>
              <w:rPr>
                <w:b/>
                <w:sz w:val="17"/>
              </w:rPr>
              <w:t>"19 relatórios de transparência do 1º ciclo"</w:t>
            </w:r>
          </w:p>
        </w:tc>
        <w:tc>
          <w:tcPr>
            <w:tcW w:type="dxa" w:w="4762"/>
          </w:tcPr>
          <w:p>
            <w:r/>
            <w:r>
              <w:rPr>
                <w:sz w:val="17"/>
              </w:rPr>
              <w:t>21 plataformas na lista. 11 com relatório ECA localizado (Meta, WhatsApp, Discord, Roblox, Kwai, Pinterest, Google/YouTube, TikTok, Microsoft/Xbox, Epic, OpenAI). 9 sem relatório localizado. Nintendo: documento fora do escopo temporal.</w:t>
            </w:r>
          </w:p>
        </w:tc>
        <w:tc>
          <w:tcPr>
            <w:tcW w:type="dxa" w:w="2268"/>
          </w:tcPr>
          <w:p>
            <w:r/>
            <w:r>
              <w:rPr>
                <w:sz w:val="17"/>
              </w:rPr>
              <w:t>Inconsistente. Definir universo e base de cálculo.</w:t>
            </w:r>
          </w:p>
        </w:tc>
      </w:tr>
      <w:tr>
        <w:tc>
          <w:tcPr>
            <w:tcW w:type="dxa" w:w="2608"/>
          </w:tcPr>
          <w:p>
            <w:r/>
            <w:r>
              <w:rPr>
                <w:b/>
                <w:sz w:val="17"/>
              </w:rPr>
              <w:t>"Totalidade cita privacidade; 18 mencionam exploração sexual"</w:t>
            </w:r>
          </w:p>
        </w:tc>
        <w:tc>
          <w:tcPr>
            <w:tcW w:type="dxa" w:w="4762"/>
          </w:tcPr>
          <w:p>
            <w:r/>
            <w:r>
              <w:rPr>
                <w:sz w:val="17"/>
              </w:rPr>
              <w:t>Google/YouTube: V.e (privacidade) "Não encontrado". 9 plataformas sem relatório. Com 11 relatórios, "18" é impossível.</w:t>
            </w:r>
          </w:p>
        </w:tc>
        <w:tc>
          <w:tcPr>
            <w:tcW w:type="dxa" w:w="2268"/>
          </w:tcPr>
          <w:p>
            <w:r/>
            <w:r>
              <w:rPr>
                <w:sz w:val="17"/>
              </w:rPr>
              <w:t>Inconsistente ou base distinta não documentada.</w:t>
            </w:r>
          </w:p>
        </w:tc>
      </w:tr>
      <w:tr>
        <w:tc>
          <w:tcPr>
            <w:tcW w:type="dxa" w:w="2608"/>
          </w:tcPr>
          <w:p>
            <w:r/>
            <w:r>
              <w:rPr>
                <w:b/>
                <w:sz w:val="17"/>
              </w:rPr>
              <w:t>"12 usam Probabilidade×Gravidade; 9 usam inerente/residual"</w:t>
            </w:r>
          </w:p>
        </w:tc>
        <w:tc>
          <w:tcPr>
            <w:tcW w:type="dxa" w:w="4762"/>
          </w:tcPr>
          <w:p>
            <w:r/>
            <w:r>
              <w:rPr>
                <w:sz w:val="17"/>
              </w:rPr>
              <w:t>Com 11 relatórios, 12 &gt; universo. Metodologias na Matriz V.g: P×G em Discord, Kwai, OpenAI, Pinterest, Roblox, Epic, Meta/WhatsApp (inerente = gravidade/probabilidade), entre outras. Google não informa método.</w:t>
            </w:r>
          </w:p>
        </w:tc>
        <w:tc>
          <w:tcPr>
            <w:tcW w:type="dxa" w:w="2268"/>
          </w:tcPr>
          <w:p>
            <w:r/>
            <w:r>
              <w:rPr>
                <w:sz w:val="17"/>
              </w:rPr>
              <w:t>Inconsistente. Recontar com critério explícito.</w:t>
            </w:r>
          </w:p>
        </w:tc>
      </w:tr>
      <w:tr>
        <w:tc>
          <w:tcPr>
            <w:tcW w:type="dxa" w:w="2608"/>
          </w:tcPr>
          <w:p>
            <w:r/>
            <w:r>
              <w:rPr>
                <w:b/>
                <w:sz w:val="17"/>
              </w:rPr>
              <w:t>"Detecção automatizada citada por 18 plataformas"; "Acesso condicionado em 14 relatórios"</w:t>
            </w:r>
          </w:p>
        </w:tc>
        <w:tc>
          <w:tcPr>
            <w:tcW w:type="dxa" w:w="4762"/>
          </w:tcPr>
          <w:p>
            <w:r/>
            <w:r>
              <w:rPr>
                <w:sz w:val="17"/>
              </w:rPr>
              <w:t>Mesmo problema de universo (máx. 11).</w:t>
            </w:r>
          </w:p>
        </w:tc>
        <w:tc>
          <w:tcPr>
            <w:tcW w:type="dxa" w:w="2268"/>
          </w:tcPr>
          <w:p>
            <w:r/>
            <w:r>
              <w:rPr>
                <w:sz w:val="17"/>
              </w:rPr>
              <w:t>Inconsistente.</w:t>
            </w:r>
          </w:p>
        </w:tc>
      </w:tr>
      <w:tr>
        <w:tc>
          <w:tcPr>
            <w:tcW w:type="dxa" w:w="2608"/>
          </w:tcPr>
          <w:p>
            <w:r/>
            <w:r>
              <w:rPr>
                <w:b/>
                <w:sz w:val="17"/>
              </w:rPr>
              <w:t>"26 bases de volume declaradas de forma heterogênea"; "26 sentenças" sobre feed</w:t>
            </w:r>
          </w:p>
        </w:tc>
        <w:tc>
          <w:tcPr>
            <w:tcW w:type="dxa" w:w="4762"/>
          </w:tcPr>
          <w:p>
            <w:r/>
            <w:r>
              <w:rPr>
                <w:sz w:val="17"/>
              </w:rPr>
              <w:t>Não verificável na planilha, que não codifica sentenças nem bases de volume.</w:t>
            </w:r>
          </w:p>
        </w:tc>
        <w:tc>
          <w:tcPr>
            <w:tcW w:type="dxa" w:w="2268"/>
          </w:tcPr>
          <w:p>
            <w:r/>
            <w:r>
              <w:rPr>
                <w:sz w:val="17"/>
              </w:rPr>
              <w:t>Não verificável. Anexar a codificação.</w:t>
            </w:r>
          </w:p>
        </w:tc>
      </w:tr>
      <w:tr>
        <w:tc>
          <w:tcPr>
            <w:tcW w:type="dxa" w:w="2608"/>
          </w:tcPr>
          <w:p>
            <w:r/>
            <w:r>
              <w:rPr>
                <w:b/>
                <w:sz w:val="17"/>
              </w:rPr>
              <w:t>Twitch: lives desafiam detecção automática</w:t>
            </w:r>
          </w:p>
        </w:tc>
        <w:tc>
          <w:tcPr>
            <w:tcW w:type="dxa" w:w="4762"/>
          </w:tcPr>
          <w:p>
            <w:r/>
            <w:r>
              <w:rPr>
                <w:sz w:val="17"/>
              </w:rPr>
              <w:t>Twitch aparece como "Relatório ECA não localizado". Não há célula com essa declaração.</w:t>
            </w:r>
          </w:p>
        </w:tc>
        <w:tc>
          <w:tcPr>
            <w:tcW w:type="dxa" w:w="2268"/>
          </w:tcPr>
          <w:p>
            <w:r/>
            <w:r>
              <w:rPr>
                <w:sz w:val="17"/>
              </w:rPr>
              <w:t>Sem lastro na base. Citar a fonte ou remover.</w:t>
            </w:r>
          </w:p>
        </w:tc>
      </w:tr>
      <w:tr>
        <w:tc>
          <w:tcPr>
            <w:tcW w:type="dxa" w:w="2608"/>
          </w:tcPr>
          <w:p>
            <w:r/>
            <w:r>
              <w:rPr>
                <w:b/>
                <w:sz w:val="17"/>
              </w:rPr>
              <w:t>Kwai: feed com probabilidade alta e gravidade alta; proíbe presentes a menores</w:t>
            </w:r>
          </w:p>
        </w:tc>
        <w:tc>
          <w:tcPr>
            <w:tcW w:type="dxa" w:w="4762"/>
          </w:tcPr>
          <w:p>
            <w:r/>
            <w:r>
              <w:rPr>
                <w:sz w:val="17"/>
              </w:rPr>
              <w:t>Kwai V.g descreve domínios R1–R7 e risco residual, sem reproduzir a classificação citada. Não consta proibição de presentes na Matriz.</w:t>
            </w:r>
          </w:p>
        </w:tc>
        <w:tc>
          <w:tcPr>
            <w:tcW w:type="dxa" w:w="2268"/>
          </w:tcPr>
          <w:p>
            <w:r/>
            <w:r>
              <w:rPr>
                <w:sz w:val="17"/>
              </w:rPr>
              <w:t>Não verificável pela planilha. Conferir no PDF.</w:t>
            </w:r>
          </w:p>
        </w:tc>
      </w:tr>
      <w:tr>
        <w:tc>
          <w:tcPr>
            <w:tcW w:type="dxa" w:w="2608"/>
          </w:tcPr>
          <w:p>
            <w:r/>
            <w:r>
              <w:rPr>
                <w:b/>
                <w:sz w:val="17"/>
              </w:rPr>
              <w:t>TikTok: monetização a partir de 18 anos</w:t>
            </w:r>
          </w:p>
        </w:tc>
        <w:tc>
          <w:tcPr>
            <w:tcW w:type="dxa" w:w="4762"/>
          </w:tcPr>
          <w:p>
            <w:r/>
            <w:r>
              <w:rPr>
                <w:sz w:val="17"/>
              </w:rPr>
              <w:t>Não consta nas células de V.e–V.g resumidas na Matriz.</w:t>
            </w:r>
          </w:p>
        </w:tc>
        <w:tc>
          <w:tcPr>
            <w:tcW w:type="dxa" w:w="2268"/>
          </w:tcPr>
          <w:p>
            <w:r/>
            <w:r>
              <w:rPr>
                <w:sz w:val="17"/>
              </w:rPr>
              <w:t>Não verificável pela planilha.</w:t>
            </w:r>
          </w:p>
        </w:tc>
      </w:tr>
      <w:tr>
        <w:tc>
          <w:tcPr>
            <w:tcW w:type="dxa" w:w="2608"/>
          </w:tcPr>
          <w:p>
            <w:r/>
            <w:r>
              <w:rPr>
                <w:b/>
                <w:sz w:val="17"/>
              </w:rPr>
              <w:t>Meta, TikTok e Microsoft/Xbox alertam para CSAM sintético</w:t>
            </w:r>
          </w:p>
        </w:tc>
        <w:tc>
          <w:tcPr>
            <w:tcW w:type="dxa" w:w="4762"/>
          </w:tcPr>
          <w:p>
            <w:r/>
            <w:r>
              <w:rPr>
                <w:sz w:val="17"/>
              </w:rPr>
              <w:t>Não consta nas células resumidas.</w:t>
            </w:r>
          </w:p>
        </w:tc>
        <w:tc>
          <w:tcPr>
            <w:tcW w:type="dxa" w:w="2268"/>
          </w:tcPr>
          <w:p>
            <w:r/>
            <w:r>
              <w:rPr>
                <w:sz w:val="17"/>
              </w:rPr>
              <w:t>Não verificável pela planilha.</w:t>
            </w:r>
          </w:p>
        </w:tc>
      </w:tr>
      <w:tr>
        <w:tc>
          <w:tcPr>
            <w:tcW w:type="dxa" w:w="2608"/>
          </w:tcPr>
          <w:p>
            <w:r/>
            <w:r>
              <w:rPr>
                <w:b/>
                <w:sz w:val="17"/>
              </w:rPr>
              <w:t>Epic: risco residual baixo; Discord: moderado; Meta/WhatsApp: ISO 31000; OpenAI: P×G</w:t>
            </w:r>
          </w:p>
        </w:tc>
        <w:tc>
          <w:tcPr>
            <w:tcW w:type="dxa" w:w="4762"/>
          </w:tcPr>
          <w:p>
            <w:r/>
            <w:r>
              <w:rPr>
                <w:sz w:val="17"/>
              </w:rPr>
              <w:t>Confirmado na Matriz V.g.</w:t>
            </w:r>
          </w:p>
        </w:tc>
        <w:tc>
          <w:tcPr>
            <w:tcW w:type="dxa" w:w="2268"/>
          </w:tcPr>
          <w:p>
            <w:r/>
            <w:r>
              <w:rPr>
                <w:sz w:val="17"/>
              </w:rPr>
              <w:t>Confirmado.</w:t>
            </w:r>
          </w:p>
        </w:tc>
      </w:tr>
      <w:tr>
        <w:tc>
          <w:tcPr>
            <w:tcW w:type="dxa" w:w="2608"/>
          </w:tcPr>
          <w:p>
            <w:r/>
            <w:r>
              <w:rPr>
                <w:b/>
                <w:sz w:val="17"/>
              </w:rPr>
              <w:t>"Nenhuma plataforma submete matrizes a validação externa"</w:t>
            </w:r>
          </w:p>
        </w:tc>
        <w:tc>
          <w:tcPr>
            <w:tcW w:type="dxa" w:w="4762"/>
          </w:tcPr>
          <w:p>
            <w:r/>
            <w:r>
              <w:rPr>
                <w:sz w:val="17"/>
              </w:rPr>
              <w:t>Kwai cita "contribuições externas"; TikTok cita "especialistas brasileiros"; WhatsApp, Pinterest e Roblox citam revisão "multidisciplinar", que pode ser interna. Nenhuma indica auditoria independente.</w:t>
            </w:r>
          </w:p>
        </w:tc>
        <w:tc>
          <w:tcPr>
            <w:tcW w:type="dxa" w:w="2268"/>
          </w:tcPr>
          <w:p>
            <w:r/>
            <w:r>
              <w:rPr>
                <w:sz w:val="17"/>
              </w:rPr>
              <w:t>Plausível, mas precisa de redação mais precisa (ver Etapa 7).</w:t>
            </w:r>
          </w:p>
        </w:tc>
      </w:tr>
    </w:tbl>
    <w:p>
      <w:pPr>
        <w:spacing w:after="40"/>
      </w:pPr>
    </w:p>
    <w:p>
      <w:pPr>
        <w:spacing w:after="80"/>
      </w:pPr>
      <w:r>
        <w:rPr>
          <w:b w:val="0"/>
          <w:i/>
        </w:rPr>
        <w:t>Observação sobre a própria planilha: a aba "Qualidade dos relatórios" declara pontuação por "análise automatizada" por modelo de IA, sem revisão humana registrada, e mede quantidade e profundidade de divulgação, não exatidão nem eficácia. O risco de uso indevido é concreto: um ranking de divulgação pode ser lido como ranking de conformidade ou de segurança. Recomenda-se rotular a aba como instrumento exploratório e não publicá-la sem revisão humana e sem metodologia aberta.</w:t>
      </w:r>
    </w:p>
    <w:p>
      <w:pPr>
        <w:spacing w:after="80"/>
      </w:pPr>
      <w:r>
        <w:rPr>
          <w:b/>
          <w:i w:val="0"/>
        </w:rPr>
        <w:t>Sinais de qualidade de dados encontrados na planilha que a minuta poderia usar como evidência e não usa:</w:t>
      </w:r>
    </w:p>
    <w:p>
      <w:pPr>
        <w:pStyle w:val="ListBullet"/>
        <w:spacing w:after="40"/>
      </w:pPr>
      <w:r>
        <w:rPr>
          <w:b/>
        </w:rPr>
        <w:t>Janela temporal.</w:t>
      </w:r>
      <w:r>
        <w:t xml:space="preserve"> Janelas distintas: 1º/1–30/6 (Meta, WhatsApp, Discord, Epic) × 17/3–30/6 (Kwai, Google) × 13/3–30/6 (Roblox). Somar ou comparar volumes sem normalizar o período é erro.</w:t>
      </w:r>
    </w:p>
    <w:p>
      <w:pPr>
        <w:pStyle w:val="ListBullet"/>
        <w:spacing w:after="40"/>
      </w:pPr>
      <w:r>
        <w:rPr>
          <w:b/>
        </w:rPr>
        <w:t>Denominadores heterogêneos.</w:t>
      </w:r>
      <w:r>
        <w:t xml:space="preserve"> Discord reporta 1.123.283 denúncias não spam e 1.430.251 de spam, e alerta que denúncia não equivale a violação. Epic reporta só 5 denúncias do canal do art. 29 e "não apresenta total agregado" dos demais canais. WhatsApp declara limitação para dividir 2.176 denúncias por categoria. Cada empresa define "denúncia" de um jeito.</w:t>
      </w:r>
    </w:p>
    <w:p>
      <w:pPr>
        <w:pStyle w:val="ListBullet"/>
        <w:spacing w:after="40"/>
      </w:pPr>
      <w:r>
        <w:rPr>
          <w:b/>
        </w:rPr>
        <w:t>Precisão das denúncias.</w:t>
      </w:r>
      <w:r>
        <w:t xml:space="preserve"> No Kwai, no canal do aplicativo, 69.879 denúncias foram violativas e 320.515 não violativas. Cerca de 82% das denúncias não resultaram em violação confirmada. Esse número, de fácil replicação, mostra que "volume de denúncias" mede comportamento de denunciante, não incidência de dano.</w:t>
      </w:r>
    </w:p>
    <w:p>
      <w:pPr>
        <w:pStyle w:val="ListBullet"/>
        <w:spacing w:after="40"/>
      </w:pPr>
      <w:r>
        <w:rPr>
          <w:b/>
        </w:rPr>
        <w:t>Rótulos de risco não calibrados.</w:t>
      </w:r>
      <w:r>
        <w:t xml:space="preserve"> Epic: 714.214 medidas no Fortnite e risco residual "baixo". Discord: 301.187 medidas em contas e risco "moderado". As escalas não são equivalentes. A mesma ordem de grandeza de medidas coexiste com rótulos diferentes sem critério público.</w:t>
      </w:r>
    </w:p>
    <w:p>
      <w:pPr>
        <w:pStyle w:val="ListBullet"/>
        <w:spacing w:after="40"/>
      </w:pPr>
      <w:r>
        <w:rPr>
          <w:b/>
        </w:rPr>
        <w:t>Métrica de velocidade com denominador enviesado.</w:t>
      </w:r>
      <w:r>
        <w:t xml:space="preserve"> Kwai: "92,48% dos vídeos/perfis violativos tratados em &lt;24h". O denominador é conteúdo já identificado como violativo, o que oculta o tempo de exposição antes da detecção.</w:t>
      </w:r>
    </w:p>
    <w:p>
      <w:pPr>
        <w:pStyle w:val="Heading1"/>
      </w:pPr>
      <w:r>
        <w:t>3. ETAPA 1 — Avaliação estratégica</w:t>
      </w:r>
    </w:p>
    <w:p>
      <w:pPr>
        <w:pStyle w:val="Heading2"/>
      </w:pPr>
      <w:r>
        <w:t>3.1 A proposta ataca o principal problema do 1º ciclo?</w:t>
      </w:r>
    </w:p>
    <w:p>
      <w:pPr>
        <w:spacing w:after="80"/>
      </w:pPr>
      <w:r>
        <w:rPr>
          <w:b w:val="0"/>
          <w:i w:val="0"/>
        </w:rPr>
        <w:t>Parcialmente. O diagnóstico "o risco genérico é saturado" está correto e foi bem formulado. A migração para funcionalidades é o movimento certo. Mas o problema do 1º ciclo tem três camadas, e a minuta enfrenta bem apenas uma:</w:t>
      </w:r>
    </w:p>
    <w:tbl>
      <w:tblPr>
        <w:tblStyle w:val="TableGrid"/>
        <w:tblW w:type="auto" w:w="0"/>
        <w:tblLook w:firstColumn="1" w:firstRow="1" w:lastColumn="0" w:lastRow="0" w:noHBand="0" w:noVBand="1" w:val="04A0"/>
      </w:tblPr>
      <w:tblGrid>
        <w:gridCol w:w="3324"/>
        <w:gridCol w:w="3324"/>
        <w:gridCol w:w="3324"/>
      </w:tblGrid>
      <w:tr>
        <w:tc>
          <w:tcPr>
            <w:tcW w:type="dxa" w:w="3402"/>
            <w:shd w:val="clear" w:color="auto" w:fill="1F3A5F"/>
          </w:tcPr>
          <w:p>
            <w:r/>
            <w:r>
              <w:rPr>
                <w:b/>
                <w:color w:val="FFFFFF"/>
                <w:sz w:val="17"/>
              </w:rPr>
              <w:t>Camada do problema</w:t>
            </w:r>
          </w:p>
        </w:tc>
        <w:tc>
          <w:tcPr>
            <w:tcW w:type="dxa" w:w="3685"/>
            <w:shd w:val="clear" w:color="auto" w:fill="1F3A5F"/>
          </w:tcPr>
          <w:p>
            <w:r/>
            <w:r>
              <w:rPr>
                <w:b/>
                <w:color w:val="FFFFFF"/>
                <w:sz w:val="17"/>
              </w:rPr>
              <w:t>Evidência na base</w:t>
            </w:r>
          </w:p>
        </w:tc>
        <w:tc>
          <w:tcPr>
            <w:tcW w:type="dxa" w:w="2551"/>
            <w:shd w:val="clear" w:color="auto" w:fill="1F3A5F"/>
          </w:tcPr>
          <w:p>
            <w:r/>
            <w:r>
              <w:rPr>
                <w:b/>
                <w:color w:val="FFFFFF"/>
                <w:sz w:val="17"/>
              </w:rPr>
              <w:t>A minuta enfrenta?</w:t>
            </w:r>
          </w:p>
        </w:tc>
      </w:tr>
      <w:tr>
        <w:tc>
          <w:tcPr>
            <w:tcW w:type="dxa" w:w="3402"/>
          </w:tcPr>
          <w:p>
            <w:r/>
            <w:r>
              <w:rPr>
                <w:b/>
                <w:sz w:val="17"/>
              </w:rPr>
              <w:t>1. Conteúdo informacional dos relatórios (riscos genéricos, métricas não comparáveis)</w:t>
            </w:r>
          </w:p>
        </w:tc>
        <w:tc>
          <w:tcPr>
            <w:tcW w:type="dxa" w:w="3685"/>
          </w:tcPr>
          <w:p>
            <w:r/>
            <w:r>
              <w:rPr>
                <w:sz w:val="17"/>
              </w:rPr>
              <w:t>Menção universal a privacidade; 26 bases de volume heterogêneas; janelas e denominadores distintos</w:t>
            </w:r>
          </w:p>
        </w:tc>
        <w:tc>
          <w:tcPr>
            <w:tcW w:type="dxa" w:w="2551"/>
          </w:tcPr>
          <w:p>
            <w:r/>
            <w:r>
              <w:rPr>
                <w:sz w:val="17"/>
              </w:rPr>
              <w:t>Sim, bem diagnosticado</w:t>
            </w:r>
          </w:p>
        </w:tc>
      </w:tr>
      <w:tr>
        <w:tc>
          <w:tcPr>
            <w:tcW w:type="dxa" w:w="3402"/>
          </w:tcPr>
          <w:p>
            <w:r/>
            <w:r>
              <w:rPr>
                <w:b/>
                <w:sz w:val="17"/>
              </w:rPr>
              <w:t>2. Cobertura: quem reporta e quem não reporta</w:t>
            </w:r>
          </w:p>
        </w:tc>
        <w:tc>
          <w:tcPr>
            <w:tcW w:type="dxa" w:w="3685"/>
          </w:tcPr>
          <w:p>
            <w:r/>
            <w:r>
              <w:rPr>
                <w:sz w:val="17"/>
              </w:rPr>
              <w:t>9 plataformas sem relatório localizado; Google/YouTube quase vazio; Nintendo fora do escopo</w:t>
            </w:r>
          </w:p>
        </w:tc>
        <w:tc>
          <w:tcPr>
            <w:tcW w:type="dxa" w:w="2551"/>
          </w:tcPr>
          <w:p>
            <w:r/>
            <w:r>
              <w:rPr>
                <w:sz w:val="17"/>
              </w:rPr>
              <w:t>Não. É o achado mais grave e está ausente</w:t>
            </w:r>
          </w:p>
        </w:tc>
      </w:tr>
      <w:tr>
        <w:tc>
          <w:tcPr>
            <w:tcW w:type="dxa" w:w="3402"/>
          </w:tcPr>
          <w:p>
            <w:r/>
            <w:r>
              <w:rPr>
                <w:b/>
                <w:sz w:val="17"/>
              </w:rPr>
              <w:t>3. Confiabilidade: o dado é verdadeiro e o risco residual é crível?</w:t>
            </w:r>
          </w:p>
        </w:tc>
        <w:tc>
          <w:tcPr>
            <w:tcW w:type="dxa" w:w="3685"/>
          </w:tcPr>
          <w:p>
            <w:r/>
            <w:r>
              <w:rPr>
                <w:sz w:val="17"/>
              </w:rPr>
              <w:t>Nenhuma validação independente; escalas não públicas; rótulos não calibrados</w:t>
            </w:r>
          </w:p>
        </w:tc>
        <w:tc>
          <w:tcPr>
            <w:tcW w:type="dxa" w:w="2551"/>
          </w:tcPr>
          <w:p>
            <w:r/>
            <w:r>
              <w:rPr>
                <w:sz w:val="17"/>
              </w:rPr>
              <w:t>Reconhece a "fragilidade", mas não propõe o mecanismo</w:t>
            </w:r>
          </w:p>
        </w:tc>
      </w:tr>
    </w:tbl>
    <w:p>
      <w:pPr>
        <w:spacing w:after="40"/>
      </w:pPr>
    </w:p>
    <w:p>
      <w:pPr>
        <w:spacing w:after="80"/>
      </w:pPr>
      <w:r>
        <w:rPr>
          <w:b w:val="0"/>
          <w:i w:val="0"/>
        </w:rPr>
        <w:t>Consequência: se a ANPD adotar a Ficha só para quem já reporta, cria-se um incentivo perverso. Quem publica relatório detalhado é exposto a escrutínio, e quem não publica não é. A minuta precisa de uma seção sobre cobertura e enforcement do dever de reportar, antes de refinar a qualidade do que é reportado.</w:t>
      </w:r>
    </w:p>
    <w:p>
      <w:pPr>
        <w:pStyle w:val="Heading2"/>
      </w:pPr>
      <w:r>
        <w:t>3.2 Foco em funcionalidades × foco em riscos genéricos</w:t>
      </w:r>
    </w:p>
    <w:p>
      <w:pPr>
        <w:spacing w:after="80"/>
      </w:pPr>
      <w:r>
        <w:rPr>
          <w:b/>
          <w:i w:val="0"/>
        </w:rPr>
        <w:t>Vantagens reais:</w:t>
      </w:r>
    </w:p>
    <w:p>
      <w:pPr>
        <w:pStyle w:val="ListBullet"/>
        <w:spacing w:after="40"/>
      </w:pPr>
      <w:r>
        <w:t>Aproxima o regulador do mecanismo causal. "Feed recomenda conteúdo de autolesão a um menor de 14 anos" é verificável, ao passo que "risco de autolesão" não é.</w:t>
      </w:r>
    </w:p>
    <w:p>
      <w:pPr>
        <w:pStyle w:val="ListBullet"/>
        <w:spacing w:after="40"/>
      </w:pPr>
      <w:r>
        <w:t>Torna as salvaguardas comparáveis entre plataformas diferentes, porque o que se compara é a funcionalidade e suas mitigações.</w:t>
      </w:r>
    </w:p>
    <w:p>
      <w:pPr>
        <w:pStyle w:val="ListBullet"/>
        <w:spacing w:after="40"/>
      </w:pPr>
      <w:r>
        <w:t>Alinha-se à lógica da Ofcom (risk profiles com fatores de risco por tipo de serviço e funcionalidade) e à do DSA, que exige avaliar o desenho de algoritmos e sistemas de recomendação.</w:t>
      </w:r>
    </w:p>
    <w:p>
      <w:pPr>
        <w:pStyle w:val="ListBullet"/>
        <w:spacing w:after="40"/>
      </w:pPr>
      <w:r>
        <w:t>Reduz o espaço para respostas "de checklist", já que a funcionalidade exige descrever como ela opera.</w:t>
      </w:r>
    </w:p>
    <w:p>
      <w:pPr>
        <w:spacing w:after="80"/>
      </w:pPr>
      <w:r>
        <w:rPr>
          <w:b/>
          <w:i w:val="0"/>
        </w:rPr>
        <w:t>Limitações que a minuta ainda não trata:</w:t>
      </w:r>
    </w:p>
    <w:p>
      <w:pPr>
        <w:pStyle w:val="ListBullet"/>
        <w:spacing w:after="40"/>
      </w:pPr>
      <w:r>
        <w:rPr>
          <w:b/>
        </w:rPr>
        <w:t>Taxonomia e fronteiras.</w:t>
      </w:r>
      <w:r>
        <w:t xml:space="preserve"> Quem define o que é "feed", "live" ou "mensageria privada"? Sem taxonomia obrigatória, cada empresa enquadra seu produto onde convém. Exemplo: um "Reels" que recomenda vídeos pode ser descrito como "descoberta de conteúdo" e sair do módulo de recomendação.</w:t>
      </w:r>
    </w:p>
    <w:p>
      <w:pPr>
        <w:pStyle w:val="ListBullet"/>
        <w:spacing w:after="40"/>
      </w:pPr>
      <w:r>
        <w:rPr>
          <w:b/>
        </w:rPr>
        <w:t>Criptografia ponta a ponta.</w:t>
      </w:r>
      <w:r>
        <w:t xml:space="preserve"> Mensageria cifrada é o caso-limite. Se o serviço não vê o conteúdo, métricas de prevalência não existem, e a supervisão tem de se apoiar em sinais de metadados, denúncias e salvaguardas de contato (restrição de adição por desconhecidos, limites de encaminhamento). A minuta não distingue.</w:t>
      </w:r>
    </w:p>
    <w:p>
      <w:pPr>
        <w:pStyle w:val="ListBullet"/>
        <w:spacing w:after="40"/>
      </w:pPr>
      <w:r>
        <w:rPr>
          <w:b/>
        </w:rPr>
        <w:t>Combinação de funcionalidades.</w:t>
      </w:r>
      <w:r>
        <w:t xml:space="preserve"> Os riscos mais severos (sextorsão, aliciamento) nascem da combinação de funcionalidades, por exemplo descoberta de perfis, mensagem direta, transmissão ao vivo e presente virtual. Um modelo funcionalidade a funcionalidade subestima trajetórias. Falta o conceito de "jornada de risco".</w:t>
      </w:r>
    </w:p>
    <w:p>
      <w:pPr>
        <w:pStyle w:val="ListBullet"/>
        <w:spacing w:after="40"/>
      </w:pPr>
      <w:r>
        <w:rPr>
          <w:b/>
        </w:rPr>
        <w:t>Dinamismo.</w:t>
      </w:r>
      <w:r>
        <w:t xml:space="preserve"> Funcionalidades mudam rápido. Sem gatilho de reavaliação obrigatório (lançamento ou mudança substancial), a matriz envelhece. Kwai cita reavaliação em até 72h após incidente ou mudança, e é o melhor exemplo do ciclo.</w:t>
      </w:r>
    </w:p>
    <w:p>
      <w:pPr>
        <w:pStyle w:val="ListBullet"/>
        <w:spacing w:after="40"/>
      </w:pPr>
      <w:r>
        <w:rPr>
          <w:b/>
        </w:rPr>
        <w:t>Proporcionalidade.</w:t>
      </w:r>
      <w:r>
        <w:t xml:space="preserve"> Plataformas com perfis muito diferentes (OpenAI, Epic, Meta) não cabem numa mesma lista de cinco funcionalidades. É necessário um critério de aplicabilidade e de proporcionalidade (tamanho, alcance de menores, tipo de serviço).</w:t>
      </w:r>
    </w:p>
    <w:p>
      <w:pPr>
        <w:pStyle w:val="Heading2"/>
      </w:pPr>
      <w:r>
        <w:t>3.3 O risco residual está operacionalizado?</w:t>
      </w:r>
    </w:p>
    <w:p>
      <w:pPr>
        <w:spacing w:after="80"/>
      </w:pPr>
      <w:r>
        <w:rPr>
          <w:b/>
          <w:i w:val="0"/>
        </w:rPr>
        <w:t>Não. O texto cita o conceito como se fosse consenso e registra a "fragilidade" da falta de critérios, mas não resolve. Faltam:</w:t>
      </w:r>
    </w:p>
    <w:p>
      <w:pPr>
        <w:pStyle w:val="ListBullet"/>
        <w:spacing w:after="40"/>
      </w:pPr>
      <w:r>
        <w:t>Escala e critérios mínimos públicos. O que é "baixo", "moderado", "alto"? Por exemplo, ancorar em faixas de probabilidade e gravidade com exemplos de referência.</w:t>
      </w:r>
    </w:p>
    <w:p>
      <w:pPr>
        <w:pStyle w:val="ListBullet"/>
        <w:spacing w:after="40"/>
      </w:pPr>
      <w:r>
        <w:t>Separação entre risco inerente (sem controles) e residual (com controles), com a eficácia dos controles medida e não presumida. Hoje a "eficácia" é uma opinião interna.</w:t>
      </w:r>
    </w:p>
    <w:p>
      <w:pPr>
        <w:pStyle w:val="ListBullet"/>
        <w:spacing w:after="40"/>
      </w:pPr>
      <w:r>
        <w:t>Âncora quantitativa. O risco residual deve ser acompanhado de ao menos um indicador de resultado (prevalência estimada de exposição, tempo até contenção) por funcionalidade crítica.</w:t>
      </w:r>
    </w:p>
    <w:p>
      <w:pPr>
        <w:pStyle w:val="ListBullet"/>
        <w:spacing w:after="40"/>
      </w:pPr>
      <w:r>
        <w:t>Regras de rebaixamento. Reduzir o risco de "alto" para "moderado" só é admitido com evidência de teste de eficácia do controle.</w:t>
      </w:r>
    </w:p>
    <w:p>
      <w:pPr>
        <w:spacing w:after="80"/>
      </w:pPr>
      <w:r>
        <w:rPr>
          <w:b/>
          <w:i w:val="0"/>
        </w:rPr>
        <w:t>Métricas auditáveis propostas para suportar o risco residual:</w:t>
      </w:r>
    </w:p>
    <w:tbl>
      <w:tblPr>
        <w:tblStyle w:val="TableGrid"/>
        <w:tblW w:type="auto" w:w="0"/>
        <w:tblLook w:firstColumn="1" w:firstRow="1" w:lastColumn="0" w:lastRow="0" w:noHBand="0" w:noVBand="1" w:val="04A0"/>
      </w:tblPr>
      <w:tblGrid>
        <w:gridCol w:w="3324"/>
        <w:gridCol w:w="3324"/>
        <w:gridCol w:w="3324"/>
      </w:tblGrid>
      <w:tr>
        <w:tc>
          <w:tcPr>
            <w:tcW w:type="dxa" w:w="2608"/>
            <w:shd w:val="clear" w:color="auto" w:fill="1F3A5F"/>
          </w:tcPr>
          <w:p>
            <w:r/>
            <w:r>
              <w:rPr>
                <w:b/>
                <w:color w:val="FFFFFF"/>
                <w:sz w:val="17"/>
              </w:rPr>
              <w:t>Métrica</w:t>
            </w:r>
          </w:p>
        </w:tc>
        <w:tc>
          <w:tcPr>
            <w:tcW w:type="dxa" w:w="4195"/>
            <w:shd w:val="clear" w:color="auto" w:fill="1F3A5F"/>
          </w:tcPr>
          <w:p>
            <w:r/>
            <w:r>
              <w:rPr>
                <w:b/>
                <w:color w:val="FFFFFF"/>
                <w:sz w:val="17"/>
              </w:rPr>
              <w:t>Definição mínima</w:t>
            </w:r>
          </w:p>
        </w:tc>
        <w:tc>
          <w:tcPr>
            <w:tcW w:type="dxa" w:w="2835"/>
            <w:shd w:val="clear" w:color="auto" w:fill="1F3A5F"/>
          </w:tcPr>
          <w:p>
            <w:r/>
            <w:r>
              <w:rPr>
                <w:b/>
                <w:color w:val="FFFFFF"/>
                <w:sz w:val="17"/>
              </w:rPr>
              <w:t>Verificação</w:t>
            </w:r>
          </w:p>
        </w:tc>
      </w:tr>
      <w:tr>
        <w:tc>
          <w:tcPr>
            <w:tcW w:type="dxa" w:w="2608"/>
          </w:tcPr>
          <w:p>
            <w:r/>
            <w:r>
              <w:rPr>
                <w:b/>
                <w:sz w:val="17"/>
              </w:rPr>
              <w:t>Prevalência de exposição de menores a conteúdo/contato proibido por funcionalidade</w:t>
            </w:r>
          </w:p>
        </w:tc>
        <w:tc>
          <w:tcPr>
            <w:tcW w:type="dxa" w:w="4195"/>
          </w:tcPr>
          <w:p>
            <w:r/>
            <w:r>
              <w:rPr>
                <w:sz w:val="17"/>
              </w:rPr>
              <w:t>Amostra aleatória de visualizações ou interações de contas de menores, rotulada por revisores treinados. Reportar % e intervalo de confiança.</w:t>
            </w:r>
          </w:p>
        </w:tc>
        <w:tc>
          <w:tcPr>
            <w:tcW w:type="dxa" w:w="2835"/>
          </w:tcPr>
          <w:p>
            <w:r/>
            <w:r>
              <w:rPr>
                <w:sz w:val="17"/>
              </w:rPr>
              <w:t>Reamostragem pela ANPD ou auditor independente com acesso a logs</w:t>
            </w:r>
          </w:p>
        </w:tc>
      </w:tr>
      <w:tr>
        <w:tc>
          <w:tcPr>
            <w:tcW w:type="dxa" w:w="2608"/>
          </w:tcPr>
          <w:p>
            <w:r/>
            <w:r>
              <w:rPr>
                <w:b/>
                <w:sz w:val="17"/>
              </w:rPr>
              <w:t>Tempo de exposição até contenção</w:t>
            </w:r>
          </w:p>
        </w:tc>
        <w:tc>
          <w:tcPr>
            <w:tcW w:type="dxa" w:w="4195"/>
          </w:tcPr>
          <w:p>
            <w:r/>
            <w:r>
              <w:rPr>
                <w:sz w:val="17"/>
              </w:rPr>
              <w:t>Mediana e P90 entre primeira exposição (ou primeira denúncia) e ação efetiva, por categoria de dano.</w:t>
            </w:r>
          </w:p>
        </w:tc>
        <w:tc>
          <w:tcPr>
            <w:tcW w:type="dxa" w:w="2835"/>
          </w:tcPr>
          <w:p>
            <w:r/>
            <w:r>
              <w:rPr>
                <w:sz w:val="17"/>
              </w:rPr>
              <w:t>Logs com timestamp; auditoria de amostra</w:t>
            </w:r>
          </w:p>
        </w:tc>
      </w:tr>
      <w:tr>
        <w:tc>
          <w:tcPr>
            <w:tcW w:type="dxa" w:w="2608"/>
          </w:tcPr>
          <w:p>
            <w:r/>
            <w:r>
              <w:rPr>
                <w:b/>
                <w:sz w:val="17"/>
              </w:rPr>
              <w:t>Desempenho da detecção automatizada</w:t>
            </w:r>
          </w:p>
        </w:tc>
        <w:tc>
          <w:tcPr>
            <w:tcW w:type="dxa" w:w="4195"/>
          </w:tcPr>
          <w:p>
            <w:r/>
            <w:r>
              <w:rPr>
                <w:sz w:val="17"/>
              </w:rPr>
              <w:t>Precisão, revocação estimada e taxa de falsos positivos em conjunto de teste rotulado de forma independente.</w:t>
            </w:r>
          </w:p>
        </w:tc>
        <w:tc>
          <w:tcPr>
            <w:tcW w:type="dxa" w:w="2835"/>
          </w:tcPr>
          <w:p>
            <w:r/>
            <w:r>
              <w:rPr>
                <w:sz w:val="17"/>
              </w:rPr>
              <w:t>Teste cego com conjunto-ouro da ANPD ou terceiro</w:t>
            </w:r>
          </w:p>
        </w:tc>
      </w:tr>
      <w:tr>
        <w:tc>
          <w:tcPr>
            <w:tcW w:type="dxa" w:w="2608"/>
          </w:tcPr>
          <w:p>
            <w:r/>
            <w:r>
              <w:rPr>
                <w:b/>
                <w:sz w:val="17"/>
              </w:rPr>
              <w:t>Taxa de reversão em recurso</w:t>
            </w:r>
          </w:p>
        </w:tc>
        <w:tc>
          <w:tcPr>
            <w:tcW w:type="dxa" w:w="4195"/>
          </w:tcPr>
          <w:p>
            <w:r/>
            <w:r>
              <w:rPr>
                <w:sz w:val="17"/>
              </w:rPr>
              <w:t>Medidas revertidas ÷ medidas contestadas, por tipo.</w:t>
            </w:r>
          </w:p>
        </w:tc>
        <w:tc>
          <w:tcPr>
            <w:tcW w:type="dxa" w:w="2835"/>
          </w:tcPr>
          <w:p>
            <w:r/>
            <w:r>
              <w:rPr>
                <w:sz w:val="17"/>
              </w:rPr>
              <w:t>Logs de recursos</w:t>
            </w:r>
          </w:p>
        </w:tc>
      </w:tr>
      <w:tr>
        <w:tc>
          <w:tcPr>
            <w:tcW w:type="dxa" w:w="2608"/>
          </w:tcPr>
          <w:p>
            <w:r/>
            <w:r>
              <w:rPr>
                <w:b/>
                <w:sz w:val="17"/>
              </w:rPr>
              <w:t>Eficácia da aferição etária</w:t>
            </w:r>
          </w:p>
        </w:tc>
        <w:tc>
          <w:tcPr>
            <w:tcW w:type="dxa" w:w="4195"/>
          </w:tcPr>
          <w:p>
            <w:r/>
            <w:r>
              <w:rPr>
                <w:sz w:val="17"/>
              </w:rPr>
              <w:t>Taxa de contas de menores não identificadas em auditoria (teste com contas-sentinela de idade conhecida).</w:t>
            </w:r>
          </w:p>
        </w:tc>
        <w:tc>
          <w:tcPr>
            <w:tcW w:type="dxa" w:w="2835"/>
          </w:tcPr>
          <w:p>
            <w:r/>
            <w:r>
              <w:rPr>
                <w:sz w:val="17"/>
              </w:rPr>
              <w:t>Teste de campo (mystery shopping) pela ANPD</w:t>
            </w:r>
          </w:p>
        </w:tc>
      </w:tr>
      <w:tr>
        <w:tc>
          <w:tcPr>
            <w:tcW w:type="dxa" w:w="2608"/>
          </w:tcPr>
          <w:p>
            <w:r/>
            <w:r>
              <w:rPr>
                <w:b/>
                <w:sz w:val="17"/>
              </w:rPr>
              <w:t>Eficácia de controles por padrão</w:t>
            </w:r>
          </w:p>
        </w:tc>
        <w:tc>
          <w:tcPr>
            <w:tcW w:type="dxa" w:w="4195"/>
          </w:tcPr>
          <w:p>
            <w:r/>
            <w:r>
              <w:rPr>
                <w:sz w:val="17"/>
              </w:rPr>
              <w:t>% de contas de adolescentes com configuração protetiva ativa e % que as alteraram sem aprovação parental.</w:t>
            </w:r>
          </w:p>
        </w:tc>
        <w:tc>
          <w:tcPr>
            <w:tcW w:type="dxa" w:w="2835"/>
          </w:tcPr>
          <w:p>
            <w:r/>
            <w:r>
              <w:rPr>
                <w:sz w:val="17"/>
              </w:rPr>
              <w:t>Dados de configuração</w:t>
            </w:r>
          </w:p>
        </w:tc>
      </w:tr>
    </w:tbl>
    <w:p>
      <w:pPr>
        <w:spacing w:after="40"/>
      </w:pPr>
    </w:p>
    <w:p>
      <w:pPr>
        <w:spacing w:after="80"/>
      </w:pPr>
      <w:r>
        <w:rPr>
          <w:b/>
          <w:i w:val="0"/>
        </w:rPr>
        <w:t>Mecanismos de validação externa:</w:t>
      </w:r>
    </w:p>
    <w:p>
      <w:pPr>
        <w:pStyle w:val="ListBullet"/>
        <w:spacing w:after="40"/>
      </w:pPr>
      <w:r>
        <w:t>Auditoria independente periódica da matriz de risco e das métricas, por auditor credenciado, com escopo mínimo definido pela ANPD (modelo inspirado no art. 37 do DSA).</w:t>
      </w:r>
    </w:p>
    <w:p>
      <w:pPr>
        <w:pStyle w:val="ListBullet"/>
        <w:spacing w:after="40"/>
      </w:pPr>
      <w:r>
        <w:t>Acesso a dados para pesquisadores credenciados e para a própria ANPD (modelo do art. 40 do DSA), com salvaguardas da LGPD.</w:t>
      </w:r>
    </w:p>
    <w:p>
      <w:pPr>
        <w:pStyle w:val="ListBullet"/>
        <w:spacing w:after="40"/>
      </w:pPr>
      <w:r>
        <w:t>Conjuntos-ouro e testes de campo conduzidos pelo regulador: contas-sentinela de menores, testes de red team de IA, replays de casos conhecidos.</w:t>
      </w:r>
    </w:p>
    <w:p>
      <w:pPr>
        <w:pStyle w:val="ListBullet"/>
        <w:spacing w:after="40"/>
      </w:pPr>
      <w:r>
        <w:t>Revisão por pares: publicação das metodologias e resultados em formato padronizado para escrutínio acadêmico e da sociedade civil.</w:t>
      </w:r>
    </w:p>
    <w:p>
      <w:pPr>
        <w:pStyle w:val="Heading2"/>
      </w:pPr>
      <w:r>
        <w:t>3.4 Há risco de captura regulatória pela autodeclaração?</w:t>
      </w:r>
    </w:p>
    <w:p>
      <w:pPr>
        <w:spacing w:after="80"/>
      </w:pPr>
      <w:r>
        <w:rPr>
          <w:b w:val="0"/>
          <w:i w:val="0"/>
        </w:rPr>
        <w:t>Sim, e é o risco principal da proposta. Autodeclaração, escala de risco proprietária, denominador escolhido pela empresa e ausência de auditoria compõem o cenário clássico de captura informacional: o regulador depende do regulado para saber se o regulado está cumprindo. Sinais já visíveis na base: rótulos de risco residual sem critério público; métricas de velocidade com denominador favorável; Roblox, Microsoft/Xbox e outras descrevem salvaguardas sem classificar o resultado.</w:t>
      </w:r>
    </w:p>
    <w:p>
      <w:pPr>
        <w:spacing w:after="80"/>
      </w:pPr>
      <w:r>
        <w:rPr>
          <w:b/>
          <w:i w:val="0"/>
        </w:rPr>
        <w:t>Mecanismos para reduzir o risco:</w:t>
      </w:r>
    </w:p>
    <w:p>
      <w:pPr>
        <w:pStyle w:val="ListNumber"/>
        <w:spacing w:after="40"/>
      </w:pPr>
      <w:r>
        <w:rPr>
          <w:b/>
        </w:rPr>
        <w:t>Definições obrigatórias fixadas pelo regulador:</w:t>
      </w:r>
      <w:r>
        <w:t xml:space="preserve"> definições, denominadores, janelas e fórmulas fixados pela ANPD, e não pela empresa; mudança de definição só com notificação prévia e série reconstruída.</w:t>
      </w:r>
    </w:p>
    <w:p>
      <w:pPr>
        <w:pStyle w:val="ListNumber"/>
        <w:spacing w:after="40"/>
      </w:pPr>
      <w:r>
        <w:rPr>
          <w:b/>
        </w:rPr>
        <w:t>Reprodutibilidade:</w:t>
      </w:r>
      <w:r>
        <w:t xml:space="preserve"> toda métrica quantitativa deve ser acompanhada da base de reprodução (dicionário de dados, consulta/algoritmo de extração), guardada para exame.</w:t>
      </w:r>
    </w:p>
    <w:p>
      <w:pPr>
        <w:pStyle w:val="ListNumber"/>
        <w:spacing w:after="40"/>
      </w:pPr>
      <w:r>
        <w:rPr>
          <w:b/>
        </w:rPr>
        <w:t>Direito de verificação:</w:t>
      </w:r>
      <w:r>
        <w:t xml:space="preserve"> trilha de auditoria, acesso a logs e amostragem pela ANPD com poder de requisição.</w:t>
      </w:r>
    </w:p>
    <w:p>
      <w:pPr>
        <w:pStyle w:val="ListNumber"/>
        <w:spacing w:after="40"/>
      </w:pPr>
      <w:r>
        <w:rPr>
          <w:b/>
        </w:rPr>
        <w:t>Assimetria de ônus:</w:t>
      </w:r>
      <w:r>
        <w:t xml:space="preserve"> qualquer dado que sustente classificação de risco "baixo" exige maior evidência que "alto".</w:t>
      </w:r>
    </w:p>
    <w:p>
      <w:pPr>
        <w:pStyle w:val="ListNumber"/>
        <w:spacing w:after="40"/>
      </w:pPr>
      <w:r>
        <w:rPr>
          <w:b/>
        </w:rPr>
        <w:t>Publicação confrontável:</w:t>
      </w:r>
      <w:r>
        <w:t xml:space="preserve"> divulgação do relatório da empresa com o parecer do auditor lado a lado.</w:t>
      </w:r>
    </w:p>
    <w:p>
      <w:pPr>
        <w:pStyle w:val="ListNumber"/>
        <w:spacing w:after="40"/>
      </w:pPr>
      <w:r>
        <w:rPr>
          <w:b/>
        </w:rPr>
        <w:t>Enforcement de cobertura:</w:t>
      </w:r>
      <w:r>
        <w:t xml:space="preserve"> o dever de reportar precisa de sanção proporcional, supervisão da cobertura (quem deveria reportar e não reportou) e regra para relatórios incompletos.</w:t>
      </w:r>
    </w:p>
    <w:p>
      <w:pPr>
        <w:pStyle w:val="ListNumber"/>
        <w:spacing w:after="40"/>
      </w:pPr>
      <w:r>
        <w:rPr>
          <w:b/>
        </w:rPr>
        <w:t>Transparência do regulador:</w:t>
      </w:r>
      <w:r>
        <w:t xml:space="preserve"> resultados de supervisão publicados por plataforma, com metodologia fixa, em vez de ranking opaco.</w:t>
      </w:r>
    </w:p>
    <w:p>
      <w:pPr>
        <w:pStyle w:val="ListNumber"/>
        <w:spacing w:after="40"/>
      </w:pPr>
      <w:r>
        <w:rPr>
          <w:b/>
        </w:rPr>
        <w:t>Governança contra captura:</w:t>
      </w:r>
      <w:r>
        <w:t xml:space="preserve"> registro público de reuniões e contribuições setoriais, e cooling-off para servidores e auditores.</w:t>
      </w:r>
    </w:p>
    <w:p>
      <w:pPr>
        <w:pStyle w:val="Heading1"/>
      </w:pPr>
      <w:r>
        <w:t>4. ETAPA 2 — Benchmark internacional</w:t>
      </w:r>
    </w:p>
    <w:p>
      <w:pPr>
        <w:spacing w:after="80"/>
      </w:pPr>
      <w:r>
        <w:rPr>
          <w:b w:val="0"/>
          <w:i/>
        </w:rPr>
        <w:t>Matriz comparativa por instrumento, relacionando cada eixo da minuta com o que está alinhado, o que falta e o que incorporar. Citações a artigos devem ser conferidas (ver aviso 3).</w:t>
      </w:r>
    </w:p>
    <w:tbl>
      <w:tblPr>
        <w:tblStyle w:val="TableGrid"/>
        <w:tblW w:type="auto" w:w="0"/>
        <w:tblLook w:firstColumn="1" w:firstRow="1" w:lastColumn="0" w:lastRow="0" w:noHBand="0" w:noVBand="1" w:val="04A0"/>
      </w:tblPr>
      <w:tblGrid>
        <w:gridCol w:w="2493"/>
        <w:gridCol w:w="2493"/>
        <w:gridCol w:w="2493"/>
        <w:gridCol w:w="2493"/>
      </w:tblGrid>
      <w:tr>
        <w:tc>
          <w:tcPr>
            <w:tcW w:type="dxa" w:w="1587"/>
            <w:shd w:val="clear" w:color="auto" w:fill="1F3A5F"/>
          </w:tcPr>
          <w:p>
            <w:r/>
            <w:r>
              <w:rPr>
                <w:b/>
                <w:color w:val="FFFFFF"/>
                <w:sz w:val="16"/>
              </w:rPr>
              <w:t>Instrumento</w:t>
            </w:r>
          </w:p>
        </w:tc>
        <w:tc>
          <w:tcPr>
            <w:tcW w:type="dxa" w:w="2211"/>
            <w:shd w:val="clear" w:color="auto" w:fill="1F3A5F"/>
          </w:tcPr>
          <w:p>
            <w:r/>
            <w:r>
              <w:rPr>
                <w:b/>
                <w:color w:val="FFFFFF"/>
                <w:sz w:val="16"/>
              </w:rPr>
              <w:t>Alinhado</w:t>
            </w:r>
          </w:p>
        </w:tc>
        <w:tc>
          <w:tcPr>
            <w:tcW w:type="dxa" w:w="3515"/>
            <w:shd w:val="clear" w:color="auto" w:fill="1F3A5F"/>
          </w:tcPr>
          <w:p>
            <w:r/>
            <w:r>
              <w:rPr>
                <w:b/>
                <w:color w:val="FFFFFF"/>
                <w:sz w:val="16"/>
              </w:rPr>
              <w:t>Falta na minuta</w:t>
            </w:r>
          </w:p>
        </w:tc>
        <w:tc>
          <w:tcPr>
            <w:tcW w:type="dxa" w:w="2324"/>
            <w:shd w:val="clear" w:color="auto" w:fill="1F3A5F"/>
          </w:tcPr>
          <w:p>
            <w:r/>
            <w:r>
              <w:rPr>
                <w:b/>
                <w:color w:val="FFFFFF"/>
                <w:sz w:val="16"/>
              </w:rPr>
              <w:t>Incorporar</w:t>
            </w:r>
          </w:p>
        </w:tc>
      </w:tr>
      <w:tr>
        <w:tc>
          <w:tcPr>
            <w:tcW w:type="dxa" w:w="1587"/>
          </w:tcPr>
          <w:p>
            <w:r/>
            <w:r>
              <w:rPr>
                <w:b/>
                <w:sz w:val="16"/>
              </w:rPr>
              <w:t>Online Safety Act (Ofcom)</w:t>
            </w:r>
          </w:p>
        </w:tc>
        <w:tc>
          <w:tcPr>
            <w:tcW w:type="dxa" w:w="2211"/>
          </w:tcPr>
          <w:p>
            <w:r/>
            <w:r>
              <w:rPr>
                <w:sz w:val="16"/>
              </w:rPr>
              <w:t>Risk assessment por tipo de serviço e funcionalidade. Reconhecimento de lives e mensageria como fatores de risco. Ênfase em métricas de prevalência e tempo até contenção.</w:t>
            </w:r>
          </w:p>
        </w:tc>
        <w:tc>
          <w:tcPr>
            <w:tcW w:type="dxa" w:w="3515"/>
          </w:tcPr>
          <w:p>
            <w:r/>
            <w:r>
              <w:rPr>
                <w:sz w:val="16"/>
              </w:rPr>
              <w:t>Deveres separados de avaliação de risco (conteúdo ilegal e crianças). Registro e revisão obrigatórios da avaliação. Categorização de serviços por porte e alcance. Poder de notice de transparência com informações exigidas pelo regulador. Auditoria e sanções (multas por faturamento) e responsabilidade de gestores.</w:t>
            </w:r>
          </w:p>
        </w:tc>
        <w:tc>
          <w:tcPr>
            <w:tcW w:type="dxa" w:w="2324"/>
          </w:tcPr>
          <w:p>
            <w:r/>
            <w:r>
              <w:rPr>
                <w:sz w:val="16"/>
              </w:rPr>
              <w:t>Estrutura "avaliar → mitigar → registrar → revisar". Categorização para dosar obrigações. Poder de requisição de informações padronizadas.</w:t>
            </w:r>
          </w:p>
        </w:tc>
      </w:tr>
      <w:tr>
        <w:tc>
          <w:tcPr>
            <w:tcW w:type="dxa" w:w="1587"/>
          </w:tcPr>
          <w:p>
            <w:r/>
            <w:r>
              <w:rPr>
                <w:b/>
                <w:sz w:val="16"/>
              </w:rPr>
              <w:t>Digital Services Act (DSA)</w:t>
            </w:r>
          </w:p>
        </w:tc>
        <w:tc>
          <w:tcPr>
            <w:tcW w:type="dxa" w:w="2211"/>
          </w:tcPr>
          <w:p>
            <w:r/>
            <w:r>
              <w:rPr>
                <w:sz w:val="16"/>
              </w:rPr>
              <w:t>Avaliação de risco sistêmico com foco em sistemas de recomendação. Relatórios de transparência. Proteção de menores.</w:t>
            </w:r>
          </w:p>
        </w:tc>
        <w:tc>
          <w:tcPr>
            <w:tcW w:type="dxa" w:w="3515"/>
          </w:tcPr>
          <w:p>
            <w:r/>
            <w:r>
              <w:rPr>
                <w:sz w:val="16"/>
              </w:rPr>
              <w:t>Auditoria independente anual (art. 37) para grandes serviços. Acesso a dados para pesquisadores (art. 40). Obrigação de mitigação proporcional e testada (art. 35). Repositório de relatórios de avaliação. Formato harmonizado dos relatórios de transparência (implementing act com templates). Medidas específicas de proteção de menores (art. 28 e guidelines).</w:t>
            </w:r>
          </w:p>
        </w:tc>
        <w:tc>
          <w:tcPr>
            <w:tcW w:type="dxa" w:w="2324"/>
          </w:tcPr>
          <w:p>
            <w:r/>
            <w:r>
              <w:rPr>
                <w:sz w:val="16"/>
              </w:rPr>
              <w:t>Auditoria + parecer público. Template obrigatório e legível por máquina. Gatilho de reavaliação em lançamentos de funcionalidade.</w:t>
            </w:r>
          </w:p>
        </w:tc>
      </w:tr>
      <w:tr>
        <w:tc>
          <w:tcPr>
            <w:tcW w:type="dxa" w:w="1587"/>
          </w:tcPr>
          <w:p>
            <w:r/>
            <w:r>
              <w:rPr>
                <w:b/>
                <w:sz w:val="16"/>
              </w:rPr>
              <w:t>UK Children's Risk Assessment Guidance (Ofcom)</w:t>
            </w:r>
          </w:p>
        </w:tc>
        <w:tc>
          <w:tcPr>
            <w:tcW w:type="dxa" w:w="2211"/>
          </w:tcPr>
          <w:p>
            <w:r/>
            <w:r>
              <w:rPr>
                <w:sz w:val="16"/>
              </w:rPr>
              <w:t>Uso de funcionalidades como determinantes do perfil de risco. Preocupação com evidência.</w:t>
            </w:r>
          </w:p>
        </w:tc>
        <w:tc>
          <w:tcPr>
            <w:tcW w:type="dxa" w:w="3515"/>
          </w:tcPr>
          <w:p>
            <w:r/>
            <w:r>
              <w:rPr>
                <w:sz w:val="16"/>
              </w:rPr>
              <w:t>Procedimento em passos (contexto, identificação, avaliação, mitigação, registro). Distinção entre evidência "essencial" e "adicional" (fontes: dados de moderação, denúncias, pesquisas com crianças, testes). Perfis de risco por categoria de dano e faixa etária. Considerar faixas etárias distintas (por exemplo 0–5, 6–9, 10–12, 13–15, 16–17).</w:t>
            </w:r>
          </w:p>
        </w:tc>
        <w:tc>
          <w:tcPr>
            <w:tcW w:type="dxa" w:w="2324"/>
          </w:tcPr>
          <w:p>
            <w:r/>
            <w:r>
              <w:rPr>
                <w:sz w:val="16"/>
              </w:rPr>
              <w:t>Faixas etárias como dimensão obrigatória. Lista mínima de fontes de evidência. Gabarito de registro padrão.</w:t>
            </w:r>
          </w:p>
        </w:tc>
      </w:tr>
      <w:tr>
        <w:tc>
          <w:tcPr>
            <w:tcW w:type="dxa" w:w="1587"/>
          </w:tcPr>
          <w:p>
            <w:r/>
            <w:r>
              <w:rPr>
                <w:b/>
                <w:sz w:val="16"/>
              </w:rPr>
              <w:t>OECD Recommendation on Children in the Digital Environment (2021)</w:t>
            </w:r>
          </w:p>
        </w:tc>
        <w:tc>
          <w:tcPr>
            <w:tcW w:type="dxa" w:w="2211"/>
          </w:tcPr>
          <w:p>
            <w:r/>
            <w:r>
              <w:rPr>
                <w:sz w:val="16"/>
              </w:rPr>
              <w:t>Uso da tipologia 5Cs (Content, Conduct, Contact, Consumer, Cross-cutting) já adotada por Epic. Foco em risco e oportunidade.</w:t>
            </w:r>
          </w:p>
        </w:tc>
        <w:tc>
          <w:tcPr>
            <w:tcW w:type="dxa" w:w="3515"/>
          </w:tcPr>
          <w:p>
            <w:r/>
            <w:r>
              <w:rPr>
                <w:sz w:val="16"/>
              </w:rPr>
              <w:t>A minuta usa os 5Cs apenas como relato de uma empresa, sem torná-los eixo de classificação. Falta o princípio do melhor interesse da criança e a participação de crianças e famílias. Falta a dimensão de oportunidades (evitar superproteção).</w:t>
            </w:r>
          </w:p>
        </w:tc>
        <w:tc>
          <w:tcPr>
            <w:tcW w:type="dxa" w:w="2324"/>
          </w:tcPr>
          <w:p>
            <w:r/>
            <w:r>
              <w:rPr>
                <w:sz w:val="16"/>
              </w:rPr>
              <w:t>Adotar 5Cs como taxonomia comum de danos. Previsão de consulta a crianças/adolescentes na avaliação. Ponderar direitos (privacidade, acesso à informação, participação) na escolha de salvaguardas.</w:t>
            </w:r>
          </w:p>
        </w:tc>
      </w:tr>
      <w:tr>
        <w:tc>
          <w:tcPr>
            <w:tcW w:type="dxa" w:w="1587"/>
          </w:tcPr>
          <w:p>
            <w:r/>
            <w:r>
              <w:rPr>
                <w:b/>
                <w:sz w:val="16"/>
              </w:rPr>
              <w:t>NIST AI RMF (e Generative AI Profile, AI 600-1)</w:t>
            </w:r>
          </w:p>
        </w:tc>
        <w:tc>
          <w:tcPr>
            <w:tcW w:type="dxa" w:w="2211"/>
          </w:tcPr>
          <w:p>
            <w:r/>
            <w:r>
              <w:rPr>
                <w:sz w:val="16"/>
              </w:rPr>
              <w:t>Reconhece IA generativa como fonte de risco inédito e de conteúdo sexual sintético.</w:t>
            </w:r>
          </w:p>
        </w:tc>
        <w:tc>
          <w:tcPr>
            <w:tcW w:type="dxa" w:w="3515"/>
          </w:tcPr>
          <w:p>
            <w:r/>
            <w:r>
              <w:rPr>
                <w:sz w:val="16"/>
              </w:rPr>
              <w:t>Funções Govern, Map, Measure, Manage aplicadas ao ciclo de vida. Testes (red teaming, evals) e métricas de desempenho. Gestão de terceiros e modelos de fundação. Perfil de IA generativa lista conteúdo abusivo/degradante, incluindo CSAM e NCII, como risco específico.</w:t>
            </w:r>
          </w:p>
        </w:tc>
        <w:tc>
          <w:tcPr>
            <w:tcW w:type="dxa" w:w="2324"/>
          </w:tcPr>
          <w:p>
            <w:r/>
            <w:r>
              <w:rPr>
                <w:sz w:val="16"/>
              </w:rPr>
              <w:t>Ciclo de vida do modelo no escopo. Requisito de testes adversariais documentados. Responsabilidade de quem treina e de quem implanta. Incidentes de IA como categoria de reporte.</w:t>
            </w:r>
          </w:p>
        </w:tc>
      </w:tr>
      <w:tr>
        <w:tc>
          <w:tcPr>
            <w:tcW w:type="dxa" w:w="1587"/>
          </w:tcPr>
          <w:p>
            <w:r/>
            <w:r>
              <w:rPr>
                <w:b/>
                <w:sz w:val="16"/>
              </w:rPr>
              <w:t>ISO 31000</w:t>
            </w:r>
          </w:p>
        </w:tc>
        <w:tc>
          <w:tcPr>
            <w:tcW w:type="dxa" w:w="2211"/>
          </w:tcPr>
          <w:p>
            <w:r/>
            <w:r>
              <w:rPr>
                <w:sz w:val="16"/>
              </w:rPr>
              <w:t>Meta e WhatsApp declaram aderência. Distinção inerente × residual.</w:t>
            </w:r>
          </w:p>
        </w:tc>
        <w:tc>
          <w:tcPr>
            <w:tcW w:type="dxa" w:w="3515"/>
          </w:tcPr>
          <w:p>
            <w:r/>
            <w:r>
              <w:rPr>
                <w:sz w:val="16"/>
              </w:rPr>
              <w:t>Definição de critérios de risco antes da avaliação. Comunicação e consulta. Monitoramento e análise crítica. Integração à governança. Tratamento de incerteza e qualidade da informação.</w:t>
            </w:r>
          </w:p>
        </w:tc>
        <w:tc>
          <w:tcPr>
            <w:tcW w:type="dxa" w:w="2324"/>
          </w:tcPr>
          <w:p>
            <w:r/>
            <w:r>
              <w:rPr>
                <w:sz w:val="16"/>
              </w:rPr>
              <w:t>Exigir critérios de risco e apetite documentados e públicos. Ciclo de monitoramento com indicadores-chave. Governança com responsável nomeado.</w:t>
            </w:r>
          </w:p>
        </w:tc>
      </w:tr>
      <w:tr>
        <w:tc>
          <w:tcPr>
            <w:tcW w:type="dxa" w:w="1587"/>
          </w:tcPr>
          <w:p>
            <w:r/>
            <w:r>
              <w:rPr>
                <w:b/>
                <w:sz w:val="16"/>
              </w:rPr>
              <w:t>eSafety Commissioner (Austrália) — referência complementar</w:t>
            </w:r>
          </w:p>
        </w:tc>
        <w:tc>
          <w:tcPr>
            <w:tcW w:type="dxa" w:w="2211"/>
          </w:tcPr>
          <w:p>
            <w:r/>
            <w:r>
              <w:rPr>
                <w:sz w:val="16"/>
              </w:rPr>
              <w:t>Não citada na minuta, embora pedida no escopo do painel.</w:t>
            </w:r>
          </w:p>
        </w:tc>
        <w:tc>
          <w:tcPr>
            <w:tcW w:type="dxa" w:w="3515"/>
          </w:tcPr>
          <w:p>
            <w:r/>
            <w:r>
              <w:rPr>
                <w:sz w:val="16"/>
              </w:rPr>
              <w:t>Basic Online Safety Expectations, com notices periódicos de transparência obrigatória e sanção por não resposta. Safety by Design. Poder de requisição de dados padronizados.</w:t>
            </w:r>
          </w:p>
        </w:tc>
        <w:tc>
          <w:tcPr>
            <w:tcW w:type="dxa" w:w="2324"/>
          </w:tcPr>
          <w:p>
            <w:r/>
            <w:r>
              <w:rPr>
                <w:sz w:val="16"/>
              </w:rPr>
              <w:t>Poder de notice vinculante com prazo e multa. Perguntas padronizadas e comparáveis entre empresas.</w:t>
            </w:r>
          </w:p>
        </w:tc>
      </w:tr>
    </w:tbl>
    <w:p>
      <w:pPr>
        <w:spacing w:after="40"/>
      </w:pPr>
    </w:p>
    <w:p>
      <w:pPr>
        <w:spacing w:after="80"/>
      </w:pPr>
      <w:r>
        <w:rPr>
          <w:b w:val="0"/>
          <w:i w:val="0"/>
        </w:rPr>
        <w:t>Leitura sintética: a minuta está bem alinhada na lógica e mal alinhada em instrumentos de enforcement. Os regimes de referência não dependem só de boas métricas: sustentam-se em poder de requisição, auditoria independente, formato padronizado e sanção por omissão. É esse conjunto que falta e que determina se a Ficha será efetiva.</w:t>
      </w:r>
    </w:p>
    <w:p>
      <w:pPr>
        <w:pStyle w:val="Heading1"/>
      </w:pPr>
      <w:r>
        <w:t>5. ETAPA 3 — Auditoria da Ficha de Métrica Mínima</w:t>
      </w:r>
    </w:p>
    <w:p>
      <w:pPr>
        <w:spacing w:after="80"/>
      </w:pPr>
      <w:r>
        <w:rPr>
          <w:b w:val="0"/>
          <w:i/>
        </w:rPr>
        <w:t>Limitação: a Ficha não foi recebida. A tabela audita indicadores derivados da minuta (§4, §5) e dos dados observados na planilha. Escala: Comparabilidade/Auditabilidade em Baixa/Média/Alta; Custo de obtenção e Risco de manipulação em Baixo/Médio/Alto.</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928"/>
            <w:shd w:val="clear" w:color="auto" w:fill="1F3A5F"/>
          </w:tcPr>
          <w:p>
            <w:r/>
            <w:r>
              <w:rPr>
                <w:b/>
                <w:color w:val="FFFFFF"/>
                <w:sz w:val="15"/>
              </w:rPr>
              <w:t>Métrica</w:t>
            </w:r>
          </w:p>
        </w:tc>
        <w:tc>
          <w:tcPr>
            <w:tcW w:type="dxa" w:w="1077"/>
            <w:shd w:val="clear" w:color="auto" w:fill="1F3A5F"/>
          </w:tcPr>
          <w:p>
            <w:r/>
            <w:r>
              <w:rPr>
                <w:b/>
                <w:color w:val="FFFFFF"/>
                <w:sz w:val="15"/>
              </w:rPr>
              <w:t>Comparabilidade</w:t>
            </w:r>
          </w:p>
        </w:tc>
        <w:tc>
          <w:tcPr>
            <w:tcW w:type="dxa" w:w="1077"/>
            <w:shd w:val="clear" w:color="auto" w:fill="1F3A5F"/>
          </w:tcPr>
          <w:p>
            <w:r/>
            <w:r>
              <w:rPr>
                <w:b/>
                <w:color w:val="FFFFFF"/>
                <w:sz w:val="15"/>
              </w:rPr>
              <w:t>Auditabilidade</w:t>
            </w:r>
          </w:p>
        </w:tc>
        <w:tc>
          <w:tcPr>
            <w:tcW w:type="dxa" w:w="964"/>
            <w:shd w:val="clear" w:color="auto" w:fill="1F3A5F"/>
          </w:tcPr>
          <w:p>
            <w:r/>
            <w:r>
              <w:rPr>
                <w:b/>
                <w:color w:val="FFFFFF"/>
                <w:sz w:val="15"/>
              </w:rPr>
              <w:t>Custo de obtenção</w:t>
            </w:r>
          </w:p>
        </w:tc>
        <w:tc>
          <w:tcPr>
            <w:tcW w:type="dxa" w:w="1077"/>
            <w:shd w:val="clear" w:color="auto" w:fill="1F3A5F"/>
          </w:tcPr>
          <w:p>
            <w:r/>
            <w:r>
              <w:rPr>
                <w:b/>
                <w:color w:val="FFFFFF"/>
                <w:sz w:val="15"/>
              </w:rPr>
              <w:t>Risco de manipulação</w:t>
            </w:r>
          </w:p>
        </w:tc>
        <w:tc>
          <w:tcPr>
            <w:tcW w:type="dxa" w:w="3515"/>
            <w:shd w:val="clear" w:color="auto" w:fill="1F3A5F"/>
          </w:tcPr>
          <w:p>
            <w:r/>
            <w:r>
              <w:rPr>
                <w:b/>
                <w:color w:val="FFFFFF"/>
                <w:sz w:val="15"/>
              </w:rPr>
              <w:t>Comentários</w:t>
            </w:r>
          </w:p>
        </w:tc>
      </w:tr>
      <w:tr>
        <w:tc>
          <w:tcPr>
            <w:tcW w:type="dxa" w:w="1928"/>
          </w:tcPr>
          <w:p>
            <w:r/>
            <w:r>
              <w:rPr>
                <w:b/>
                <w:sz w:val="15"/>
              </w:rPr>
              <w:t>Nº de denúncias recebidas</w:t>
            </w:r>
          </w:p>
        </w:tc>
        <w:tc>
          <w:tcPr>
            <w:tcW w:type="dxa" w:w="1077"/>
            <w:shd w:val="clear" w:color="auto" w:fill="F4CCCC"/>
          </w:tcPr>
          <w:p>
            <w:r/>
            <w:r>
              <w:rPr>
                <w:sz w:val="15"/>
              </w:rPr>
              <w:t>Baixa</w:t>
            </w:r>
          </w:p>
        </w:tc>
        <w:tc>
          <w:tcPr>
            <w:tcW w:type="dxa" w:w="1077"/>
            <w:shd w:val="clear" w:color="auto" w:fill="FFF2CC"/>
          </w:tcPr>
          <w:p>
            <w:r/>
            <w:r>
              <w:rPr>
                <w:sz w:val="15"/>
              </w:rPr>
              <w:t>Média</w:t>
            </w:r>
          </w:p>
        </w:tc>
        <w:tc>
          <w:tcPr>
            <w:tcW w:type="dxa" w:w="964"/>
            <w:shd w:val="clear" w:color="auto" w:fill="D9EAD3"/>
          </w:tcPr>
          <w:p>
            <w:r/>
            <w:r>
              <w:rPr>
                <w:sz w:val="15"/>
              </w:rPr>
              <w:t>Baixo</w:t>
            </w:r>
          </w:p>
        </w:tc>
        <w:tc>
          <w:tcPr>
            <w:tcW w:type="dxa" w:w="1077"/>
            <w:shd w:val="clear" w:color="auto" w:fill="F4CCCC"/>
          </w:tcPr>
          <w:p>
            <w:r/>
            <w:r>
              <w:rPr>
                <w:sz w:val="15"/>
              </w:rPr>
              <w:t>Alto</w:t>
            </w:r>
          </w:p>
        </w:tc>
        <w:tc>
          <w:tcPr>
            <w:tcW w:type="dxa" w:w="3515"/>
          </w:tcPr>
          <w:p>
            <w:r/>
            <w:r>
              <w:rPr>
                <w:sz w:val="15"/>
              </w:rPr>
              <w:t>Depende da facilidade do canal, da definição de denúncia e do tratamento de spam. Discord separa spam; WhatsApp não consegue dividir 2.176 denúncias por categoria. Mede comportamento do denunciante, não dano.</w:t>
            </w:r>
          </w:p>
        </w:tc>
      </w:tr>
      <w:tr>
        <w:tc>
          <w:tcPr>
            <w:tcW w:type="dxa" w:w="1928"/>
          </w:tcPr>
          <w:p>
            <w:r/>
            <w:r>
              <w:rPr>
                <w:b/>
                <w:sz w:val="15"/>
              </w:rPr>
              <w:t>% de denúncias confirmadas como violativas (precisão do canal)</w:t>
            </w:r>
          </w:p>
        </w:tc>
        <w:tc>
          <w:tcPr>
            <w:tcW w:type="dxa" w:w="1077"/>
            <w:shd w:val="clear" w:color="auto" w:fill="FFF2CC"/>
          </w:tcPr>
          <w:p>
            <w:r/>
            <w:r>
              <w:rPr>
                <w:sz w:val="15"/>
              </w:rPr>
              <w:t>Média</w:t>
            </w:r>
          </w:p>
        </w:tc>
        <w:tc>
          <w:tcPr>
            <w:tcW w:type="dxa" w:w="1077"/>
            <w:shd w:val="clear" w:color="auto" w:fill="D9EAD3"/>
          </w:tcPr>
          <w:p>
            <w:r/>
            <w:r>
              <w:rPr>
                <w:sz w:val="15"/>
              </w:rPr>
              <w:t>Alta</w:t>
            </w:r>
          </w:p>
        </w:tc>
        <w:tc>
          <w:tcPr>
            <w:tcW w:type="dxa" w:w="964"/>
            <w:shd w:val="clear" w:color="auto" w:fill="D9EAD3"/>
          </w:tcPr>
          <w:p>
            <w:r/>
            <w:r>
              <w:rPr>
                <w:sz w:val="15"/>
              </w:rPr>
              <w:t>Baixo</w:t>
            </w:r>
          </w:p>
        </w:tc>
        <w:tc>
          <w:tcPr>
            <w:tcW w:type="dxa" w:w="1077"/>
            <w:shd w:val="clear" w:color="auto" w:fill="FFF2CC"/>
          </w:tcPr>
          <w:p>
            <w:r/>
            <w:r>
              <w:rPr>
                <w:sz w:val="15"/>
              </w:rPr>
              <w:t>Médio</w:t>
            </w:r>
          </w:p>
        </w:tc>
        <w:tc>
          <w:tcPr>
            <w:tcW w:type="dxa" w:w="3515"/>
          </w:tcPr>
          <w:p>
            <w:r/>
            <w:r>
              <w:rPr>
                <w:sz w:val="15"/>
              </w:rPr>
              <w:t>Kwai permite calcular (~82% não violativas no app). Útil para calibrar. Sujeito a mudança de critério de "violativo".</w:t>
            </w:r>
          </w:p>
        </w:tc>
      </w:tr>
      <w:tr>
        <w:tc>
          <w:tcPr>
            <w:tcW w:type="dxa" w:w="1928"/>
          </w:tcPr>
          <w:p>
            <w:r/>
            <w:r>
              <w:rPr>
                <w:b/>
                <w:sz w:val="15"/>
              </w:rPr>
              <w:t>Nº de medidas (remoção, restrição, banimento)</w:t>
            </w:r>
          </w:p>
        </w:tc>
        <w:tc>
          <w:tcPr>
            <w:tcW w:type="dxa" w:w="1077"/>
            <w:shd w:val="clear" w:color="auto" w:fill="F4CCCC"/>
          </w:tcPr>
          <w:p>
            <w:r/>
            <w:r>
              <w:rPr>
                <w:sz w:val="15"/>
              </w:rPr>
              <w:t>Baixa</w:t>
            </w:r>
          </w:p>
        </w:tc>
        <w:tc>
          <w:tcPr>
            <w:tcW w:type="dxa" w:w="1077"/>
            <w:shd w:val="clear" w:color="auto" w:fill="FFF2CC"/>
          </w:tcPr>
          <w:p>
            <w:r/>
            <w:r>
              <w:rPr>
                <w:sz w:val="15"/>
              </w:rPr>
              <w:t>Média</w:t>
            </w:r>
          </w:p>
        </w:tc>
        <w:tc>
          <w:tcPr>
            <w:tcW w:type="dxa" w:w="964"/>
            <w:shd w:val="clear" w:color="auto" w:fill="D9EAD3"/>
          </w:tcPr>
          <w:p>
            <w:r/>
            <w:r>
              <w:rPr>
                <w:sz w:val="15"/>
              </w:rPr>
              <w:t>Baixo</w:t>
            </w:r>
          </w:p>
        </w:tc>
        <w:tc>
          <w:tcPr>
            <w:tcW w:type="dxa" w:w="1077"/>
            <w:shd w:val="clear" w:color="auto" w:fill="F4CCCC"/>
          </w:tcPr>
          <w:p>
            <w:r/>
            <w:r>
              <w:rPr>
                <w:sz w:val="15"/>
              </w:rPr>
              <w:t>Alto</w:t>
            </w:r>
          </w:p>
        </w:tc>
        <w:tc>
          <w:tcPr>
            <w:tcW w:type="dxa" w:w="3515"/>
          </w:tcPr>
          <w:p>
            <w:r/>
            <w:r>
              <w:rPr>
                <w:sz w:val="15"/>
              </w:rPr>
              <w:t>Categorias se sobrepõem (Discord alerta contra soma). Mais medidas pode significar mais risco ou melhor moderação. Ambíguo sem denominador.</w:t>
            </w:r>
          </w:p>
        </w:tc>
      </w:tr>
      <w:tr>
        <w:tc>
          <w:tcPr>
            <w:tcW w:type="dxa" w:w="1928"/>
          </w:tcPr>
          <w:p>
            <w:r/>
            <w:r>
              <w:rPr>
                <w:b/>
                <w:sz w:val="15"/>
              </w:rPr>
              <w:t>Medidas por mil usuários menores ativos</w:t>
            </w:r>
          </w:p>
        </w:tc>
        <w:tc>
          <w:tcPr>
            <w:tcW w:type="dxa" w:w="1077"/>
            <w:shd w:val="clear" w:color="auto" w:fill="FFF2CC"/>
          </w:tcPr>
          <w:p>
            <w:r/>
            <w:r>
              <w:rPr>
                <w:sz w:val="15"/>
              </w:rPr>
              <w:t>Média</w:t>
            </w:r>
          </w:p>
        </w:tc>
        <w:tc>
          <w:tcPr>
            <w:tcW w:type="dxa" w:w="1077"/>
            <w:shd w:val="clear" w:color="auto" w:fill="FFF2CC"/>
          </w:tcPr>
          <w:p>
            <w:r/>
            <w:r>
              <w:rPr>
                <w:sz w:val="15"/>
              </w:rPr>
              <w:t>Média</w:t>
            </w:r>
          </w:p>
        </w:tc>
        <w:tc>
          <w:tcPr>
            <w:tcW w:type="dxa" w:w="964"/>
            <w:shd w:val="clear" w:color="auto" w:fill="FFF2CC"/>
          </w:tcPr>
          <w:p>
            <w:r/>
            <w:r>
              <w:rPr>
                <w:sz w:val="15"/>
              </w:rPr>
              <w:t>Médio</w:t>
            </w:r>
          </w:p>
        </w:tc>
        <w:tc>
          <w:tcPr>
            <w:tcW w:type="dxa" w:w="1077"/>
            <w:shd w:val="clear" w:color="auto" w:fill="FFF2CC"/>
          </w:tcPr>
          <w:p>
            <w:r/>
            <w:r>
              <w:rPr>
                <w:sz w:val="15"/>
              </w:rPr>
              <w:t>Médio</w:t>
            </w:r>
          </w:p>
        </w:tc>
        <w:tc>
          <w:tcPr>
            <w:tcW w:type="dxa" w:w="3515"/>
          </w:tcPr>
          <w:p>
            <w:r/>
            <w:r>
              <w:rPr>
                <w:sz w:val="15"/>
              </w:rPr>
              <w:t>Exige definição única de "usuário menor ativo" e janela. Estimativas de menores são autodeclaradas e variam (aba Entrada: Meta e WhatsApp 16,2; Discord 2; Roblox &gt;2, unidade não especificada).</w:t>
            </w:r>
          </w:p>
        </w:tc>
      </w:tr>
      <w:tr>
        <w:tc>
          <w:tcPr>
            <w:tcW w:type="dxa" w:w="1928"/>
          </w:tcPr>
          <w:p>
            <w:r/>
            <w:r>
              <w:rPr>
                <w:b/>
                <w:sz w:val="15"/>
              </w:rPr>
              <w:t>Tempo mediano e P90 da denúncia à ação</w:t>
            </w:r>
          </w:p>
        </w:tc>
        <w:tc>
          <w:tcPr>
            <w:tcW w:type="dxa" w:w="1077"/>
            <w:shd w:val="clear" w:color="auto" w:fill="D9EAD3"/>
          </w:tcPr>
          <w:p>
            <w:r/>
            <w:r>
              <w:rPr>
                <w:sz w:val="15"/>
              </w:rPr>
              <w:t>Alta</w:t>
            </w:r>
          </w:p>
        </w:tc>
        <w:tc>
          <w:tcPr>
            <w:tcW w:type="dxa" w:w="1077"/>
            <w:shd w:val="clear" w:color="auto" w:fill="D9EAD3"/>
          </w:tcPr>
          <w:p>
            <w:r/>
            <w:r>
              <w:rPr>
                <w:sz w:val="15"/>
              </w:rPr>
              <w:t>Alta</w:t>
            </w:r>
          </w:p>
        </w:tc>
        <w:tc>
          <w:tcPr>
            <w:tcW w:type="dxa" w:w="964"/>
            <w:shd w:val="clear" w:color="auto" w:fill="FFF2CC"/>
          </w:tcPr>
          <w:p>
            <w:r/>
            <w:r>
              <w:rPr>
                <w:sz w:val="15"/>
              </w:rPr>
              <w:t>Médio</w:t>
            </w:r>
          </w:p>
        </w:tc>
        <w:tc>
          <w:tcPr>
            <w:tcW w:type="dxa" w:w="1077"/>
            <w:shd w:val="clear" w:color="auto" w:fill="FFF2CC"/>
          </w:tcPr>
          <w:p>
            <w:r/>
            <w:r>
              <w:rPr>
                <w:sz w:val="15"/>
              </w:rPr>
              <w:t>Médio</w:t>
            </w:r>
          </w:p>
        </w:tc>
        <w:tc>
          <w:tcPr>
            <w:tcW w:type="dxa" w:w="3515"/>
          </w:tcPr>
          <w:p>
            <w:r/>
            <w:r>
              <w:rPr>
                <w:sz w:val="15"/>
              </w:rPr>
              <w:t>Baseado em timestamps, verificável em logs. Fixar marcos (início = recebimento; fim = ação efetiva) e excluir pausas.</w:t>
            </w:r>
          </w:p>
        </w:tc>
      </w:tr>
      <w:tr>
        <w:tc>
          <w:tcPr>
            <w:tcW w:type="dxa" w:w="1928"/>
          </w:tcPr>
          <w:p>
            <w:r/>
            <w:r>
              <w:rPr>
                <w:b/>
                <w:sz w:val="15"/>
              </w:rPr>
              <w:t>% de itens violativos tratados em &lt;24h (como no Kwai)</w:t>
            </w:r>
          </w:p>
        </w:tc>
        <w:tc>
          <w:tcPr>
            <w:tcW w:type="dxa" w:w="1077"/>
            <w:shd w:val="clear" w:color="auto" w:fill="F4CCCC"/>
          </w:tcPr>
          <w:p>
            <w:r/>
            <w:r>
              <w:rPr>
                <w:sz w:val="15"/>
              </w:rPr>
              <w:t>Baixa</w:t>
            </w:r>
          </w:p>
        </w:tc>
        <w:tc>
          <w:tcPr>
            <w:tcW w:type="dxa" w:w="1077"/>
            <w:shd w:val="clear" w:color="auto" w:fill="FFF2CC"/>
          </w:tcPr>
          <w:p>
            <w:r/>
            <w:r>
              <w:rPr>
                <w:sz w:val="15"/>
              </w:rPr>
              <w:t>Média</w:t>
            </w:r>
          </w:p>
        </w:tc>
        <w:tc>
          <w:tcPr>
            <w:tcW w:type="dxa" w:w="964"/>
            <w:shd w:val="clear" w:color="auto" w:fill="D9EAD3"/>
          </w:tcPr>
          <w:p>
            <w:r/>
            <w:r>
              <w:rPr>
                <w:sz w:val="15"/>
              </w:rPr>
              <w:t>Baixo</w:t>
            </w:r>
          </w:p>
        </w:tc>
        <w:tc>
          <w:tcPr>
            <w:tcW w:type="dxa" w:w="1077"/>
            <w:shd w:val="clear" w:color="auto" w:fill="F4CCCC"/>
          </w:tcPr>
          <w:p>
            <w:r/>
            <w:r>
              <w:rPr>
                <w:sz w:val="15"/>
              </w:rPr>
              <w:t>Alto</w:t>
            </w:r>
          </w:p>
        </w:tc>
        <w:tc>
          <w:tcPr>
            <w:tcW w:type="dxa" w:w="3515"/>
          </w:tcPr>
          <w:p>
            <w:r/>
            <w:r>
              <w:rPr>
                <w:sz w:val="15"/>
              </w:rPr>
              <w:t>Denominador é conteúdo já detectado. Esconde exposição prévia. Fixar denominador como "todas as denúncias válidas" ou usar tempo de exposição.</w:t>
            </w:r>
          </w:p>
        </w:tc>
      </w:tr>
      <w:tr>
        <w:tc>
          <w:tcPr>
            <w:tcW w:type="dxa" w:w="1928"/>
          </w:tcPr>
          <w:p>
            <w:r/>
            <w:r>
              <w:rPr>
                <w:b/>
                <w:sz w:val="15"/>
              </w:rPr>
              <w:t>Prevalência de conteúdo proibido visto por menores</w:t>
            </w:r>
          </w:p>
        </w:tc>
        <w:tc>
          <w:tcPr>
            <w:tcW w:type="dxa" w:w="1077"/>
            <w:shd w:val="clear" w:color="auto" w:fill="D9EAD3"/>
          </w:tcPr>
          <w:p>
            <w:r/>
            <w:r>
              <w:rPr>
                <w:sz w:val="15"/>
              </w:rPr>
              <w:t>Alta</w:t>
            </w:r>
          </w:p>
        </w:tc>
        <w:tc>
          <w:tcPr>
            <w:tcW w:type="dxa" w:w="1077"/>
            <w:shd w:val="clear" w:color="auto" w:fill="D9EAD3"/>
          </w:tcPr>
          <w:p>
            <w:r/>
            <w:r>
              <w:rPr>
                <w:sz w:val="15"/>
              </w:rPr>
              <w:t>Alta</w:t>
            </w:r>
          </w:p>
        </w:tc>
        <w:tc>
          <w:tcPr>
            <w:tcW w:type="dxa" w:w="964"/>
            <w:shd w:val="clear" w:color="auto" w:fill="F4CCCC"/>
          </w:tcPr>
          <w:p>
            <w:r/>
            <w:r>
              <w:rPr>
                <w:sz w:val="15"/>
              </w:rPr>
              <w:t>Alto</w:t>
            </w:r>
          </w:p>
        </w:tc>
        <w:tc>
          <w:tcPr>
            <w:tcW w:type="dxa" w:w="1077"/>
            <w:shd w:val="clear" w:color="auto" w:fill="D9EAD3"/>
          </w:tcPr>
          <w:p>
            <w:r/>
            <w:r>
              <w:rPr>
                <w:sz w:val="15"/>
              </w:rPr>
              <w:t>Baixo</w:t>
            </w:r>
          </w:p>
        </w:tc>
        <w:tc>
          <w:tcPr>
            <w:tcW w:type="dxa" w:w="3515"/>
          </w:tcPr>
          <w:p>
            <w:r/>
            <w:r>
              <w:rPr>
                <w:sz w:val="15"/>
              </w:rPr>
              <w:t>É a métrica mais robusta e hoje ausente. Exige amostragem e rotulagem. Ofcom sinaliza. Custo alto, mas crítico.</w:t>
            </w:r>
          </w:p>
        </w:tc>
      </w:tr>
      <w:tr>
        <w:tc>
          <w:tcPr>
            <w:tcW w:type="dxa" w:w="1928"/>
          </w:tcPr>
          <w:p>
            <w:r/>
            <w:r>
              <w:rPr>
                <w:b/>
                <w:sz w:val="15"/>
              </w:rPr>
              <w:t>Taxa de falsos positivos / reversão em recurso</w:t>
            </w:r>
          </w:p>
        </w:tc>
        <w:tc>
          <w:tcPr>
            <w:tcW w:type="dxa" w:w="1077"/>
            <w:shd w:val="clear" w:color="auto" w:fill="D9EAD3"/>
          </w:tcPr>
          <w:p>
            <w:r/>
            <w:r>
              <w:rPr>
                <w:sz w:val="15"/>
              </w:rPr>
              <w:t>Alta</w:t>
            </w:r>
          </w:p>
        </w:tc>
        <w:tc>
          <w:tcPr>
            <w:tcW w:type="dxa" w:w="1077"/>
            <w:shd w:val="clear" w:color="auto" w:fill="D9EAD3"/>
          </w:tcPr>
          <w:p>
            <w:r/>
            <w:r>
              <w:rPr>
                <w:sz w:val="15"/>
              </w:rPr>
              <w:t>Alta</w:t>
            </w:r>
          </w:p>
        </w:tc>
        <w:tc>
          <w:tcPr>
            <w:tcW w:type="dxa" w:w="964"/>
            <w:shd w:val="clear" w:color="auto" w:fill="FFF2CC"/>
          </w:tcPr>
          <w:p>
            <w:r/>
            <w:r>
              <w:rPr>
                <w:sz w:val="15"/>
              </w:rPr>
              <w:t>Médio</w:t>
            </w:r>
          </w:p>
        </w:tc>
        <w:tc>
          <w:tcPr>
            <w:tcW w:type="dxa" w:w="1077"/>
            <w:shd w:val="clear" w:color="auto" w:fill="FFF2CC"/>
          </w:tcPr>
          <w:p>
            <w:r/>
            <w:r>
              <w:rPr>
                <w:sz w:val="15"/>
              </w:rPr>
              <w:t>Médio</w:t>
            </w:r>
          </w:p>
        </w:tc>
        <w:tc>
          <w:tcPr>
            <w:tcW w:type="dxa" w:w="3515"/>
          </w:tcPr>
          <w:p>
            <w:r/>
            <w:r>
              <w:rPr>
                <w:sz w:val="15"/>
              </w:rPr>
              <w:t>Lacuna crítica citada na minuta (§4). Exige conjunto de teste definido. Risco: relatar só reversões e omitir recursos barrados.</w:t>
            </w:r>
          </w:p>
        </w:tc>
      </w:tr>
      <w:tr>
        <w:tc>
          <w:tcPr>
            <w:tcW w:type="dxa" w:w="1928"/>
          </w:tcPr>
          <w:p>
            <w:r/>
            <w:r>
              <w:rPr>
                <w:b/>
                <w:sz w:val="15"/>
              </w:rPr>
              <w:t>Recall estimado da detecção automatizada</w:t>
            </w:r>
          </w:p>
        </w:tc>
        <w:tc>
          <w:tcPr>
            <w:tcW w:type="dxa" w:w="1077"/>
            <w:shd w:val="clear" w:color="auto" w:fill="FFF2CC"/>
          </w:tcPr>
          <w:p>
            <w:r/>
            <w:r>
              <w:rPr>
                <w:sz w:val="15"/>
              </w:rPr>
              <w:t>Média</w:t>
            </w:r>
          </w:p>
        </w:tc>
        <w:tc>
          <w:tcPr>
            <w:tcW w:type="dxa" w:w="1077"/>
            <w:shd w:val="clear" w:color="auto" w:fill="FFF2CC"/>
          </w:tcPr>
          <w:p>
            <w:r/>
            <w:r>
              <w:rPr>
                <w:sz w:val="15"/>
              </w:rPr>
              <w:t>Média</w:t>
            </w:r>
          </w:p>
        </w:tc>
        <w:tc>
          <w:tcPr>
            <w:tcW w:type="dxa" w:w="964"/>
            <w:shd w:val="clear" w:color="auto" w:fill="F4CCCC"/>
          </w:tcPr>
          <w:p>
            <w:r/>
            <w:r>
              <w:rPr>
                <w:sz w:val="15"/>
              </w:rPr>
              <w:t>Alto</w:t>
            </w:r>
          </w:p>
        </w:tc>
        <w:tc>
          <w:tcPr>
            <w:tcW w:type="dxa" w:w="1077"/>
            <w:shd w:val="clear" w:color="auto" w:fill="F4CCCC"/>
          </w:tcPr>
          <w:p>
            <w:r/>
            <w:r>
              <w:rPr>
                <w:sz w:val="15"/>
              </w:rPr>
              <w:t>Alto</w:t>
            </w:r>
          </w:p>
        </w:tc>
        <w:tc>
          <w:tcPr>
            <w:tcW w:type="dxa" w:w="3515"/>
          </w:tcPr>
          <w:p>
            <w:r/>
            <w:r>
              <w:rPr>
                <w:sz w:val="15"/>
              </w:rPr>
              <w:t>Difícil de medir sem conjunto-ouro. Empresa mede onde lhe convém. Exigir teste independente.</w:t>
            </w:r>
          </w:p>
        </w:tc>
      </w:tr>
      <w:tr>
        <w:tc>
          <w:tcPr>
            <w:tcW w:type="dxa" w:w="1928"/>
          </w:tcPr>
          <w:p>
            <w:r/>
            <w:r>
              <w:rPr>
                <w:b/>
                <w:sz w:val="15"/>
              </w:rPr>
              <w:t>Nº de notificações a autoridades (NCMEC etc.)</w:t>
            </w:r>
          </w:p>
        </w:tc>
        <w:tc>
          <w:tcPr>
            <w:tcW w:type="dxa" w:w="1077"/>
            <w:shd w:val="clear" w:color="auto" w:fill="FFF2CC"/>
          </w:tcPr>
          <w:p>
            <w:r/>
            <w:r>
              <w:rPr>
                <w:sz w:val="15"/>
              </w:rPr>
              <w:t>Média</w:t>
            </w:r>
          </w:p>
        </w:tc>
        <w:tc>
          <w:tcPr>
            <w:tcW w:type="dxa" w:w="1077"/>
            <w:shd w:val="clear" w:color="auto" w:fill="D9EAD3"/>
          </w:tcPr>
          <w:p>
            <w:r/>
            <w:r>
              <w:rPr>
                <w:sz w:val="15"/>
              </w:rPr>
              <w:t>Alta</w:t>
            </w:r>
          </w:p>
        </w:tc>
        <w:tc>
          <w:tcPr>
            <w:tcW w:type="dxa" w:w="964"/>
            <w:shd w:val="clear" w:color="auto" w:fill="D9EAD3"/>
          </w:tcPr>
          <w:p>
            <w:r/>
            <w:r>
              <w:rPr>
                <w:sz w:val="15"/>
              </w:rPr>
              <w:t>Baixo</w:t>
            </w:r>
          </w:p>
        </w:tc>
        <w:tc>
          <w:tcPr>
            <w:tcW w:type="dxa" w:w="1077"/>
            <w:shd w:val="clear" w:color="auto" w:fill="FFF2CC"/>
          </w:tcPr>
          <w:p>
            <w:r/>
            <w:r>
              <w:rPr>
                <w:sz w:val="15"/>
              </w:rPr>
              <w:t>Médio</w:t>
            </w:r>
          </w:p>
        </w:tc>
        <w:tc>
          <w:tcPr>
            <w:tcW w:type="dxa" w:w="3515"/>
          </w:tcPr>
          <w:p>
            <w:r/>
            <w:r>
              <w:rPr>
                <w:sz w:val="15"/>
              </w:rPr>
              <w:t>Epic: 4 no bate-papo de texto e 0 no Fortnite. Depende de política de notificação e de detecção. Zero pode ser bom ou cegueira.</w:t>
            </w:r>
          </w:p>
        </w:tc>
      </w:tr>
      <w:tr>
        <w:tc>
          <w:tcPr>
            <w:tcW w:type="dxa" w:w="1928"/>
          </w:tcPr>
          <w:p>
            <w:r/>
            <w:r>
              <w:rPr>
                <w:b/>
                <w:sz w:val="15"/>
              </w:rPr>
              <w:t>Nº de contas de menores identificadas / com proteção ativada</w:t>
            </w:r>
          </w:p>
        </w:tc>
        <w:tc>
          <w:tcPr>
            <w:tcW w:type="dxa" w:w="1077"/>
            <w:shd w:val="clear" w:color="auto" w:fill="F4CCCC"/>
          </w:tcPr>
          <w:p>
            <w:r/>
            <w:r>
              <w:rPr>
                <w:sz w:val="15"/>
              </w:rPr>
              <w:t>Baixa</w:t>
            </w:r>
          </w:p>
        </w:tc>
        <w:tc>
          <w:tcPr>
            <w:tcW w:type="dxa" w:w="1077"/>
            <w:shd w:val="clear" w:color="auto" w:fill="F4CCCC"/>
          </w:tcPr>
          <w:p>
            <w:r/>
            <w:r>
              <w:rPr>
                <w:sz w:val="15"/>
              </w:rPr>
              <w:t>Baixa</w:t>
            </w:r>
          </w:p>
        </w:tc>
        <w:tc>
          <w:tcPr>
            <w:tcW w:type="dxa" w:w="964"/>
            <w:shd w:val="clear" w:color="auto" w:fill="D9EAD3"/>
          </w:tcPr>
          <w:p>
            <w:r/>
            <w:r>
              <w:rPr>
                <w:sz w:val="15"/>
              </w:rPr>
              <w:t>Baixo</w:t>
            </w:r>
          </w:p>
        </w:tc>
        <w:tc>
          <w:tcPr>
            <w:tcW w:type="dxa" w:w="1077"/>
            <w:shd w:val="clear" w:color="auto" w:fill="F4CCCC"/>
          </w:tcPr>
          <w:p>
            <w:r/>
            <w:r>
              <w:rPr>
                <w:sz w:val="15"/>
              </w:rPr>
              <w:t>Alto</w:t>
            </w:r>
          </w:p>
        </w:tc>
        <w:tc>
          <w:tcPr>
            <w:tcW w:type="dxa" w:w="3515"/>
          </w:tcPr>
          <w:p>
            <w:r/>
            <w:r>
              <w:rPr>
                <w:sz w:val="15"/>
              </w:rPr>
              <w:t>Idade é autodeclarada na maioria. Contas de adolescente criadas por declaração reduzem o valor do número. Exigir teste com contas-sentinela.</w:t>
            </w:r>
          </w:p>
        </w:tc>
      </w:tr>
      <w:tr>
        <w:tc>
          <w:tcPr>
            <w:tcW w:type="dxa" w:w="1928"/>
          </w:tcPr>
          <w:p>
            <w:r/>
            <w:r>
              <w:rPr>
                <w:b/>
                <w:sz w:val="15"/>
              </w:rPr>
              <w:t>Taxa de menores sem identificação (erro de aferição)</w:t>
            </w:r>
          </w:p>
        </w:tc>
        <w:tc>
          <w:tcPr>
            <w:tcW w:type="dxa" w:w="1077"/>
            <w:shd w:val="clear" w:color="auto" w:fill="D9EAD3"/>
          </w:tcPr>
          <w:p>
            <w:r/>
            <w:r>
              <w:rPr>
                <w:sz w:val="15"/>
              </w:rPr>
              <w:t>Alta</w:t>
            </w:r>
          </w:p>
        </w:tc>
        <w:tc>
          <w:tcPr>
            <w:tcW w:type="dxa" w:w="1077"/>
            <w:shd w:val="clear" w:color="auto" w:fill="D9EAD3"/>
          </w:tcPr>
          <w:p>
            <w:r/>
            <w:r>
              <w:rPr>
                <w:sz w:val="15"/>
              </w:rPr>
              <w:t>Alta</w:t>
            </w:r>
          </w:p>
        </w:tc>
        <w:tc>
          <w:tcPr>
            <w:tcW w:type="dxa" w:w="964"/>
            <w:shd w:val="clear" w:color="auto" w:fill="FFF2CC"/>
          </w:tcPr>
          <w:p>
            <w:r/>
            <w:r>
              <w:rPr>
                <w:sz w:val="15"/>
              </w:rPr>
              <w:t>Médio</w:t>
            </w:r>
          </w:p>
        </w:tc>
        <w:tc>
          <w:tcPr>
            <w:tcW w:type="dxa" w:w="1077"/>
            <w:shd w:val="clear" w:color="auto" w:fill="D9EAD3"/>
          </w:tcPr>
          <w:p>
            <w:r/>
            <w:r>
              <w:rPr>
                <w:sz w:val="15"/>
              </w:rPr>
              <w:t>Baixo</w:t>
            </w:r>
          </w:p>
        </w:tc>
        <w:tc>
          <w:tcPr>
            <w:tcW w:type="dxa" w:w="3515"/>
          </w:tcPr>
          <w:p>
            <w:r/>
            <w:r>
              <w:rPr>
                <w:sz w:val="15"/>
              </w:rPr>
              <w:t>Mede a falha em vez do sucesso. Verificável por teste de campo.</w:t>
            </w:r>
          </w:p>
        </w:tc>
      </w:tr>
      <w:tr>
        <w:tc>
          <w:tcPr>
            <w:tcW w:type="dxa" w:w="1928"/>
          </w:tcPr>
          <w:p>
            <w:r/>
            <w:r>
              <w:rPr>
                <w:b/>
                <w:sz w:val="15"/>
              </w:rPr>
              <w:t>Classificação de risco residual (baixo/moderado/alto)</w:t>
            </w:r>
          </w:p>
        </w:tc>
        <w:tc>
          <w:tcPr>
            <w:tcW w:type="dxa" w:w="1077"/>
            <w:shd w:val="clear" w:color="auto" w:fill="F4CCCC"/>
          </w:tcPr>
          <w:p>
            <w:r/>
            <w:r>
              <w:rPr>
                <w:sz w:val="15"/>
              </w:rPr>
              <w:t>Baixa</w:t>
            </w:r>
          </w:p>
        </w:tc>
        <w:tc>
          <w:tcPr>
            <w:tcW w:type="dxa" w:w="1077"/>
            <w:shd w:val="clear" w:color="auto" w:fill="F4CCCC"/>
          </w:tcPr>
          <w:p>
            <w:r/>
            <w:r>
              <w:rPr>
                <w:sz w:val="15"/>
              </w:rPr>
              <w:t>Baixa</w:t>
            </w:r>
          </w:p>
        </w:tc>
        <w:tc>
          <w:tcPr>
            <w:tcW w:type="dxa" w:w="964"/>
            <w:shd w:val="clear" w:color="auto" w:fill="D9EAD3"/>
          </w:tcPr>
          <w:p>
            <w:r/>
            <w:r>
              <w:rPr>
                <w:sz w:val="15"/>
              </w:rPr>
              <w:t>Baixo</w:t>
            </w:r>
          </w:p>
        </w:tc>
        <w:tc>
          <w:tcPr>
            <w:tcW w:type="dxa" w:w="1077"/>
            <w:shd w:val="clear" w:color="auto" w:fill="F4CCCC"/>
          </w:tcPr>
          <w:p>
            <w:r/>
            <w:r>
              <w:rPr>
                <w:sz w:val="15"/>
              </w:rPr>
              <w:t>Alto</w:t>
            </w:r>
          </w:p>
        </w:tc>
        <w:tc>
          <w:tcPr>
            <w:tcW w:type="dxa" w:w="3515"/>
          </w:tcPr>
          <w:p>
            <w:r/>
            <w:r>
              <w:rPr>
                <w:sz w:val="15"/>
              </w:rPr>
              <w:t>Escala própria, sem critério público. Sem valor comparativo até padronização. Epic baixo e Discord moderado não são comparáveis.</w:t>
            </w:r>
          </w:p>
        </w:tc>
      </w:tr>
      <w:tr>
        <w:tc>
          <w:tcPr>
            <w:tcW w:type="dxa" w:w="1928"/>
          </w:tcPr>
          <w:p>
            <w:r/>
            <w:r>
              <w:rPr>
                <w:b/>
                <w:sz w:val="15"/>
              </w:rPr>
              <w:t>% de salvaguardas por padrão ativas (ex.: voz/texto desativado)</w:t>
            </w:r>
          </w:p>
        </w:tc>
        <w:tc>
          <w:tcPr>
            <w:tcW w:type="dxa" w:w="1077"/>
            <w:shd w:val="clear" w:color="auto" w:fill="FFF2CC"/>
          </w:tcPr>
          <w:p>
            <w:r/>
            <w:r>
              <w:rPr>
                <w:sz w:val="15"/>
              </w:rPr>
              <w:t>Média</w:t>
            </w:r>
          </w:p>
        </w:tc>
        <w:tc>
          <w:tcPr>
            <w:tcW w:type="dxa" w:w="1077"/>
            <w:shd w:val="clear" w:color="auto" w:fill="D9EAD3"/>
          </w:tcPr>
          <w:p>
            <w:r/>
            <w:r>
              <w:rPr>
                <w:sz w:val="15"/>
              </w:rPr>
              <w:t>Alta</w:t>
            </w:r>
          </w:p>
        </w:tc>
        <w:tc>
          <w:tcPr>
            <w:tcW w:type="dxa" w:w="964"/>
            <w:shd w:val="clear" w:color="auto" w:fill="D9EAD3"/>
          </w:tcPr>
          <w:p>
            <w:r/>
            <w:r>
              <w:rPr>
                <w:sz w:val="15"/>
              </w:rPr>
              <w:t>Baixo</w:t>
            </w:r>
          </w:p>
        </w:tc>
        <w:tc>
          <w:tcPr>
            <w:tcW w:type="dxa" w:w="1077"/>
            <w:shd w:val="clear" w:color="auto" w:fill="FFF2CC"/>
          </w:tcPr>
          <w:p>
            <w:r/>
            <w:r>
              <w:rPr>
                <w:sz w:val="15"/>
              </w:rPr>
              <w:t>Médio</w:t>
            </w:r>
          </w:p>
        </w:tc>
        <w:tc>
          <w:tcPr>
            <w:tcW w:type="dxa" w:w="3515"/>
          </w:tcPr>
          <w:p>
            <w:r/>
            <w:r>
              <w:rPr>
                <w:sz w:val="15"/>
              </w:rPr>
              <w:t>Binário e verificável por inspeção do produto. Pouco capta eficácia real, mas é bom indicador de conformidade de desenho.</w:t>
            </w:r>
          </w:p>
        </w:tc>
      </w:tr>
      <w:tr>
        <w:tc>
          <w:tcPr>
            <w:tcW w:type="dxa" w:w="1928"/>
          </w:tcPr>
          <w:p>
            <w:r/>
            <w:r>
              <w:rPr>
                <w:b/>
                <w:sz w:val="15"/>
              </w:rPr>
              <w:t>Métricas de feed (exposição de menores a categorias sensíveis)</w:t>
            </w:r>
          </w:p>
        </w:tc>
        <w:tc>
          <w:tcPr>
            <w:tcW w:type="dxa" w:w="1077"/>
            <w:shd w:val="clear" w:color="auto" w:fill="FFF2CC"/>
          </w:tcPr>
          <w:p>
            <w:r/>
            <w:r>
              <w:rPr>
                <w:sz w:val="15"/>
              </w:rPr>
              <w:t>Média</w:t>
            </w:r>
          </w:p>
        </w:tc>
        <w:tc>
          <w:tcPr>
            <w:tcW w:type="dxa" w:w="1077"/>
            <w:shd w:val="clear" w:color="auto" w:fill="F4CCCC"/>
          </w:tcPr>
          <w:p>
            <w:r/>
            <w:r>
              <w:rPr>
                <w:sz w:val="15"/>
              </w:rPr>
              <w:t>Baixa</w:t>
            </w:r>
          </w:p>
        </w:tc>
        <w:tc>
          <w:tcPr>
            <w:tcW w:type="dxa" w:w="964"/>
            <w:shd w:val="clear" w:color="auto" w:fill="F4CCCC"/>
          </w:tcPr>
          <w:p>
            <w:r/>
            <w:r>
              <w:rPr>
                <w:sz w:val="15"/>
              </w:rPr>
              <w:t>Alto</w:t>
            </w:r>
          </w:p>
        </w:tc>
        <w:tc>
          <w:tcPr>
            <w:tcW w:type="dxa" w:w="1077"/>
            <w:shd w:val="clear" w:color="auto" w:fill="F4CCCC"/>
          </w:tcPr>
          <w:p>
            <w:r/>
            <w:r>
              <w:rPr>
                <w:sz w:val="15"/>
              </w:rPr>
              <w:t>Alto</w:t>
            </w:r>
          </w:p>
        </w:tc>
        <w:tc>
          <w:tcPr>
            <w:tcW w:type="dxa" w:w="3515"/>
          </w:tcPr>
          <w:p>
            <w:r/>
            <w:r>
              <w:rPr>
                <w:sz w:val="15"/>
              </w:rPr>
              <w:t>Ausente na base. Exige acesso a logs de recomendação. Pilar da abordagem por funcionalidade.</w:t>
            </w:r>
          </w:p>
        </w:tc>
      </w:tr>
      <w:tr>
        <w:tc>
          <w:tcPr>
            <w:tcW w:type="dxa" w:w="1928"/>
          </w:tcPr>
          <w:p>
            <w:r/>
            <w:r>
              <w:rPr>
                <w:b/>
                <w:sz w:val="15"/>
              </w:rPr>
              <w:t>Métricas de lives (tempo até derrubada, % moderadas em tempo real)</w:t>
            </w:r>
          </w:p>
        </w:tc>
        <w:tc>
          <w:tcPr>
            <w:tcW w:type="dxa" w:w="1077"/>
            <w:shd w:val="clear" w:color="auto" w:fill="FFF2CC"/>
          </w:tcPr>
          <w:p>
            <w:r/>
            <w:r>
              <w:rPr>
                <w:sz w:val="15"/>
              </w:rPr>
              <w:t>Média</w:t>
            </w:r>
          </w:p>
        </w:tc>
        <w:tc>
          <w:tcPr>
            <w:tcW w:type="dxa" w:w="1077"/>
            <w:shd w:val="clear" w:color="auto" w:fill="FFF2CC"/>
          </w:tcPr>
          <w:p>
            <w:r/>
            <w:r>
              <w:rPr>
                <w:sz w:val="15"/>
              </w:rPr>
              <w:t>Média</w:t>
            </w:r>
          </w:p>
        </w:tc>
        <w:tc>
          <w:tcPr>
            <w:tcW w:type="dxa" w:w="964"/>
            <w:shd w:val="clear" w:color="auto" w:fill="F4CCCC"/>
          </w:tcPr>
          <w:p>
            <w:r/>
            <w:r>
              <w:rPr>
                <w:sz w:val="15"/>
              </w:rPr>
              <w:t>Alto</w:t>
            </w:r>
          </w:p>
        </w:tc>
        <w:tc>
          <w:tcPr>
            <w:tcW w:type="dxa" w:w="1077"/>
            <w:shd w:val="clear" w:color="auto" w:fill="FFF2CC"/>
          </w:tcPr>
          <w:p>
            <w:r/>
            <w:r>
              <w:rPr>
                <w:sz w:val="15"/>
              </w:rPr>
              <w:t>Médio</w:t>
            </w:r>
          </w:p>
        </w:tc>
        <w:tc>
          <w:tcPr>
            <w:tcW w:type="dxa" w:w="3515"/>
          </w:tcPr>
          <w:p>
            <w:r/>
            <w:r>
              <w:rPr>
                <w:sz w:val="15"/>
              </w:rPr>
              <w:t>Ausente. Relevante pela limitação de detecção declarada pela Twitch.</w:t>
            </w:r>
          </w:p>
        </w:tc>
      </w:tr>
      <w:tr>
        <w:tc>
          <w:tcPr>
            <w:tcW w:type="dxa" w:w="1928"/>
          </w:tcPr>
          <w:p>
            <w:r/>
            <w:r>
              <w:rPr>
                <w:b/>
                <w:sz w:val="15"/>
              </w:rPr>
              <w:t>Métricas de IA generativa (taxa de recusa em prompts de risco; resultados de red team)</w:t>
            </w:r>
          </w:p>
        </w:tc>
        <w:tc>
          <w:tcPr>
            <w:tcW w:type="dxa" w:w="1077"/>
            <w:shd w:val="clear" w:color="auto" w:fill="F4CCCC"/>
          </w:tcPr>
          <w:p>
            <w:r/>
            <w:r>
              <w:rPr>
                <w:sz w:val="15"/>
              </w:rPr>
              <w:t>Baixa</w:t>
            </w:r>
          </w:p>
        </w:tc>
        <w:tc>
          <w:tcPr>
            <w:tcW w:type="dxa" w:w="1077"/>
            <w:shd w:val="clear" w:color="auto" w:fill="F4CCCC"/>
          </w:tcPr>
          <w:p>
            <w:r/>
            <w:r>
              <w:rPr>
                <w:sz w:val="15"/>
              </w:rPr>
              <w:t>Baixa</w:t>
            </w:r>
          </w:p>
        </w:tc>
        <w:tc>
          <w:tcPr>
            <w:tcW w:type="dxa" w:w="964"/>
            <w:shd w:val="clear" w:color="auto" w:fill="F4CCCC"/>
          </w:tcPr>
          <w:p>
            <w:r/>
            <w:r>
              <w:rPr>
                <w:sz w:val="15"/>
              </w:rPr>
              <w:t>Alto</w:t>
            </w:r>
          </w:p>
        </w:tc>
        <w:tc>
          <w:tcPr>
            <w:tcW w:type="dxa" w:w="1077"/>
            <w:shd w:val="clear" w:color="auto" w:fill="F4CCCC"/>
          </w:tcPr>
          <w:p>
            <w:r/>
            <w:r>
              <w:rPr>
                <w:sz w:val="15"/>
              </w:rPr>
              <w:t>Alto</w:t>
            </w:r>
          </w:p>
        </w:tc>
        <w:tc>
          <w:tcPr>
            <w:tcW w:type="dxa" w:w="3515"/>
          </w:tcPr>
          <w:p>
            <w:r/>
            <w:r>
              <w:rPr>
                <w:sz w:val="15"/>
              </w:rPr>
              <w:t>Ausente. Requer protocolo padronizado e conjunto de prompts de teste.</w:t>
            </w:r>
          </w:p>
        </w:tc>
      </w:tr>
      <w:tr>
        <w:tc>
          <w:tcPr>
            <w:tcW w:type="dxa" w:w="1928"/>
          </w:tcPr>
          <w:p>
            <w:r/>
            <w:r>
              <w:rPr>
                <w:b/>
                <w:sz w:val="15"/>
              </w:rPr>
              <w:t>Métricas de monetização (transações de/para menores, bloqueios)</w:t>
            </w:r>
          </w:p>
        </w:tc>
        <w:tc>
          <w:tcPr>
            <w:tcW w:type="dxa" w:w="1077"/>
            <w:shd w:val="clear" w:color="auto" w:fill="FFF2CC"/>
          </w:tcPr>
          <w:p>
            <w:r/>
            <w:r>
              <w:rPr>
                <w:sz w:val="15"/>
              </w:rPr>
              <w:t>Média</w:t>
            </w:r>
          </w:p>
        </w:tc>
        <w:tc>
          <w:tcPr>
            <w:tcW w:type="dxa" w:w="1077"/>
            <w:shd w:val="clear" w:color="auto" w:fill="D9EAD3"/>
          </w:tcPr>
          <w:p>
            <w:r/>
            <w:r>
              <w:rPr>
                <w:sz w:val="15"/>
              </w:rPr>
              <w:t>Alta</w:t>
            </w:r>
          </w:p>
        </w:tc>
        <w:tc>
          <w:tcPr>
            <w:tcW w:type="dxa" w:w="964"/>
            <w:shd w:val="clear" w:color="auto" w:fill="D9EAD3"/>
          </w:tcPr>
          <w:p>
            <w:r/>
            <w:r>
              <w:rPr>
                <w:sz w:val="15"/>
              </w:rPr>
              <w:t>Baixo</w:t>
            </w:r>
          </w:p>
        </w:tc>
        <w:tc>
          <w:tcPr>
            <w:tcW w:type="dxa" w:w="1077"/>
            <w:shd w:val="clear" w:color="auto" w:fill="FFF2CC"/>
          </w:tcPr>
          <w:p>
            <w:r/>
            <w:r>
              <w:rPr>
                <w:sz w:val="15"/>
              </w:rPr>
              <w:t>Médio</w:t>
            </w:r>
          </w:p>
        </w:tc>
        <w:tc>
          <w:tcPr>
            <w:tcW w:type="dxa" w:w="3515"/>
          </w:tcPr>
          <w:p>
            <w:r/>
            <w:r>
              <w:rPr>
                <w:sz w:val="15"/>
              </w:rPr>
              <w:t>Ausente. Dados financeiros são auditáveis e pouco sujeitos a ambiguidade.</w:t>
            </w:r>
          </w:p>
        </w:tc>
      </w:tr>
    </w:tbl>
    <w:p>
      <w:pPr>
        <w:spacing w:after="40"/>
      </w:pPr>
    </w:p>
    <w:p>
      <w:pPr>
        <w:spacing w:after="80"/>
      </w:pPr>
      <w:r>
        <w:rPr>
          <w:b/>
          <w:i w:val="0"/>
        </w:rPr>
        <w:t>Classificação sintética:</w:t>
      </w:r>
    </w:p>
    <w:p>
      <w:pPr>
        <w:pStyle w:val="ListBullet"/>
        <w:spacing w:after="40"/>
      </w:pPr>
      <w:r>
        <w:rPr>
          <w:b/>
        </w:rPr>
        <w:t>Frágeis ou manipuláveis:</w:t>
      </w:r>
      <w:r>
        <w:t xml:space="preserve"> denúncias recebidas; medidas totais; % tratadas em &lt;24h com o denominador atual; classificação de risco residual autodeclarada; contas de menores identificadas sem teste.</w:t>
      </w:r>
    </w:p>
    <w:p>
      <w:pPr>
        <w:pStyle w:val="ListBullet"/>
        <w:spacing w:after="40"/>
      </w:pPr>
      <w:r>
        <w:rPr>
          <w:b/>
        </w:rPr>
        <w:t>Sem valor regulatório real:</w:t>
      </w:r>
      <w:r>
        <w:t xml:space="preserve"> qualquer contagem bruta sem denominador, janela e definição comum; "plataforma cita o risco X".</w:t>
      </w:r>
    </w:p>
    <w:p>
      <w:pPr>
        <w:pStyle w:val="ListBullet"/>
        <w:spacing w:after="40"/>
      </w:pPr>
      <w:r>
        <w:rPr>
          <w:b/>
        </w:rPr>
        <w:t>Ausentes e essenciais:</w:t>
      </w:r>
      <w:r>
        <w:t xml:space="preserve"> prevalência, falsos positivos/reversão e recall da detecção, eficácia da aferição etária, métricas de feed, lives, IA e monetização, e tempo de exposição.</w:t>
      </w:r>
    </w:p>
    <w:p>
      <w:pPr>
        <w:pStyle w:val="Heading2"/>
      </w:pPr>
      <w:r>
        <w:t>5.1 Conjunto mínimo proposto de indicadores comparáveis</w:t>
      </w:r>
    </w:p>
    <w:p>
      <w:pPr>
        <w:spacing w:after="80"/>
      </w:pPr>
      <w:r>
        <w:rPr>
          <w:b w:val="0"/>
          <w:i/>
        </w:rPr>
        <w:t>Princípio: poucos indicadores, definidos pelo regulador, com denominador e janela únicos, e verificáveis. Parte fixa (série histórica) + módulos rotativos por funcionalidade.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10"/>
            <w:shd w:val="clear" w:color="auto" w:fill="1F3A5F"/>
          </w:tcPr>
          <w:p>
            <w:r/>
            <w:r>
              <w:rPr>
                <w:b/>
                <w:color w:val="FFFFFF"/>
                <w:sz w:val="16"/>
              </w:rPr>
              <w:t>#</w:t>
            </w:r>
          </w:p>
        </w:tc>
        <w:tc>
          <w:tcPr>
            <w:tcW w:type="dxa" w:w="2041"/>
            <w:shd w:val="clear" w:color="auto" w:fill="1F3A5F"/>
          </w:tcPr>
          <w:p>
            <w:r/>
            <w:r>
              <w:rPr>
                <w:b/>
                <w:color w:val="FFFFFF"/>
                <w:sz w:val="16"/>
              </w:rPr>
              <w:t>Indicador (parte fixa)</w:t>
            </w:r>
          </w:p>
        </w:tc>
        <w:tc>
          <w:tcPr>
            <w:tcW w:type="dxa" w:w="3685"/>
            <w:shd w:val="clear" w:color="auto" w:fill="1F3A5F"/>
          </w:tcPr>
          <w:p>
            <w:r/>
            <w:r>
              <w:rPr>
                <w:b/>
                <w:color w:val="FFFFFF"/>
                <w:sz w:val="16"/>
              </w:rPr>
              <w:t>Fórmula / definição</w:t>
            </w:r>
          </w:p>
        </w:tc>
        <w:tc>
          <w:tcPr>
            <w:tcW w:type="dxa" w:w="1531"/>
            <w:shd w:val="clear" w:color="auto" w:fill="1F3A5F"/>
          </w:tcPr>
          <w:p>
            <w:r/>
            <w:r>
              <w:rPr>
                <w:b/>
                <w:color w:val="FFFFFF"/>
                <w:sz w:val="16"/>
              </w:rPr>
              <w:t>Janela e periodicidade</w:t>
            </w:r>
          </w:p>
        </w:tc>
        <w:tc>
          <w:tcPr>
            <w:tcW w:type="dxa" w:w="1871"/>
            <w:shd w:val="clear" w:color="auto" w:fill="1F3A5F"/>
          </w:tcPr>
          <w:p>
            <w:r/>
            <w:r>
              <w:rPr>
                <w:b/>
                <w:color w:val="FFFFFF"/>
                <w:sz w:val="16"/>
              </w:rPr>
              <w:t>Verificação</w:t>
            </w:r>
          </w:p>
        </w:tc>
      </w:tr>
      <w:tr>
        <w:tc>
          <w:tcPr>
            <w:tcW w:type="dxa" w:w="510"/>
          </w:tcPr>
          <w:p>
            <w:r/>
            <w:r>
              <w:rPr>
                <w:b/>
                <w:sz w:val="16"/>
              </w:rPr>
              <w:t>F1</w:t>
            </w:r>
          </w:p>
        </w:tc>
        <w:tc>
          <w:tcPr>
            <w:tcW w:type="dxa" w:w="2041"/>
          </w:tcPr>
          <w:p>
            <w:r/>
            <w:r>
              <w:rPr>
                <w:sz w:val="16"/>
              </w:rPr>
              <w:t>Prevalência de exposição de menores</w:t>
            </w:r>
          </w:p>
        </w:tc>
        <w:tc>
          <w:tcPr>
            <w:tcW w:type="dxa" w:w="3685"/>
          </w:tcPr>
          <w:p>
            <w:r/>
            <w:r>
              <w:rPr>
                <w:sz w:val="16"/>
              </w:rPr>
              <w:t>% de visualizações de menores que contêm conteúdo proibido, por funcionalidade crítica (amostra e IC95%)</w:t>
            </w:r>
          </w:p>
        </w:tc>
        <w:tc>
          <w:tcPr>
            <w:tcW w:type="dxa" w:w="1531"/>
          </w:tcPr>
          <w:p>
            <w:r/>
            <w:r>
              <w:rPr>
                <w:sz w:val="16"/>
              </w:rPr>
              <w:t>Semestral</w:t>
            </w:r>
          </w:p>
        </w:tc>
        <w:tc>
          <w:tcPr>
            <w:tcW w:type="dxa" w:w="1871"/>
          </w:tcPr>
          <w:p>
            <w:r/>
            <w:r>
              <w:rPr>
                <w:sz w:val="16"/>
              </w:rPr>
              <w:t>Reamostragem independente</w:t>
            </w:r>
          </w:p>
        </w:tc>
      </w:tr>
      <w:tr>
        <w:tc>
          <w:tcPr>
            <w:tcW w:type="dxa" w:w="510"/>
          </w:tcPr>
          <w:p>
            <w:r/>
            <w:r>
              <w:rPr>
                <w:b/>
                <w:sz w:val="16"/>
              </w:rPr>
              <w:t>F2</w:t>
            </w:r>
          </w:p>
        </w:tc>
        <w:tc>
          <w:tcPr>
            <w:tcW w:type="dxa" w:w="2041"/>
          </w:tcPr>
          <w:p>
            <w:r/>
            <w:r>
              <w:rPr>
                <w:sz w:val="16"/>
              </w:rPr>
              <w:t>Tempo até ação sobre denúncia grave</w:t>
            </w:r>
          </w:p>
        </w:tc>
        <w:tc>
          <w:tcPr>
            <w:tcW w:type="dxa" w:w="3685"/>
          </w:tcPr>
          <w:p>
            <w:r/>
            <w:r>
              <w:rPr>
                <w:sz w:val="16"/>
              </w:rPr>
              <w:t>Mediana e P90 em horas, por categoria 5Cs, para CSAM, aliciamento, sextorsão e autolesão</w:t>
            </w:r>
          </w:p>
        </w:tc>
        <w:tc>
          <w:tcPr>
            <w:tcW w:type="dxa" w:w="1531"/>
          </w:tcPr>
          <w:p>
            <w:r/>
            <w:r>
              <w:rPr>
                <w:sz w:val="16"/>
              </w:rPr>
              <w:t>Semestral</w:t>
            </w:r>
          </w:p>
        </w:tc>
        <w:tc>
          <w:tcPr>
            <w:tcW w:type="dxa" w:w="1871"/>
          </w:tcPr>
          <w:p>
            <w:r/>
            <w:r>
              <w:rPr>
                <w:sz w:val="16"/>
              </w:rPr>
              <w:t>Logs e auditoria de amostra</w:t>
            </w:r>
          </w:p>
        </w:tc>
      </w:tr>
      <w:tr>
        <w:tc>
          <w:tcPr>
            <w:tcW w:type="dxa" w:w="510"/>
          </w:tcPr>
          <w:p>
            <w:r/>
            <w:r>
              <w:rPr>
                <w:b/>
                <w:sz w:val="16"/>
              </w:rPr>
              <w:t>F3</w:t>
            </w:r>
          </w:p>
        </w:tc>
        <w:tc>
          <w:tcPr>
            <w:tcW w:type="dxa" w:w="2041"/>
          </w:tcPr>
          <w:p>
            <w:r/>
            <w:r>
              <w:rPr>
                <w:sz w:val="16"/>
              </w:rPr>
              <w:t>Precisão do canal de denúncia</w:t>
            </w:r>
          </w:p>
        </w:tc>
        <w:tc>
          <w:tcPr>
            <w:tcW w:type="dxa" w:w="3685"/>
          </w:tcPr>
          <w:p>
            <w:r/>
            <w:r>
              <w:rPr>
                <w:sz w:val="16"/>
              </w:rPr>
              <w:t>Denúncias confirmadas ÷ denúncias analisadas, por categoria</w:t>
            </w:r>
          </w:p>
        </w:tc>
        <w:tc>
          <w:tcPr>
            <w:tcW w:type="dxa" w:w="1531"/>
          </w:tcPr>
          <w:p>
            <w:r/>
            <w:r>
              <w:rPr>
                <w:sz w:val="16"/>
              </w:rPr>
              <w:t>Semestral</w:t>
            </w:r>
          </w:p>
        </w:tc>
        <w:tc>
          <w:tcPr>
            <w:tcW w:type="dxa" w:w="1871"/>
          </w:tcPr>
          <w:p>
            <w:r/>
            <w:r>
              <w:rPr>
                <w:sz w:val="16"/>
              </w:rPr>
              <w:t>Logs</w:t>
            </w:r>
          </w:p>
        </w:tc>
      </w:tr>
      <w:tr>
        <w:tc>
          <w:tcPr>
            <w:tcW w:type="dxa" w:w="510"/>
          </w:tcPr>
          <w:p>
            <w:r/>
            <w:r>
              <w:rPr>
                <w:b/>
                <w:sz w:val="16"/>
              </w:rPr>
              <w:t>F4</w:t>
            </w:r>
          </w:p>
        </w:tc>
        <w:tc>
          <w:tcPr>
            <w:tcW w:type="dxa" w:w="2041"/>
          </w:tcPr>
          <w:p>
            <w:r/>
            <w:r>
              <w:rPr>
                <w:sz w:val="16"/>
              </w:rPr>
              <w:t>Erro de moderação</w:t>
            </w:r>
          </w:p>
        </w:tc>
        <w:tc>
          <w:tcPr>
            <w:tcW w:type="dxa" w:w="3685"/>
          </w:tcPr>
          <w:p>
            <w:r/>
            <w:r>
              <w:rPr>
                <w:sz w:val="16"/>
              </w:rPr>
              <w:t>Falsos positivos (amostra) e taxa de reversão em recurso (revertidas ÷ contestadas)</w:t>
            </w:r>
          </w:p>
        </w:tc>
        <w:tc>
          <w:tcPr>
            <w:tcW w:type="dxa" w:w="1531"/>
          </w:tcPr>
          <w:p>
            <w:r/>
            <w:r>
              <w:rPr>
                <w:sz w:val="16"/>
              </w:rPr>
              <w:t>Semestral</w:t>
            </w:r>
          </w:p>
        </w:tc>
        <w:tc>
          <w:tcPr>
            <w:tcW w:type="dxa" w:w="1871"/>
          </w:tcPr>
          <w:p>
            <w:r/>
            <w:r>
              <w:rPr>
                <w:sz w:val="16"/>
              </w:rPr>
              <w:t>Conjunto de teste e logs</w:t>
            </w:r>
          </w:p>
        </w:tc>
      </w:tr>
      <w:tr>
        <w:tc>
          <w:tcPr>
            <w:tcW w:type="dxa" w:w="510"/>
          </w:tcPr>
          <w:p>
            <w:r/>
            <w:r>
              <w:rPr>
                <w:b/>
                <w:sz w:val="16"/>
              </w:rPr>
              <w:t>F5</w:t>
            </w:r>
          </w:p>
        </w:tc>
        <w:tc>
          <w:tcPr>
            <w:tcW w:type="dxa" w:w="2041"/>
          </w:tcPr>
          <w:p>
            <w:r/>
            <w:r>
              <w:rPr>
                <w:sz w:val="16"/>
              </w:rPr>
              <w:t>Cobertura de aferição etária</w:t>
            </w:r>
          </w:p>
        </w:tc>
        <w:tc>
          <w:tcPr>
            <w:tcW w:type="dxa" w:w="3685"/>
          </w:tcPr>
          <w:p>
            <w:r/>
            <w:r>
              <w:rPr>
                <w:sz w:val="16"/>
              </w:rPr>
              <w:t>% de contas-sentinela de menores não identificadas no teste de campo</w:t>
            </w:r>
          </w:p>
        </w:tc>
        <w:tc>
          <w:tcPr>
            <w:tcW w:type="dxa" w:w="1531"/>
          </w:tcPr>
          <w:p>
            <w:r/>
            <w:r>
              <w:rPr>
                <w:sz w:val="16"/>
              </w:rPr>
              <w:t>Anual</w:t>
            </w:r>
          </w:p>
        </w:tc>
        <w:tc>
          <w:tcPr>
            <w:tcW w:type="dxa" w:w="1871"/>
          </w:tcPr>
          <w:p>
            <w:r/>
            <w:r>
              <w:rPr>
                <w:sz w:val="16"/>
              </w:rPr>
              <w:t>Teste de campo da ANPD</w:t>
            </w:r>
          </w:p>
        </w:tc>
      </w:tr>
      <w:tr>
        <w:tc>
          <w:tcPr>
            <w:tcW w:type="dxa" w:w="510"/>
          </w:tcPr>
          <w:p>
            <w:r/>
            <w:r>
              <w:rPr>
                <w:b/>
                <w:sz w:val="16"/>
              </w:rPr>
              <w:t>F6</w:t>
            </w:r>
          </w:p>
        </w:tc>
        <w:tc>
          <w:tcPr>
            <w:tcW w:type="dxa" w:w="2041"/>
          </w:tcPr>
          <w:p>
            <w:r/>
            <w:r>
              <w:rPr>
                <w:sz w:val="16"/>
              </w:rPr>
              <w:t>Salvaguardas por padrão</w:t>
            </w:r>
          </w:p>
        </w:tc>
        <w:tc>
          <w:tcPr>
            <w:tcW w:type="dxa" w:w="3685"/>
          </w:tcPr>
          <w:p>
            <w:r/>
            <w:r>
              <w:rPr>
                <w:sz w:val="16"/>
              </w:rPr>
              <w:t>% de contas de 13–17 com configurações protetivas ativas por padrão e % alteradas sem aprovação parental</w:t>
            </w:r>
          </w:p>
        </w:tc>
        <w:tc>
          <w:tcPr>
            <w:tcW w:type="dxa" w:w="1531"/>
          </w:tcPr>
          <w:p>
            <w:r/>
            <w:r>
              <w:rPr>
                <w:sz w:val="16"/>
              </w:rPr>
              <w:t>Semestral</w:t>
            </w:r>
          </w:p>
        </w:tc>
        <w:tc>
          <w:tcPr>
            <w:tcW w:type="dxa" w:w="1871"/>
          </w:tcPr>
          <w:p>
            <w:r/>
            <w:r>
              <w:rPr>
                <w:sz w:val="16"/>
              </w:rPr>
              <w:t>Inspeção do produto e dados de configuração</w:t>
            </w:r>
          </w:p>
        </w:tc>
      </w:tr>
      <w:tr>
        <w:tc>
          <w:tcPr>
            <w:tcW w:type="dxa" w:w="510"/>
          </w:tcPr>
          <w:p>
            <w:r/>
            <w:r>
              <w:rPr>
                <w:b/>
                <w:sz w:val="16"/>
              </w:rPr>
              <w:t>F7</w:t>
            </w:r>
          </w:p>
        </w:tc>
        <w:tc>
          <w:tcPr>
            <w:tcW w:type="dxa" w:w="2041"/>
          </w:tcPr>
          <w:p>
            <w:r/>
            <w:r>
              <w:rPr>
                <w:sz w:val="16"/>
              </w:rPr>
              <w:t>Medidas por mil menores ativos</w:t>
            </w:r>
          </w:p>
        </w:tc>
        <w:tc>
          <w:tcPr>
            <w:tcW w:type="dxa" w:w="3685"/>
          </w:tcPr>
          <w:p>
            <w:r/>
            <w:r>
              <w:rPr>
                <w:sz w:val="16"/>
              </w:rPr>
              <w:t>Medidas por tipo normalizadas, com definição única de "menor ativo"</w:t>
            </w:r>
          </w:p>
        </w:tc>
        <w:tc>
          <w:tcPr>
            <w:tcW w:type="dxa" w:w="1531"/>
          </w:tcPr>
          <w:p>
            <w:r/>
            <w:r>
              <w:rPr>
                <w:sz w:val="16"/>
              </w:rPr>
              <w:t>Semestral</w:t>
            </w:r>
          </w:p>
        </w:tc>
        <w:tc>
          <w:tcPr>
            <w:tcW w:type="dxa" w:w="1871"/>
          </w:tcPr>
          <w:p>
            <w:r/>
            <w:r>
              <w:rPr>
                <w:sz w:val="16"/>
              </w:rPr>
              <w:t>Dados de conta</w:t>
            </w:r>
          </w:p>
        </w:tc>
      </w:tr>
      <w:tr>
        <w:tc>
          <w:tcPr>
            <w:tcW w:type="dxa" w:w="510"/>
          </w:tcPr>
          <w:p>
            <w:r/>
            <w:r>
              <w:rPr>
                <w:b/>
                <w:sz w:val="16"/>
              </w:rPr>
              <w:t>F8</w:t>
            </w:r>
          </w:p>
        </w:tc>
        <w:tc>
          <w:tcPr>
            <w:tcW w:type="dxa" w:w="2041"/>
          </w:tcPr>
          <w:p>
            <w:r/>
            <w:r>
              <w:rPr>
                <w:sz w:val="16"/>
              </w:rPr>
              <w:t>Notificações a autoridades e prosseguimento</w:t>
            </w:r>
          </w:p>
        </w:tc>
        <w:tc>
          <w:tcPr>
            <w:tcW w:type="dxa" w:w="3685"/>
          </w:tcPr>
          <w:p>
            <w:r/>
            <w:r>
              <w:rPr>
                <w:sz w:val="16"/>
              </w:rPr>
              <w:t>Notificações emitidas e % com ação sobre a conta</w:t>
            </w:r>
          </w:p>
        </w:tc>
        <w:tc>
          <w:tcPr>
            <w:tcW w:type="dxa" w:w="1531"/>
          </w:tcPr>
          <w:p>
            <w:r/>
            <w:r>
              <w:rPr>
                <w:sz w:val="16"/>
              </w:rPr>
              <w:t>Semestral</w:t>
            </w:r>
          </w:p>
        </w:tc>
        <w:tc>
          <w:tcPr>
            <w:tcW w:type="dxa" w:w="1871"/>
          </w:tcPr>
          <w:p>
            <w:r/>
            <w:r>
              <w:rPr>
                <w:sz w:val="16"/>
              </w:rPr>
              <w:t>Registro</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268"/>
            <w:shd w:val="clear" w:color="auto" w:fill="1F3A5F"/>
          </w:tcPr>
          <w:p>
            <w:r/>
            <w:r>
              <w:rPr>
                <w:b/>
                <w:color w:val="FFFFFF"/>
                <w:sz w:val="17"/>
              </w:rPr>
              <w:t>Módulo rotativo</w:t>
            </w:r>
          </w:p>
        </w:tc>
        <w:tc>
          <w:tcPr>
            <w:tcW w:type="dxa" w:w="7370"/>
            <w:shd w:val="clear" w:color="auto" w:fill="1F3A5F"/>
          </w:tcPr>
          <w:p>
            <w:r/>
            <w:r>
              <w:rPr>
                <w:b/>
                <w:color w:val="FFFFFF"/>
                <w:sz w:val="17"/>
              </w:rPr>
              <w:t>Indicador exemplar</w:t>
            </w:r>
          </w:p>
        </w:tc>
      </w:tr>
      <w:tr>
        <w:tc>
          <w:tcPr>
            <w:tcW w:type="dxa" w:w="2268"/>
          </w:tcPr>
          <w:p>
            <w:r/>
            <w:r>
              <w:rPr>
                <w:b/>
                <w:sz w:val="17"/>
              </w:rPr>
              <w:t>Feed/recomendação</w:t>
            </w:r>
          </w:p>
        </w:tc>
        <w:tc>
          <w:tcPr>
            <w:tcW w:type="dxa" w:w="7370"/>
          </w:tcPr>
          <w:p>
            <w:r/>
            <w:r>
              <w:rPr>
                <w:sz w:val="17"/>
              </w:rPr>
              <w:t>% de recomendações a menores em categorias sensíveis; efeito de controles de ajuste do feed; auditoria de algoritmo em amostra</w:t>
            </w:r>
          </w:p>
        </w:tc>
      </w:tr>
      <w:tr>
        <w:tc>
          <w:tcPr>
            <w:tcW w:type="dxa" w:w="2268"/>
          </w:tcPr>
          <w:p>
            <w:r/>
            <w:r>
              <w:rPr>
                <w:b/>
                <w:sz w:val="17"/>
              </w:rPr>
              <w:t>Lives</w:t>
            </w:r>
          </w:p>
        </w:tc>
        <w:tc>
          <w:tcPr>
            <w:tcW w:type="dxa" w:w="7370"/>
          </w:tcPr>
          <w:p>
            <w:r/>
            <w:r>
              <w:rPr>
                <w:sz w:val="17"/>
              </w:rPr>
              <w:t>Tempo até derrubada de live violativa; % de lives de menores com moderação ativa; presença de adultos não conectados</w:t>
            </w:r>
          </w:p>
        </w:tc>
      </w:tr>
      <w:tr>
        <w:tc>
          <w:tcPr>
            <w:tcW w:type="dxa" w:w="2268"/>
          </w:tcPr>
          <w:p>
            <w:r/>
            <w:r>
              <w:rPr>
                <w:b/>
                <w:sz w:val="17"/>
              </w:rPr>
              <w:t>Mensageria</w:t>
            </w:r>
          </w:p>
        </w:tc>
        <w:tc>
          <w:tcPr>
            <w:tcW w:type="dxa" w:w="7370"/>
          </w:tcPr>
          <w:p>
            <w:r/>
            <w:r>
              <w:rPr>
                <w:sz w:val="17"/>
              </w:rPr>
              <w:t>% de contas de menores que recebem mensagem de desconhecidos; efetividade de restrição de contato; denúncias de aliciamento por mil menores</w:t>
            </w:r>
          </w:p>
        </w:tc>
      </w:tr>
      <w:tr>
        <w:tc>
          <w:tcPr>
            <w:tcW w:type="dxa" w:w="2268"/>
          </w:tcPr>
          <w:p>
            <w:r/>
            <w:r>
              <w:rPr>
                <w:b/>
                <w:sz w:val="17"/>
              </w:rPr>
              <w:t>IA generativa</w:t>
            </w:r>
          </w:p>
        </w:tc>
        <w:tc>
          <w:tcPr>
            <w:tcW w:type="dxa" w:w="7370"/>
          </w:tcPr>
          <w:p>
            <w:r/>
            <w:r>
              <w:rPr>
                <w:sz w:val="17"/>
              </w:rPr>
              <w:t>Taxa de recusa em prompts de risco (conjunto padrão); incidentes de CSAM sintético detectados; resultados de red team</w:t>
            </w:r>
          </w:p>
        </w:tc>
      </w:tr>
      <w:tr>
        <w:tc>
          <w:tcPr>
            <w:tcW w:type="dxa" w:w="2268"/>
          </w:tcPr>
          <w:p>
            <w:r/>
            <w:r>
              <w:rPr>
                <w:b/>
                <w:sz w:val="17"/>
              </w:rPr>
              <w:t>Monetização</w:t>
            </w:r>
          </w:p>
        </w:tc>
        <w:tc>
          <w:tcPr>
            <w:tcW w:type="dxa" w:w="7370"/>
          </w:tcPr>
          <w:p>
            <w:r/>
            <w:r>
              <w:rPr>
                <w:sz w:val="17"/>
              </w:rPr>
              <w:t>Transações envolvendo menores; presentes/moedas bloqueados; chargebacks e reclamações</w:t>
            </w:r>
          </w:p>
        </w:tc>
      </w:tr>
    </w:tbl>
    <w:p>
      <w:pPr>
        <w:spacing w:after="40"/>
      </w:pPr>
    </w:p>
    <w:p>
      <w:pPr>
        <w:pStyle w:val="Heading1"/>
      </w:pPr>
      <w:r>
        <w:t>6. ETAPA 4 — Teste de fiscalização (visão da Superintendência de Regulação)</w:t>
      </w:r>
    </w:p>
    <w:p>
      <w:pPr>
        <w:spacing w:after="80"/>
      </w:pPr>
      <w:r>
        <w:rPr>
          <w:b w:val="0"/>
          <w:i/>
        </w:rPr>
        <w:t>Como a minuta não tem artigos, avalio as obrigações propostas ou pressupostas em cada seção, e a verificabilidade de cada uma.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608"/>
            <w:shd w:val="clear" w:color="auto" w:fill="1F3A5F"/>
          </w:tcPr>
          <w:p>
            <w:r/>
            <w:r>
              <w:rPr>
                <w:b/>
                <w:color w:val="FFFFFF"/>
                <w:sz w:val="16"/>
              </w:rPr>
              <w:t>Seção / obrigação implícita</w:t>
            </w:r>
          </w:p>
        </w:tc>
        <w:tc>
          <w:tcPr>
            <w:tcW w:type="dxa" w:w="1134"/>
            <w:shd w:val="clear" w:color="auto" w:fill="1F3A5F"/>
          </w:tcPr>
          <w:p>
            <w:r/>
            <w:r>
              <w:rPr>
                <w:b/>
                <w:color w:val="FFFFFF"/>
                <w:sz w:val="16"/>
              </w:rPr>
              <w:t>Verificabilidade</w:t>
            </w:r>
          </w:p>
        </w:tc>
        <w:tc>
          <w:tcPr>
            <w:tcW w:type="dxa" w:w="1814"/>
            <w:shd w:val="clear" w:color="auto" w:fill="1F3A5F"/>
          </w:tcPr>
          <w:p>
            <w:r/>
            <w:r>
              <w:rPr>
                <w:b/>
                <w:color w:val="FFFFFF"/>
                <w:sz w:val="16"/>
              </w:rPr>
              <w:t>Fiscalizável?</w:t>
            </w:r>
          </w:p>
        </w:tc>
        <w:tc>
          <w:tcPr>
            <w:tcW w:type="dxa" w:w="1247"/>
            <w:shd w:val="clear" w:color="auto" w:fill="1F3A5F"/>
          </w:tcPr>
          <w:p>
            <w:r/>
            <w:r>
              <w:rPr>
                <w:b/>
                <w:color w:val="FFFFFF"/>
                <w:sz w:val="16"/>
              </w:rPr>
              <w:t>Depende de boa-fé?</w:t>
            </w:r>
          </w:p>
        </w:tc>
        <w:tc>
          <w:tcPr>
            <w:tcW w:type="dxa" w:w="1417"/>
            <w:shd w:val="clear" w:color="auto" w:fill="1F3A5F"/>
          </w:tcPr>
          <w:p>
            <w:r/>
            <w:r>
              <w:rPr>
                <w:b/>
                <w:color w:val="FFFFFF"/>
                <w:sz w:val="16"/>
              </w:rPr>
              <w:t>Exige auditoria independente?</w:t>
            </w:r>
          </w:p>
        </w:tc>
        <w:tc>
          <w:tcPr>
            <w:tcW w:type="dxa" w:w="1417"/>
            <w:shd w:val="clear" w:color="auto" w:fill="1F3A5F"/>
          </w:tcPr>
          <w:p>
            <w:r/>
            <w:r>
              <w:rPr>
                <w:b/>
                <w:color w:val="FFFFFF"/>
                <w:sz w:val="16"/>
              </w:rPr>
              <w:t>Exige acesso a dados internos?</w:t>
            </w:r>
          </w:p>
        </w:tc>
      </w:tr>
      <w:tr>
        <w:tc>
          <w:tcPr>
            <w:tcW w:type="dxa" w:w="2608"/>
          </w:tcPr>
          <w:p>
            <w:r/>
            <w:r>
              <w:rPr>
                <w:b/>
                <w:sz w:val="16"/>
              </w:rPr>
              <w:t>§1 Reportar riscos do art. 6º</w:t>
            </w:r>
          </w:p>
        </w:tc>
        <w:tc>
          <w:tcPr>
            <w:tcW w:type="dxa" w:w="1134"/>
            <w:shd w:val="clear" w:color="auto" w:fill="F4CCCC"/>
          </w:tcPr>
          <w:p>
            <w:r/>
            <w:r>
              <w:rPr>
                <w:sz w:val="16"/>
              </w:rPr>
              <w:t>Baixa</w:t>
            </w:r>
          </w:p>
        </w:tc>
        <w:tc>
          <w:tcPr>
            <w:tcW w:type="dxa" w:w="1814"/>
          </w:tcPr>
          <w:p>
            <w:r/>
            <w:r>
              <w:rPr>
                <w:sz w:val="16"/>
              </w:rPr>
              <w:t>Só presença textual</w:t>
            </w:r>
          </w:p>
        </w:tc>
        <w:tc>
          <w:tcPr>
            <w:tcW w:type="dxa" w:w="1247"/>
          </w:tcPr>
          <w:p>
            <w:r/>
            <w:r>
              <w:rPr>
                <w:sz w:val="16"/>
              </w:rPr>
              <w:t>Sim</w:t>
            </w:r>
          </w:p>
        </w:tc>
        <w:tc>
          <w:tcPr>
            <w:tcW w:type="dxa" w:w="1417"/>
          </w:tcPr>
          <w:p>
            <w:r/>
            <w:r>
              <w:rPr>
                <w:sz w:val="16"/>
              </w:rPr>
              <w:t>Não</w:t>
            </w:r>
          </w:p>
        </w:tc>
        <w:tc>
          <w:tcPr>
            <w:tcW w:type="dxa" w:w="1417"/>
          </w:tcPr>
          <w:p>
            <w:r/>
            <w:r>
              <w:rPr>
                <w:sz w:val="16"/>
              </w:rPr>
              <w:t>Não</w:t>
            </w:r>
          </w:p>
        </w:tc>
      </w:tr>
      <w:tr>
        <w:tc>
          <w:tcPr>
            <w:tcW w:type="dxa" w:w="2608"/>
          </w:tcPr>
          <w:p>
            <w:r/>
            <w:r>
              <w:rPr>
                <w:b/>
                <w:sz w:val="16"/>
              </w:rPr>
              <w:t>§2 Mapear funcionalidades críticas (feed, lives, mensageria, IA, monetização)</w:t>
            </w:r>
          </w:p>
        </w:tc>
        <w:tc>
          <w:tcPr>
            <w:tcW w:type="dxa" w:w="1134"/>
            <w:shd w:val="clear" w:color="auto" w:fill="FFF2CC"/>
          </w:tcPr>
          <w:p>
            <w:r/>
            <w:r>
              <w:rPr>
                <w:sz w:val="16"/>
              </w:rPr>
              <w:t>Média</w:t>
            </w:r>
          </w:p>
        </w:tc>
        <w:tc>
          <w:tcPr>
            <w:tcW w:type="dxa" w:w="1814"/>
          </w:tcPr>
          <w:p>
            <w:r/>
            <w:r>
              <w:rPr>
                <w:sz w:val="16"/>
              </w:rPr>
              <w:t>Existência do mapeamento sim. Completude não</w:t>
            </w:r>
          </w:p>
        </w:tc>
        <w:tc>
          <w:tcPr>
            <w:tcW w:type="dxa" w:w="1247"/>
          </w:tcPr>
          <w:p>
            <w:r/>
            <w:r>
              <w:rPr>
                <w:sz w:val="16"/>
              </w:rPr>
              <w:t>Em parte</w:t>
            </w:r>
          </w:p>
        </w:tc>
        <w:tc>
          <w:tcPr>
            <w:tcW w:type="dxa" w:w="1417"/>
          </w:tcPr>
          <w:p>
            <w:r/>
            <w:r>
              <w:rPr>
                <w:sz w:val="16"/>
              </w:rPr>
              <w:t>Sim, p/ completude</w:t>
            </w:r>
          </w:p>
        </w:tc>
        <w:tc>
          <w:tcPr>
            <w:tcW w:type="dxa" w:w="1417"/>
          </w:tcPr>
          <w:p>
            <w:r/>
            <w:r>
              <w:rPr>
                <w:sz w:val="16"/>
              </w:rPr>
              <w:t>Sim, p/ confirmar funcionalidades não declaradas</w:t>
            </w:r>
          </w:p>
        </w:tc>
      </w:tr>
      <w:tr>
        <w:tc>
          <w:tcPr>
            <w:tcW w:type="dxa" w:w="2608"/>
          </w:tcPr>
          <w:p>
            <w:r/>
            <w:r>
              <w:rPr>
                <w:b/>
                <w:sz w:val="16"/>
              </w:rPr>
              <w:t>§3 Adotar metodologia de risco (P×G, inerente/residual)</w:t>
            </w:r>
          </w:p>
        </w:tc>
        <w:tc>
          <w:tcPr>
            <w:tcW w:type="dxa" w:w="1134"/>
            <w:shd w:val="clear" w:color="auto" w:fill="FFF2CC"/>
          </w:tcPr>
          <w:p>
            <w:r/>
            <w:r>
              <w:rPr>
                <w:sz w:val="16"/>
              </w:rPr>
              <w:t>Média</w:t>
            </w:r>
          </w:p>
        </w:tc>
        <w:tc>
          <w:tcPr>
            <w:tcW w:type="dxa" w:w="1814"/>
          </w:tcPr>
          <w:p>
            <w:r/>
            <w:r>
              <w:rPr>
                <w:sz w:val="16"/>
              </w:rPr>
              <w:t>Descrição sim. Aplicação real não</w:t>
            </w:r>
          </w:p>
        </w:tc>
        <w:tc>
          <w:tcPr>
            <w:tcW w:type="dxa" w:w="1247"/>
            <w:shd w:val="clear" w:color="auto" w:fill="F4CCCC"/>
          </w:tcPr>
          <w:p>
            <w:r/>
            <w:r>
              <w:rPr>
                <w:sz w:val="16"/>
              </w:rPr>
              <w:t>Alto</w:t>
            </w:r>
          </w:p>
        </w:tc>
        <w:tc>
          <w:tcPr>
            <w:tcW w:type="dxa" w:w="1417"/>
          </w:tcPr>
          <w:p>
            <w:r/>
            <w:r>
              <w:rPr>
                <w:sz w:val="16"/>
              </w:rPr>
              <w:t>Sim</w:t>
            </w:r>
          </w:p>
        </w:tc>
        <w:tc>
          <w:tcPr>
            <w:tcW w:type="dxa" w:w="1417"/>
          </w:tcPr>
          <w:p>
            <w:r/>
            <w:r>
              <w:rPr>
                <w:sz w:val="16"/>
              </w:rPr>
              <w:t>Sim</w:t>
            </w:r>
          </w:p>
        </w:tc>
      </w:tr>
      <w:tr>
        <w:tc>
          <w:tcPr>
            <w:tcW w:type="dxa" w:w="2608"/>
          </w:tcPr>
          <w:p>
            <w:r/>
            <w:r>
              <w:rPr>
                <w:b/>
                <w:sz w:val="16"/>
              </w:rPr>
              <w:t>§3 Classificar risco residual</w:t>
            </w:r>
          </w:p>
        </w:tc>
        <w:tc>
          <w:tcPr>
            <w:tcW w:type="dxa" w:w="1134"/>
            <w:shd w:val="clear" w:color="auto" w:fill="F4CCCC"/>
          </w:tcPr>
          <w:p>
            <w:r/>
            <w:r>
              <w:rPr>
                <w:sz w:val="16"/>
              </w:rPr>
              <w:t>Baixa</w:t>
            </w:r>
          </w:p>
        </w:tc>
        <w:tc>
          <w:tcPr>
            <w:tcW w:type="dxa" w:w="1814"/>
          </w:tcPr>
          <w:p>
            <w:r/>
            <w:r>
              <w:rPr>
                <w:sz w:val="16"/>
              </w:rPr>
              <w:t>Rótulo sim. Correção não</w:t>
            </w:r>
          </w:p>
        </w:tc>
        <w:tc>
          <w:tcPr>
            <w:tcW w:type="dxa" w:w="1247"/>
          </w:tcPr>
          <w:p>
            <w:r/>
            <w:r>
              <w:rPr>
                <w:sz w:val="16"/>
              </w:rPr>
              <w:t>Sim, integralmente</w:t>
            </w:r>
          </w:p>
        </w:tc>
        <w:tc>
          <w:tcPr>
            <w:tcW w:type="dxa" w:w="1417"/>
          </w:tcPr>
          <w:p>
            <w:r/>
            <w:r>
              <w:rPr>
                <w:sz w:val="16"/>
              </w:rPr>
              <w:t>Sim</w:t>
            </w:r>
          </w:p>
        </w:tc>
        <w:tc>
          <w:tcPr>
            <w:tcW w:type="dxa" w:w="1417"/>
          </w:tcPr>
          <w:p>
            <w:r/>
            <w:r>
              <w:rPr>
                <w:sz w:val="16"/>
              </w:rPr>
              <w:t>Sim</w:t>
            </w:r>
          </w:p>
        </w:tc>
      </w:tr>
      <w:tr>
        <w:tc>
          <w:tcPr>
            <w:tcW w:type="dxa" w:w="2608"/>
          </w:tcPr>
          <w:p>
            <w:r/>
            <w:r>
              <w:rPr>
                <w:b/>
                <w:sz w:val="16"/>
              </w:rPr>
              <w:t>§3 Validação externa das matrizes (lacuna)</w:t>
            </w:r>
          </w:p>
        </w:tc>
        <w:tc>
          <w:tcPr>
            <w:tcW w:type="dxa" w:w="1134"/>
          </w:tcPr>
          <w:p>
            <w:r/>
            <w:r>
              <w:rPr>
                <w:sz w:val="16"/>
              </w:rPr>
              <w:t>Alta, se for tornada obrigação</w:t>
            </w:r>
          </w:p>
        </w:tc>
        <w:tc>
          <w:tcPr>
            <w:tcW w:type="dxa" w:w="1814"/>
          </w:tcPr>
          <w:p>
            <w:r/>
            <w:r>
              <w:rPr>
                <w:sz w:val="16"/>
              </w:rPr>
              <w:t>Sim (existência de parecer)</w:t>
            </w:r>
          </w:p>
        </w:tc>
        <w:tc>
          <w:tcPr>
            <w:tcW w:type="dxa" w:w="1247"/>
          </w:tcPr>
          <w:p>
            <w:r/>
            <w:r>
              <w:rPr>
                <w:sz w:val="16"/>
              </w:rPr>
              <w:t>Não</w:t>
            </w:r>
          </w:p>
        </w:tc>
        <w:tc>
          <w:tcPr>
            <w:tcW w:type="dxa" w:w="1417"/>
          </w:tcPr>
          <w:p>
            <w:r/>
            <w:r>
              <w:rPr>
                <w:sz w:val="16"/>
              </w:rPr>
              <w:t>É a própria auditoria</w:t>
            </w:r>
          </w:p>
        </w:tc>
        <w:tc>
          <w:tcPr>
            <w:tcW w:type="dxa" w:w="1417"/>
          </w:tcPr>
          <w:p>
            <w:r/>
            <w:r>
              <w:rPr>
                <w:sz w:val="16"/>
              </w:rPr>
              <w:t>Sim</w:t>
            </w:r>
          </w:p>
        </w:tc>
      </w:tr>
      <w:tr>
        <w:tc>
          <w:tcPr>
            <w:tcW w:type="dxa" w:w="2608"/>
          </w:tcPr>
          <w:p>
            <w:r/>
            <w:r>
              <w:rPr>
                <w:b/>
                <w:sz w:val="16"/>
              </w:rPr>
              <w:t>§4 Detecção automatizada</w:t>
            </w:r>
          </w:p>
        </w:tc>
        <w:tc>
          <w:tcPr>
            <w:tcW w:type="dxa" w:w="1134"/>
            <w:shd w:val="clear" w:color="auto" w:fill="F4CCCC"/>
          </w:tcPr>
          <w:p>
            <w:r/>
            <w:r>
              <w:rPr>
                <w:sz w:val="16"/>
              </w:rPr>
              <w:t>Baixa</w:t>
            </w:r>
          </w:p>
        </w:tc>
        <w:tc>
          <w:tcPr>
            <w:tcW w:type="dxa" w:w="1814"/>
          </w:tcPr>
          <w:p>
            <w:r/>
            <w:r>
              <w:rPr>
                <w:sz w:val="16"/>
              </w:rPr>
              <w:t>Descrição sim. Desempenho não</w:t>
            </w:r>
          </w:p>
        </w:tc>
        <w:tc>
          <w:tcPr>
            <w:tcW w:type="dxa" w:w="1247"/>
            <w:shd w:val="clear" w:color="auto" w:fill="F4CCCC"/>
          </w:tcPr>
          <w:p>
            <w:r/>
            <w:r>
              <w:rPr>
                <w:sz w:val="16"/>
              </w:rPr>
              <w:t>Alto</w:t>
            </w:r>
          </w:p>
        </w:tc>
        <w:tc>
          <w:tcPr>
            <w:tcW w:type="dxa" w:w="1417"/>
          </w:tcPr>
          <w:p>
            <w:r/>
            <w:r>
              <w:rPr>
                <w:sz w:val="16"/>
              </w:rPr>
              <w:t>Sim</w:t>
            </w:r>
          </w:p>
        </w:tc>
        <w:tc>
          <w:tcPr>
            <w:tcW w:type="dxa" w:w="1417"/>
          </w:tcPr>
          <w:p>
            <w:r/>
            <w:r>
              <w:rPr>
                <w:sz w:val="16"/>
              </w:rPr>
              <w:t>Sim (conjuntos de teste e logs)</w:t>
            </w:r>
          </w:p>
        </w:tc>
      </w:tr>
      <w:tr>
        <w:tc>
          <w:tcPr>
            <w:tcW w:type="dxa" w:w="2608"/>
          </w:tcPr>
          <w:p>
            <w:r/>
            <w:r>
              <w:rPr>
                <w:b/>
                <w:sz w:val="16"/>
              </w:rPr>
              <w:t>§4 Indicadores de erro (falsos positivos, reversões)</w:t>
            </w:r>
          </w:p>
        </w:tc>
        <w:tc>
          <w:tcPr>
            <w:tcW w:type="dxa" w:w="1134"/>
            <w:shd w:val="clear" w:color="auto" w:fill="FFF2CC"/>
          </w:tcPr>
          <w:p>
            <w:r/>
            <w:r>
              <w:rPr>
                <w:sz w:val="16"/>
              </w:rPr>
              <w:t>Média</w:t>
            </w:r>
          </w:p>
        </w:tc>
        <w:tc>
          <w:tcPr>
            <w:tcW w:type="dxa" w:w="1814"/>
          </w:tcPr>
          <w:p>
            <w:r/>
            <w:r>
              <w:rPr>
                <w:sz w:val="16"/>
              </w:rPr>
              <w:t>Sim, se houver definição única</w:t>
            </w:r>
          </w:p>
        </w:tc>
        <w:tc>
          <w:tcPr>
            <w:tcW w:type="dxa" w:w="1247"/>
            <w:shd w:val="clear" w:color="auto" w:fill="FFF2CC"/>
          </w:tcPr>
          <w:p>
            <w:r/>
            <w:r>
              <w:rPr>
                <w:sz w:val="16"/>
              </w:rPr>
              <w:t>Médio</w:t>
            </w:r>
          </w:p>
        </w:tc>
        <w:tc>
          <w:tcPr>
            <w:tcW w:type="dxa" w:w="1417"/>
          </w:tcPr>
          <w:p>
            <w:r/>
            <w:r>
              <w:rPr>
                <w:sz w:val="16"/>
              </w:rPr>
              <w:t>Sim</w:t>
            </w:r>
          </w:p>
        </w:tc>
        <w:tc>
          <w:tcPr>
            <w:tcW w:type="dxa" w:w="1417"/>
          </w:tcPr>
          <w:p>
            <w:r/>
            <w:r>
              <w:rPr>
                <w:sz w:val="16"/>
              </w:rPr>
              <w:t>Sim</w:t>
            </w:r>
          </w:p>
        </w:tc>
      </w:tr>
      <w:tr>
        <w:tc>
          <w:tcPr>
            <w:tcW w:type="dxa" w:w="2608"/>
          </w:tcPr>
          <w:p>
            <w:r/>
            <w:r>
              <w:rPr>
                <w:b/>
                <w:sz w:val="16"/>
              </w:rPr>
              <w:t>§4 Acesso condicionado / aferição etária</w:t>
            </w:r>
          </w:p>
        </w:tc>
        <w:tc>
          <w:tcPr>
            <w:tcW w:type="dxa" w:w="1134"/>
            <w:shd w:val="clear" w:color="auto" w:fill="FFF2CC"/>
          </w:tcPr>
          <w:p>
            <w:r/>
            <w:r>
              <w:rPr>
                <w:sz w:val="16"/>
              </w:rPr>
              <w:t>Média</w:t>
            </w:r>
          </w:p>
        </w:tc>
        <w:tc>
          <w:tcPr>
            <w:tcW w:type="dxa" w:w="1814"/>
          </w:tcPr>
          <w:p>
            <w:r/>
            <w:r>
              <w:rPr>
                <w:sz w:val="16"/>
              </w:rPr>
              <w:t>Teste de campo viável</w:t>
            </w:r>
          </w:p>
        </w:tc>
        <w:tc>
          <w:tcPr>
            <w:tcW w:type="dxa" w:w="1247"/>
            <w:shd w:val="clear" w:color="auto" w:fill="FFF2CC"/>
          </w:tcPr>
          <w:p>
            <w:r/>
            <w:r>
              <w:rPr>
                <w:sz w:val="16"/>
              </w:rPr>
              <w:t>Médio</w:t>
            </w:r>
          </w:p>
        </w:tc>
        <w:tc>
          <w:tcPr>
            <w:tcW w:type="dxa" w:w="1417"/>
          </w:tcPr>
          <w:p>
            <w:r/>
            <w:r>
              <w:rPr>
                <w:sz w:val="16"/>
              </w:rPr>
              <w:t>Parcial</w:t>
            </w:r>
          </w:p>
        </w:tc>
        <w:tc>
          <w:tcPr>
            <w:tcW w:type="dxa" w:w="1417"/>
          </w:tcPr>
          <w:p>
            <w:r/>
            <w:r>
              <w:rPr>
                <w:sz w:val="16"/>
              </w:rPr>
              <w:t>Parcial</w:t>
            </w:r>
          </w:p>
        </w:tc>
      </w:tr>
      <w:tr>
        <w:tc>
          <w:tcPr>
            <w:tcW w:type="dxa" w:w="2608"/>
          </w:tcPr>
          <w:p>
            <w:r/>
            <w:r>
              <w:rPr>
                <w:b/>
                <w:sz w:val="16"/>
              </w:rPr>
              <w:t>§4–§5 Métricas comparáveis (Ficha fixa)</w:t>
            </w:r>
          </w:p>
        </w:tc>
        <w:tc>
          <w:tcPr>
            <w:tcW w:type="dxa" w:w="1134"/>
          </w:tcPr>
          <w:p>
            <w:r/>
            <w:r>
              <w:rPr>
                <w:sz w:val="16"/>
              </w:rPr>
              <w:t>Alta, se a definição vier do regulador</w:t>
            </w:r>
          </w:p>
        </w:tc>
        <w:tc>
          <w:tcPr>
            <w:tcW w:type="dxa" w:w="1814"/>
          </w:tcPr>
          <w:p>
            <w:r/>
            <w:r>
              <w:rPr>
                <w:sz w:val="16"/>
              </w:rPr>
              <w:t>Sim, por reprodução de amostra</w:t>
            </w:r>
          </w:p>
        </w:tc>
        <w:tc>
          <w:tcPr>
            <w:tcW w:type="dxa" w:w="1247"/>
            <w:shd w:val="clear" w:color="auto" w:fill="D9EAD3"/>
          </w:tcPr>
          <w:p>
            <w:r/>
            <w:r>
              <w:rPr>
                <w:sz w:val="16"/>
              </w:rPr>
              <w:t>Baixo</w:t>
            </w:r>
          </w:p>
        </w:tc>
        <w:tc>
          <w:tcPr>
            <w:tcW w:type="dxa" w:w="1417"/>
          </w:tcPr>
          <w:p>
            <w:r/>
            <w:r>
              <w:rPr>
                <w:sz w:val="16"/>
              </w:rPr>
              <w:t>Para amostragem e prevalência</w:t>
            </w:r>
          </w:p>
        </w:tc>
        <w:tc>
          <w:tcPr>
            <w:tcW w:type="dxa" w:w="1417"/>
          </w:tcPr>
          <w:p>
            <w:r/>
            <w:r>
              <w:rPr>
                <w:sz w:val="16"/>
              </w:rPr>
              <w:t>Sim</w:t>
            </w:r>
          </w:p>
        </w:tc>
      </w:tr>
      <w:tr>
        <w:tc>
          <w:tcPr>
            <w:tcW w:type="dxa" w:w="2608"/>
          </w:tcPr>
          <w:p>
            <w:r/>
            <w:r>
              <w:rPr>
                <w:b/>
                <w:sz w:val="16"/>
              </w:rPr>
              <w:t>§5 Módulos rotativos por funcionalidade</w:t>
            </w:r>
          </w:p>
        </w:tc>
        <w:tc>
          <w:tcPr>
            <w:tcW w:type="dxa" w:w="1134"/>
            <w:shd w:val="clear" w:color="auto" w:fill="FFF2CC"/>
          </w:tcPr>
          <w:p>
            <w:r/>
            <w:r>
              <w:rPr>
                <w:sz w:val="16"/>
              </w:rPr>
              <w:t>Média</w:t>
            </w:r>
          </w:p>
        </w:tc>
        <w:tc>
          <w:tcPr>
            <w:tcW w:type="dxa" w:w="1814"/>
          </w:tcPr>
          <w:p>
            <w:r/>
            <w:r>
              <w:rPr>
                <w:sz w:val="16"/>
              </w:rPr>
              <w:t>Depende da especificação</w:t>
            </w:r>
          </w:p>
        </w:tc>
        <w:tc>
          <w:tcPr>
            <w:tcW w:type="dxa" w:w="1247"/>
            <w:shd w:val="clear" w:color="auto" w:fill="FFF2CC"/>
          </w:tcPr>
          <w:p>
            <w:r/>
            <w:r>
              <w:rPr>
                <w:sz w:val="16"/>
              </w:rPr>
              <w:t>Médio</w:t>
            </w:r>
          </w:p>
        </w:tc>
        <w:tc>
          <w:tcPr>
            <w:tcW w:type="dxa" w:w="1417"/>
          </w:tcPr>
          <w:p>
            <w:r/>
            <w:r>
              <w:rPr>
                <w:sz w:val="16"/>
              </w:rPr>
              <w:t>Sim</w:t>
            </w:r>
          </w:p>
        </w:tc>
        <w:tc>
          <w:tcPr>
            <w:tcW w:type="dxa" w:w="1417"/>
          </w:tcPr>
          <w:p>
            <w:r/>
            <w:r>
              <w:rPr>
                <w:sz w:val="16"/>
              </w:rPr>
              <w:t>Sim</w:t>
            </w:r>
          </w:p>
        </w:tc>
      </w:tr>
      <w:tr>
        <w:tc>
          <w:tcPr>
            <w:tcW w:type="dxa" w:w="2608"/>
          </w:tcPr>
          <w:p>
            <w:r/>
            <w:r>
              <w:rPr>
                <w:b/>
                <w:sz w:val="16"/>
              </w:rPr>
              <w:t>Dever de reportar (cobertura): quem deve e não reportou</w:t>
            </w:r>
          </w:p>
        </w:tc>
        <w:tc>
          <w:tcPr>
            <w:tcW w:type="dxa" w:w="1134"/>
            <w:shd w:val="clear" w:color="auto" w:fill="D9EAD3"/>
          </w:tcPr>
          <w:p>
            <w:r/>
            <w:r>
              <w:rPr>
                <w:sz w:val="16"/>
              </w:rPr>
              <w:t>Alta</w:t>
            </w:r>
          </w:p>
        </w:tc>
        <w:tc>
          <w:tcPr>
            <w:tcW w:type="dxa" w:w="1814"/>
          </w:tcPr>
          <w:p>
            <w:r/>
            <w:r>
              <w:rPr>
                <w:sz w:val="16"/>
              </w:rPr>
              <w:t>Sim. Fiscalização por varredura</w:t>
            </w:r>
          </w:p>
        </w:tc>
        <w:tc>
          <w:tcPr>
            <w:tcW w:type="dxa" w:w="1247"/>
          </w:tcPr>
          <w:p>
            <w:r/>
            <w:r>
              <w:rPr>
                <w:sz w:val="16"/>
              </w:rPr>
              <w:t>Não</w:t>
            </w:r>
          </w:p>
        </w:tc>
        <w:tc>
          <w:tcPr>
            <w:tcW w:type="dxa" w:w="1417"/>
          </w:tcPr>
          <w:p>
            <w:r/>
            <w:r>
              <w:rPr>
                <w:sz w:val="16"/>
              </w:rPr>
              <w:t>Não</w:t>
            </w:r>
          </w:p>
        </w:tc>
        <w:tc>
          <w:tcPr>
            <w:tcW w:type="dxa" w:w="1417"/>
          </w:tcPr>
          <w:p>
            <w:r/>
            <w:r>
              <w:rPr>
                <w:sz w:val="16"/>
              </w:rPr>
              <w:t>Não</w:t>
            </w:r>
          </w:p>
        </w:tc>
      </w:tr>
    </w:tbl>
    <w:p>
      <w:pPr>
        <w:spacing w:after="40"/>
      </w:pPr>
    </w:p>
    <w:p>
      <w:pPr>
        <w:pStyle w:val="Heading2"/>
      </w:pPr>
      <w:r>
        <w:t>6.1 Resposta direta às perguntas</w:t>
      </w:r>
    </w:p>
    <w:p>
      <w:pPr>
        <w:pStyle w:val="ListBullet"/>
        <w:spacing w:after="40"/>
      </w:pPr>
      <w:r>
        <w:rPr>
          <w:b/>
        </w:rPr>
        <w:t>Fiscalizável com meios do regulador:</w:t>
      </w:r>
      <w:r>
        <w:t xml:space="preserve"> presença e prazo do relatório; existência de canal, de parecer de auditoria e de salvaguardas por padrão (inspeção de produto); realização de teste de campo de aferição etária; reprodução de métricas com definição única; cobertura (varredura de quem não reportou).</w:t>
      </w:r>
    </w:p>
    <w:p>
      <w:pPr>
        <w:pStyle w:val="ListBullet"/>
        <w:spacing w:after="40"/>
      </w:pPr>
      <w:r>
        <w:rPr>
          <w:b/>
        </w:rPr>
        <w:t>Dependem de boa-fé hoje:</w:t>
      </w:r>
      <w:r>
        <w:t xml:space="preserve"> classificação de risco residual; descrição da eficácia de detecção automatizada; alegações de "revisão multidisciplinar"; afirmações sobre o que a empresa "prioriza".</w:t>
      </w:r>
    </w:p>
    <w:p>
      <w:pPr>
        <w:pStyle w:val="ListBullet"/>
        <w:spacing w:after="40"/>
      </w:pPr>
      <w:r>
        <w:rPr>
          <w:b/>
        </w:rPr>
        <w:t>Exigem auditoria independente:</w:t>
      </w:r>
      <w:r>
        <w:t xml:space="preserve"> matriz de risco e seus critérios; desempenho de detecção; amostragem de prevalência; integridade das séries; funcionalidades de IA.</w:t>
      </w:r>
    </w:p>
    <w:p>
      <w:pPr>
        <w:pStyle w:val="ListBullet"/>
        <w:spacing w:after="40"/>
      </w:pPr>
      <w:r>
        <w:rPr>
          <w:b/>
        </w:rPr>
        <w:t>Exigem acesso a dados internos:</w:t>
      </w:r>
      <w:r>
        <w:t xml:space="preserve"> prevalência, tempo de exposição, logs de recomendação, logs de recursos, conjuntos de teste de classificadores, dados de configuração de contas de menores.</w:t>
      </w:r>
    </w:p>
    <w:p>
      <w:pPr>
        <w:spacing w:after="80"/>
      </w:pPr>
      <w:r>
        <w:rPr>
          <w:b/>
          <w:i w:val="0"/>
        </w:rPr>
        <w:t>Conclusão da Etapa 4: sem poder expresso de requisição de dados, auditoria e teste de campo, quase todo o núcleo da proposta (risco residual, eficácia de detecção, prevalência) fica na dependência da boa-fé. A minuta precisa afirmar esses poderes ou apontar o fundamento jurídico em que se apoiam.</w:t>
      </w:r>
    </w:p>
    <w:p>
      <w:pPr>
        <w:spacing w:after="80"/>
      </w:pPr>
      <w:r>
        <w:rPr>
          <w:b w:val="0"/>
          <w:i/>
        </w:rPr>
        <w:t>Ponto jurídico a verificar: a base legal de poder para exigir acesso a dados internos e auditoria. Confirmar se o ECA Digital e o Despacho Decisório CD/ANPD 122/2026 já conferem esse poder, ou se é necessário regulamento. A LGPD (arts. 55-J e 55-K, e o poder de fiscalização e de requisição de informações) pode dar suporte parcial, mas não substitui previsão específica de auditoria de sistemas de recomendação. Cabe parecer da Procuradoria.</w:t>
      </w:r>
    </w:p>
    <w:p>
      <w:pPr>
        <w:pStyle w:val="Heading1"/>
      </w:pPr>
      <w:r>
        <w:t>7. ETAPA 5 — Red Team regulatório</w:t>
      </w:r>
    </w:p>
    <w:p>
      <w:pPr>
        <w:spacing w:after="80"/>
      </w:pPr>
      <w:r>
        <w:rPr>
          <w:b w:val="0"/>
          <w:i/>
        </w:rPr>
        <w:t>Perspectiva do Diretor de Políticas Públicas de uma grande plataforma, explorando brechas na minuta e na lógica da Ficha, seguidas da correção normativa.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361"/>
            <w:shd w:val="clear" w:color="auto" w:fill="1F3A5F"/>
          </w:tcPr>
          <w:p>
            <w:r/>
            <w:r>
              <w:rPr>
                <w:b/>
                <w:color w:val="FFFFFF"/>
                <w:sz w:val="15"/>
              </w:rPr>
              <w:t>Obrigação</w:t>
            </w:r>
          </w:p>
        </w:tc>
        <w:tc>
          <w:tcPr>
            <w:tcW w:type="dxa" w:w="2154"/>
            <w:shd w:val="clear" w:color="auto" w:fill="1F3A5F"/>
          </w:tcPr>
          <w:p>
            <w:r/>
            <w:r>
              <w:rPr>
                <w:b/>
                <w:color w:val="FFFFFF"/>
                <w:sz w:val="15"/>
              </w:rPr>
              <w:t>Como aparentar conformidade sem reduzir risco</w:t>
            </w:r>
          </w:p>
        </w:tc>
        <w:tc>
          <w:tcPr>
            <w:tcW w:type="dxa" w:w="1814"/>
            <w:shd w:val="clear" w:color="auto" w:fill="1F3A5F"/>
          </w:tcPr>
          <w:p>
            <w:r/>
            <w:r>
              <w:rPr>
                <w:b/>
                <w:color w:val="FFFFFF"/>
                <w:sz w:val="15"/>
              </w:rPr>
              <w:t>Como manipular a métrica</w:t>
            </w:r>
          </w:p>
        </w:tc>
        <w:tc>
          <w:tcPr>
            <w:tcW w:type="dxa" w:w="1814"/>
            <w:shd w:val="clear" w:color="auto" w:fill="1F3A5F"/>
          </w:tcPr>
          <w:p>
            <w:r/>
            <w:r>
              <w:rPr>
                <w:b/>
                <w:color w:val="FFFFFF"/>
                <w:sz w:val="15"/>
              </w:rPr>
              <w:t>Como redefinir para melhorar o indicador</w:t>
            </w:r>
          </w:p>
        </w:tc>
        <w:tc>
          <w:tcPr>
            <w:tcW w:type="dxa" w:w="2494"/>
            <w:shd w:val="clear" w:color="auto" w:fill="1F3A5F"/>
          </w:tcPr>
          <w:p>
            <w:r/>
            <w:r>
              <w:rPr>
                <w:b/>
                <w:color w:val="FFFFFF"/>
                <w:sz w:val="15"/>
              </w:rPr>
              <w:t>Correção normativa</w:t>
            </w:r>
          </w:p>
        </w:tc>
      </w:tr>
      <w:tr>
        <w:tc>
          <w:tcPr>
            <w:tcW w:type="dxa" w:w="1361"/>
          </w:tcPr>
          <w:p>
            <w:r/>
            <w:r>
              <w:rPr>
                <w:b/>
                <w:sz w:val="15"/>
              </w:rPr>
              <w:t>Mapear funcionalidades críticas</w:t>
            </w:r>
          </w:p>
        </w:tc>
        <w:tc>
          <w:tcPr>
            <w:tcW w:type="dxa" w:w="2154"/>
          </w:tcPr>
          <w:p>
            <w:r/>
            <w:r>
              <w:rPr>
                <w:sz w:val="15"/>
              </w:rPr>
              <w:t>Listar as funcionalidades com descrição genérica e rótulo "baixo risco". Dividir o feed em produtos distintos.</w:t>
            </w:r>
          </w:p>
        </w:tc>
        <w:tc>
          <w:tcPr>
            <w:tcW w:type="dxa" w:w="1814"/>
          </w:tcPr>
          <w:p>
            <w:r/>
            <w:r>
              <w:rPr>
                <w:sz w:val="15"/>
              </w:rPr>
              <w:t>Reportar só a funcionalidade principal.</w:t>
            </w:r>
          </w:p>
        </w:tc>
        <w:tc>
          <w:tcPr>
            <w:tcW w:type="dxa" w:w="1814"/>
          </w:tcPr>
          <w:p>
            <w:r/>
            <w:r>
              <w:rPr>
                <w:sz w:val="15"/>
              </w:rPr>
              <w:t>Redefinir "recomendação" para excluir "descoberta" ou "pesquisa".</w:t>
            </w:r>
          </w:p>
        </w:tc>
        <w:tc>
          <w:tcPr>
            <w:tcW w:type="dxa" w:w="2494"/>
          </w:tcPr>
          <w:p>
            <w:r/>
            <w:r>
              <w:rPr>
                <w:sz w:val="15"/>
              </w:rPr>
              <w:t>Taxonomia obrigatória do regulador com definições funcionais. Cláusula anticontorno por finalidade e efeito. Inventário auditável de funcionalidades.</w:t>
            </w:r>
          </w:p>
        </w:tc>
      </w:tr>
      <w:tr>
        <w:tc>
          <w:tcPr>
            <w:tcW w:type="dxa" w:w="1361"/>
          </w:tcPr>
          <w:p>
            <w:r/>
            <w:r>
              <w:rPr>
                <w:b/>
                <w:sz w:val="15"/>
              </w:rPr>
              <w:t>Classificar risco residual</w:t>
            </w:r>
          </w:p>
        </w:tc>
        <w:tc>
          <w:tcPr>
            <w:tcW w:type="dxa" w:w="2154"/>
          </w:tcPr>
          <w:p>
            <w:r/>
            <w:r>
              <w:rPr>
                <w:sz w:val="15"/>
              </w:rPr>
              <w:t>Escala interna benevolente. Considerar controles planejados como existentes.</w:t>
            </w:r>
          </w:p>
        </w:tc>
        <w:tc>
          <w:tcPr>
            <w:tcW w:type="dxa" w:w="1814"/>
          </w:tcPr>
          <w:p>
            <w:r/>
            <w:r>
              <w:rPr>
                <w:sz w:val="15"/>
              </w:rPr>
              <w:t>Reduzir a probabilidade por "baixa incidência" sem dado.</w:t>
            </w:r>
          </w:p>
        </w:tc>
        <w:tc>
          <w:tcPr>
            <w:tcW w:type="dxa" w:w="1814"/>
          </w:tcPr>
          <w:p>
            <w:r/>
            <w:r>
              <w:rPr>
                <w:sz w:val="15"/>
              </w:rPr>
              <w:t>Mudar a escala entre ciclos.</w:t>
            </w:r>
          </w:p>
        </w:tc>
        <w:tc>
          <w:tcPr>
            <w:tcW w:type="dxa" w:w="2494"/>
          </w:tcPr>
          <w:p>
            <w:r/>
            <w:r>
              <w:rPr>
                <w:sz w:val="15"/>
              </w:rPr>
              <w:t>Escala e critérios públicos, com âncoras. Rebaixamento só com evidência de eficácia. Série com versionamento da escala.</w:t>
            </w:r>
          </w:p>
        </w:tc>
      </w:tr>
      <w:tr>
        <w:tc>
          <w:tcPr>
            <w:tcW w:type="dxa" w:w="1361"/>
          </w:tcPr>
          <w:p>
            <w:r/>
            <w:r>
              <w:rPr>
                <w:b/>
                <w:sz w:val="15"/>
              </w:rPr>
              <w:t>Detecção automatizada</w:t>
            </w:r>
          </w:p>
        </w:tc>
        <w:tc>
          <w:tcPr>
            <w:tcW w:type="dxa" w:w="2154"/>
          </w:tcPr>
          <w:p>
            <w:r/>
            <w:r>
              <w:rPr>
                <w:sz w:val="15"/>
              </w:rPr>
              <w:t>Declarar o uso de classificadores sem desempenho.</w:t>
            </w:r>
          </w:p>
        </w:tc>
        <w:tc>
          <w:tcPr>
            <w:tcW w:type="dxa" w:w="1814"/>
          </w:tcPr>
          <w:p>
            <w:r/>
            <w:r>
              <w:rPr>
                <w:sz w:val="15"/>
              </w:rPr>
              <w:t>Medir precisão em conjunto fácil. Reportar só o que foi detectado.</w:t>
            </w:r>
          </w:p>
        </w:tc>
        <w:tc>
          <w:tcPr>
            <w:tcW w:type="dxa" w:w="1814"/>
          </w:tcPr>
          <w:p>
            <w:r/>
            <w:r>
              <w:rPr>
                <w:sz w:val="15"/>
              </w:rPr>
              <w:t>Definir "falso positivo" restritivamente.</w:t>
            </w:r>
          </w:p>
        </w:tc>
        <w:tc>
          <w:tcPr>
            <w:tcW w:type="dxa" w:w="2494"/>
          </w:tcPr>
          <w:p>
            <w:r/>
            <w:r>
              <w:rPr>
                <w:sz w:val="15"/>
              </w:rPr>
              <w:t>Teste independente em conjunto-ouro. Definição regulatória de acerto e erro. Reporte de recall estimado.</w:t>
            </w:r>
          </w:p>
        </w:tc>
      </w:tr>
      <w:tr>
        <w:tc>
          <w:tcPr>
            <w:tcW w:type="dxa" w:w="1361"/>
          </w:tcPr>
          <w:p>
            <w:r/>
            <w:r>
              <w:rPr>
                <w:b/>
                <w:sz w:val="15"/>
              </w:rPr>
              <w:t>Denúncias</w:t>
            </w:r>
          </w:p>
        </w:tc>
        <w:tc>
          <w:tcPr>
            <w:tcW w:type="dxa" w:w="2154"/>
          </w:tcPr>
          <w:p>
            <w:r/>
            <w:r>
              <w:rPr>
                <w:sz w:val="15"/>
              </w:rPr>
              <w:t>Tornar o canal difícil e reduzir denúncias (menos atrito = mais denúncia).</w:t>
            </w:r>
          </w:p>
        </w:tc>
        <w:tc>
          <w:tcPr>
            <w:tcW w:type="dxa" w:w="1814"/>
          </w:tcPr>
          <w:p>
            <w:r/>
            <w:r>
              <w:rPr>
                <w:sz w:val="15"/>
              </w:rPr>
              <w:t>Contar como "denúncia" só o formulário formal. Excluir spam sem critério.</w:t>
            </w:r>
          </w:p>
        </w:tc>
        <w:tc>
          <w:tcPr>
            <w:tcW w:type="dxa" w:w="1814"/>
          </w:tcPr>
          <w:p>
            <w:r/>
            <w:r>
              <w:rPr>
                <w:sz w:val="15"/>
              </w:rPr>
              <w:t>Alterar o que é "denúncia" entre ciclos.</w:t>
            </w:r>
          </w:p>
        </w:tc>
        <w:tc>
          <w:tcPr>
            <w:tcW w:type="dxa" w:w="2494"/>
          </w:tcPr>
          <w:p>
            <w:r/>
            <w:r>
              <w:rPr>
                <w:sz w:val="15"/>
              </w:rPr>
              <w:t>Definição única de "denúncia" e "denúncia válida". Auditar a usabilidade do canal. Reporte de funil (iniciadas, concluídas, analisadas).</w:t>
            </w:r>
          </w:p>
        </w:tc>
      </w:tr>
      <w:tr>
        <w:tc>
          <w:tcPr>
            <w:tcW w:type="dxa" w:w="1361"/>
          </w:tcPr>
          <w:p>
            <w:r/>
            <w:r>
              <w:rPr>
                <w:b/>
                <w:sz w:val="15"/>
              </w:rPr>
              <w:t>Tempo até ação</w:t>
            </w:r>
          </w:p>
        </w:tc>
        <w:tc>
          <w:tcPr>
            <w:tcW w:type="dxa" w:w="2154"/>
          </w:tcPr>
          <w:p>
            <w:r/>
            <w:r>
              <w:rPr>
                <w:sz w:val="15"/>
              </w:rPr>
              <w:t>Reduzir o tempo apenas das denúncias fáceis. Priorizar o que é medido.</w:t>
            </w:r>
          </w:p>
        </w:tc>
        <w:tc>
          <w:tcPr>
            <w:tcW w:type="dxa" w:w="1814"/>
          </w:tcPr>
          <w:p>
            <w:r/>
            <w:r>
              <w:rPr>
                <w:sz w:val="15"/>
              </w:rPr>
              <w:t>Usar denominador de itens já detectados (caso do 92,48%).</w:t>
            </w:r>
          </w:p>
        </w:tc>
        <w:tc>
          <w:tcPr>
            <w:tcW w:type="dxa" w:w="1814"/>
          </w:tcPr>
          <w:p>
            <w:r/>
            <w:r>
              <w:rPr>
                <w:sz w:val="15"/>
              </w:rPr>
              <w:t>Contar tempo do início da análise, não do recebimento.</w:t>
            </w:r>
          </w:p>
        </w:tc>
        <w:tc>
          <w:tcPr>
            <w:tcW w:type="dxa" w:w="2494"/>
          </w:tcPr>
          <w:p>
            <w:r/>
            <w:r>
              <w:rPr>
                <w:sz w:val="15"/>
              </w:rPr>
              <w:t>Marco inicial no recebimento. Mediana e P90 por categoria grave. Proibição de excluir fila.</w:t>
            </w:r>
          </w:p>
        </w:tc>
      </w:tr>
      <w:tr>
        <w:tc>
          <w:tcPr>
            <w:tcW w:type="dxa" w:w="1361"/>
          </w:tcPr>
          <w:p>
            <w:r/>
            <w:r>
              <w:rPr>
                <w:b/>
                <w:sz w:val="15"/>
              </w:rPr>
              <w:t>Aferição etária</w:t>
            </w:r>
          </w:p>
        </w:tc>
        <w:tc>
          <w:tcPr>
            <w:tcW w:type="dxa" w:w="2154"/>
          </w:tcPr>
          <w:p>
            <w:r/>
            <w:r>
              <w:rPr>
                <w:sz w:val="15"/>
              </w:rPr>
              <w:t>Aplicar idade autodeclarada e dizer que há "camadas".</w:t>
            </w:r>
          </w:p>
        </w:tc>
        <w:tc>
          <w:tcPr>
            <w:tcW w:type="dxa" w:w="1814"/>
          </w:tcPr>
          <w:p>
            <w:r/>
            <w:r>
              <w:rPr>
                <w:sz w:val="15"/>
              </w:rPr>
              <w:t>Declarar poucas contas de menores, reduzindo as medidas por menor.</w:t>
            </w:r>
          </w:p>
        </w:tc>
        <w:tc>
          <w:tcPr>
            <w:tcW w:type="dxa" w:w="1814"/>
          </w:tcPr>
          <w:p>
            <w:r/>
            <w:r>
              <w:rPr>
                <w:sz w:val="15"/>
              </w:rPr>
              <w:t>Redefinir "menor ativo" para reduzir o denominador.</w:t>
            </w:r>
          </w:p>
        </w:tc>
        <w:tc>
          <w:tcPr>
            <w:tcW w:type="dxa" w:w="2494"/>
          </w:tcPr>
          <w:p>
            <w:r/>
            <w:r>
              <w:rPr>
                <w:sz w:val="15"/>
              </w:rPr>
              <w:t>Teste de campo com contas-sentinela. Definição única de usuário menor. Reporte da taxa de falha.</w:t>
            </w:r>
          </w:p>
        </w:tc>
      </w:tr>
      <w:tr>
        <w:tc>
          <w:tcPr>
            <w:tcW w:type="dxa" w:w="1361"/>
          </w:tcPr>
          <w:p>
            <w:r/>
            <w:r>
              <w:rPr>
                <w:b/>
                <w:sz w:val="15"/>
              </w:rPr>
              <w:t>Controle parental / padrões</w:t>
            </w:r>
          </w:p>
        </w:tc>
        <w:tc>
          <w:tcPr>
            <w:tcW w:type="dxa" w:w="2154"/>
          </w:tcPr>
          <w:p>
            <w:r/>
            <w:r>
              <w:rPr>
                <w:sz w:val="15"/>
              </w:rPr>
              <w:t>Oferecer controles que poucos ativam. Reportar apenas a existência.</w:t>
            </w:r>
          </w:p>
        </w:tc>
        <w:tc>
          <w:tcPr>
            <w:tcW w:type="dxa" w:w="1814"/>
          </w:tcPr>
          <w:p>
            <w:r/>
            <w:r>
              <w:rPr>
                <w:sz w:val="15"/>
              </w:rPr>
              <w:t>Reportar adoção sobre base inflada.</w:t>
            </w:r>
          </w:p>
        </w:tc>
        <w:tc>
          <w:tcPr>
            <w:tcW w:type="dxa" w:w="1814"/>
          </w:tcPr>
          <w:p>
            <w:r/>
            <w:r>
              <w:rPr>
                <w:sz w:val="15"/>
              </w:rPr>
              <w:t>Contar "ativação" mesmo se for revertida.</w:t>
            </w:r>
          </w:p>
        </w:tc>
        <w:tc>
          <w:tcPr>
            <w:tcW w:type="dxa" w:w="2494"/>
          </w:tcPr>
          <w:p>
            <w:r/>
            <w:r>
              <w:rPr>
                <w:sz w:val="15"/>
              </w:rPr>
              <w:t>Reportar uso efetivo e taxa de desativação. Padrões protetivos por padrão, não por opt-in.</w:t>
            </w:r>
          </w:p>
        </w:tc>
      </w:tr>
      <w:tr>
        <w:tc>
          <w:tcPr>
            <w:tcW w:type="dxa" w:w="1361"/>
          </w:tcPr>
          <w:p>
            <w:r/>
            <w:r>
              <w:rPr>
                <w:b/>
                <w:sz w:val="15"/>
              </w:rPr>
              <w:t>IA generativa</w:t>
            </w:r>
          </w:p>
        </w:tc>
        <w:tc>
          <w:tcPr>
            <w:tcW w:type="dxa" w:w="2154"/>
          </w:tcPr>
          <w:p>
            <w:r/>
            <w:r>
              <w:rPr>
                <w:sz w:val="15"/>
              </w:rPr>
              <w:t>Política de uso sem teste. Declarar filtro de saída.</w:t>
            </w:r>
          </w:p>
        </w:tc>
        <w:tc>
          <w:tcPr>
            <w:tcW w:type="dxa" w:w="1814"/>
          </w:tcPr>
          <w:p>
            <w:r/>
            <w:r>
              <w:rPr>
                <w:sz w:val="15"/>
              </w:rPr>
              <w:t>Relatar testes favoráveis.</w:t>
            </w:r>
          </w:p>
        </w:tc>
        <w:tc>
          <w:tcPr>
            <w:tcW w:type="dxa" w:w="1814"/>
          </w:tcPr>
          <w:p>
            <w:r/>
            <w:r>
              <w:rPr>
                <w:sz w:val="15"/>
              </w:rPr>
              <w:t>Chamar CSAM sintético de "conteúdo sensível".</w:t>
            </w:r>
          </w:p>
        </w:tc>
        <w:tc>
          <w:tcPr>
            <w:tcW w:type="dxa" w:w="2494"/>
          </w:tcPr>
          <w:p>
            <w:r/>
            <w:r>
              <w:rPr>
                <w:sz w:val="15"/>
              </w:rPr>
              <w:t>Protocolo de red team e prompts de teste padronizados. Capítulo próprio de CSAM sintético (Etapa 6).</w:t>
            </w:r>
          </w:p>
        </w:tc>
      </w:tr>
      <w:tr>
        <w:tc>
          <w:tcPr>
            <w:tcW w:type="dxa" w:w="1361"/>
          </w:tcPr>
          <w:p>
            <w:r/>
            <w:r>
              <w:rPr>
                <w:b/>
                <w:sz w:val="15"/>
              </w:rPr>
              <w:t>Mensageria cifrada</w:t>
            </w:r>
          </w:p>
        </w:tc>
        <w:tc>
          <w:tcPr>
            <w:tcW w:type="dxa" w:w="2154"/>
          </w:tcPr>
          <w:p>
            <w:r/>
            <w:r>
              <w:rPr>
                <w:sz w:val="15"/>
              </w:rPr>
              <w:t>Alegar que não há acesso ao conteúdo e portanto não há métrica.</w:t>
            </w:r>
          </w:p>
        </w:tc>
        <w:tc>
          <w:tcPr>
            <w:tcW w:type="dxa" w:w="1814"/>
          </w:tcPr>
          <w:p>
            <w:r/>
            <w:r>
              <w:rPr>
                <w:sz w:val="15"/>
              </w:rPr>
              <w:t>Reportar zero por ausência de visibilidade.</w:t>
            </w:r>
          </w:p>
        </w:tc>
        <w:tc>
          <w:tcPr>
            <w:tcW w:type="dxa" w:w="1814"/>
          </w:tcPr>
          <w:p>
            <w:r/>
            <w:r>
              <w:rPr>
                <w:sz w:val="15"/>
              </w:rPr>
              <w:t>Excluir DMs do escopo como "privado".</w:t>
            </w:r>
          </w:p>
        </w:tc>
        <w:tc>
          <w:tcPr>
            <w:tcW w:type="dxa" w:w="2494"/>
          </w:tcPr>
          <w:p>
            <w:r/>
            <w:r>
              <w:rPr>
                <w:sz w:val="15"/>
              </w:rPr>
              <w:t>Métricas de sinal (denúncias, contato de adultos desconhecidos com menores, restrições de adição, limites de encaminhamento). Sem cobrar varredura de conteúdo.</w:t>
            </w:r>
          </w:p>
        </w:tc>
      </w:tr>
      <w:tr>
        <w:tc>
          <w:tcPr>
            <w:tcW w:type="dxa" w:w="1361"/>
          </w:tcPr>
          <w:p>
            <w:r/>
            <w:r>
              <w:rPr>
                <w:b/>
                <w:sz w:val="15"/>
              </w:rPr>
              <w:t>Dever de reportar</w:t>
            </w:r>
          </w:p>
        </w:tc>
        <w:tc>
          <w:tcPr>
            <w:tcW w:type="dxa" w:w="2154"/>
          </w:tcPr>
          <w:p>
            <w:r/>
            <w:r>
              <w:rPr>
                <w:sz w:val="15"/>
              </w:rPr>
              <w:t>Publicar relatório curto e opaco. Não publicar e arcar com o risco.</w:t>
            </w:r>
          </w:p>
        </w:tc>
        <w:tc>
          <w:tcPr>
            <w:tcW w:type="dxa" w:w="1814"/>
          </w:tcPr>
          <w:p>
            <w:r/>
            <w:r>
              <w:rPr>
                <w:sz w:val="15"/>
              </w:rPr>
              <w:t>Informar, mas em formato não processável.</w:t>
            </w:r>
          </w:p>
        </w:tc>
        <w:tc>
          <w:tcPr>
            <w:tcW w:type="dxa" w:w="1814"/>
          </w:tcPr>
          <w:p>
            <w:r/>
            <w:r>
              <w:rPr>
                <w:sz w:val="15"/>
              </w:rPr>
              <w:t>Mudar o escopo do serviço para "fora do ECA".</w:t>
            </w:r>
          </w:p>
        </w:tc>
        <w:tc>
          <w:tcPr>
            <w:tcW w:type="dxa" w:w="2494"/>
          </w:tcPr>
          <w:p>
            <w:r/>
            <w:r>
              <w:rPr>
                <w:sz w:val="15"/>
              </w:rPr>
              <w:t>Template legível por máquina. Sanção escalonada por omissão. Lista pública de agentes cobertos e critérios de enquadramento.</w:t>
            </w:r>
          </w:p>
        </w:tc>
      </w:tr>
      <w:tr>
        <w:tc>
          <w:tcPr>
            <w:tcW w:type="dxa" w:w="1361"/>
          </w:tcPr>
          <w:p>
            <w:r/>
            <w:r>
              <w:rPr>
                <w:b/>
                <w:sz w:val="15"/>
              </w:rPr>
              <w:t>Auditoria externa</w:t>
            </w:r>
          </w:p>
        </w:tc>
        <w:tc>
          <w:tcPr>
            <w:tcW w:type="dxa" w:w="2154"/>
          </w:tcPr>
          <w:p>
            <w:r/>
            <w:r>
              <w:rPr>
                <w:sz w:val="15"/>
              </w:rPr>
              <w:t>Contratar auditor amigo. Escopo estreito.</w:t>
            </w:r>
          </w:p>
        </w:tc>
        <w:tc>
          <w:tcPr>
            <w:tcW w:type="dxa" w:w="1814"/>
          </w:tcPr>
          <w:p>
            <w:r/>
            <w:r>
              <w:rPr>
                <w:sz w:val="15"/>
              </w:rPr>
              <w:t>Limitar a amostra.</w:t>
            </w:r>
          </w:p>
        </w:tc>
        <w:tc>
          <w:tcPr>
            <w:tcW w:type="dxa" w:w="1814"/>
          </w:tcPr>
          <w:p>
            <w:r/>
            <w:r>
              <w:rPr>
                <w:sz w:val="15"/>
              </w:rPr>
              <w:t>Redefinir o escopo do que é auditado.</w:t>
            </w:r>
          </w:p>
        </w:tc>
        <w:tc>
          <w:tcPr>
            <w:tcW w:type="dxa" w:w="2494"/>
          </w:tcPr>
          <w:p>
            <w:r/>
            <w:r>
              <w:rPr>
                <w:sz w:val="15"/>
              </w:rPr>
              <w:t>Credenciamento e rotatividade de auditores. Escopo mínimo definido pela ANPD. Parecer público. Proibição de serviços de consultoria ao mesmo cliente.</w:t>
            </w:r>
          </w:p>
        </w:tc>
      </w:tr>
    </w:tbl>
    <w:p>
      <w:pPr>
        <w:spacing w:after="40"/>
      </w:pPr>
    </w:p>
    <w:p>
      <w:pPr>
        <w:spacing w:after="80"/>
      </w:pPr>
      <w:r>
        <w:rPr>
          <w:b/>
          <w:i w:val="0"/>
        </w:rPr>
        <w:t>Observação: o maior incentivo perverso é o de "quem mede mais, aparece pior". Plataformas que reportam mais denúncias, mais medidas e mais métricas parecem mais arriscadas. A norma deve declarar expressamente que volume alto de denúncias e de medidas não é, por si só, indício de descumprimento, e que a omissão ou a opacidade é a infração.</w:t>
      </w:r>
    </w:p>
    <w:p>
      <w:pPr>
        <w:pStyle w:val="Heading1"/>
      </w:pPr>
      <w:r>
        <w:t>8. ETAPA 6 — Proteção de crianças e IA generativa</w:t>
      </w:r>
    </w:p>
    <w:p>
      <w:pPr>
        <w:pStyle w:val="Heading2"/>
      </w:pPr>
      <w:r>
        <w:t>8.1 O tratamento atual é adequado para cinco anos?</w:t>
      </w:r>
    </w:p>
    <w:p>
      <w:pPr>
        <w:spacing w:after="80"/>
      </w:pPr>
      <w:r>
        <w:rPr>
          <w:b w:val="0"/>
          <w:i w:val="0"/>
        </w:rPr>
        <w:t>Não. A minuta trata IA generativa em dois parágrafos de §2, ora como "ferramenta preventiva", ora como "risco inédito", e depois a abandona. Em cinco anos a IA será camada transversal (assistentes em apps de mensagem, companheiros virtuais, geradores de imagem/vídeo integrados a redes sociais, agentes que agem em nome do usuário). Tratá-la como mais uma "funcionalidade crítica" na lista subestima o fato de que ela altera a natureza dos demais riscos (por exemplo, torna a sextorsão e o aliciamento escaláveis e personalizados).</w:t>
      </w:r>
    </w:p>
    <w:p>
      <w:pPr>
        <w:pStyle w:val="Heading2"/>
      </w:pPr>
      <w:r>
        <w:t>8.2 CSAM sintético deveria ter capítulo próprio?</w:t>
      </w:r>
    </w:p>
    <w:p>
      <w:pPr>
        <w:spacing w:after="80"/>
      </w:pPr>
      <w:r>
        <w:rPr>
          <w:b w:val="0"/>
          <w:i w:val="0"/>
        </w:rPr>
        <w:t>Sim. Razões: (i) o ilícito tem natureza específica (material sexual envolvendo crianças gerado ou manipulado, incluindo "nudificação" de fotos de crianças reais, deepfakes e imagens totalmente sintéticas), com tratamento penal e de dever de reporte próprios; (ii) as salvaguardas são distintas (filtros de prompt e de saída, exclusão de dados de treino, hash e detecção de conteúdo sintético, marcação de proveniência); (iii) o ônus recai também sobre desenvolvedores de modelos, não só sobre plataformas de distribuição; (iv) a quantificação é diferente (tentativas bloqueadas × material gerado × material distribuído). Um capítulo próprio evita que o tema se dilua em "conteúdo sensível".</w:t>
      </w:r>
    </w:p>
    <w:p>
      <w:pPr>
        <w:pStyle w:val="Heading2"/>
      </w:pPr>
      <w:r>
        <w:t>8.3 Cobertura dos elementos do ciclo de vida da IA</w:t>
      </w:r>
    </w:p>
    <w:tbl>
      <w:tblPr>
        <w:tblStyle w:val="TableGrid"/>
        <w:tblW w:type="auto" w:w="0"/>
        <w:tblLook w:firstColumn="1" w:firstRow="1" w:lastColumn="0" w:lastRow="0" w:noHBand="0" w:noVBand="1" w:val="04A0"/>
      </w:tblPr>
      <w:tblGrid>
        <w:gridCol w:w="2493"/>
        <w:gridCol w:w="2493"/>
        <w:gridCol w:w="2493"/>
        <w:gridCol w:w="2493"/>
      </w:tblGrid>
      <w:tr>
        <w:tc>
          <w:tcPr>
            <w:tcW w:type="dxa" w:w="1587"/>
            <w:shd w:val="clear" w:color="auto" w:fill="1F3A5F"/>
          </w:tcPr>
          <w:p>
            <w:r/>
            <w:r>
              <w:rPr>
                <w:b/>
                <w:color w:val="FFFFFF"/>
                <w:sz w:val="16"/>
              </w:rPr>
              <w:t>Elemento</w:t>
            </w:r>
          </w:p>
        </w:tc>
        <w:tc>
          <w:tcPr>
            <w:tcW w:type="dxa" w:w="1928"/>
            <w:shd w:val="clear" w:color="auto" w:fill="1F3A5F"/>
          </w:tcPr>
          <w:p>
            <w:r/>
            <w:r>
              <w:rPr>
                <w:b/>
                <w:color w:val="FFFFFF"/>
                <w:sz w:val="16"/>
              </w:rPr>
              <w:t>A minuta trata?</w:t>
            </w:r>
          </w:p>
        </w:tc>
        <w:tc>
          <w:tcPr>
            <w:tcW w:type="dxa" w:w="3061"/>
            <w:shd w:val="clear" w:color="auto" w:fill="1F3A5F"/>
          </w:tcPr>
          <w:p>
            <w:r/>
            <w:r>
              <w:rPr>
                <w:b/>
                <w:color w:val="FFFFFF"/>
                <w:sz w:val="16"/>
              </w:rPr>
              <w:t>Lacuna</w:t>
            </w:r>
          </w:p>
        </w:tc>
        <w:tc>
          <w:tcPr>
            <w:tcW w:type="dxa" w:w="3061"/>
            <w:shd w:val="clear" w:color="auto" w:fill="1F3A5F"/>
          </w:tcPr>
          <w:p>
            <w:r/>
            <w:r>
              <w:rPr>
                <w:b/>
                <w:color w:val="FFFFFF"/>
                <w:sz w:val="16"/>
              </w:rPr>
              <w:t>O que exigir</w:t>
            </w:r>
          </w:p>
        </w:tc>
      </w:tr>
      <w:tr>
        <w:tc>
          <w:tcPr>
            <w:tcW w:type="dxa" w:w="1587"/>
          </w:tcPr>
          <w:p>
            <w:r/>
            <w:r>
              <w:rPr>
                <w:b/>
                <w:sz w:val="16"/>
              </w:rPr>
              <w:t>Geração (saída)</w:t>
            </w:r>
          </w:p>
        </w:tc>
        <w:tc>
          <w:tcPr>
            <w:tcW w:type="dxa" w:w="1928"/>
          </w:tcPr>
          <w:p>
            <w:r/>
            <w:r>
              <w:rPr>
                <w:sz w:val="16"/>
              </w:rPr>
              <w:t>Parcial (menção a risco de conteúdo sexual sintético)</w:t>
            </w:r>
          </w:p>
        </w:tc>
        <w:tc>
          <w:tcPr>
            <w:tcW w:type="dxa" w:w="3061"/>
          </w:tcPr>
          <w:p>
            <w:r/>
            <w:r>
              <w:rPr>
                <w:sz w:val="16"/>
              </w:rPr>
              <w:t>Sem salvaguardas exigidas nem métricas</w:t>
            </w:r>
          </w:p>
        </w:tc>
        <w:tc>
          <w:tcPr>
            <w:tcW w:type="dxa" w:w="3061"/>
          </w:tcPr>
          <w:p>
            <w:r/>
            <w:r>
              <w:rPr>
                <w:sz w:val="16"/>
              </w:rPr>
              <w:t>Filtros de saída, taxa de recusa em conjunto padrão, registro de tentativas bloqueadas</w:t>
            </w:r>
          </w:p>
        </w:tc>
      </w:tr>
      <w:tr>
        <w:tc>
          <w:tcPr>
            <w:tcW w:type="dxa" w:w="1587"/>
          </w:tcPr>
          <w:p>
            <w:r/>
            <w:r>
              <w:rPr>
                <w:b/>
                <w:sz w:val="16"/>
              </w:rPr>
              <w:t>Treinamento</w:t>
            </w:r>
          </w:p>
        </w:tc>
        <w:tc>
          <w:tcPr>
            <w:tcW w:type="dxa" w:w="1928"/>
          </w:tcPr>
          <w:p>
            <w:r/>
            <w:r>
              <w:rPr>
                <w:sz w:val="16"/>
              </w:rPr>
              <w:t>Não</w:t>
            </w:r>
          </w:p>
        </w:tc>
        <w:tc>
          <w:tcPr>
            <w:tcW w:type="dxa" w:w="3061"/>
          </w:tcPr>
          <w:p>
            <w:r/>
            <w:r>
              <w:rPr>
                <w:sz w:val="16"/>
              </w:rPr>
              <w:t>Dados de treino com material de abuso. Uso de dados de crianças sem base legal (LGPD)</w:t>
            </w:r>
          </w:p>
        </w:tc>
        <w:tc>
          <w:tcPr>
            <w:tcW w:type="dxa" w:w="3061"/>
          </w:tcPr>
          <w:p>
            <w:r/>
            <w:r>
              <w:rPr>
                <w:sz w:val="16"/>
              </w:rPr>
              <w:t>Declaração de curadoria de dados. Exclusão de material de abuso. Relatório de impacto sobre dados de crianças</w:t>
            </w:r>
          </w:p>
        </w:tc>
      </w:tr>
      <w:tr>
        <w:tc>
          <w:tcPr>
            <w:tcW w:type="dxa" w:w="1587"/>
          </w:tcPr>
          <w:p>
            <w:r/>
            <w:r>
              <w:rPr>
                <w:b/>
                <w:sz w:val="16"/>
              </w:rPr>
              <w:t>Fine-tuning</w:t>
            </w:r>
          </w:p>
        </w:tc>
        <w:tc>
          <w:tcPr>
            <w:tcW w:type="dxa" w:w="1928"/>
          </w:tcPr>
          <w:p>
            <w:r/>
            <w:r>
              <w:rPr>
                <w:sz w:val="16"/>
              </w:rPr>
              <w:t>Não</w:t>
            </w:r>
          </w:p>
        </w:tc>
        <w:tc>
          <w:tcPr>
            <w:tcW w:type="dxa" w:w="3061"/>
          </w:tcPr>
          <w:p>
            <w:r/>
            <w:r>
              <w:rPr>
                <w:sz w:val="16"/>
              </w:rPr>
              <w:t>Ajuste por terceiros que remove salvaguardas. Modelos abertos</w:t>
            </w:r>
          </w:p>
        </w:tc>
        <w:tc>
          <w:tcPr>
            <w:tcW w:type="dxa" w:w="3061"/>
          </w:tcPr>
          <w:p>
            <w:r/>
            <w:r>
              <w:rPr>
                <w:sz w:val="16"/>
              </w:rPr>
              <w:t>Dever de diligência em disponibilização de pesos e APIs de ajuste. Termos e monitoramento</w:t>
            </w:r>
          </w:p>
        </w:tc>
      </w:tr>
      <w:tr>
        <w:tc>
          <w:tcPr>
            <w:tcW w:type="dxa" w:w="1587"/>
          </w:tcPr>
          <w:p>
            <w:r/>
            <w:r>
              <w:rPr>
                <w:b/>
                <w:sz w:val="16"/>
              </w:rPr>
              <w:t>Inferência</w:t>
            </w:r>
          </w:p>
        </w:tc>
        <w:tc>
          <w:tcPr>
            <w:tcW w:type="dxa" w:w="1928"/>
          </w:tcPr>
          <w:p>
            <w:r/>
            <w:r>
              <w:rPr>
                <w:sz w:val="16"/>
              </w:rPr>
              <w:t>Parcial</w:t>
            </w:r>
          </w:p>
        </w:tc>
        <w:tc>
          <w:tcPr>
            <w:tcW w:type="dxa" w:w="3061"/>
          </w:tcPr>
          <w:p>
            <w:r/>
            <w:r>
              <w:rPr>
                <w:sz w:val="16"/>
              </w:rPr>
              <w:t>Monitoramento em tempo real, abuso por prompts jailbreak</w:t>
            </w:r>
          </w:p>
        </w:tc>
        <w:tc>
          <w:tcPr>
            <w:tcW w:type="dxa" w:w="3061"/>
          </w:tcPr>
          <w:p>
            <w:r/>
            <w:r>
              <w:rPr>
                <w:sz w:val="16"/>
              </w:rPr>
              <w:t>Detecção de prompts de risco, rate limiting, escalonamento humano</w:t>
            </w:r>
          </w:p>
        </w:tc>
      </w:tr>
      <w:tr>
        <w:tc>
          <w:tcPr>
            <w:tcW w:type="dxa" w:w="1587"/>
          </w:tcPr>
          <w:p>
            <w:r/>
            <w:r>
              <w:rPr>
                <w:b/>
                <w:sz w:val="16"/>
              </w:rPr>
              <w:t>Personalização</w:t>
            </w:r>
          </w:p>
        </w:tc>
        <w:tc>
          <w:tcPr>
            <w:tcW w:type="dxa" w:w="1928"/>
          </w:tcPr>
          <w:p>
            <w:r/>
            <w:r>
              <w:rPr>
                <w:sz w:val="16"/>
              </w:rPr>
              <w:t>Não</w:t>
            </w:r>
          </w:p>
        </w:tc>
        <w:tc>
          <w:tcPr>
            <w:tcW w:type="dxa" w:w="3061"/>
          </w:tcPr>
          <w:p>
            <w:r/>
            <w:r>
              <w:rPr>
                <w:sz w:val="16"/>
              </w:rPr>
              <w:t>Perfis de menores e retenção/memória. Persuasão e dependência emocional</w:t>
            </w:r>
          </w:p>
        </w:tc>
        <w:tc>
          <w:tcPr>
            <w:tcW w:type="dxa" w:w="3061"/>
          </w:tcPr>
          <w:p>
            <w:r/>
            <w:r>
              <w:rPr>
                <w:sz w:val="16"/>
              </w:rPr>
              <w:t>Padrões protetivos para menores. Limite de memória. Proibição de perfilamento comportamental para manipulação</w:t>
            </w:r>
          </w:p>
        </w:tc>
      </w:tr>
      <w:tr>
        <w:tc>
          <w:tcPr>
            <w:tcW w:type="dxa" w:w="1587"/>
          </w:tcPr>
          <w:p>
            <w:r/>
            <w:r>
              <w:rPr>
                <w:b/>
                <w:sz w:val="16"/>
              </w:rPr>
              <w:t>Agentes autônomos</w:t>
            </w:r>
          </w:p>
        </w:tc>
        <w:tc>
          <w:tcPr>
            <w:tcW w:type="dxa" w:w="1928"/>
          </w:tcPr>
          <w:p>
            <w:r/>
            <w:r>
              <w:rPr>
                <w:sz w:val="16"/>
              </w:rPr>
              <w:t>Não</w:t>
            </w:r>
          </w:p>
        </w:tc>
        <w:tc>
          <w:tcPr>
            <w:tcW w:type="dxa" w:w="3061"/>
          </w:tcPr>
          <w:p>
            <w:r/>
            <w:r>
              <w:rPr>
                <w:sz w:val="16"/>
              </w:rPr>
              <w:t>Ações de compra, contato com terceiros, publicação em nome do menor</w:t>
            </w:r>
          </w:p>
        </w:tc>
        <w:tc>
          <w:tcPr>
            <w:tcW w:type="dxa" w:w="3061"/>
          </w:tcPr>
          <w:p>
            <w:r/>
            <w:r>
              <w:rPr>
                <w:sz w:val="16"/>
              </w:rPr>
              <w:t>Autorização parental para ações com efeitos externos. Logs de ações. Limites de autonomia por idade</w:t>
            </w:r>
          </w:p>
        </w:tc>
      </w:tr>
      <w:tr>
        <w:tc>
          <w:tcPr>
            <w:tcW w:type="dxa" w:w="1587"/>
          </w:tcPr>
          <w:p>
            <w:r/>
            <w:r>
              <w:rPr>
                <w:b/>
                <w:sz w:val="16"/>
              </w:rPr>
              <w:t>Multimodalidade</w:t>
            </w:r>
          </w:p>
        </w:tc>
        <w:tc>
          <w:tcPr>
            <w:tcW w:type="dxa" w:w="1928"/>
          </w:tcPr>
          <w:p>
            <w:r/>
            <w:r>
              <w:rPr>
                <w:sz w:val="16"/>
              </w:rPr>
              <w:t>Não</w:t>
            </w:r>
          </w:p>
        </w:tc>
        <w:tc>
          <w:tcPr>
            <w:tcW w:type="dxa" w:w="3061"/>
          </w:tcPr>
          <w:p>
            <w:r/>
            <w:r>
              <w:rPr>
                <w:sz w:val="16"/>
              </w:rPr>
              <w:t>Voz, imagem e vídeo (clonagem de voz, deepfake de crianças reais). Detecção cruzada entre modalidades</w:t>
            </w:r>
          </w:p>
        </w:tc>
        <w:tc>
          <w:tcPr>
            <w:tcW w:type="dxa" w:w="3061"/>
          </w:tcPr>
          <w:p>
            <w:r/>
            <w:r>
              <w:rPr>
                <w:sz w:val="16"/>
              </w:rPr>
              <w:t>Detecção multimodal, marca d'água/proveniência e canal de remoção rápida de deepfakes de menores</w:t>
            </w:r>
          </w:p>
        </w:tc>
      </w:tr>
      <w:tr>
        <w:tc>
          <w:tcPr>
            <w:tcW w:type="dxa" w:w="1587"/>
          </w:tcPr>
          <w:p>
            <w:r/>
            <w:r>
              <w:rPr>
                <w:b/>
                <w:sz w:val="16"/>
              </w:rPr>
              <w:t>Companheiros / chatbots sociais</w:t>
            </w:r>
          </w:p>
        </w:tc>
        <w:tc>
          <w:tcPr>
            <w:tcW w:type="dxa" w:w="1928"/>
          </w:tcPr>
          <w:p>
            <w:r/>
            <w:r>
              <w:rPr>
                <w:sz w:val="16"/>
              </w:rPr>
              <w:t>Não</w:t>
            </w:r>
          </w:p>
        </w:tc>
        <w:tc>
          <w:tcPr>
            <w:tcW w:type="dxa" w:w="3061"/>
          </w:tcPr>
          <w:p>
            <w:r/>
            <w:r>
              <w:rPr>
                <w:sz w:val="16"/>
              </w:rPr>
              <w:t>Relações simuladas com menores, conteúdo sexual, autolesão</w:t>
            </w:r>
          </w:p>
        </w:tc>
        <w:tc>
          <w:tcPr>
            <w:tcW w:type="dxa" w:w="3061"/>
          </w:tcPr>
          <w:p>
            <w:r/>
            <w:r>
              <w:rPr>
                <w:sz w:val="16"/>
              </w:rPr>
              <w:t>Restrição por idade, protocolos de crise, proibição de interação sexualizada com menores</w:t>
            </w:r>
          </w:p>
        </w:tc>
      </w:tr>
    </w:tbl>
    <w:p>
      <w:pPr>
        <w:spacing w:after="40"/>
      </w:pPr>
    </w:p>
    <w:p>
      <w:pPr>
        <w:spacing w:after="80"/>
      </w:pPr>
      <w:r>
        <w:rPr>
          <w:b/>
          <w:i w:val="0"/>
        </w:rPr>
        <w:t>Lacunas transversais: sem distinção entre desenvolvedor do modelo, provedor do serviço e implantador; sem tratamento de incidentes de IA; sem referência a NIST AI RMF (Govern/Map/Measure/Manage); sem exigência de avaliação prévia ao lançamento (pre-deployment) e de red teaming com participação de especialistas em segurança infantil; sem dever de cooperação para remoção de material gerado.</w:t>
      </w:r>
    </w:p>
    <w:p>
      <w:pPr>
        <w:pStyle w:val="Heading1"/>
      </w:pPr>
      <w:r>
        <w:t>9. ETAPA 7 — Técnica legislativa e redacional</w:t>
      </w:r>
    </w:p>
    <w:p>
      <w:pPr>
        <w:spacing w:after="80"/>
      </w:pPr>
      <w:r>
        <w:rPr>
          <w:b w:val="0"/>
          <w:i/>
        </w:rPr>
        <w:t>Como não há artigos, apresento reescritas dos trechos problemáticos da minuta (referidos por seção) e, no Anexo A, uma proposta de dispositivos normativos. Classificação: Essencial, Relevante ou Opcional.</w:t>
      </w: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R1 — §1, 2º parágrafo</w:t>
            </w:r>
          </w:p>
        </w:tc>
        <w:tc>
          <w:tcPr>
            <w:tcW w:type="dxa" w:w="7597"/>
            <w:shd w:val="clear" w:color="auto" w:fill="F4CCCC"/>
          </w:tcPr>
          <w:p>
            <w:r/>
            <w:r>
              <w:rPr>
                <w:sz w:val="17"/>
              </w:rPr>
              <w:t>Essencial</w:t>
            </w:r>
          </w:p>
        </w:tc>
      </w:tr>
      <w:tr>
        <w:tc>
          <w:tcPr>
            <w:tcW w:type="dxa" w:w="2041"/>
            <w:shd w:val="clear" w:color="auto" w:fill="E8EEF5"/>
          </w:tcPr>
          <w:p>
            <w:r/>
            <w:r>
              <w:rPr>
                <w:b/>
                <w:sz w:val="17"/>
              </w:rPr>
              <w:t>Redação original</w:t>
            </w:r>
          </w:p>
        </w:tc>
        <w:tc>
          <w:tcPr>
            <w:tcW w:type="dxa" w:w="7597"/>
          </w:tcPr>
          <w:p>
            <w:r/>
            <w:r>
              <w:rPr>
                <w:sz w:val="17"/>
              </w:rPr>
              <w:t>"A totalidade dos relatórios cita o risco à privacidade, e 18 deles mencionam a exploração sexual, o que reflete mais uma resposta formal à lista estabelecida pela lei do que uma medição de incidência real."</w:t>
            </w:r>
          </w:p>
        </w:tc>
      </w:tr>
      <w:tr>
        <w:tc>
          <w:tcPr>
            <w:tcW w:type="dxa" w:w="2041"/>
            <w:shd w:val="clear" w:color="auto" w:fill="E8EEF5"/>
          </w:tcPr>
          <w:p>
            <w:r/>
            <w:r>
              <w:rPr>
                <w:b/>
                <w:sz w:val="17"/>
              </w:rPr>
              <w:t>Nova redação</w:t>
            </w:r>
          </w:p>
        </w:tc>
        <w:tc>
          <w:tcPr>
            <w:tcW w:type="dxa" w:w="7597"/>
          </w:tcPr>
          <w:p>
            <w:r/>
            <w:r>
              <w:rPr>
                <w:sz w:val="17"/>
              </w:rPr>
              <w:t>"Dos 11 relatórios do 1º ciclo efetivamente localizados, [X] mencionam o risco à privacidade e [Y] a exploração sexual. A menção ocorre de forma padronizada e não é acompanhada de medição de incidência, o que sugere resposta formal à lista do art. 6º. Outras 10 plataformas listadas na amostra não tiveram relatório localizado ou aplicável."</w:t>
            </w:r>
          </w:p>
        </w:tc>
      </w:tr>
      <w:tr>
        <w:tc>
          <w:tcPr>
            <w:tcW w:type="dxa" w:w="2041"/>
            <w:shd w:val="clear" w:color="auto" w:fill="E8EEF5"/>
          </w:tcPr>
          <w:p>
            <w:r/>
            <w:r>
              <w:rPr>
                <w:b/>
                <w:sz w:val="17"/>
              </w:rPr>
              <w:t>Justificativa técnica</w:t>
            </w:r>
          </w:p>
        </w:tc>
        <w:tc>
          <w:tcPr>
            <w:tcW w:type="dxa" w:w="7597"/>
          </w:tcPr>
          <w:p>
            <w:r/>
            <w:r>
              <w:rPr>
                <w:sz w:val="17"/>
              </w:rPr>
              <w:t>Corrige o universo, explicita a base e usa o termo "sugere" para uma inferência. Evita a afirmação de "totalidade" quando o Google/YouTube não apresenta V.e.</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R2 — §1 (nova frase)</w:t>
            </w:r>
          </w:p>
        </w:tc>
        <w:tc>
          <w:tcPr>
            <w:tcW w:type="dxa" w:w="7597"/>
            <w:shd w:val="clear" w:color="auto" w:fill="F4CCCC"/>
          </w:tcPr>
          <w:p>
            <w:r/>
            <w:r>
              <w:rPr>
                <w:sz w:val="17"/>
              </w:rPr>
              <w:t>Essencial</w:t>
            </w:r>
          </w:p>
        </w:tc>
      </w:tr>
      <w:tr>
        <w:tc>
          <w:tcPr>
            <w:tcW w:type="dxa" w:w="2041"/>
            <w:shd w:val="clear" w:color="auto" w:fill="E8EEF5"/>
          </w:tcPr>
          <w:p>
            <w:r/>
            <w:r>
              <w:rPr>
                <w:b/>
                <w:sz w:val="17"/>
              </w:rPr>
              <w:t>Redação original</w:t>
            </w:r>
          </w:p>
        </w:tc>
        <w:tc>
          <w:tcPr>
            <w:tcW w:type="dxa" w:w="7597"/>
          </w:tcPr>
          <w:p>
            <w:r/>
            <w:r>
              <w:rPr>
                <w:sz w:val="17"/>
              </w:rPr>
              <w:t>(ausente)</w:t>
            </w:r>
          </w:p>
        </w:tc>
      </w:tr>
      <w:tr>
        <w:tc>
          <w:tcPr>
            <w:tcW w:type="dxa" w:w="2041"/>
            <w:shd w:val="clear" w:color="auto" w:fill="E8EEF5"/>
          </w:tcPr>
          <w:p>
            <w:r/>
            <w:r>
              <w:rPr>
                <w:b/>
                <w:sz w:val="17"/>
              </w:rPr>
              <w:t>Nova redação</w:t>
            </w:r>
          </w:p>
        </w:tc>
        <w:tc>
          <w:tcPr>
            <w:tcW w:type="dxa" w:w="7597"/>
          </w:tcPr>
          <w:p>
            <w:r/>
            <w:r>
              <w:rPr>
                <w:sz w:val="17"/>
              </w:rPr>
              <w:t>"O 1º ciclo evidencia, ainda, assimetria de cobertura: 9 das 21 plataformas consideradas não tiveram relatório localizado, e 1 apresentou documento fora do escopo temporal. A análise abaixo refere-se aos 11 relatórios disponíveis e não permite inferências sobre as demais."</w:t>
            </w:r>
          </w:p>
        </w:tc>
      </w:tr>
      <w:tr>
        <w:tc>
          <w:tcPr>
            <w:tcW w:type="dxa" w:w="2041"/>
            <w:shd w:val="clear" w:color="auto" w:fill="E8EEF5"/>
          </w:tcPr>
          <w:p>
            <w:r/>
            <w:r>
              <w:rPr>
                <w:b/>
                <w:sz w:val="17"/>
              </w:rPr>
              <w:t>Justificativa técnica</w:t>
            </w:r>
          </w:p>
        </w:tc>
        <w:tc>
          <w:tcPr>
            <w:tcW w:type="dxa" w:w="7597"/>
          </w:tcPr>
          <w:p>
            <w:r/>
            <w:r>
              <w:rPr>
                <w:sz w:val="17"/>
              </w:rPr>
              <w:t>Dá visibilidade ao achado de maior relevância regulatória e delimita o alcance das conclusões.</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R3 — §2, Lives</w:t>
            </w:r>
          </w:p>
        </w:tc>
        <w:tc>
          <w:tcPr>
            <w:tcW w:type="dxa" w:w="7597"/>
            <w:shd w:val="clear" w:color="auto" w:fill="F4CCCC"/>
          </w:tcPr>
          <w:p>
            <w:r/>
            <w:r>
              <w:rPr>
                <w:sz w:val="17"/>
              </w:rPr>
              <w:t>Essencial</w:t>
            </w:r>
          </w:p>
        </w:tc>
      </w:tr>
      <w:tr>
        <w:tc>
          <w:tcPr>
            <w:tcW w:type="dxa" w:w="2041"/>
            <w:shd w:val="clear" w:color="auto" w:fill="E8EEF5"/>
          </w:tcPr>
          <w:p>
            <w:r/>
            <w:r>
              <w:rPr>
                <w:b/>
                <w:sz w:val="17"/>
              </w:rPr>
              <w:t>Redação original</w:t>
            </w:r>
          </w:p>
        </w:tc>
        <w:tc>
          <w:tcPr>
            <w:tcW w:type="dxa" w:w="7597"/>
          </w:tcPr>
          <w:p>
            <w:r/>
            <w:r>
              <w:rPr>
                <w:sz w:val="17"/>
              </w:rPr>
              <w:t>"A Twitch declarou textualmente que este ambiente constitui um desafio significativamente maior…"</w:t>
            </w:r>
          </w:p>
        </w:tc>
      </w:tr>
      <w:tr>
        <w:tc>
          <w:tcPr>
            <w:tcW w:type="dxa" w:w="2041"/>
            <w:shd w:val="clear" w:color="auto" w:fill="E8EEF5"/>
          </w:tcPr>
          <w:p>
            <w:r/>
            <w:r>
              <w:rPr>
                <w:b/>
                <w:sz w:val="17"/>
              </w:rPr>
              <w:t>Nova redação</w:t>
            </w:r>
          </w:p>
        </w:tc>
        <w:tc>
          <w:tcPr>
            <w:tcW w:type="dxa" w:w="7597"/>
          </w:tcPr>
          <w:p>
            <w:r/>
            <w:r>
              <w:rPr>
                <w:sz w:val="17"/>
              </w:rPr>
              <w:t>"[Citar documento, data e página]. Na base de relatórios do 1º ciclo não foi localizado relatório da Twitch; a afirmação decorre de [fonte], e não deve ser lida como declaração no âmbito do art. [X]." (ou suprimir a frase)</w:t>
            </w:r>
          </w:p>
        </w:tc>
      </w:tr>
      <w:tr>
        <w:tc>
          <w:tcPr>
            <w:tcW w:type="dxa" w:w="2041"/>
            <w:shd w:val="clear" w:color="auto" w:fill="E8EEF5"/>
          </w:tcPr>
          <w:p>
            <w:r/>
            <w:r>
              <w:rPr>
                <w:b/>
                <w:sz w:val="17"/>
              </w:rPr>
              <w:t>Justificativa técnica</w:t>
            </w:r>
          </w:p>
        </w:tc>
        <w:tc>
          <w:tcPr>
            <w:tcW w:type="dxa" w:w="7597"/>
          </w:tcPr>
          <w:p>
            <w:r/>
            <w:r>
              <w:rPr>
                <w:sz w:val="17"/>
              </w:rPr>
              <w:t>Evita atribuição sem lastro a agente regulado. Rastreabilidade das fontes é requisito de qualquer documento que embase ato normativo.</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R4 — §2, Feed</w:t>
            </w:r>
          </w:p>
        </w:tc>
        <w:tc>
          <w:tcPr>
            <w:tcW w:type="dxa" w:w="7597"/>
            <w:shd w:val="clear" w:color="auto" w:fill="FFF2CC"/>
          </w:tcPr>
          <w:p>
            <w:r/>
            <w:r>
              <w:rPr>
                <w:sz w:val="17"/>
              </w:rPr>
              <w:t>Relevante</w:t>
            </w:r>
          </w:p>
        </w:tc>
      </w:tr>
      <w:tr>
        <w:tc>
          <w:tcPr>
            <w:tcW w:type="dxa" w:w="2041"/>
            <w:shd w:val="clear" w:color="auto" w:fill="E8EEF5"/>
          </w:tcPr>
          <w:p>
            <w:r/>
            <w:r>
              <w:rPr>
                <w:b/>
                <w:sz w:val="17"/>
              </w:rPr>
              <w:t>Redação original</w:t>
            </w:r>
          </w:p>
        </w:tc>
        <w:tc>
          <w:tcPr>
            <w:tcW w:type="dxa" w:w="7597"/>
          </w:tcPr>
          <w:p>
            <w:r/>
            <w:r>
              <w:rPr>
                <w:sz w:val="17"/>
              </w:rPr>
              <w:t>"Esta mecânica foi destacada em 26 sentenças nos documentos analisados."</w:t>
            </w:r>
          </w:p>
        </w:tc>
      </w:tr>
      <w:tr>
        <w:tc>
          <w:tcPr>
            <w:tcW w:type="dxa" w:w="2041"/>
            <w:shd w:val="clear" w:color="auto" w:fill="E8EEF5"/>
          </w:tcPr>
          <w:p>
            <w:r/>
            <w:r>
              <w:rPr>
                <w:b/>
                <w:sz w:val="17"/>
              </w:rPr>
              <w:t>Nova redação</w:t>
            </w:r>
          </w:p>
        </w:tc>
        <w:tc>
          <w:tcPr>
            <w:tcW w:type="dxa" w:w="7597"/>
          </w:tcPr>
          <w:p>
            <w:r/>
            <w:r>
              <w:rPr>
                <w:sz w:val="17"/>
              </w:rPr>
              <w:t>"A mecânica de recomendação foi mencionada em [N] relatórios, dos quais [M] a tratam como risco próprio (ex.: Kwai)."</w:t>
            </w:r>
          </w:p>
        </w:tc>
      </w:tr>
      <w:tr>
        <w:tc>
          <w:tcPr>
            <w:tcW w:type="dxa" w:w="2041"/>
            <w:shd w:val="clear" w:color="auto" w:fill="E8EEF5"/>
          </w:tcPr>
          <w:p>
            <w:r/>
            <w:r>
              <w:rPr>
                <w:b/>
                <w:sz w:val="17"/>
              </w:rPr>
              <w:t>Justificativa técnica</w:t>
            </w:r>
          </w:p>
        </w:tc>
        <w:tc>
          <w:tcPr>
            <w:tcW w:type="dxa" w:w="7597"/>
          </w:tcPr>
          <w:p>
            <w:r/>
            <w:r>
              <w:rPr>
                <w:sz w:val="17"/>
              </w:rPr>
              <w:t>"Sentenças" é unidade sem significado regulatório e depende do método de codificação. Contar relatórios e classificar o tratamento.</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R5 — §3, Auditoria Ausente</w:t>
            </w:r>
          </w:p>
        </w:tc>
        <w:tc>
          <w:tcPr>
            <w:tcW w:type="dxa" w:w="7597"/>
            <w:shd w:val="clear" w:color="auto" w:fill="F4CCCC"/>
          </w:tcPr>
          <w:p>
            <w:r/>
            <w:r>
              <w:rPr>
                <w:sz w:val="17"/>
              </w:rPr>
              <w:t>Essencial</w:t>
            </w:r>
          </w:p>
        </w:tc>
      </w:tr>
      <w:tr>
        <w:tc>
          <w:tcPr>
            <w:tcW w:type="dxa" w:w="2041"/>
            <w:shd w:val="clear" w:color="auto" w:fill="E8EEF5"/>
          </w:tcPr>
          <w:p>
            <w:r/>
            <w:r>
              <w:rPr>
                <w:b/>
                <w:sz w:val="17"/>
              </w:rPr>
              <w:t>Redação original</w:t>
            </w:r>
          </w:p>
        </w:tc>
        <w:tc>
          <w:tcPr>
            <w:tcW w:type="dxa" w:w="7597"/>
          </w:tcPr>
          <w:p>
            <w:r/>
            <w:r>
              <w:rPr>
                <w:sz w:val="17"/>
              </w:rPr>
              <w:t>"…nenhuma plataforma publica seus critérios exatos da escala de risco, nem submete as matrizes a processos independentes de validação ou auditoria externa."</w:t>
            </w:r>
          </w:p>
        </w:tc>
      </w:tr>
      <w:tr>
        <w:tc>
          <w:tcPr>
            <w:tcW w:type="dxa" w:w="2041"/>
            <w:shd w:val="clear" w:color="auto" w:fill="E8EEF5"/>
          </w:tcPr>
          <w:p>
            <w:r/>
            <w:r>
              <w:rPr>
                <w:b/>
                <w:sz w:val="17"/>
              </w:rPr>
              <w:t>Nova redação</w:t>
            </w:r>
          </w:p>
        </w:tc>
        <w:tc>
          <w:tcPr>
            <w:tcW w:type="dxa" w:w="7597"/>
          </w:tcPr>
          <w:p>
            <w:r/>
            <w:r>
              <w:rPr>
                <w:sz w:val="17"/>
              </w:rPr>
              <w:t>"Nos relatórios analisados não há descrição pública dos critérios que definem cada nível da escala de risco, nem indicação de validação ou auditoria por terceiro independente. Algumas plataformas referem revisão multidisciplinar ou consulta a especialistas externos (ex.: Kwai, TikTok), sem detalhar escopo, independência ou resultado."</w:t>
            </w:r>
          </w:p>
        </w:tc>
      </w:tr>
      <w:tr>
        <w:tc>
          <w:tcPr>
            <w:tcW w:type="dxa" w:w="2041"/>
            <w:shd w:val="clear" w:color="auto" w:fill="E8EEF5"/>
          </w:tcPr>
          <w:p>
            <w:r/>
            <w:r>
              <w:rPr>
                <w:b/>
                <w:sz w:val="17"/>
              </w:rPr>
              <w:t>Justificativa técnica</w:t>
            </w:r>
          </w:p>
        </w:tc>
        <w:tc>
          <w:tcPr>
            <w:tcW w:type="dxa" w:w="7597"/>
          </w:tcPr>
          <w:p>
            <w:r/>
            <w:r>
              <w:rPr>
                <w:sz w:val="17"/>
              </w:rPr>
              <w:t>Mais precisa e menos suscetível a contestação por um caso isolado. Distingue revisão interna, consulta externa e auditoria independente.</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R6 — §3, Epic Games</w:t>
            </w:r>
          </w:p>
        </w:tc>
        <w:tc>
          <w:tcPr>
            <w:tcW w:type="dxa" w:w="7597"/>
            <w:shd w:val="clear" w:color="auto" w:fill="F4CCCC"/>
          </w:tcPr>
          <w:p>
            <w:r/>
            <w:r>
              <w:rPr>
                <w:sz w:val="17"/>
              </w:rPr>
              <w:t>Essencial</w:t>
            </w:r>
          </w:p>
        </w:tc>
      </w:tr>
      <w:tr>
        <w:tc>
          <w:tcPr>
            <w:tcW w:type="dxa" w:w="2041"/>
            <w:shd w:val="clear" w:color="auto" w:fill="E8EEF5"/>
          </w:tcPr>
          <w:p>
            <w:r/>
            <w:r>
              <w:rPr>
                <w:b/>
                <w:sz w:val="17"/>
              </w:rPr>
              <w:t>Redação original</w:t>
            </w:r>
          </w:p>
        </w:tc>
        <w:tc>
          <w:tcPr>
            <w:tcW w:type="dxa" w:w="7597"/>
          </w:tcPr>
          <w:p>
            <w:r/>
            <w:r>
              <w:rPr>
                <w:sz w:val="17"/>
              </w:rPr>
              <w:t>"…chegando à conclusão de que o risco residual na plataforma é baixo."</w:t>
            </w:r>
          </w:p>
        </w:tc>
      </w:tr>
      <w:tr>
        <w:tc>
          <w:tcPr>
            <w:tcW w:type="dxa" w:w="2041"/>
            <w:shd w:val="clear" w:color="auto" w:fill="E8EEF5"/>
          </w:tcPr>
          <w:p>
            <w:r/>
            <w:r>
              <w:rPr>
                <w:b/>
                <w:sz w:val="17"/>
              </w:rPr>
              <w:t>Nova redação</w:t>
            </w:r>
          </w:p>
        </w:tc>
        <w:tc>
          <w:tcPr>
            <w:tcW w:type="dxa" w:w="7597"/>
          </w:tcPr>
          <w:p>
            <w:r/>
            <w:r>
              <w:rPr>
                <w:sz w:val="17"/>
              </w:rPr>
              <w:t>"…que classificou como baixo o risco residual, sem divulgar os critérios da escala nem a evidência de eficácia dos controles. No mesmo período, o relatório registra 714.214 medidas no Fortnite, ordem de grandeza que não permite, por si, validar ou refutar a classificação."</w:t>
            </w:r>
          </w:p>
        </w:tc>
      </w:tr>
      <w:tr>
        <w:tc>
          <w:tcPr>
            <w:tcW w:type="dxa" w:w="2041"/>
            <w:shd w:val="clear" w:color="auto" w:fill="E8EEF5"/>
          </w:tcPr>
          <w:p>
            <w:r/>
            <w:r>
              <w:rPr>
                <w:b/>
                <w:sz w:val="17"/>
              </w:rPr>
              <w:t>Justificativa técnica</w:t>
            </w:r>
          </w:p>
        </w:tc>
        <w:tc>
          <w:tcPr>
            <w:tcW w:type="dxa" w:w="7597"/>
          </w:tcPr>
          <w:p>
            <w:r/>
            <w:r>
              <w:rPr>
                <w:sz w:val="17"/>
              </w:rPr>
              <w:t>Registrar a classificação sem endossá-la. Mostra por que o rótulo precisa de âncora quantitativa.</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R7 — §4, Detecção Automatizada</w:t>
            </w:r>
          </w:p>
        </w:tc>
        <w:tc>
          <w:tcPr>
            <w:tcW w:type="dxa" w:w="7597"/>
            <w:shd w:val="clear" w:color="auto" w:fill="FFF2CC"/>
          </w:tcPr>
          <w:p>
            <w:r/>
            <w:r>
              <w:rPr>
                <w:sz w:val="17"/>
              </w:rPr>
              <w:t>Relevante</w:t>
            </w:r>
          </w:p>
        </w:tc>
      </w:tr>
      <w:tr>
        <w:tc>
          <w:tcPr>
            <w:tcW w:type="dxa" w:w="2041"/>
            <w:shd w:val="clear" w:color="auto" w:fill="E8EEF5"/>
          </w:tcPr>
          <w:p>
            <w:r/>
            <w:r>
              <w:rPr>
                <w:b/>
                <w:sz w:val="17"/>
              </w:rPr>
              <w:t>Redação original</w:t>
            </w:r>
          </w:p>
        </w:tc>
        <w:tc>
          <w:tcPr>
            <w:tcW w:type="dxa" w:w="7597"/>
          </w:tcPr>
          <w:p>
            <w:r/>
            <w:r>
              <w:rPr>
                <w:sz w:val="17"/>
              </w:rPr>
              <w:t>"É a mitigação mais recorrente, sendo citada como pilar central de segurança por 18 plataformas."</w:t>
            </w:r>
          </w:p>
        </w:tc>
      </w:tr>
      <w:tr>
        <w:tc>
          <w:tcPr>
            <w:tcW w:type="dxa" w:w="2041"/>
            <w:shd w:val="clear" w:color="auto" w:fill="E8EEF5"/>
          </w:tcPr>
          <w:p>
            <w:r/>
            <w:r>
              <w:rPr>
                <w:b/>
                <w:sz w:val="17"/>
              </w:rPr>
              <w:t>Nova redação</w:t>
            </w:r>
          </w:p>
        </w:tc>
        <w:tc>
          <w:tcPr>
            <w:tcW w:type="dxa" w:w="7597"/>
          </w:tcPr>
          <w:p>
            <w:r/>
            <w:r>
              <w:rPr>
                <w:sz w:val="17"/>
              </w:rPr>
              <w:t>"É a mitigação mais recorrente ([N] de 11 relatórios). Nenhum relatório apresentou indicadores de desempenho (falsos positivos, revocação, reversão em recurso), o que impede avaliar sua eficácia."</w:t>
            </w:r>
          </w:p>
        </w:tc>
      </w:tr>
      <w:tr>
        <w:tc>
          <w:tcPr>
            <w:tcW w:type="dxa" w:w="2041"/>
            <w:shd w:val="clear" w:color="auto" w:fill="E8EEF5"/>
          </w:tcPr>
          <w:p>
            <w:r/>
            <w:r>
              <w:rPr>
                <w:b/>
                <w:sz w:val="17"/>
              </w:rPr>
              <w:t>Justificativa técnica</w:t>
            </w:r>
          </w:p>
        </w:tc>
        <w:tc>
          <w:tcPr>
            <w:tcW w:type="dxa" w:w="7597"/>
          </w:tcPr>
          <w:p>
            <w:r/>
            <w:r>
              <w:rPr>
                <w:sz w:val="17"/>
              </w:rPr>
              <w:t>Corrige o universo e converte a lacuna em enunciado verificável.</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R8 — §4, Falta de Comparabilidade</w:t>
            </w:r>
          </w:p>
        </w:tc>
        <w:tc>
          <w:tcPr>
            <w:tcW w:type="dxa" w:w="7597"/>
            <w:shd w:val="clear" w:color="auto" w:fill="F4CCCC"/>
          </w:tcPr>
          <w:p>
            <w:r/>
            <w:r>
              <w:rPr>
                <w:sz w:val="17"/>
              </w:rPr>
              <w:t>Essencial</w:t>
            </w:r>
          </w:p>
        </w:tc>
      </w:tr>
      <w:tr>
        <w:tc>
          <w:tcPr>
            <w:tcW w:type="dxa" w:w="2041"/>
            <w:shd w:val="clear" w:color="auto" w:fill="E8EEF5"/>
          </w:tcPr>
          <w:p>
            <w:r/>
            <w:r>
              <w:rPr>
                <w:b/>
                <w:sz w:val="17"/>
              </w:rPr>
              <w:t>Redação original</w:t>
            </w:r>
          </w:p>
        </w:tc>
        <w:tc>
          <w:tcPr>
            <w:tcW w:type="dxa" w:w="7597"/>
          </w:tcPr>
          <w:p>
            <w:r/>
            <w:r>
              <w:rPr>
                <w:sz w:val="17"/>
              </w:rPr>
              <w:t>"A análise consolidou 26 bases de volume declaradas de maneira heterogênea. Métricas que misturam ações em contas, interações e detecção de conteúdos impedem o alinhamento de impacto interplataformas."</w:t>
            </w:r>
          </w:p>
        </w:tc>
      </w:tr>
      <w:tr>
        <w:tc>
          <w:tcPr>
            <w:tcW w:type="dxa" w:w="2041"/>
            <w:shd w:val="clear" w:color="auto" w:fill="E8EEF5"/>
          </w:tcPr>
          <w:p>
            <w:r/>
            <w:r>
              <w:rPr>
                <w:b/>
                <w:sz w:val="17"/>
              </w:rPr>
              <w:t>Nova redação</w:t>
            </w:r>
          </w:p>
        </w:tc>
        <w:tc>
          <w:tcPr>
            <w:tcW w:type="dxa" w:w="7597"/>
          </w:tcPr>
          <w:p>
            <w:r/>
            <w:r>
              <w:rPr>
                <w:sz w:val="17"/>
              </w:rPr>
              <w:t>"Foram identificadas [26] bases de volume com unidades distintas (denúncias, ações, contas, conteúdos), janelas diferentes (1º/1, 17/3 e 13/3 a 30/6) e denominadores não padronizados. Exemplos: Discord separa denúncias não spam de spam; Epic não apresenta total agregado de denúncias; WhatsApp declara não conseguir dividir 2.176 denúncias por categoria."</w:t>
            </w:r>
          </w:p>
        </w:tc>
      </w:tr>
      <w:tr>
        <w:tc>
          <w:tcPr>
            <w:tcW w:type="dxa" w:w="2041"/>
            <w:shd w:val="clear" w:color="auto" w:fill="E8EEF5"/>
          </w:tcPr>
          <w:p>
            <w:r/>
            <w:r>
              <w:rPr>
                <w:b/>
                <w:sz w:val="17"/>
              </w:rPr>
              <w:t>Justificativa técnica</w:t>
            </w:r>
          </w:p>
        </w:tc>
        <w:tc>
          <w:tcPr>
            <w:tcW w:type="dxa" w:w="7597"/>
          </w:tcPr>
          <w:p>
            <w:r/>
            <w:r>
              <w:rPr>
                <w:sz w:val="17"/>
              </w:rPr>
              <w:t>Ancora a afirmação em exemplos verificáveis da base. Explicita o problema da janela temporal.</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R9 — §5, Ficha Técnica</w:t>
            </w:r>
          </w:p>
        </w:tc>
        <w:tc>
          <w:tcPr>
            <w:tcW w:type="dxa" w:w="7597"/>
            <w:shd w:val="clear" w:color="auto" w:fill="FFF2CC"/>
          </w:tcPr>
          <w:p>
            <w:r/>
            <w:r>
              <w:rPr>
                <w:sz w:val="17"/>
              </w:rPr>
              <w:t>Relevante</w:t>
            </w:r>
          </w:p>
        </w:tc>
      </w:tr>
      <w:tr>
        <w:tc>
          <w:tcPr>
            <w:tcW w:type="dxa" w:w="2041"/>
            <w:shd w:val="clear" w:color="auto" w:fill="E8EEF5"/>
          </w:tcPr>
          <w:p>
            <w:r/>
            <w:r>
              <w:rPr>
                <w:b/>
                <w:sz w:val="17"/>
              </w:rPr>
              <w:t>Redação original</w:t>
            </w:r>
          </w:p>
        </w:tc>
        <w:tc>
          <w:tcPr>
            <w:tcW w:type="dxa" w:w="7597"/>
          </w:tcPr>
          <w:p>
            <w:r/>
            <w:r>
              <w:rPr>
                <w:sz w:val="17"/>
              </w:rPr>
              <w:t>"…uma parte fixa, visando formar série histórica comparável, e outra pautada em temáticas rotativas…"</w:t>
            </w:r>
          </w:p>
        </w:tc>
      </w:tr>
      <w:tr>
        <w:tc>
          <w:tcPr>
            <w:tcW w:type="dxa" w:w="2041"/>
            <w:shd w:val="clear" w:color="auto" w:fill="E8EEF5"/>
          </w:tcPr>
          <w:p>
            <w:r/>
            <w:r>
              <w:rPr>
                <w:b/>
                <w:sz w:val="17"/>
              </w:rPr>
              <w:t>Nova redação</w:t>
            </w:r>
          </w:p>
        </w:tc>
        <w:tc>
          <w:tcPr>
            <w:tcW w:type="dxa" w:w="7597"/>
          </w:tcPr>
          <w:p>
            <w:r/>
            <w:r>
              <w:rPr>
                <w:sz w:val="17"/>
              </w:rPr>
              <w:t>"A Ficha terá (i) parte fixa, com indicadores definidos pela ANPD (definição, denominador, janela e fonte de verificação) e (ii) módulos rotativos por funcionalidade crítica. Todo indicador será acompanhado de dicionário de dados e de regra de verificação (Anexo A, art. 5º)."</w:t>
            </w:r>
          </w:p>
        </w:tc>
      </w:tr>
      <w:tr>
        <w:tc>
          <w:tcPr>
            <w:tcW w:type="dxa" w:w="2041"/>
            <w:shd w:val="clear" w:color="auto" w:fill="E8EEF5"/>
          </w:tcPr>
          <w:p>
            <w:r/>
            <w:r>
              <w:rPr>
                <w:b/>
                <w:sz w:val="17"/>
              </w:rPr>
              <w:t>Justificativa técnica</w:t>
            </w:r>
          </w:p>
        </w:tc>
        <w:tc>
          <w:tcPr>
            <w:tcW w:type="dxa" w:w="7597"/>
          </w:tcPr>
          <w:p>
            <w:r/>
            <w:r>
              <w:rPr>
                <w:sz w:val="17"/>
              </w:rPr>
              <w:t>Transforma intenção em requisitos mínimos de desenho e vincula à verificabilidade.</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R10 — §3, Padrões Internacionais</w:t>
            </w:r>
          </w:p>
        </w:tc>
        <w:tc>
          <w:tcPr>
            <w:tcW w:type="dxa" w:w="7597"/>
            <w:shd w:val="clear" w:color="auto" w:fill="FFF2CC"/>
          </w:tcPr>
          <w:p>
            <w:r/>
            <w:r>
              <w:rPr>
                <w:sz w:val="17"/>
              </w:rPr>
              <w:t>Relevante</w:t>
            </w:r>
          </w:p>
        </w:tc>
      </w:tr>
      <w:tr>
        <w:tc>
          <w:tcPr>
            <w:tcW w:type="dxa" w:w="2041"/>
            <w:shd w:val="clear" w:color="auto" w:fill="E8EEF5"/>
          </w:tcPr>
          <w:p>
            <w:r/>
            <w:r>
              <w:rPr>
                <w:b/>
                <w:sz w:val="17"/>
              </w:rPr>
              <w:t>Redação original</w:t>
            </w:r>
          </w:p>
        </w:tc>
        <w:tc>
          <w:tcPr>
            <w:tcW w:type="dxa" w:w="7597"/>
          </w:tcPr>
          <w:p>
            <w:r/>
            <w:r>
              <w:rPr>
                <w:sz w:val="17"/>
              </w:rPr>
              <w:t>"A Meta e o WhatsApp estruturam suas avaliações baseadas na ISO 31000."</w:t>
            </w:r>
          </w:p>
        </w:tc>
      </w:tr>
      <w:tr>
        <w:tc>
          <w:tcPr>
            <w:tcW w:type="dxa" w:w="2041"/>
            <w:shd w:val="clear" w:color="auto" w:fill="E8EEF5"/>
          </w:tcPr>
          <w:p>
            <w:r/>
            <w:r>
              <w:rPr>
                <w:b/>
                <w:sz w:val="17"/>
              </w:rPr>
              <w:t>Nova redação</w:t>
            </w:r>
          </w:p>
        </w:tc>
        <w:tc>
          <w:tcPr>
            <w:tcW w:type="dxa" w:w="7597"/>
          </w:tcPr>
          <w:p>
            <w:r/>
            <w:r>
              <w:rPr>
                <w:sz w:val="17"/>
              </w:rPr>
              <w:t>"Meta e WhatsApp declaram adotar a ISO 31000. A norma é de gestão de risco e não de certificação; a declaração não implica verificação de conformidade."</w:t>
            </w:r>
          </w:p>
        </w:tc>
      </w:tr>
      <w:tr>
        <w:tc>
          <w:tcPr>
            <w:tcW w:type="dxa" w:w="2041"/>
            <w:shd w:val="clear" w:color="auto" w:fill="E8EEF5"/>
          </w:tcPr>
          <w:p>
            <w:r/>
            <w:r>
              <w:rPr>
                <w:b/>
                <w:sz w:val="17"/>
              </w:rPr>
              <w:t>Justificativa técnica</w:t>
            </w:r>
          </w:p>
        </w:tc>
        <w:tc>
          <w:tcPr>
            <w:tcW w:type="dxa" w:w="7597"/>
          </w:tcPr>
          <w:p>
            <w:r/>
            <w:r>
              <w:rPr>
                <w:sz w:val="17"/>
              </w:rPr>
              <w:t>ISO 31000 é guia, não norma certificável. Evita leitura de que "baseada na ISO" equivale a robustez.</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R11 — Título e §1</w:t>
            </w:r>
          </w:p>
        </w:tc>
        <w:tc>
          <w:tcPr>
            <w:tcW w:type="dxa" w:w="7597"/>
            <w:shd w:val="clear" w:color="auto" w:fill="D9EAD3"/>
          </w:tcPr>
          <w:p>
            <w:r/>
            <w:r>
              <w:rPr>
                <w:sz w:val="17"/>
              </w:rPr>
              <w:t>Opcional</w:t>
            </w:r>
          </w:p>
        </w:tc>
      </w:tr>
      <w:tr>
        <w:tc>
          <w:tcPr>
            <w:tcW w:type="dxa" w:w="2041"/>
            <w:shd w:val="clear" w:color="auto" w:fill="E8EEF5"/>
          </w:tcPr>
          <w:p>
            <w:r/>
            <w:r>
              <w:rPr>
                <w:b/>
                <w:sz w:val="17"/>
              </w:rPr>
              <w:t>Redação original</w:t>
            </w:r>
          </w:p>
        </w:tc>
        <w:tc>
          <w:tcPr>
            <w:tcW w:type="dxa" w:w="7597"/>
          </w:tcPr>
          <w:p>
            <w:r/>
            <w:r>
              <w:rPr>
                <w:sz w:val="17"/>
              </w:rPr>
              <w:t>"…monitorar apenas a menção a riscos genéricos é uma métrica saturada."</w:t>
            </w:r>
          </w:p>
        </w:tc>
      </w:tr>
      <w:tr>
        <w:tc>
          <w:tcPr>
            <w:tcW w:type="dxa" w:w="2041"/>
            <w:shd w:val="clear" w:color="auto" w:fill="E8EEF5"/>
          </w:tcPr>
          <w:p>
            <w:r/>
            <w:r>
              <w:rPr>
                <w:b/>
                <w:sz w:val="17"/>
              </w:rPr>
              <w:t>Nova redação</w:t>
            </w:r>
          </w:p>
        </w:tc>
        <w:tc>
          <w:tcPr>
            <w:tcW w:type="dxa" w:w="7597"/>
          </w:tcPr>
          <w:p>
            <w:r/>
            <w:r>
              <w:rPr>
                <w:sz w:val="17"/>
              </w:rPr>
              <w:t>"…a mera menção a riscos genéricos deixou de discriminar entre os relatórios (efeito teto) e não deve compor o conjunto de indicadores."</w:t>
            </w:r>
          </w:p>
        </w:tc>
      </w:tr>
      <w:tr>
        <w:tc>
          <w:tcPr>
            <w:tcW w:type="dxa" w:w="2041"/>
            <w:shd w:val="clear" w:color="auto" w:fill="E8EEF5"/>
          </w:tcPr>
          <w:p>
            <w:r/>
            <w:r>
              <w:rPr>
                <w:b/>
                <w:sz w:val="17"/>
              </w:rPr>
              <w:t>Justificativa técnica</w:t>
            </w:r>
          </w:p>
        </w:tc>
        <w:tc>
          <w:tcPr>
            <w:tcW w:type="dxa" w:w="7597"/>
          </w:tcPr>
          <w:p>
            <w:r/>
            <w:r>
              <w:rPr>
                <w:sz w:val="17"/>
              </w:rPr>
              <w:t>"Métrica saturada" é jargão impreciso. A reformulação explicita o argumento (efeito teto).</w:t>
            </w:r>
          </w:p>
        </w:tc>
      </w:tr>
    </w:tbl>
    <w:p>
      <w:pPr>
        <w:spacing w:after="40"/>
      </w:pPr>
    </w:p>
    <w:tbl>
      <w:tblPr>
        <w:tblStyle w:val="TableGrid"/>
        <w:tblW w:type="auto" w:w="0"/>
        <w:tblLook w:firstColumn="1" w:firstRow="1" w:lastColumn="0" w:lastRow="0" w:noHBand="0" w:noVBand="1" w:val="04A0"/>
      </w:tblPr>
      <w:tblGrid>
        <w:gridCol w:w="4986"/>
        <w:gridCol w:w="4986"/>
      </w:tblGrid>
      <w:tr>
        <w:tc>
          <w:tcPr>
            <w:tcW w:type="dxa" w:w="2041"/>
            <w:shd w:val="clear" w:color="auto" w:fill="E8EEF5"/>
          </w:tcPr>
          <w:p>
            <w:r/>
            <w:r>
              <w:rPr>
                <w:b/>
                <w:sz w:val="17"/>
              </w:rPr>
              <w:t>R12 — Seção 5, Referencial</w:t>
            </w:r>
          </w:p>
        </w:tc>
        <w:tc>
          <w:tcPr>
            <w:tcW w:type="dxa" w:w="7597"/>
            <w:shd w:val="clear" w:color="auto" w:fill="D9EAD3"/>
          </w:tcPr>
          <w:p>
            <w:r/>
            <w:r>
              <w:rPr>
                <w:sz w:val="17"/>
              </w:rPr>
              <w:t>Opcional</w:t>
            </w:r>
          </w:p>
        </w:tc>
      </w:tr>
      <w:tr>
        <w:tc>
          <w:tcPr>
            <w:tcW w:type="dxa" w:w="2041"/>
            <w:shd w:val="clear" w:color="auto" w:fill="E8EEF5"/>
          </w:tcPr>
          <w:p>
            <w:r/>
            <w:r>
              <w:rPr>
                <w:b/>
                <w:sz w:val="17"/>
              </w:rPr>
              <w:t>Redação original</w:t>
            </w:r>
          </w:p>
        </w:tc>
        <w:tc>
          <w:tcPr>
            <w:tcW w:type="dxa" w:w="7597"/>
          </w:tcPr>
          <w:p>
            <w:r/>
            <w:r>
              <w:rPr>
                <w:sz w:val="17"/>
              </w:rPr>
              <w:t>"A orientação produzida pelo Ofcom reforça…"</w:t>
            </w:r>
          </w:p>
        </w:tc>
      </w:tr>
      <w:tr>
        <w:tc>
          <w:tcPr>
            <w:tcW w:type="dxa" w:w="2041"/>
            <w:shd w:val="clear" w:color="auto" w:fill="E8EEF5"/>
          </w:tcPr>
          <w:p>
            <w:r/>
            <w:r>
              <w:rPr>
                <w:b/>
                <w:sz w:val="17"/>
              </w:rPr>
              <w:t>Nova redação</w:t>
            </w:r>
          </w:p>
        </w:tc>
        <w:tc>
          <w:tcPr>
            <w:tcW w:type="dxa" w:w="7597"/>
          </w:tcPr>
          <w:p>
            <w:r/>
            <w:r>
              <w:rPr>
                <w:sz w:val="17"/>
              </w:rPr>
              <w:t>"A Ofcom (Online Safety Act 2023; guias de avaliação de risco para crianças) …" com referência completa e data.</w:t>
            </w:r>
          </w:p>
        </w:tc>
      </w:tr>
      <w:tr>
        <w:tc>
          <w:tcPr>
            <w:tcW w:type="dxa" w:w="2041"/>
            <w:shd w:val="clear" w:color="auto" w:fill="E8EEF5"/>
          </w:tcPr>
          <w:p>
            <w:r/>
            <w:r>
              <w:rPr>
                <w:b/>
                <w:sz w:val="17"/>
              </w:rPr>
              <w:t>Justificativa técnica</w:t>
            </w:r>
          </w:p>
        </w:tc>
        <w:tc>
          <w:tcPr>
            <w:tcW w:type="dxa" w:w="7597"/>
          </w:tcPr>
          <w:p>
            <w:r/>
            <w:r>
              <w:rPr>
                <w:sz w:val="17"/>
              </w:rPr>
              <w:t>Citação completa melhora a defensabilidade em consulta pública.</w:t>
            </w:r>
          </w:p>
        </w:tc>
      </w:tr>
    </w:tbl>
    <w:p>
      <w:pPr>
        <w:spacing w:after="40"/>
      </w:pPr>
    </w:p>
    <w:p>
      <w:pPr>
        <w:pStyle w:val="Heading1"/>
      </w:pPr>
      <w:r>
        <w:t>10. ETAPA 8 — Parecer final</w:t>
      </w:r>
    </w:p>
    <w:p>
      <w:pPr>
        <w:pStyle w:val="Heading2"/>
      </w:pPr>
      <w:r>
        <w:t>10.1 Nota geral (0 a 10)</w:t>
      </w:r>
    </w:p>
    <w:tbl>
      <w:tblPr>
        <w:tblStyle w:val="TableGrid"/>
        <w:tblW w:type="auto" w:w="0"/>
        <w:tblLook w:firstColumn="1" w:firstRow="1" w:lastColumn="0" w:lastRow="0" w:noHBand="0" w:noVBand="1" w:val="04A0"/>
      </w:tblPr>
      <w:tblGrid>
        <w:gridCol w:w="3324"/>
        <w:gridCol w:w="3324"/>
        <w:gridCol w:w="3324"/>
      </w:tblGrid>
      <w:tr>
        <w:tc>
          <w:tcPr>
            <w:tcW w:type="dxa" w:w="2608"/>
            <w:shd w:val="clear" w:color="auto" w:fill="1F3A5F"/>
          </w:tcPr>
          <w:p>
            <w:r/>
            <w:r>
              <w:rPr>
                <w:b/>
                <w:color w:val="FFFFFF"/>
                <w:sz w:val="17"/>
              </w:rPr>
              <w:t>Critério</w:t>
            </w:r>
          </w:p>
        </w:tc>
        <w:tc>
          <w:tcPr>
            <w:tcW w:type="dxa" w:w="907"/>
            <w:shd w:val="clear" w:color="auto" w:fill="1F3A5F"/>
          </w:tcPr>
          <w:p>
            <w:r/>
            <w:r>
              <w:rPr>
                <w:b/>
                <w:color w:val="FFFFFF"/>
                <w:sz w:val="17"/>
              </w:rPr>
              <w:t>Nota</w:t>
            </w:r>
          </w:p>
        </w:tc>
        <w:tc>
          <w:tcPr>
            <w:tcW w:type="dxa" w:w="6123"/>
            <w:shd w:val="clear" w:color="auto" w:fill="1F3A5F"/>
          </w:tcPr>
          <w:p>
            <w:r/>
            <w:r>
              <w:rPr>
                <w:b/>
                <w:color w:val="FFFFFF"/>
                <w:sz w:val="17"/>
              </w:rPr>
              <w:t>Justificativa</w:t>
            </w:r>
          </w:p>
        </w:tc>
      </w:tr>
      <w:tr>
        <w:tc>
          <w:tcPr>
            <w:tcW w:type="dxa" w:w="2608"/>
          </w:tcPr>
          <w:p>
            <w:r/>
            <w:r>
              <w:rPr>
                <w:b/>
                <w:sz w:val="17"/>
              </w:rPr>
              <w:t>Consistência regulatória</w:t>
            </w:r>
          </w:p>
        </w:tc>
        <w:tc>
          <w:tcPr>
            <w:tcW w:type="dxa" w:w="907"/>
          </w:tcPr>
          <w:p>
            <w:r/>
            <w:r>
              <w:rPr>
                <w:sz w:val="17"/>
              </w:rPr>
              <w:t>5,0</w:t>
            </w:r>
          </w:p>
        </w:tc>
        <w:tc>
          <w:tcPr>
            <w:tcW w:type="dxa" w:w="6123"/>
          </w:tcPr>
          <w:p>
            <w:r/>
            <w:r>
              <w:rPr>
                <w:sz w:val="17"/>
              </w:rPr>
              <w:t>Tese coerente, mas números inconsistentes com a base, atribuição sem lastro (Twitch) e termos de contagem indefinidos.</w:t>
            </w:r>
          </w:p>
        </w:tc>
      </w:tr>
      <w:tr>
        <w:tc>
          <w:tcPr>
            <w:tcW w:type="dxa" w:w="2608"/>
          </w:tcPr>
          <w:p>
            <w:r/>
            <w:r>
              <w:rPr>
                <w:b/>
                <w:sz w:val="17"/>
              </w:rPr>
              <w:t>Viabilidade de implementação</w:t>
            </w:r>
          </w:p>
        </w:tc>
        <w:tc>
          <w:tcPr>
            <w:tcW w:type="dxa" w:w="907"/>
          </w:tcPr>
          <w:p>
            <w:r/>
            <w:r>
              <w:rPr>
                <w:sz w:val="17"/>
              </w:rPr>
              <w:t>7,0</w:t>
            </w:r>
          </w:p>
        </w:tc>
        <w:tc>
          <w:tcPr>
            <w:tcW w:type="dxa" w:w="6123"/>
          </w:tcPr>
          <w:p>
            <w:r/>
            <w:r>
              <w:rPr>
                <w:sz w:val="17"/>
              </w:rPr>
              <w:t>Parte fixa + módulos rotativos é implementável. Faltam definições. Custo da prevalência é alto, mas gradual.</w:t>
            </w:r>
          </w:p>
        </w:tc>
      </w:tr>
      <w:tr>
        <w:tc>
          <w:tcPr>
            <w:tcW w:type="dxa" w:w="2608"/>
          </w:tcPr>
          <w:p>
            <w:r/>
            <w:r>
              <w:rPr>
                <w:b/>
                <w:sz w:val="17"/>
              </w:rPr>
              <w:t>Capacidade de supervisão</w:t>
            </w:r>
          </w:p>
        </w:tc>
        <w:tc>
          <w:tcPr>
            <w:tcW w:type="dxa" w:w="907"/>
          </w:tcPr>
          <w:p>
            <w:r/>
            <w:r>
              <w:rPr>
                <w:sz w:val="17"/>
              </w:rPr>
              <w:t>5,0</w:t>
            </w:r>
          </w:p>
        </w:tc>
        <w:tc>
          <w:tcPr>
            <w:tcW w:type="dxa" w:w="6123"/>
          </w:tcPr>
          <w:p>
            <w:r/>
            <w:r>
              <w:rPr>
                <w:sz w:val="17"/>
              </w:rPr>
              <w:t>Poderes de requisição, auditoria e teste de campo não aparecem. Núcleo fica na dependência da boa-fé.</w:t>
            </w:r>
          </w:p>
        </w:tc>
      </w:tr>
      <w:tr>
        <w:tc>
          <w:tcPr>
            <w:tcW w:type="dxa" w:w="2608"/>
          </w:tcPr>
          <w:p>
            <w:r/>
            <w:r>
              <w:rPr>
                <w:b/>
                <w:sz w:val="17"/>
              </w:rPr>
              <w:t>Aderência internacional</w:t>
            </w:r>
          </w:p>
        </w:tc>
        <w:tc>
          <w:tcPr>
            <w:tcW w:type="dxa" w:w="907"/>
          </w:tcPr>
          <w:p>
            <w:r/>
            <w:r>
              <w:rPr>
                <w:sz w:val="17"/>
              </w:rPr>
              <w:t>6,5</w:t>
            </w:r>
          </w:p>
        </w:tc>
        <w:tc>
          <w:tcPr>
            <w:tcW w:type="dxa" w:w="6123"/>
          </w:tcPr>
          <w:p>
            <w:r/>
            <w:r>
              <w:rPr>
                <w:sz w:val="17"/>
              </w:rPr>
              <w:t>Boa aderência conceitual (funcionalidades, ISO, 5Cs). Fraca nos instrumentos de enforcement (auditoria, acesso a dados, formato padronizado, sanções).</w:t>
            </w:r>
          </w:p>
        </w:tc>
      </w:tr>
      <w:tr>
        <w:tc>
          <w:tcPr>
            <w:tcW w:type="dxa" w:w="2608"/>
          </w:tcPr>
          <w:p>
            <w:r/>
            <w:r>
              <w:rPr>
                <w:b/>
                <w:sz w:val="17"/>
              </w:rPr>
              <w:t>Proteção efetiva de crianças e adolescentes</w:t>
            </w:r>
          </w:p>
        </w:tc>
        <w:tc>
          <w:tcPr>
            <w:tcW w:type="dxa" w:w="907"/>
          </w:tcPr>
          <w:p>
            <w:r/>
            <w:r>
              <w:rPr>
                <w:sz w:val="17"/>
              </w:rPr>
              <w:t>5,5</w:t>
            </w:r>
          </w:p>
        </w:tc>
        <w:tc>
          <w:tcPr>
            <w:tcW w:type="dxa" w:w="6123"/>
          </w:tcPr>
          <w:p>
            <w:r/>
            <w:r>
              <w:rPr>
                <w:sz w:val="17"/>
              </w:rPr>
              <w:t>O foco em funcionalidades é correto, mas IA, cobertura de agentes não reportantes e verificação etária ficam subdesenvolvidos.</w:t>
            </w:r>
          </w:p>
        </w:tc>
      </w:tr>
      <w:tr>
        <w:tc>
          <w:tcPr>
            <w:tcW w:type="dxa" w:w="2608"/>
          </w:tcPr>
          <w:p>
            <w:r/>
            <w:r>
              <w:rPr>
                <w:b/>
                <w:sz w:val="17"/>
              </w:rPr>
              <w:t>NOTA GERAL</w:t>
            </w:r>
          </w:p>
        </w:tc>
        <w:tc>
          <w:tcPr>
            <w:tcW w:type="dxa" w:w="907"/>
          </w:tcPr>
          <w:p>
            <w:r/>
            <w:r>
              <w:rPr>
                <w:sz w:val="17"/>
              </w:rPr>
              <w:t>6,0</w:t>
            </w:r>
          </w:p>
        </w:tc>
        <w:tc>
          <w:tcPr>
            <w:tcW w:type="dxa" w:w="6123"/>
          </w:tcPr>
          <w:p>
            <w:r/>
            <w:r>
              <w:rPr>
                <w:sz w:val="17"/>
              </w:rPr>
              <w:t>Boa base conceitual, ainda não pronta para consulta pública.</w:t>
            </w:r>
          </w:p>
        </w:tc>
      </w:tr>
    </w:tbl>
    <w:p>
      <w:pPr>
        <w:spacing w:after="40"/>
      </w:pPr>
    </w:p>
    <w:p>
      <w:pPr>
        <w:pStyle w:val="Heading2"/>
      </w:pPr>
      <w:r>
        <w:t>10.2 Principais pontos fortes</w:t>
      </w:r>
    </w:p>
    <w:p>
      <w:pPr>
        <w:pStyle w:val="ListNumber"/>
        <w:spacing w:after="40"/>
      </w:pPr>
      <w:r>
        <w:t>Diagnóstico correto de que a menção a riscos genéricos não discrimina e deve deixar de ser o foco.</w:t>
      </w:r>
    </w:p>
    <w:p>
      <w:pPr>
        <w:pStyle w:val="ListNumber"/>
        <w:spacing w:after="40"/>
      </w:pPr>
      <w:r>
        <w:t>Unidade de análise por funcionalidade crítica, alinhada ao que Ofcom e DSA já fazem.</w:t>
      </w:r>
    </w:p>
    <w:p>
      <w:pPr>
        <w:pStyle w:val="ListNumber"/>
        <w:spacing w:after="40"/>
      </w:pPr>
      <w:r>
        <w:t>Reconhece a heterogeneidade de denominadores, janelas e conceitos como obstáculo central.</w:t>
      </w:r>
    </w:p>
    <w:p>
      <w:pPr>
        <w:pStyle w:val="ListNumber"/>
        <w:spacing w:after="40"/>
      </w:pPr>
      <w:r>
        <w:t>Identifica a lacuna de indicadores de erro da detecção automatizada (falsos positivos, reversão).</w:t>
      </w:r>
    </w:p>
    <w:p>
      <w:pPr>
        <w:pStyle w:val="ListNumber"/>
        <w:spacing w:after="40"/>
      </w:pPr>
      <w:r>
        <w:t>Identifica a ausência de validação externa das matrizes de risco.</w:t>
      </w:r>
    </w:p>
    <w:p>
      <w:pPr>
        <w:pStyle w:val="ListNumber"/>
        <w:spacing w:after="40"/>
      </w:pPr>
      <w:r>
        <w:t>Propõe arquitetura em duas camadas (parte fixa + módulos rotativos), adequada a série histórica e a adaptação.</w:t>
      </w:r>
    </w:p>
    <w:p>
      <w:pPr>
        <w:pStyle w:val="ListNumber"/>
        <w:spacing w:after="40"/>
      </w:pPr>
      <w:r>
        <w:t>Traz exemplos de boas práticas observáveis (Kwai: reavaliação em 72h; separação público/privado na Meta; uso dos 5Cs pela Epic).</w:t>
      </w:r>
    </w:p>
    <w:p>
      <w:pPr>
        <w:pStyle w:val="ListNumber"/>
        <w:spacing w:after="40"/>
      </w:pPr>
      <w:r>
        <w:t>Menciona prevalência e tempo denúncia→contenção como métricas desejáveis, em linha com a Ofcom.</w:t>
      </w:r>
    </w:p>
    <w:p>
      <w:pPr>
        <w:pStyle w:val="ListNumber"/>
        <w:spacing w:after="40"/>
      </w:pPr>
      <w:r>
        <w:t>Estrutura curta e legível, adequada a documento de trabalho.</w:t>
      </w:r>
    </w:p>
    <w:p>
      <w:pPr>
        <w:pStyle w:val="ListNumber"/>
        <w:spacing w:after="40"/>
      </w:pPr>
      <w:r>
        <w:t>Tem o mérito de partir de evidência empírica (planilha estruturada com fontes e ressalvas explícitas).</w:t>
      </w:r>
    </w:p>
    <w:p>
      <w:pPr>
        <w:pStyle w:val="ListNumber"/>
        <w:spacing w:after="40"/>
      </w:pPr>
      <w:r>
        <w:t>Reconhece que o risco residual é praticado por várias plataformas e, portanto, é terreno para padronização, não para invenção.</w:t>
      </w:r>
    </w:p>
    <w:p>
      <w:pPr>
        <w:pStyle w:val="Heading2"/>
      </w:pPr>
      <w:r>
        <w:t>10.3 Principais fragilidades</w:t>
      </w:r>
    </w:p>
    <w:p>
      <w:pPr>
        <w:pStyle w:val="ListNumber"/>
        <w:spacing w:after="40"/>
      </w:pPr>
      <w:r>
        <w:t>Números do sumário não reconciliam com a planilha (19, 18, 12, 9 e 26 contra 11 relatórios localizados).</w:t>
      </w:r>
    </w:p>
    <w:p>
      <w:pPr>
        <w:pStyle w:val="ListNumber"/>
        <w:spacing w:after="40"/>
      </w:pPr>
      <w:r>
        <w:t>Atribuição à Twitch sem relatório localizado na base.</w:t>
      </w:r>
    </w:p>
    <w:p>
      <w:pPr>
        <w:pStyle w:val="ListNumber"/>
        <w:spacing w:after="40"/>
      </w:pPr>
      <w:r>
        <w:t>Omite o achado de cobertura: 9 plataformas sem relatório, 1 fora do escopo, Google/YouTube quase vazio.</w:t>
      </w:r>
    </w:p>
    <w:p>
      <w:pPr>
        <w:pStyle w:val="ListNumber"/>
        <w:spacing w:after="40"/>
      </w:pPr>
      <w:r>
        <w:t>Risco residual não operacionalizado (sem escala, calibração nem validação).</w:t>
      </w:r>
    </w:p>
    <w:p>
      <w:pPr>
        <w:pStyle w:val="ListNumber"/>
        <w:spacing w:after="40"/>
      </w:pPr>
      <w:r>
        <w:t>Ficha de Métrica Mínima apenas anunciada, sem indicadores, definições, denominadores ou regras de verificação.</w:t>
      </w:r>
    </w:p>
    <w:p>
      <w:pPr>
        <w:pStyle w:val="ListNumber"/>
        <w:spacing w:after="40"/>
      </w:pPr>
      <w:r>
        <w:t>Sem previsão de auditoria independente, acesso a dados ou teste de campo.</w:t>
      </w:r>
    </w:p>
    <w:p>
      <w:pPr>
        <w:pStyle w:val="ListNumber"/>
        <w:spacing w:after="40"/>
      </w:pPr>
      <w:r>
        <w:t>Captura por autodeclaração não enfrentada com mecanismos específicos.</w:t>
      </w:r>
    </w:p>
    <w:p>
      <w:pPr>
        <w:pStyle w:val="ListNumber"/>
        <w:spacing w:after="40"/>
      </w:pPr>
      <w:r>
        <w:t>IA generativa tratada em poucas linhas, sem ciclo de vida, sem CSAM sintético, sem agentes nem multimodalidade.</w:t>
      </w:r>
    </w:p>
    <w:p>
      <w:pPr>
        <w:pStyle w:val="ListNumber"/>
        <w:spacing w:after="40"/>
      </w:pPr>
      <w:r>
        <w:t>Sem tratamento de mensageria cifrada, que exige métricas de sinal em vez de conteúdo.</w:t>
      </w:r>
    </w:p>
    <w:p>
      <w:pPr>
        <w:pStyle w:val="ListNumber"/>
        <w:spacing w:after="40"/>
      </w:pPr>
      <w:r>
        <w:t>Sem proporcionalidade (porte, alcance, tipo de serviço) e sem faixas etárias como dimensão.</w:t>
      </w:r>
    </w:p>
    <w:p>
      <w:pPr>
        <w:pStyle w:val="ListNumber"/>
        <w:spacing w:after="40"/>
      </w:pPr>
      <w:r>
        <w:t>Sem base jurídica explícita (competência, poder de requisição, sanções) e sem avaliação de impacto regulatório do próprio ato.</w:t>
      </w:r>
    </w:p>
    <w:p>
      <w:pPr>
        <w:pStyle w:val="ListNumber"/>
        <w:spacing w:after="40"/>
      </w:pPr>
      <w:r>
        <w:t>Referências internacionais genéricas, sem citação de dispositivos e sem a dimensão de participação de crianças (OECD).</w:t>
      </w:r>
    </w:p>
    <w:p>
      <w:pPr>
        <w:pStyle w:val="ListNumber"/>
        <w:spacing w:after="40"/>
      </w:pPr>
      <w:r>
        <w:t>Aba de "qualidade" da planilha gerada por IA, sem revisão humana, com risco de ser lida como ranking de conformidade.</w:t>
      </w:r>
    </w:p>
    <w:p>
      <w:pPr>
        <w:pStyle w:val="Heading2"/>
      </w:pPr>
      <w:r>
        <w:t>10.4 Dez melhorias prioritárias (maior impacto)</w:t>
      </w:r>
    </w:p>
    <w:p>
      <w:pPr>
        <w:pStyle w:val="ListNumber"/>
        <w:spacing w:after="40"/>
      </w:pPr>
      <w:r>
        <w:rPr>
          <w:b/>
        </w:rPr>
        <w:t xml:space="preserve">Reconciliar a base numérica. </w:t>
      </w:r>
      <w:r>
        <w:t>Definir universo, unidade de contagem e metodologia de codificação, e republicar todos os números do sumário com tabela de reprodução.</w:t>
      </w:r>
    </w:p>
    <w:p>
      <w:pPr>
        <w:pStyle w:val="ListNumber"/>
        <w:spacing w:after="40"/>
      </w:pPr>
      <w:r>
        <w:rPr>
          <w:b/>
        </w:rPr>
        <w:t xml:space="preserve">Incluir seção de cobertura. </w:t>
      </w:r>
      <w:r>
        <w:t>Mapear quem reporta, quem não reporta e por quê, e propor mecanismo de enforcement do dever de reportar.</w:t>
      </w:r>
    </w:p>
    <w:p>
      <w:pPr>
        <w:pStyle w:val="ListNumber"/>
        <w:spacing w:after="40"/>
      </w:pPr>
      <w:r>
        <w:rPr>
          <w:b/>
        </w:rPr>
        <w:t xml:space="preserve">Definir o conteúdo mínimo da Ficha. </w:t>
      </w:r>
      <w:r>
        <w:t>Parte fixa com 8 indicadores (Etapa 3), cada um com definição, denominador, janela e fonte de verificação.</w:t>
      </w:r>
    </w:p>
    <w:p>
      <w:pPr>
        <w:pStyle w:val="ListNumber"/>
        <w:spacing w:after="40"/>
      </w:pPr>
      <w:r>
        <w:rPr>
          <w:b/>
        </w:rPr>
        <w:t xml:space="preserve">Operacionalizar o risco residual. </w:t>
      </w:r>
      <w:r>
        <w:t>Escala pública com âncoras, regras de rebaixamento e indicador de resultado obrigatório.</w:t>
      </w:r>
    </w:p>
    <w:p>
      <w:pPr>
        <w:pStyle w:val="ListNumber"/>
        <w:spacing w:after="40"/>
      </w:pPr>
      <w:r>
        <w:rPr>
          <w:b/>
        </w:rPr>
        <w:t xml:space="preserve">Criar regime de verificação. </w:t>
      </w:r>
      <w:r>
        <w:t>Auditoria independente credenciada, poder de requisição de dados e testes de campo (contas-sentinela, conjuntos-ouro).</w:t>
      </w:r>
    </w:p>
    <w:p>
      <w:pPr>
        <w:pStyle w:val="ListNumber"/>
        <w:spacing w:after="40"/>
      </w:pPr>
      <w:r>
        <w:rPr>
          <w:b/>
        </w:rPr>
        <w:t xml:space="preserve">Fixar taxonomia e definições pelo regulador. </w:t>
      </w:r>
      <w:r>
        <w:t>Funcionalidades, "denúncia", "menor ativo", "medida", com cláusula anticontorno.</w:t>
      </w:r>
    </w:p>
    <w:p>
      <w:pPr>
        <w:pStyle w:val="ListNumber"/>
        <w:spacing w:after="40"/>
      </w:pPr>
      <w:r>
        <w:rPr>
          <w:b/>
        </w:rPr>
        <w:t xml:space="preserve">Criar capítulo próprio para IA generativa e CSAM sintético. </w:t>
      </w:r>
      <w:r>
        <w:t>Com ciclo de vida do modelo, agentes, multimodalidade e incidentes.</w:t>
      </w:r>
    </w:p>
    <w:p>
      <w:pPr>
        <w:pStyle w:val="ListNumber"/>
        <w:spacing w:after="40"/>
      </w:pPr>
      <w:r>
        <w:rPr>
          <w:b/>
        </w:rPr>
        <w:t xml:space="preserve">Tratar mensageria cifrada com métricas de sinal. </w:t>
      </w:r>
      <w:r>
        <w:t>Sem exigir quebra de criptografia, mas com salvaguardas de contato verificáveis.</w:t>
      </w:r>
    </w:p>
    <w:p>
      <w:pPr>
        <w:pStyle w:val="ListNumber"/>
        <w:spacing w:after="40"/>
      </w:pPr>
      <w:r>
        <w:rPr>
          <w:b/>
        </w:rPr>
        <w:t xml:space="preserve">Adicionar proporcionalidade e faixas etárias. </w:t>
      </w:r>
      <w:r>
        <w:t>Categorização por porte e alcance de menores. Faixas etárias como dimensão obrigatória.</w:t>
      </w:r>
    </w:p>
    <w:p>
      <w:pPr>
        <w:pStyle w:val="ListNumber"/>
        <w:spacing w:after="40"/>
      </w:pPr>
      <w:r>
        <w:rPr>
          <w:b/>
        </w:rPr>
        <w:t xml:space="preserve">Registrar a base jurídica e a análise de impacto regulatório. </w:t>
      </w:r>
      <w:r>
        <w:t>Competência, sanções, gradualismo (período de transição) e custo de conformidade.</w:t>
      </w:r>
    </w:p>
    <w:p>
      <w:pPr>
        <w:pStyle w:val="Heading2"/>
      </w:pPr>
      <w:r>
        <w:t>10.5 Conclusão</w:t>
      </w:r>
    </w:p>
    <w:p>
      <w:pPr>
        <w:spacing w:after="80"/>
      </w:pPr>
      <w:r>
        <w:rPr>
          <w:b/>
          <w:i w:val="0"/>
        </w:rPr>
        <w:t>Pergunta: esta minuta possui potencial para ser base de uma consulta pública ou necessita de revisão substancial?</w:t>
      </w:r>
    </w:p>
    <w:p>
      <w:pPr>
        <w:spacing w:after="80"/>
      </w:pPr>
      <w:r>
        <w:rPr>
          <w:b/>
          <w:i w:val="0"/>
        </w:rPr>
        <w:t>Resposta: possui potencial conceitual, mas necessita de revisão substancial antes de ser submetida a consulta pública.</w:t>
      </w:r>
    </w:p>
    <w:p>
      <w:pPr>
        <w:spacing w:after="80"/>
      </w:pPr>
      <w:r>
        <w:rPr>
          <w:b w:val="0"/>
          <w:i w:val="0"/>
        </w:rPr>
        <w:t>Justificativa. (1) A tese de migrar de risco genérico para funcionalidade crítica é sólida, defensável perante a Ofcom e a Comissão Europeia, e é o principal ativo do documento. (2) O texto, porém, usa uma base numérica que não bate com a planilha de evidências (19 relatórios, 18, 12, 9, 26 contra 11 relatórios localizados) e atribui a uma plataforma declarações que a base não registra. Em consulta pública, esses pontos seriam usados imediatamente pelos agentes regulados para desacreditar o diagnóstico e, por extensão, a proposta. (3) A proposta nuclear, a Ficha de Métrica Mínima, ainda não existe como especificação, e sem definições, denominadores e regime de verificação ela reproduziria o problema que pretende resolver. (4) O núcleo (risco residual, eficácia da detecção, prevalência) depende de acesso a dados e de auditoria que a minuta não prevê, o que deixa a supervisão exposta à captura por autodeclaração. (5) IA generativa e CSAM sintético, os temas de maior dinamismo para os próximos cinco anos, estão subdimensionados.</w:t>
      </w:r>
    </w:p>
    <w:p>
      <w:pPr>
        <w:spacing w:after="80"/>
      </w:pPr>
      <w:r>
        <w:rPr>
          <w:b w:val="0"/>
          <w:i w:val="0"/>
        </w:rPr>
        <w:t>Caminho recomendado: (a) corrigir a base e a atribuição (reescritas R1–R3 e R5–R8, Etapa 7); (b) redigir a Ficha com os 8 indicadores fixos e os 5 módulos; (c) incluir capítulo de verificação e de IA; (d) validar a base jurídica com a Procuradoria; (e) só então abrir consulta pública, preferencialmente com um piloto voluntário de 2–3 plataformas para testar as definições. Estimativa de esforço: revisão do texto em 2–3 semanas e Ficha em 4–6 semanas, sob supervisão técnica. Esta estimativa é qualitativa e precisa de confirmação interna.</w:t>
      </w:r>
    </w:p>
    <w:p>
      <w:pPr>
        <w:pStyle w:val="Heading1"/>
      </w:pPr>
      <w:r>
        <w:t>Anexo A — Proposta de dispositivos normativos mínimos (minuta de articulado, para discussão)</w:t>
      </w:r>
    </w:p>
    <w:p>
      <w:pPr>
        <w:spacing w:after="80"/>
      </w:pPr>
      <w:r>
        <w:rPr>
          <w:b w:val="0"/>
          <w:i/>
        </w:rPr>
        <w:t>Redação ilustrativa, sem pretensão de substituir a técnica da área jurídica. Colchetes indicam parâmetros a definir.</w:t>
      </w:r>
    </w:p>
    <w:p>
      <w:pPr>
        <w:spacing w:after="80"/>
      </w:pPr>
      <w:r>
        <w:rPr>
          <w:b/>
        </w:rPr>
        <w:t xml:space="preserve">Art. 1º (Taxonomia) </w:t>
      </w:r>
      <w:r>
        <w:rPr>
          <w:b w:val="0"/>
        </w:rPr>
        <w:t>Para fins deste ato, consideram-se funcionalidades críticas: I — sistemas de recomendação e de ordenação de conteúdo; II — transmissão ao vivo; III — mensageria e comunicação privada; IV — sistemas de inteligência artificial generativa; V — monetização e transações. §1º A ANPD publicará glossário com definições funcionais. §2º É vedado alterar a descrição de produto com o fim ou o efeito de afastar o enquadramento.</w:t>
      </w:r>
    </w:p>
    <w:p>
      <w:pPr>
        <w:spacing w:after="80"/>
      </w:pPr>
      <w:r>
        <w:rPr>
          <w:b/>
        </w:rPr>
        <w:t xml:space="preserve">Art. 2º (Avaliação por funcionalidade) </w:t>
      </w:r>
      <w:r>
        <w:rPr>
          <w:b w:val="0"/>
        </w:rPr>
        <w:t>O provedor realizará, para cada funcionalidade crítica oferecida, avaliação que contemple: I — exposição de crianças e adolescentes, por faixa etária; II — risco inerente, por categoria de dano; III — salvaguardas existentes e sua eficácia, demonstrada por indicador de resultado; IV — risco residual. §1º A avaliação será revista antes do lançamento ou de alteração substancial da funcionalidade e, no mínimo, [semestralmente].</w:t>
      </w:r>
    </w:p>
    <w:p>
      <w:pPr>
        <w:spacing w:after="80"/>
      </w:pPr>
      <w:r>
        <w:rPr>
          <w:b/>
        </w:rPr>
        <w:t xml:space="preserve">Art. 3º (Critérios de risco) </w:t>
      </w:r>
      <w:r>
        <w:rPr>
          <w:b w:val="0"/>
        </w:rPr>
        <w:t>O provedor tornará públicos os critérios que definem cada nível de risco, em conformidade com escala mínima definida pela ANPD. Rebaixamento de nível de risco exigirá evidência de eficácia das salvaguardas, mantida à disposição da ANPD.</w:t>
      </w:r>
    </w:p>
    <w:p>
      <w:pPr>
        <w:spacing w:after="80"/>
      </w:pPr>
      <w:r>
        <w:rPr>
          <w:b/>
        </w:rPr>
        <w:t xml:space="preserve">Art. 4º (Verificação independente) </w:t>
      </w:r>
      <w:r>
        <w:rPr>
          <w:b w:val="0"/>
        </w:rPr>
        <w:t>Provedores [com mais de X usuários menores] submeterão a avaliação e os indicadores a auditoria independente [anual], por auditor credenciado, observado escopo mínimo definido pela ANPD. O parecer integrará o relatório de transparência.</w:t>
      </w:r>
    </w:p>
    <w:p>
      <w:pPr>
        <w:spacing w:after="80"/>
      </w:pPr>
      <w:r>
        <w:rPr>
          <w:b/>
        </w:rPr>
        <w:t xml:space="preserve">Art. 5º (Ficha de Métrica Mínima) </w:t>
      </w:r>
      <w:r>
        <w:rPr>
          <w:b w:val="0"/>
        </w:rPr>
        <w:t>Os relatórios conterão a Ficha de Métrica Mínima, composta por indicadores fixos e módulos rotativos definidos pela ANPD. §1º Cada indicador terá definição, denominador, janela temporal e regra de verificação. §2º O provedor manterá dicionário de dados e registros que permitam a reprodução dos indicadores por [cinco] anos. §3º Alteração de definição interna que afete série histórica exige notificação prévia e reconstrução da série.</w:t>
      </w:r>
    </w:p>
    <w:p>
      <w:pPr>
        <w:spacing w:after="80"/>
      </w:pPr>
      <w:r>
        <w:rPr>
          <w:b/>
        </w:rPr>
        <w:t xml:space="preserve">Art. 6º (Acesso e requisição) </w:t>
      </w:r>
      <w:r>
        <w:rPr>
          <w:b w:val="0"/>
        </w:rPr>
        <w:t>A ANPD poderá requisitar dados, registros e acesso a sistemas necessários à verificação dos relatórios, observada a legislação de proteção de dados, e realizar testes de campo, inclusive com contas de teste, mediante protocolo prévio.</w:t>
      </w:r>
    </w:p>
    <w:p>
      <w:pPr>
        <w:spacing w:after="80"/>
      </w:pPr>
      <w:r>
        <w:rPr>
          <w:b/>
        </w:rPr>
        <w:t xml:space="preserve">Art. 7º (IA generativa e material sexual sintético) </w:t>
      </w:r>
      <w:r>
        <w:rPr>
          <w:b w:val="0"/>
        </w:rPr>
        <w:t>Provedores e implantadores de sistemas de IA generativa que possam ser acessados por crianças e adolescentes ou usados para gerar imagens, voz ou vídeo: I — avaliarão o risco de geração de material de abuso sexual infantil sintético antes do lançamento e de alterações relevantes; II — realizarão testes adversariais documentados; III — adotarão salvaguardas de treinamento, ajuste e inferência; IV — reportarão incidentes e tentativas bloqueadas conforme indicadores definidos pela ANPD; V — assegurarão canal de remoção prioritária de material sintético envolvendo crianças identificáveis.</w:t>
      </w:r>
    </w:p>
    <w:p>
      <w:pPr>
        <w:spacing w:after="80"/>
      </w:pPr>
      <w:r>
        <w:rPr>
          <w:b/>
        </w:rPr>
        <w:t xml:space="preserve">Art. 8º (Neutralidade das métricas) </w:t>
      </w:r>
      <w:r>
        <w:rPr>
          <w:b w:val="0"/>
        </w:rPr>
        <w:t>Volumes de denúncias e de medidas, isoladamente, não constituem indício de descumprimento. Constitui infração a omissão, a incompletude ou a manipulação de informação nos relatórios, incluindo a alteração de definições com o fim de melhorar indicadores.</w:t>
      </w:r>
    </w:p>
    <w:p>
      <w:pPr>
        <w:spacing w:after="80"/>
      </w:pPr>
      <w:r>
        <w:rPr>
          <w:b/>
        </w:rPr>
        <w:t xml:space="preserve">Art. 9º (Cobertura) </w:t>
      </w:r>
      <w:r>
        <w:rPr>
          <w:b w:val="0"/>
        </w:rPr>
        <w:t>A ANPD publicará lista de provedores sujeitos ao dever de reporte e acompanhará seu cumprimento. A omissão de relatório sujeita o provedor a [sanção escalonada], sem prejuízo da requisição direta de informações.</w:t>
      </w:r>
    </w:p>
    <w:p>
      <w:pPr>
        <w:pStyle w:val="Heading1"/>
      </w:pPr>
      <w:r>
        <w:t>Anexo B — Limitações desta revisão</w:t>
      </w:r>
    </w:p>
    <w:p>
      <w:pPr>
        <w:pStyle w:val="ListBullet"/>
        <w:spacing w:after="40"/>
      </w:pPr>
      <w:r>
        <w:t>A Ficha de Métrica Mínima não foi recebida (arquivo vazio). A Etapa 3 e o Art. 5º do Anexo A são substitutos e devem ser cotejados com o texto real.</w:t>
      </w:r>
    </w:p>
    <w:p>
      <w:pPr>
        <w:pStyle w:val="ListBullet"/>
        <w:spacing w:after="40"/>
      </w:pPr>
      <w:r>
        <w:t>Os relatórios originais das plataformas (PDFs) não foram abertos. A verificação cruzada usou apenas a planilha de síntese. Afirmações marcadas "não verificável" exigem conferência no documento-fonte.</w:t>
      </w:r>
    </w:p>
    <w:p>
      <w:pPr>
        <w:pStyle w:val="ListBullet"/>
        <w:spacing w:after="40"/>
      </w:pPr>
      <w:r>
        <w:t>Citações a dispositivos internacionais e a artigos da LGPD foram feitas de memória e devem ser conferidas.</w:t>
      </w:r>
    </w:p>
    <w:p>
      <w:pPr>
        <w:pStyle w:val="ListBullet"/>
        <w:spacing w:after="40"/>
      </w:pPr>
      <w:r>
        <w:t>Nota geral, estimativas de esforço e classificações de verificabilidade são julgamentos técnicos do revisor, não resultados de metodologia calibrada.</w:t>
      </w:r>
    </w:p>
    <w:p>
      <w:pPr>
        <w:pStyle w:val="ListBullet"/>
        <w:spacing w:after="40"/>
      </w:pPr>
      <w:r>
        <w:t>Este relatório é documento de trabalho gerado com apoio de IA e deve ser revisado por servidor competente antes de qualquer uso institucional.</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Revisão crítica — Minuta de Relatório de Impacto e Riscos (ECA Digital) — documento de trabalho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