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p>
    <w:p>
      <w:pPr>
        <w:spacing w:after="100"/>
      </w:pPr>
    </w:p>
    <w:p>
      <w:pPr>
        <w:spacing w:after="100"/>
      </w:pPr>
    </w:p>
    <w:p>
      <w:pPr>
        <w:spacing w:after="100"/>
      </w:pPr>
    </w:p>
    <w:p>
      <w:pPr>
        <w:spacing w:after="100"/>
      </w:pPr>
    </w:p>
    <w:p>
      <w:pPr>
        <w:spacing w:after="360"/>
        <w:jc w:val="center"/>
      </w:pPr>
      <w:r>
        <w:rPr>
          <w:rFonts w:ascii="Calibri" w:hAnsi="Calibri"/>
          <w:b/>
          <w:color w:val="7A5A00"/>
          <w:sz w:val="22"/>
        </w:rPr>
        <w:t>AUDITORÍA DE PRODUCTO</w:t>
      </w:r>
    </w:p>
    <w:p>
      <w:pPr>
        <w:spacing w:after="160"/>
        <w:jc w:val="center"/>
      </w:pPr>
      <w:r>
        <w:rPr>
          <w:rFonts w:ascii="Calibri" w:hAnsi="Calibri"/>
          <w:b/>
          <w:color w:val="0B2545"/>
          <w:sz w:val="62"/>
        </w:rPr>
        <w:t>GenScore</w:t>
      </w:r>
    </w:p>
    <w:p>
      <w:pPr>
        <w:spacing w:after="100"/>
        <w:jc w:val="center"/>
      </w:pPr>
      <w:r>
        <w:rPr>
          <w:rFonts w:ascii="Calibri" w:hAnsi="Calibri"/>
          <w:color w:val="1F4D78"/>
          <w:sz w:val="30"/>
        </w:rPr>
        <w:t>Funcionalidad, usabilidad y competitividad del SaaS GEO</w:t>
      </w:r>
    </w:p>
    <w:p>
      <w:pPr>
        <w:spacing w:after="800"/>
        <w:jc w:val="center"/>
      </w:pPr>
      <w:r>
        <w:rPr>
          <w:rFonts w:ascii="Calibri" w:hAnsi="Calibri"/>
          <w:i/>
          <w:color w:val="5F6B7A"/>
          <w:sz w:val="22"/>
        </w:rPr>
        <w:t>Prueba B2C con cuenta Pro y escaneo real de genscore.es</w:t>
      </w: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9B1C1C"/>
                <w:sz w:val="21"/>
              </w:rPr>
              <w:t xml:space="preserve">Veredicto  </w:t>
            </w:r>
            <w:r>
              <w:rPr>
                <w:rFonts w:ascii="Calibri" w:hAnsi="Calibri"/>
                <w:color w:val="1D2733"/>
                <w:sz w:val="21"/>
              </w:rPr>
              <w:t>La propuesta y el núcleo de medición son prometedores, pero el producto no está todavía listo para adquisición self-service de pago a escala. Las incoherencias métricas y los flujos de acción que no responden erosionan la confianza justo donde un SaaS GEO debe ser más sólido.</w:t>
            </w:r>
          </w:p>
        </w:tc>
      </w:tr>
    </w:tbl>
    <w:p>
      <w:pPr>
        <w:spacing w:after="20"/>
      </w:pPr>
    </w:p>
    <w:p>
      <w:pPr>
        <w:spacing w:before="680"/>
        <w:jc w:val="center"/>
      </w:pPr>
      <w:r>
        <w:rPr>
          <w:rFonts w:ascii="Calibri" w:hAnsi="Calibri"/>
          <w:color w:val="5F6B7A"/>
          <w:sz w:val="19"/>
        </w:rPr>
        <w:t>Auditoría realizada el 26 de agosto de 2026</w:t>
      </w:r>
    </w:p>
    <w:p>
      <w:pPr>
        <w:jc w:val="center"/>
      </w:pPr>
      <w:r>
        <w:rPr>
          <w:rFonts w:ascii="Calibri" w:hAnsi="Calibri"/>
          <w:color w:val="5F6B7A"/>
          <w:sz w:val="19"/>
        </w:rPr>
        <w:t>Mercado: España · Idioma: español · Entorno: escritorio</w:t>
      </w:r>
    </w:p>
    <w:p>
      <w:r>
        <w:br w:type="page"/>
      </w:r>
    </w:p>
    <w:p>
      <w:pPr>
        <w:pStyle w:val="Heading1"/>
        <w:keepNext/>
      </w:pPr>
      <w:r>
        <w:t>1. Resumen ejecutivo</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7A5A00"/>
                <w:sz w:val="21"/>
              </w:rPr>
              <w:t xml:space="preserve">Conclusión  </w:t>
            </w:r>
            <w:r>
              <w:rPr>
                <w:rFonts w:ascii="Calibri" w:hAnsi="Calibri"/>
                <w:color w:val="1D2733"/>
                <w:sz w:val="21"/>
              </w:rPr>
              <w:t>GenScore tiene una buena cuña de entrada: onboarding rápido, lenguaje adaptado al mercado español y evidencia por respuesta. Sin embargo, hoy mezcla unidades de análisis, muestra cifras incompatibles y presenta como disponibles acciones que no se completan. Es una beta guiada convincente, no aún un SaaS de pago autónomo y fiable.</w:t>
            </w:r>
          </w:p>
        </w:tc>
      </w:tr>
    </w:tbl>
    <w:p>
      <w:pPr>
        <w:spacing w:after="20"/>
      </w:pPr>
    </w:p>
    <w:p>
      <w:pPr>
        <w:pStyle w:val="Heading2"/>
        <w:keepNext/>
      </w:pPr>
      <w:r>
        <w:t>Valoración por dimensión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700"/>
        <w:gridCol w:w="1200"/>
        <w:gridCol w:w="5460"/>
      </w:tblGrid>
      <w:tr>
        <w:trPr>
          <w:tblHeader w:val="true"/>
          <w:cantSplit/>
        </w:trPr>
        <w:tc>
          <w:tcPr>
            <w:tcW w:type="dxa" w:w="27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7"/>
              </w:rPr>
              <w:t>Dimensión</w:t>
            </w:r>
          </w:p>
        </w:tc>
        <w:tc>
          <w:tcPr>
            <w:tcW w:type="dxa" w:w="1200"/>
            <w:shd w:fill="F2F4F7"/>
            <w:tcMar>
              <w:top w:w="80" w:type="dxa"/>
              <w:start w:w="120" w:type="dxa"/>
              <w:bottom w:w="80" w:type="dxa"/>
              <w:end w:w="120" w:type="dxa"/>
            </w:tcMar>
            <w:vAlign w:val="center"/>
          </w:tcPr>
          <w:p>
            <w:pPr>
              <w:spacing w:before="0" w:after="0" w:line="252" w:lineRule="auto"/>
            </w:pPr>
            <w:r>
              <w:rPr>
                <w:rFonts w:ascii="Calibri" w:hAnsi="Calibri"/>
                <w:b/>
                <w:color w:val="0B2545"/>
                <w:sz w:val="17"/>
              </w:rPr>
              <w:t>Nota</w:t>
            </w:r>
          </w:p>
        </w:tc>
        <w:tc>
          <w:tcPr>
            <w:tcW w:type="dxa" w:w="5460"/>
            <w:shd w:fill="F2F4F7"/>
            <w:tcMar>
              <w:top w:w="80" w:type="dxa"/>
              <w:start w:w="120" w:type="dxa"/>
              <w:bottom w:w="80" w:type="dxa"/>
              <w:end w:w="120" w:type="dxa"/>
            </w:tcMar>
            <w:vAlign w:val="center"/>
          </w:tcPr>
          <w:p>
            <w:pPr>
              <w:spacing w:before="0" w:after="0" w:line="252" w:lineRule="auto"/>
            </w:pPr>
            <w:r>
              <w:rPr>
                <w:rFonts w:ascii="Calibri" w:hAnsi="Calibri"/>
                <w:b/>
                <w:color w:val="0B2545"/>
                <w:sz w:val="17"/>
              </w:rPr>
              <w:t>Lectura</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Propuesta de valor</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7"/>
              </w:rPr>
              <w:t>8,0/10</w:t>
            </w:r>
          </w:p>
        </w:tc>
        <w:tc>
          <w:tcPr>
            <w:tcW w:type="dxa" w:w="5460"/>
            <w:tcMar>
              <w:top w:w="80" w:type="dxa"/>
              <w:start w:w="120" w:type="dxa"/>
              <w:bottom w:w="80" w:type="dxa"/>
              <w:end w:w="120" w:type="dxa"/>
            </w:tcMar>
            <w:vAlign w:val="center"/>
          </w:tcPr>
          <w:p>
            <w:pPr>
              <w:spacing w:before="0" w:after="0" w:line="252" w:lineRule="auto"/>
            </w:pPr>
            <w:r>
              <w:rPr>
                <w:rFonts w:ascii="Calibri" w:hAnsi="Calibri"/>
                <w:b w:val="0"/>
                <w:color w:val="1D2733"/>
                <w:sz w:val="17"/>
              </w:rPr>
              <w:t>Clara, relevante y bien explicada</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Onboarding</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7"/>
              </w:rPr>
              <w:t>8,5/10</w:t>
            </w:r>
          </w:p>
        </w:tc>
        <w:tc>
          <w:tcPr>
            <w:tcW w:type="dxa" w:w="5460"/>
            <w:tcMar>
              <w:top w:w="80" w:type="dxa"/>
              <w:start w:w="120" w:type="dxa"/>
              <w:bottom w:w="80" w:type="dxa"/>
              <w:end w:w="120" w:type="dxa"/>
            </w:tcMar>
            <w:vAlign w:val="center"/>
          </w:tcPr>
          <w:p>
            <w:pPr>
              <w:spacing w:before="0" w:after="0" w:line="252" w:lineRule="auto"/>
            </w:pPr>
            <w:r>
              <w:rPr>
                <w:rFonts w:ascii="Calibri" w:hAnsi="Calibri"/>
                <w:b w:val="0"/>
                <w:color w:val="1D2733"/>
                <w:sz w:val="17"/>
              </w:rPr>
              <w:t>Alta velocidad y configuración asistida</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Usabilidad visual</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7"/>
              </w:rPr>
              <w:t>7,5/10</w:t>
            </w:r>
          </w:p>
        </w:tc>
        <w:tc>
          <w:tcPr>
            <w:tcW w:type="dxa" w:w="5460"/>
            <w:tcMar>
              <w:top w:w="80" w:type="dxa"/>
              <w:start w:w="120" w:type="dxa"/>
              <w:bottom w:w="80" w:type="dxa"/>
              <w:end w:w="120" w:type="dxa"/>
            </w:tcMar>
            <w:vAlign w:val="center"/>
          </w:tcPr>
          <w:p>
            <w:pPr>
              <w:spacing w:before="0" w:after="0" w:line="252" w:lineRule="auto"/>
            </w:pPr>
            <w:r>
              <w:rPr>
                <w:rFonts w:ascii="Calibri" w:hAnsi="Calibri"/>
                <w:b w:val="0"/>
                <w:color w:val="1D2733"/>
                <w:sz w:val="17"/>
              </w:rPr>
              <w:t>Interfaz limpia; algunos estados y controles son ambiguos</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Claridad de medición</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7"/>
              </w:rPr>
              <w:t>4,0/10</w:t>
            </w:r>
          </w:p>
        </w:tc>
        <w:tc>
          <w:tcPr>
            <w:tcW w:type="dxa" w:w="5460"/>
            <w:tcMar>
              <w:top w:w="80" w:type="dxa"/>
              <w:start w:w="120" w:type="dxa"/>
              <w:bottom w:w="80" w:type="dxa"/>
              <w:end w:w="120" w:type="dxa"/>
            </w:tcMar>
            <w:vAlign w:val="center"/>
          </w:tcPr>
          <w:p>
            <w:pPr>
              <w:spacing w:before="0" w:after="0" w:line="252" w:lineRule="auto"/>
            </w:pPr>
            <w:r>
              <w:rPr>
                <w:rFonts w:ascii="Calibri" w:hAnsi="Calibri"/>
                <w:b w:val="0"/>
                <w:color w:val="1D2733"/>
                <w:sz w:val="17"/>
              </w:rPr>
              <w:t>Denominadores y etiquetas inconsistentes</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Accionabilidad</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7"/>
              </w:rPr>
              <w:t>4,0/10</w:t>
            </w:r>
          </w:p>
        </w:tc>
        <w:tc>
          <w:tcPr>
            <w:tcW w:type="dxa" w:w="5460"/>
            <w:tcMar>
              <w:top w:w="80" w:type="dxa"/>
              <w:start w:w="120" w:type="dxa"/>
              <w:bottom w:w="80" w:type="dxa"/>
              <w:end w:w="120" w:type="dxa"/>
            </w:tcMar>
            <w:vAlign w:val="center"/>
          </w:tcPr>
          <w:p>
            <w:pPr>
              <w:spacing w:before="0" w:after="0" w:line="252" w:lineRule="auto"/>
            </w:pPr>
            <w:r>
              <w:rPr>
                <w:rFonts w:ascii="Calibri" w:hAnsi="Calibri"/>
                <w:b w:val="0"/>
                <w:color w:val="1D2733"/>
                <w:sz w:val="17"/>
              </w:rPr>
              <w:t>Buenas ideas, pero CTAs clave no respondieron</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Fiabilidad funcional</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7"/>
              </w:rPr>
              <w:t>4,0/10</w:t>
            </w:r>
          </w:p>
        </w:tc>
        <w:tc>
          <w:tcPr>
            <w:tcW w:type="dxa" w:w="5460"/>
            <w:tcMar>
              <w:top w:w="80" w:type="dxa"/>
              <w:start w:w="120" w:type="dxa"/>
              <w:bottom w:w="80" w:type="dxa"/>
              <w:end w:w="120" w:type="dxa"/>
            </w:tcMar>
            <w:vAlign w:val="center"/>
          </w:tcPr>
          <w:p>
            <w:pPr>
              <w:spacing w:before="0" w:after="0" w:line="252" w:lineRule="auto"/>
            </w:pPr>
            <w:r>
              <w:rPr>
                <w:rFonts w:ascii="Calibri" w:hAnsi="Calibri"/>
                <w:b w:val="0"/>
                <w:color w:val="1D2733"/>
                <w:sz w:val="17"/>
              </w:rPr>
              <w:t>Auditoría, exportación y generadores bloqueados</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Cobertura competitiva</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7"/>
              </w:rPr>
              <w:t>4,5/10</w:t>
            </w:r>
          </w:p>
        </w:tc>
        <w:tc>
          <w:tcPr>
            <w:tcW w:type="dxa" w:w="5460"/>
            <w:tcMar>
              <w:top w:w="80" w:type="dxa"/>
              <w:start w:w="120" w:type="dxa"/>
              <w:bottom w:w="80" w:type="dxa"/>
              <w:end w:w="120" w:type="dxa"/>
            </w:tcMar>
            <w:vAlign w:val="center"/>
          </w:tcPr>
          <w:p>
            <w:pPr>
              <w:spacing w:before="0" w:after="0" w:line="252" w:lineRule="auto"/>
            </w:pPr>
            <w:r>
              <w:rPr>
                <w:rFonts w:ascii="Calibri" w:hAnsi="Calibri"/>
                <w:b w:val="0"/>
                <w:color w:val="1D2733"/>
                <w:sz w:val="17"/>
              </w:rPr>
              <w:t>Tres motores; faltan AI Overviews, AI Mode y Perplexity</w:t>
            </w:r>
          </w:p>
        </w:tc>
      </w:tr>
      <w:tr>
        <w:trPr>
          <w:cantSplit/>
        </w:trPr>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Preparación para pago</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7"/>
              </w:rPr>
              <w:t>5,0/10</w:t>
            </w:r>
          </w:p>
        </w:tc>
        <w:tc>
          <w:tcPr>
            <w:tcW w:type="dxa" w:w="5460"/>
            <w:tcMar>
              <w:top w:w="80" w:type="dxa"/>
              <w:start w:w="120" w:type="dxa"/>
              <w:bottom w:w="80" w:type="dxa"/>
              <w:end w:w="120" w:type="dxa"/>
            </w:tcMar>
            <w:vAlign w:val="center"/>
          </w:tcPr>
          <w:p>
            <w:pPr>
              <w:spacing w:before="0" w:after="0" w:line="252" w:lineRule="auto"/>
            </w:pPr>
            <w:r>
              <w:rPr>
                <w:rFonts w:ascii="Calibri" w:hAnsi="Calibri"/>
                <w:b w:val="0"/>
                <w:color w:val="1D2733"/>
                <w:sz w:val="17"/>
              </w:rPr>
              <w:t>Apta para beta guiada con soporte</w:t>
            </w:r>
          </w:p>
        </w:tc>
      </w:tr>
    </w:tbl>
    <w:p>
      <w:pPr>
        <w:spacing w:after="40"/>
      </w:pPr>
    </w:p>
    <w:p>
      <w:pPr>
        <w:pStyle w:val="Heading2"/>
        <w:keepNext/>
      </w:pPr>
      <w:r>
        <w:t>Las cinco decisiones más importantes</w:t>
      </w:r>
    </w:p>
    <w:p>
      <w:pPr>
        <w:pStyle w:val="ListBullet"/>
        <w:spacing w:after="160" w:line="280" w:lineRule="auto"/>
        <w:ind w:left="720" w:hanging="360"/>
      </w:pPr>
      <w:r>
        <w:t>Unificar el contrato de métricas: 15 prompts y 45 respuestas no pueden denominarse ambos como 'prompts'. Separar cobertura por prompt de tasa de mención por respuesta.</w:t>
      </w:r>
    </w:p>
    <w:p>
      <w:pPr>
        <w:pStyle w:val="ListBullet"/>
        <w:spacing w:after="160" w:line="280" w:lineRule="auto"/>
        <w:ind w:left="720" w:hanging="360"/>
      </w:pPr>
      <w:r>
        <w:t>Reparar o retirar temporalmente los generadores, la exportación, 'marcar como hecho' y el seguimiento diario. Son el puente entre diagnóstico y valor recurrente.</w:t>
      </w:r>
    </w:p>
    <w:p>
      <w:pPr>
        <w:pStyle w:val="ListBullet"/>
        <w:spacing w:after="160" w:line="280" w:lineRule="auto"/>
        <w:ind w:left="720" w:hanging="360"/>
      </w:pPr>
      <w:r>
        <w:t>Añadir una acción real para ejecutar la auditoría web y poblar el componente técnico del GEO Score.</w:t>
      </w:r>
    </w:p>
    <w:p>
      <w:pPr>
        <w:pStyle w:val="ListBullet"/>
        <w:spacing w:after="160" w:line="280" w:lineRule="auto"/>
        <w:ind w:left="720" w:hanging="360"/>
      </w:pPr>
      <w:r>
        <w:t>Centralizar precios, promoción, duración de prueba y límites del plan en una única fuente de verdad.</w:t>
      </w:r>
    </w:p>
    <w:p>
      <w:pPr>
        <w:pStyle w:val="ListBullet"/>
        <w:spacing w:after="160" w:line="280" w:lineRule="auto"/>
        <w:ind w:left="720" w:hanging="360"/>
      </w:pPr>
      <w:r>
        <w:t>Reposicionar la ventaja como 'GEO en español, basado en evidencias y con implementación guiada', no como una suite más amplia que Semrush, Ahrefs o Writesonic.</w:t>
      </w:r>
    </w:p>
    <w:p>
      <w:r>
        <w:br w:type="page"/>
      </w:r>
    </w:p>
    <w:p>
      <w:pPr>
        <w:pStyle w:val="Heading2"/>
        <w:keepNext/>
      </w:pPr>
      <w:r>
        <w:t>Resultado real del escaneo</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500"/>
        <w:gridCol w:w="2700"/>
        <w:gridCol w:w="4160"/>
      </w:tblGrid>
      <w:tr>
        <w:trPr>
          <w:tblHeader w:val="true"/>
          <w:cantSplit/>
        </w:trPr>
        <w:tc>
          <w:tcPr>
            <w:tcW w:type="dxa" w:w="25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7"/>
              </w:rPr>
              <w:t>Indicador</w:t>
            </w:r>
          </w:p>
        </w:tc>
        <w:tc>
          <w:tcPr>
            <w:tcW w:type="dxa" w:w="2700"/>
            <w:shd w:fill="F2F4F7"/>
            <w:tcMar>
              <w:top w:w="80" w:type="dxa"/>
              <w:start w:w="120" w:type="dxa"/>
              <w:bottom w:w="80" w:type="dxa"/>
              <w:end w:w="120" w:type="dxa"/>
            </w:tcMar>
            <w:vAlign w:val="center"/>
          </w:tcPr>
          <w:p>
            <w:pPr>
              <w:spacing w:before="0" w:after="0" w:line="252" w:lineRule="auto"/>
            </w:pPr>
            <w:r>
              <w:rPr>
                <w:rFonts w:ascii="Calibri" w:hAnsi="Calibri"/>
                <w:b/>
                <w:color w:val="0B2545"/>
                <w:sz w:val="17"/>
              </w:rPr>
              <w:t>Resultado observado</w:t>
            </w:r>
          </w:p>
        </w:tc>
        <w:tc>
          <w:tcPr>
            <w:tcW w:type="dxa" w:w="4160"/>
            <w:shd w:fill="F2F4F7"/>
            <w:tcMar>
              <w:top w:w="80" w:type="dxa"/>
              <w:start w:w="120" w:type="dxa"/>
              <w:bottom w:w="80" w:type="dxa"/>
              <w:end w:w="120" w:type="dxa"/>
            </w:tcMar>
            <w:vAlign w:val="center"/>
          </w:tcPr>
          <w:p>
            <w:pPr>
              <w:spacing w:before="0" w:after="0" w:line="252" w:lineRule="auto"/>
            </w:pPr>
            <w:r>
              <w:rPr>
                <w:rFonts w:ascii="Calibri" w:hAnsi="Calibri"/>
                <w:b/>
                <w:color w:val="0B2545"/>
                <w:sz w:val="17"/>
              </w:rPr>
              <w:t>Lectura</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7"/>
              </w:rPr>
              <w:t>Muestra</w:t>
            </w:r>
          </w:p>
        </w:tc>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15 prompts × 3 motores = 45 respuestas</w:t>
            </w:r>
          </w:p>
        </w:tc>
        <w:tc>
          <w:tcPr>
            <w:tcW w:type="dxa" w:w="4160"/>
            <w:tcMar>
              <w:top w:w="80" w:type="dxa"/>
              <w:start w:w="120" w:type="dxa"/>
              <w:bottom w:w="80" w:type="dxa"/>
              <w:end w:w="120" w:type="dxa"/>
            </w:tcMar>
            <w:vAlign w:val="center"/>
          </w:tcPr>
          <w:p>
            <w:pPr>
              <w:spacing w:before="0" w:after="0" w:line="252" w:lineRule="auto"/>
            </w:pPr>
            <w:r>
              <w:rPr>
                <w:rFonts w:ascii="Calibri" w:hAnsi="Calibri"/>
                <w:b w:val="0"/>
                <w:color w:val="1D2733"/>
                <w:sz w:val="17"/>
              </w:rPr>
              <w:t>Suficiente para una primera lectura, no para inferencias fuertes</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7"/>
              </w:rPr>
              <w:t>GEO Score</w:t>
            </w:r>
          </w:p>
        </w:tc>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6/100</w:t>
            </w:r>
          </w:p>
        </w:tc>
        <w:tc>
          <w:tcPr>
            <w:tcW w:type="dxa" w:w="4160"/>
            <w:tcMar>
              <w:top w:w="80" w:type="dxa"/>
              <w:start w:w="120" w:type="dxa"/>
              <w:bottom w:w="80" w:type="dxa"/>
              <w:end w:w="120" w:type="dxa"/>
            </w:tcMar>
            <w:vAlign w:val="center"/>
          </w:tcPr>
          <w:p>
            <w:pPr>
              <w:spacing w:before="0" w:after="0" w:line="252" w:lineRule="auto"/>
            </w:pPr>
            <w:r>
              <w:rPr>
                <w:rFonts w:ascii="Calibri" w:hAnsi="Calibri"/>
                <w:b w:val="0"/>
                <w:color w:val="1D2733"/>
                <w:sz w:val="17"/>
              </w:rPr>
              <w:t>Franja inicial</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7"/>
              </w:rPr>
              <w:t>Presencia</w:t>
            </w:r>
          </w:p>
        </w:tc>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1 de 45 respuestas (2%)</w:t>
            </w:r>
          </w:p>
        </w:tc>
        <w:tc>
          <w:tcPr>
            <w:tcW w:type="dxa" w:w="4160"/>
            <w:tcMar>
              <w:top w:w="80" w:type="dxa"/>
              <w:start w:w="120" w:type="dxa"/>
              <w:bottom w:w="80" w:type="dxa"/>
              <w:end w:w="120" w:type="dxa"/>
            </w:tcMar>
            <w:vAlign w:val="center"/>
          </w:tcPr>
          <w:p>
            <w:pPr>
              <w:spacing w:before="0" w:after="0" w:line="252" w:lineRule="auto"/>
            </w:pPr>
            <w:r>
              <w:rPr>
                <w:rFonts w:ascii="Calibri" w:hAnsi="Calibri"/>
                <w:b w:val="0"/>
                <w:color w:val="1D2733"/>
                <w:sz w:val="17"/>
              </w:rPr>
              <w:t>Solo ChatGPT: 7%; Gemini y Claude: 0%</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7"/>
              </w:rPr>
              <w:t>Citas propias</w:t>
            </w:r>
          </w:p>
        </w:tc>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3 de 370 (~1%)</w:t>
            </w:r>
          </w:p>
        </w:tc>
        <w:tc>
          <w:tcPr>
            <w:tcW w:type="dxa" w:w="4160"/>
            <w:tcMar>
              <w:top w:w="80" w:type="dxa"/>
              <w:start w:w="120" w:type="dxa"/>
              <w:bottom w:w="80" w:type="dxa"/>
              <w:end w:w="120" w:type="dxa"/>
            </w:tcMar>
            <w:vAlign w:val="center"/>
          </w:tcPr>
          <w:p>
            <w:pPr>
              <w:spacing w:before="0" w:after="0" w:line="252" w:lineRule="auto"/>
            </w:pPr>
            <w:r>
              <w:rPr>
                <w:rFonts w:ascii="Calibri" w:hAnsi="Calibri"/>
                <w:b w:val="0"/>
                <w:color w:val="1D2733"/>
                <w:sz w:val="17"/>
              </w:rPr>
              <w:t>Una única URL propia citada</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7"/>
              </w:rPr>
              <w:t>Presión competitiva</w:t>
            </w:r>
          </w:p>
        </w:tc>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8,89%</w:t>
            </w:r>
          </w:p>
        </w:tc>
        <w:tc>
          <w:tcPr>
            <w:tcW w:type="dxa" w:w="4160"/>
            <w:tcMar>
              <w:top w:w="80" w:type="dxa"/>
              <w:start w:w="120" w:type="dxa"/>
              <w:bottom w:w="80" w:type="dxa"/>
              <w:end w:w="120" w:type="dxa"/>
            </w:tcMar>
            <w:vAlign w:val="center"/>
          </w:tcPr>
          <w:p>
            <w:pPr>
              <w:spacing w:before="0" w:after="0" w:line="252" w:lineRule="auto"/>
            </w:pPr>
            <w:r>
              <w:rPr>
                <w:rFonts w:ascii="Calibri" w:hAnsi="Calibri"/>
                <w:b w:val="0"/>
                <w:color w:val="1D2733"/>
                <w:sz w:val="17"/>
              </w:rPr>
              <w:t>Otterly destacó en el conjunto</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7"/>
              </w:rPr>
              <w:t>Plan de acción</w:t>
            </w:r>
          </w:p>
        </w:tc>
        <w:tc>
          <w:tcPr>
            <w:tcW w:type="dxa" w:w="2700"/>
            <w:tcMar>
              <w:top w:w="80" w:type="dxa"/>
              <w:start w:w="120" w:type="dxa"/>
              <w:bottom w:w="80" w:type="dxa"/>
              <w:end w:w="120" w:type="dxa"/>
            </w:tcMar>
            <w:vAlign w:val="center"/>
          </w:tcPr>
          <w:p>
            <w:pPr>
              <w:spacing w:before="0" w:after="0" w:line="252" w:lineRule="auto"/>
            </w:pPr>
            <w:r>
              <w:rPr>
                <w:rFonts w:ascii="Calibri" w:hAnsi="Calibri"/>
                <w:b w:val="0"/>
                <w:color w:val="1D2733"/>
                <w:sz w:val="17"/>
              </w:rPr>
              <w:t>22 recomendaciones</w:t>
            </w:r>
          </w:p>
        </w:tc>
        <w:tc>
          <w:tcPr>
            <w:tcW w:type="dxa" w:w="4160"/>
            <w:tcMar>
              <w:top w:w="80" w:type="dxa"/>
              <w:start w:w="120" w:type="dxa"/>
              <w:bottom w:w="80" w:type="dxa"/>
              <w:end w:w="120" w:type="dxa"/>
            </w:tcMar>
            <w:vAlign w:val="center"/>
          </w:tcPr>
          <w:p>
            <w:pPr>
              <w:spacing w:before="0" w:after="0" w:line="252" w:lineRule="auto"/>
            </w:pPr>
            <w:r>
              <w:rPr>
                <w:rFonts w:ascii="Calibri" w:hAnsi="Calibri"/>
                <w:b w:val="0"/>
                <w:color w:val="1D2733"/>
                <w:sz w:val="17"/>
              </w:rPr>
              <w:t>Cantidad alta; varias duplicadas o contradictorias</w:t>
            </w:r>
          </w:p>
        </w:tc>
      </w:tr>
    </w:tbl>
    <w:p>
      <w:pPr>
        <w:spacing w:after="40"/>
      </w:pPr>
    </w:p>
    <w:p>
      <w:pPr>
        <w:pStyle w:val="Heading1"/>
        <w:keepNext/>
      </w:pPr>
      <w:r>
        <w:t>2. Alcance y metodología</w:t>
      </w:r>
    </w:p>
    <w:p>
      <w:r>
        <w:t>Se recorrió GenScore como lo haría un cliente B2C que quiere saber si su dominio aparece en respuestas de IA y qué acciones puede ejecutar para mejorar. Se utilizó una cuenta Pro de prueba facilitada por el usuario; no se creó una cuenta nueva, no se inició ningún pago y no se ejecutaron acciones destructivas.</w:t>
      </w:r>
    </w:p>
    <w:p>
      <w:pPr>
        <w:pStyle w:val="Heading2"/>
        <w:keepNext/>
      </w:pPr>
      <w:r>
        <w:t>Recorrido probado</w:t>
      </w:r>
    </w:p>
    <w:p>
      <w:pPr>
        <w:pStyle w:val="ListNumber"/>
        <w:spacing w:after="160" w:line="280" w:lineRule="auto"/>
        <w:ind w:left="720" w:hanging="360"/>
      </w:pPr>
      <w:r>
        <w:t>Web pública, propuesta de valor, precios, documentación y verificador gratuito.</w:t>
      </w:r>
    </w:p>
    <w:p>
      <w:pPr>
        <w:pStyle w:val="ListNumber"/>
        <w:spacing w:after="160" w:line="280" w:lineRule="auto"/>
        <w:ind w:left="720" w:hanging="360"/>
      </w:pPr>
      <w:r>
        <w:t>Inicio de sesión con entrega segura de credenciales de prueba.</w:t>
      </w:r>
    </w:p>
    <w:p>
      <w:pPr>
        <w:pStyle w:val="ListNumber"/>
        <w:spacing w:after="160" w:line="280" w:lineRule="auto"/>
        <w:ind w:left="720" w:hanging="360"/>
      </w:pPr>
      <w:r>
        <w:t>Creación de proyecto para genscore.es, país España e idioma español.</w:t>
      </w:r>
    </w:p>
    <w:p>
      <w:pPr>
        <w:pStyle w:val="ListNumber"/>
        <w:spacing w:after="160" w:line="280" w:lineRule="auto"/>
        <w:ind w:left="720" w:hanging="360"/>
      </w:pPr>
      <w:r>
        <w:t>Detección de competidores, generación inicial de 10 prompts y ampliación a 15.</w:t>
      </w:r>
    </w:p>
    <w:p>
      <w:pPr>
        <w:pStyle w:val="ListNumber"/>
        <w:spacing w:after="160" w:line="280" w:lineRule="auto"/>
        <w:ind w:left="720" w:hanging="360"/>
      </w:pPr>
      <w:r>
        <w:t>Escaneo real en ChatGPT, Gemini y Claude: 45 respuestas en total.</w:t>
      </w:r>
    </w:p>
    <w:p>
      <w:pPr>
        <w:pStyle w:val="ListNumber"/>
        <w:spacing w:after="160" w:line="280" w:lineRule="auto"/>
        <w:ind w:left="720" w:hanging="360"/>
      </w:pPr>
      <w:r>
        <w:t>Panel general, dominios, prompts y respuestas, competidores, citas, auditoría web, recomendaciones, notificaciones, tour y configuración.</w:t>
      </w:r>
    </w:p>
    <w:p>
      <w:pPr>
        <w:pStyle w:val="ListNumber"/>
        <w:spacing w:after="160" w:line="280" w:lineRule="auto"/>
        <w:ind w:left="720" w:hanging="360"/>
      </w:pPr>
      <w:r>
        <w:t>Interacciones de acción: generar FAQ, brief y comparativa; exportar plan; marcar como hecho; activar seguimiento diario; cambiar de plan hasta el paso previo al pago.</w:t>
      </w:r>
    </w:p>
    <w:p>
      <w:pPr>
        <w:pStyle w:val="Heading2"/>
        <w:keepNext/>
      </w:pPr>
      <w:r>
        <w:t>Criterios de evaluación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200"/>
        <w:gridCol w:w="7160"/>
      </w:tblGrid>
      <w:tr>
        <w:trPr>
          <w:tblHeader w:val="true"/>
          <w:cantSplit/>
        </w:trPr>
        <w:tc>
          <w:tcPr>
            <w:tcW w:type="dxa" w:w="22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8"/>
              </w:rPr>
              <w:t>Lente</w:t>
            </w:r>
          </w:p>
        </w:tc>
        <w:tc>
          <w:tcPr>
            <w:tcW w:type="dxa" w:w="7160"/>
            <w:shd w:fill="F2F4F7"/>
            <w:tcMar>
              <w:top w:w="80" w:type="dxa"/>
              <w:start w:w="120" w:type="dxa"/>
              <w:bottom w:w="80" w:type="dxa"/>
              <w:end w:w="120" w:type="dxa"/>
            </w:tcMar>
            <w:vAlign w:val="center"/>
          </w:tcPr>
          <w:p>
            <w:pPr>
              <w:spacing w:before="0" w:after="0" w:line="252" w:lineRule="auto"/>
            </w:pPr>
            <w:r>
              <w:rPr>
                <w:rFonts w:ascii="Calibri" w:hAnsi="Calibri"/>
                <w:b/>
                <w:color w:val="0B2545"/>
                <w:sz w:val="18"/>
              </w:rPr>
              <w:t>Pregunta de auditoría</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8"/>
              </w:rPr>
              <w:t>Utilidad</w:t>
            </w:r>
          </w:p>
        </w:tc>
        <w:tc>
          <w:tcPr>
            <w:tcW w:type="dxa" w:w="7160"/>
            <w:tcMar>
              <w:top w:w="80" w:type="dxa"/>
              <w:start w:w="120" w:type="dxa"/>
              <w:bottom w:w="80" w:type="dxa"/>
              <w:end w:w="120" w:type="dxa"/>
            </w:tcMar>
            <w:vAlign w:val="center"/>
          </w:tcPr>
          <w:p>
            <w:pPr>
              <w:spacing w:before="0" w:after="0" w:line="252" w:lineRule="auto"/>
            </w:pPr>
            <w:r>
              <w:rPr>
                <w:rFonts w:ascii="Calibri" w:hAnsi="Calibri"/>
                <w:b w:val="0"/>
                <w:color w:val="1D2733"/>
                <w:sz w:val="18"/>
              </w:rPr>
              <w:t>¿Ayuda a responder qué ocurre, por qué y qué hacer después?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8"/>
              </w:rPr>
              <w:t>Usabilidad</w:t>
            </w:r>
          </w:p>
        </w:tc>
        <w:tc>
          <w:tcPr>
            <w:tcW w:type="dxa" w:w="7160"/>
            <w:tcMar>
              <w:top w:w="80" w:type="dxa"/>
              <w:start w:w="120" w:type="dxa"/>
              <w:bottom w:w="80" w:type="dxa"/>
              <w:end w:w="120" w:type="dxa"/>
            </w:tcMar>
            <w:vAlign w:val="center"/>
          </w:tcPr>
          <w:p>
            <w:pPr>
              <w:spacing w:before="0" w:after="0" w:line="252" w:lineRule="auto"/>
            </w:pPr>
            <w:r>
              <w:rPr>
                <w:rFonts w:ascii="Calibri" w:hAnsi="Calibri"/>
                <w:b w:val="0"/>
                <w:color w:val="1D2733"/>
                <w:sz w:val="18"/>
              </w:rPr>
              <w:t>¿Se entiende el siguiente paso y hay feedback tras cada acción?</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8"/>
              </w:rPr>
              <w:t>Confianza</w:t>
            </w:r>
          </w:p>
        </w:tc>
        <w:tc>
          <w:tcPr>
            <w:tcW w:type="dxa" w:w="7160"/>
            <w:tcMar>
              <w:top w:w="80" w:type="dxa"/>
              <w:start w:w="120" w:type="dxa"/>
              <w:bottom w:w="80" w:type="dxa"/>
              <w:end w:w="120" w:type="dxa"/>
            </w:tcMar>
            <w:vAlign w:val="center"/>
          </w:tcPr>
          <w:p>
            <w:pPr>
              <w:spacing w:before="0" w:after="0" w:line="252" w:lineRule="auto"/>
            </w:pPr>
            <w:r>
              <w:rPr>
                <w:rFonts w:ascii="Calibri" w:hAnsi="Calibri"/>
                <w:b w:val="0"/>
                <w:color w:val="1D2733"/>
                <w:sz w:val="18"/>
              </w:rPr>
              <w:t>¿Las cifras son consistentes, auditables y semánticamente correctas?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8"/>
              </w:rPr>
              <w:t>Completitud</w:t>
            </w:r>
          </w:p>
        </w:tc>
        <w:tc>
          <w:tcPr>
            <w:tcW w:type="dxa" w:w="7160"/>
            <w:tcMar>
              <w:top w:w="80" w:type="dxa"/>
              <w:start w:w="120" w:type="dxa"/>
              <w:bottom w:w="80" w:type="dxa"/>
              <w:end w:w="120" w:type="dxa"/>
            </w:tcMar>
            <w:vAlign w:val="center"/>
          </w:tcPr>
          <w:p>
            <w:pPr>
              <w:spacing w:before="0" w:after="0" w:line="252" w:lineRule="auto"/>
            </w:pPr>
            <w:r>
              <w:rPr>
                <w:rFonts w:ascii="Calibri" w:hAnsi="Calibri"/>
                <w:b w:val="0"/>
                <w:color w:val="1D2733"/>
                <w:sz w:val="18"/>
              </w:rPr>
              <w:t>¿Las promesas públicas existen y funcionan en el producto?</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8"/>
              </w:rPr>
              <w:t>Competitividad</w:t>
            </w:r>
          </w:p>
        </w:tc>
        <w:tc>
          <w:tcPr>
            <w:tcW w:type="dxa" w:w="7160"/>
            <w:tcMar>
              <w:top w:w="80" w:type="dxa"/>
              <w:start w:w="120" w:type="dxa"/>
              <w:bottom w:w="80" w:type="dxa"/>
              <w:end w:w="120" w:type="dxa"/>
            </w:tcMar>
            <w:vAlign w:val="center"/>
          </w:tcPr>
          <w:p>
            <w:pPr>
              <w:spacing w:before="0" w:after="0" w:line="252" w:lineRule="auto"/>
            </w:pPr>
            <w:r>
              <w:rPr>
                <w:rFonts w:ascii="Calibri" w:hAnsi="Calibri"/>
                <w:b w:val="0"/>
                <w:color w:val="1D2733"/>
                <w:sz w:val="18"/>
              </w:rPr>
              <w:t>¿La cobertura y el cierre del ciclo justifican el precio?</w:t>
            </w:r>
          </w:p>
        </w:tc>
      </w:tr>
    </w:tbl>
    <w:p>
      <w:pPr>
        <w:spacing w:after="40"/>
      </w:pPr>
    </w:p>
    <w:p>
      <w:pPr>
        <w:spacing w:before="80" w:after="80"/>
      </w:pPr>
      <w:r>
        <w:rPr>
          <w:rFonts w:ascii="Calibri" w:hAnsi="Calibri"/>
          <w:i/>
          <w:color w:val="5F6B7A"/>
          <w:sz w:val="16"/>
        </w:rPr>
        <w:t>Limitaciones: prueba en escritorio y una sola fecha/muestra. No se evaluó la experiencia móvil ni se completó un cobro. Los precios competitivos son los publicados en sus páginas oficiales en la fecha de la auditoría y pueden cambiar.</w:t>
      </w:r>
    </w:p>
    <w:p>
      <w:pPr>
        <w:pStyle w:val="Heading1"/>
        <w:keepNext/>
      </w:pPr>
      <w:r>
        <w:t>3. Lo que GenScore hace bien</w:t>
      </w:r>
    </w:p>
    <w:p>
      <w:r>
        <w:rPr>
          <w:rFonts w:ascii="Calibri" w:hAnsi="Calibri"/>
          <w:b/>
          <w:color w:val="0B2545"/>
        </w:rPr>
        <w:t xml:space="preserve">Onboarding eficaz. </w:t>
      </w:r>
      <w:r>
        <w:t>La secuencia dominio - mercado - competidores - prompts es comprensible y reduce el trabajo inicial. La sugerencia automática de competidores y consultas acelera el primer valor.</w:t>
      </w:r>
    </w:p>
    <w:p>
      <w:r>
        <w:rPr>
          <w:rFonts w:ascii="Calibri" w:hAnsi="Calibri"/>
          <w:b/>
          <w:color w:val="0B2545"/>
        </w:rPr>
        <w:t xml:space="preserve">Evidencia por motor. </w:t>
      </w:r>
      <w:r>
        <w:t>El detalle de cada prompt conserva la respuesta completa, las fuentes, la posición de marca y la evidencia. Es la parte más defendible y útil del producto.</w:t>
      </w:r>
    </w:p>
    <w:p>
      <w:r>
        <w:rPr>
          <w:rFonts w:ascii="Calibri" w:hAnsi="Calibri"/>
          <w:b/>
          <w:color w:val="0B2545"/>
        </w:rPr>
        <w:t xml:space="preserve">Narrativa orientada a negocio. </w:t>
      </w:r>
      <w:r>
        <w:t>La web explica bien el ciclo medir - entender - arreglar - mejorar y evita un exceso de jerga SEO.</w:t>
      </w:r>
    </w:p>
    <w:p>
      <w:r>
        <w:rPr>
          <w:rFonts w:ascii="Calibri" w:hAnsi="Calibri"/>
          <w:b/>
          <w:color w:val="0B2545"/>
        </w:rPr>
        <w:t xml:space="preserve">Diseño visual sólido. </w:t>
      </w:r>
      <w:r>
        <w:t>La navegación lateral, la jerarquía y el estado de carga espacial transmiten una identidad propia. El panel resulta más accesible para una pyme que muchas suites SEO tradicionales.</w:t>
      </w:r>
    </w:p>
    <w:p>
      <w:r>
        <w:rPr>
          <w:rFonts w:ascii="Calibri" w:hAnsi="Calibri"/>
          <w:b/>
          <w:color w:val="0B2545"/>
        </w:rPr>
        <w:t xml:space="preserve">Descubrimiento gratuito con potencial. </w:t>
      </w:r>
      <w:r>
        <w:t>El verificador de ChatGPT entrega un resultado tangible antes del registro y puede ser un buen motor de captación si se corrigen sus mensajes condicionales y límites de plan.</w:t>
      </w:r>
    </w:p>
    <w:p>
      <w:pPr>
        <w:pStyle w:val="Heading1"/>
        <w:keepNext/>
      </w:pPr>
      <w:r>
        <w:t>4. Registro priorizado de problemas</w:t>
      </w:r>
    </w:p>
    <w:p>
      <w:r>
        <w:t>La severidad se asigna por impacto en confianza, conversión o capacidad de completar el trabajo principal. P0 significa que debería resolverse antes de escalar adquisición de pago; P1, en el siguiente ciclo; P2, mejora estratégica.</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720"/>
        <w:gridCol w:w="1050"/>
        <w:gridCol w:w="3090"/>
        <w:gridCol w:w="2200"/>
        <w:gridCol w:w="2300"/>
      </w:tblGrid>
      <w:tr>
        <w:trPr>
          <w:tblHeader w:val="true"/>
          <w:cantSplit/>
        </w:trPr>
        <w:tc>
          <w:tcPr>
            <w:tcW w:type="dxa" w:w="72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5"/>
              </w:rPr>
              <w:t>ID</w:t>
            </w:r>
          </w:p>
        </w:tc>
        <w:tc>
          <w:tcPr>
            <w:tcW w:type="dxa" w:w="105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Área</w:t>
            </w:r>
          </w:p>
        </w:tc>
        <w:tc>
          <w:tcPr>
            <w:tcW w:type="dxa" w:w="309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Evidencia</w:t>
            </w:r>
          </w:p>
        </w:tc>
        <w:tc>
          <w:tcPr>
            <w:tcW w:type="dxa" w:w="22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Impacto</w:t>
            </w:r>
          </w:p>
        </w:tc>
        <w:tc>
          <w:tcPr>
            <w:tcW w:type="dxa" w:w="23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Corrección</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P0-01</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Métrica</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GEO Score 6 en el panel, pero 2 en Dominios y 'Visibilidad 2' en notificación.</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El usuario no sabe qué cifra creer.</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Un contrato de datos y etiquetas únicas.</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P0-02</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Métrica</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La pantalla Competidores llama '45 prompts' a 15 prompts × 3 respuestas.</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Comparaciones y porcentajes quedan opacos.</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Separar prompt_count y answer_count.</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P0-03</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Acciones</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Un mismo prompt aparece como brecha con Otterly y como consulta donde nadie aparece.</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Recomendaciones contradictorias.</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Agregar motor y evidencia a cada acción.</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P0-04</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Funcional</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FAQ, brief, comparativa, exportar, marcar hecho y activar seguimiento no dieron feedback ni resultado.</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Se rompe la promesa de pasar a la acción.</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Reparar o ocultar; estados loading/success/error.</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P0-05</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Auditoría</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La pantalla anuncia auditoría web, pero no ofrece botón para iniciarla.</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Componente técnico queda en N/A.</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CTA, job, progreso y resultado.</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P0-06</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Comercial</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Web, FAQ pública y cuenta discrepan en promo, precio, trial y facturación.</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Riesgo de abandono y reclamación.</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Fuente de verdad compartida.</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720"/>
        <w:gridCol w:w="1050"/>
        <w:gridCol w:w="3090"/>
        <w:gridCol w:w="2200"/>
        <w:gridCol w:w="2300"/>
      </w:tblGrid>
      <w:tr>
        <w:trPr>
          <w:tblHeader w:val="true"/>
          <w:cantSplit/>
        </w:trPr>
        <w:tc>
          <w:tcPr>
            <w:tcW w:type="dxa" w:w="72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5"/>
              </w:rPr>
              <w:t>ID</w:t>
            </w:r>
          </w:p>
        </w:tc>
        <w:tc>
          <w:tcPr>
            <w:tcW w:type="dxa" w:w="105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Área</w:t>
            </w:r>
          </w:p>
        </w:tc>
        <w:tc>
          <w:tcPr>
            <w:tcW w:type="dxa" w:w="309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Evidencia</w:t>
            </w:r>
          </w:p>
        </w:tc>
        <w:tc>
          <w:tcPr>
            <w:tcW w:type="dxa" w:w="22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Impacto</w:t>
            </w:r>
          </w:p>
        </w:tc>
        <w:tc>
          <w:tcPr>
            <w:tcW w:type="dxa" w:w="23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Corrección</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P0-07</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Captación</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Resultado positivo del checker termina con texto pensado para un resultado negativo.</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Contradicción inmediata en el momento de conversión.</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Copy condicional probado por E2E.</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P0-08</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Seguimiento</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Pro anuncia frecuencia diaria, pero el panel dice que el análisis no se repetirá y el CTA no responde.</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Destruye el valor recurrente.</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Mostrar calendario y siguiente ejecución.</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P0-09</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Citas</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'Fuente que cita a un rival' significa solo que la fuente apareció en una respuesta donde también apareció el rival.</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Sobreafirma la evidencia.</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Verificar mención a nivel de página.</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P1-01</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Estado</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La pestaña del escaneo quedó en 'finalizando' aunque una pestaña nueva ya mostraba resultados.</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Sensación de bloqueo o fallo.</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Polling, revalidación y rehidratación.</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P1-02</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Entidades</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Se sugirió ChatGPT como competidor y 'GEO Score' como alias genérico.</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Falsos positivos y recomendaciones absurdas.</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Reglas de entidad y lista de términos genéricos.</w:t>
            </w:r>
          </w:p>
        </w:tc>
      </w:tr>
      <w:tr>
        <w:trPr>
          <w:cantSplit/>
        </w:trPr>
        <w:tc>
          <w:tcPr>
            <w:tcW w:type="dxa" w:w="720"/>
            <w:tcMar>
              <w:top w:w="80" w:type="dxa"/>
              <w:start w:w="120" w:type="dxa"/>
              <w:bottom w:w="80" w:type="dxa"/>
              <w:end w:w="120" w:type="dxa"/>
            </w:tcMar>
            <w:vAlign w:val="center"/>
          </w:tcPr>
          <w:p>
            <w:pPr>
              <w:spacing w:before="0" w:after="0" w:line="252" w:lineRule="auto"/>
            </w:pPr>
            <w:r>
              <w:rPr>
                <w:rFonts w:ascii="Calibri" w:hAnsi="Calibri"/>
                <w:b w:val="0"/>
                <w:color w:val="1D2733"/>
                <w:sz w:val="15"/>
              </w:rPr>
              <w:t>P1-03</w:t>
            </w:r>
          </w:p>
        </w:tc>
        <w:tc>
          <w:tcPr>
            <w:tcW w:type="dxa" w:w="1050"/>
            <w:tcMar>
              <w:top w:w="80" w:type="dxa"/>
              <w:start w:w="120" w:type="dxa"/>
              <w:bottom w:w="80" w:type="dxa"/>
              <w:end w:w="120" w:type="dxa"/>
            </w:tcMar>
            <w:vAlign w:val="center"/>
          </w:tcPr>
          <w:p>
            <w:pPr>
              <w:spacing w:before="0" w:after="0" w:line="252" w:lineRule="auto"/>
            </w:pPr>
            <w:r>
              <w:rPr>
                <w:rFonts w:ascii="Calibri" w:hAnsi="Calibri"/>
                <w:b w:val="0"/>
                <w:color w:val="1D2733"/>
                <w:sz w:val="15"/>
              </w:rPr>
              <w:t>Cobertura</w:t>
            </w:r>
          </w:p>
        </w:tc>
        <w:tc>
          <w:tcPr>
            <w:tcW w:type="dxa" w:w="3090"/>
            <w:tcMar>
              <w:top w:w="80" w:type="dxa"/>
              <w:start w:w="120" w:type="dxa"/>
              <w:bottom w:w="80" w:type="dxa"/>
              <w:end w:w="120" w:type="dxa"/>
            </w:tcMar>
            <w:vAlign w:val="center"/>
          </w:tcPr>
          <w:p>
            <w:pPr>
              <w:spacing w:before="0" w:after="0" w:line="252" w:lineRule="auto"/>
            </w:pPr>
            <w:r>
              <w:rPr>
                <w:rFonts w:ascii="Calibri" w:hAnsi="Calibri"/>
                <w:b w:val="0"/>
                <w:color w:val="1D2733"/>
                <w:sz w:val="15"/>
              </w:rPr>
              <w:t>La tabla por motor de Competidores omitió Claude, aunque fue parte del escaneo.</w:t>
            </w:r>
          </w:p>
        </w:tc>
        <w:tc>
          <w:tcPr>
            <w:tcW w:type="dxa" w:w="2200"/>
            <w:tcMar>
              <w:top w:w="80" w:type="dxa"/>
              <w:start w:w="120" w:type="dxa"/>
              <w:bottom w:w="80" w:type="dxa"/>
              <w:end w:w="120" w:type="dxa"/>
            </w:tcMar>
            <w:vAlign w:val="center"/>
          </w:tcPr>
          <w:p>
            <w:pPr>
              <w:spacing w:before="0" w:after="0" w:line="252" w:lineRule="auto"/>
            </w:pPr>
            <w:r>
              <w:rPr>
                <w:rFonts w:ascii="Calibri" w:hAnsi="Calibri"/>
                <w:b w:val="0"/>
                <w:color w:val="1D2733"/>
                <w:sz w:val="15"/>
              </w:rPr>
              <w:t>Lectura incompleta.</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Mostrar todos los motores y ceros.</w:t>
            </w:r>
          </w:p>
        </w:tc>
      </w:tr>
    </w:tbl>
    <w:p>
      <w:pPr>
        <w:spacing w:after="40"/>
      </w:pPr>
    </w:p>
    <w:p>
      <w:pPr>
        <w:pStyle w:val="Heading1"/>
        <w:keepNext/>
      </w:pPr>
      <w:r>
        <w:t>5. Análisis detallado de los fallos críticos</w:t>
      </w:r>
    </w:p>
    <w:p>
      <w:pPr>
        <w:pStyle w:val="Heading2"/>
        <w:keepNext/>
      </w:pPr>
      <w:r>
        <w:t>5.1 La unidad de análisis cambia según la pantalla</w:t>
      </w:r>
    </w:p>
    <w:p>
      <w:r>
        <w:t>El sistema trabajó con 15 consultas y tres motores, por lo que produjo 45 respuestas. El panel general describe correctamente una aparición en 45 respuestas (2%). La pantalla Prompts, en cambio, expresa que la marca aparece en 1 de 15 prompts (7%). Ambas métricas pueden ser válidas, pero responden a preguntas distintas. Competidores agrava el problema al afirmar que se analizaron 45 prompts.</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7A5A00"/>
                <w:sz w:val="21"/>
              </w:rPr>
              <w:t xml:space="preserve">Recomendación de producto  </w:t>
            </w:r>
            <w:r>
              <w:rPr>
                <w:rFonts w:ascii="Calibri" w:hAnsi="Calibri"/>
                <w:color w:val="1D2733"/>
                <w:sz w:val="21"/>
              </w:rPr>
              <w:t>Nombrar 'tasa de mención por respuesta' (1/45) y 'cobertura de prompts' (1/15). Mostrar siempre el denominador junto al porcentaje y documentar la agregación por motor.</w:t>
            </w:r>
          </w:p>
        </w:tc>
      </w:tr>
    </w:tbl>
    <w:p>
      <w:pPr>
        <w:spacing w:after="20"/>
      </w:pPr>
    </w:p>
    <w:p>
      <w:pPr>
        <w:pStyle w:val="Heading2"/>
        <w:keepNext/>
      </w:pPr>
      <w:r>
        <w:t>5.2 El GEO Score no conserva identidad</w:t>
      </w:r>
    </w:p>
    <w:p>
      <w:r>
        <w:t>El panel principal mostró 6/100 y una franja inicial. La tarjeta de Dominios mostró '2 Puntuación GEO', y la notificación de finalización indicó 'Visibilidad 2'. La hipótesis más probable es que el 2% de respuestas con mención se está reutilizando o etiquetando como score. Aunque el cálculo interno fuese correcto, la interfaz induce a pensar que el indicador cambió.</w:t>
      </w:r>
    </w:p>
    <w:p>
      <w:pPr>
        <w:pStyle w:val="ListBullet"/>
        <w:spacing w:after="160" w:line="280" w:lineRule="auto"/>
        <w:ind w:left="720" w:hanging="360"/>
      </w:pPr>
      <w:r>
        <w:t>Criterio de aceptación: para un scan_id, el GEO Score debe ser idéntico en panel, dominio, notificación, exportación y API.</w:t>
      </w:r>
    </w:p>
    <w:p>
      <w:pPr>
        <w:pStyle w:val="ListBullet"/>
        <w:spacing w:after="160" w:line="280" w:lineRule="auto"/>
        <w:ind w:left="720" w:hanging="360"/>
      </w:pPr>
      <w:r>
        <w:t>Si se muestra presencia, la etiqueta debe incluir unidad y denominador: 2% de respuestas (1/45).</w:t>
      </w:r>
    </w:p>
    <w:p>
      <w:pPr>
        <w:pStyle w:val="Heading2"/>
        <w:keepNext/>
      </w:pPr>
      <w:r>
        <w:t>5.3 Recomendaciones sin granularidad de motor</w:t>
      </w:r>
    </w:p>
    <w:p>
      <w:r>
        <w:t>Una acción aseguraba que Otterly desplazaba a GenScore para la consulta '¿Cómo se diferencia...?', mientras otra decía que en esa misma consulta no aparecía ni la marca ni ningún competidor. La explicación plausible es que se refieren a motores distintos, pero la recomendación habla a nivel de prompt y oculta ese detalle. La consecuencia es una lista que parece contradictoria.</w:t>
      </w:r>
    </w:p>
    <w:p>
      <w:pPr>
        <w:pStyle w:val="ListBullet"/>
        <w:spacing w:after="160" w:line="280" w:lineRule="auto"/>
        <w:ind w:left="720" w:hanging="360"/>
      </w:pPr>
      <w:r>
        <w:t>Cada recomendación debe incluir prompt, motor, fecha, evidencia, competidor y respuesta objetivo.</w:t>
      </w:r>
    </w:p>
    <w:p>
      <w:pPr>
        <w:pStyle w:val="ListBullet"/>
        <w:spacing w:after="160" w:line="280" w:lineRule="auto"/>
        <w:ind w:left="720" w:hanging="360"/>
      </w:pPr>
      <w:r>
        <w:t>Agrupar acciones equivalentes y calcular el impacto sobre respuestas concretas, no sobre un prompt abstracto.</w:t>
      </w:r>
    </w:p>
    <w:p>
      <w:pPr>
        <w:pStyle w:val="ListBullet"/>
        <w:spacing w:after="160" w:line="280" w:lineRule="auto"/>
        <w:ind w:left="720" w:hanging="360"/>
      </w:pPr>
      <w:r>
        <w:t>El encabezado prometía 'hasta +14 puntos', aunque dos acciones visibles sumaban +11 y +4. La suma y el redondeo deben ser auditables.</w:t>
      </w:r>
    </w:p>
    <w:p>
      <w:pPr>
        <w:pStyle w:val="Heading2"/>
        <w:keepNext/>
      </w:pPr>
      <w:r>
        <w:t>5.4 El cierre del ciclo no funciona</w:t>
      </w:r>
    </w:p>
    <w:p>
      <w:r>
        <w:t>Los generadores de FAQ, brief y comparativa no mostraron spinner, modal, documento, toast ni error. Tampoco hubo respuesta visible al exportar el plan, marcar una recomendación como hecha o activar seguimiento diario. Esto afecta al principal diferenciador de GenScore: convertir un diagnóstico en implementación.</w:t>
      </w: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9B1C1C"/>
                <w:sz w:val="21"/>
              </w:rPr>
              <w:t xml:space="preserve">Decisión recomendada  </w:t>
            </w:r>
            <w:r>
              <w:rPr>
                <w:rFonts w:ascii="Calibri" w:hAnsi="Calibri"/>
                <w:color w:val="1D2733"/>
                <w:sz w:val="21"/>
              </w:rPr>
              <w:t>Hasta que estos flujos tengan estados observables y pruebas extremo a extremo, es preferible etiquetarlos como beta cerrada o retirarlos de la oferta pública. Una acción silenciosa se percibe como fallo, aunque exista un job en backend.</w:t>
            </w:r>
          </w:p>
        </w:tc>
      </w:tr>
    </w:tbl>
    <w:p>
      <w:pPr>
        <w:spacing w:after="20"/>
      </w:pPr>
    </w:p>
    <w:p>
      <w:pPr>
        <w:pStyle w:val="Heading1"/>
        <w:keepNext/>
      </w:pPr>
      <w:r>
        <w:t>6. Revisión pantalla por pantalla</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500"/>
        <w:gridCol w:w="2300"/>
        <w:gridCol w:w="3060"/>
        <w:gridCol w:w="2500"/>
      </w:tblGrid>
      <w:tr>
        <w:trPr>
          <w:tblHeader w:val="true"/>
          <w:cantSplit/>
        </w:trPr>
        <w:tc>
          <w:tcPr>
            <w:tcW w:type="dxa" w:w="15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5"/>
              </w:rPr>
              <w:t>Pantalla</w:t>
            </w:r>
          </w:p>
        </w:tc>
        <w:tc>
          <w:tcPr>
            <w:tcW w:type="dxa" w:w="23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Fortaleza</w:t>
            </w:r>
          </w:p>
        </w:tc>
        <w:tc>
          <w:tcPr>
            <w:tcW w:type="dxa" w:w="306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Problema</w:t>
            </w:r>
          </w:p>
        </w:tc>
        <w:tc>
          <w:tcPr>
            <w:tcW w:type="dxa" w:w="25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Oportunidad</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Home</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Propuesta clara, demo mental rápida.</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Promete auditoría y acciones cuya disponibilidad real no coincide.</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Alinear promesa con capacidad activa.</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Checker gratis</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Resultado real y evidencia de ChatGPT.</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Copy negativo aparece tras resultado positivo; límites Free contradictorios.</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Plantillas condicionales y catálogo de plan único.</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Onboarding</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Rápido; sugiere marca, rivales y prompts.</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Genera 10 mientras recomienda al menos 15; poco contexto de objetivo/persona.</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Arrancar en 15 y añadir asistente de intención.</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Escaneo</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Progreso visual atractivo.</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Bloquea navegación y puede quedar desactualizado al terminar.</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Job en segundo plano y estado rehidratable.</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Resumen</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Lectura ejecutiva compacta.</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Score y alto impacto no coinciden con otras pantallas.</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Componentes con definiciones y enlaces a evidencia.</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Prompts</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Respuestas completas y fuentes por motor.</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Filas clicables no semánticas; 'Topics' en inglés; sentimiento positivo cuando marca ausente.</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Botones accesibles, 'Temas' y sentimiento N/A.</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Competidores</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Buena visión de SOV y brechas.</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45 'prompts', Claude omitido y rankings sin definición.</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Unidades correctas y ayuda contextual.</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Citas</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Amplio inventario de fuentes.</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240 URLs sin priorización y oportunidades semánticamente sobreafirmadas.</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Calidad, relevancia, dominio y verificación de página.</w:t>
            </w:r>
          </w:p>
        </w:tc>
      </w:tr>
    </w:tbl>
    <w:p>
      <w:pPr>
        <w:spacing w:after="40"/>
      </w:pPr>
    </w:p>
    <w:p>
      <w:r>
        <w:br w:type="page"/>
      </w:r>
    </w:p>
    <w:p>
      <w:pPr>
        <w:pStyle w:val="Heading2"/>
        <w:keepNext/>
      </w:pPr>
      <w:r>
        <w:t>6. Revisión pantalla por pantalla (continuación)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500"/>
        <w:gridCol w:w="2300"/>
        <w:gridCol w:w="3060"/>
        <w:gridCol w:w="2500"/>
      </w:tblGrid>
      <w:tr>
        <w:trPr>
          <w:tblHeader w:val="true"/>
          <w:cantSplit/>
        </w:trPr>
        <w:tc>
          <w:tcPr>
            <w:tcW w:type="dxa" w:w="15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5"/>
              </w:rPr>
              <w:t>Pantalla</w:t>
            </w:r>
          </w:p>
        </w:tc>
        <w:tc>
          <w:tcPr>
            <w:tcW w:type="dxa" w:w="23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Fortaleza</w:t>
            </w:r>
          </w:p>
        </w:tc>
        <w:tc>
          <w:tcPr>
            <w:tcW w:type="dxa" w:w="306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Problema</w:t>
            </w:r>
          </w:p>
        </w:tc>
        <w:tc>
          <w:tcPr>
            <w:tcW w:type="dxa" w:w="25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Oportunidad</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Auditoría web</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Explica el valor técnico.</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Callejón sin salida: sin CTA.</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Ejecutar, progresar, explicar y reescanear.</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Recomendaciones</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Lenguaje accionable e impacto estimado.</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Duplicadas, contradictorias y botones silenciosos.</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Modelo de tarea con evidencia y estado.</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Configuración</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Uso, plan y alertas son fáciles de encontrar.</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Trial/precio difieren de la web; pocas capacidades de equipo/agencia.</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Consistencia y administración multiusuario.</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5"/>
              </w:rPr>
              <w:t>Documentación</w:t>
            </w:r>
          </w:p>
        </w:tc>
        <w:tc>
          <w:tcPr>
            <w:tcW w:type="dxa" w:w="2300"/>
            <w:tcMar>
              <w:top w:w="80" w:type="dxa"/>
              <w:start w:w="120" w:type="dxa"/>
              <w:bottom w:w="80" w:type="dxa"/>
              <w:end w:w="120" w:type="dxa"/>
            </w:tcMar>
            <w:vAlign w:val="center"/>
          </w:tcPr>
          <w:p>
            <w:pPr>
              <w:spacing w:before="0" w:after="0" w:line="252" w:lineRule="auto"/>
            </w:pPr>
            <w:r>
              <w:rPr>
                <w:rFonts w:ascii="Calibri" w:hAnsi="Calibri"/>
                <w:b w:val="0"/>
                <w:color w:val="1D2733"/>
                <w:sz w:val="15"/>
              </w:rPr>
              <w:t>Explica orden de componentes y suavizado.</w:t>
            </w:r>
          </w:p>
        </w:tc>
        <w:tc>
          <w:tcPr>
            <w:tcW w:type="dxa" w:w="3060"/>
            <w:tcMar>
              <w:top w:w="80" w:type="dxa"/>
              <w:start w:w="120" w:type="dxa"/>
              <w:bottom w:w="80" w:type="dxa"/>
              <w:end w:w="120" w:type="dxa"/>
            </w:tcMar>
            <w:vAlign w:val="center"/>
          </w:tcPr>
          <w:p>
            <w:pPr>
              <w:spacing w:before="0" w:after="0" w:line="252" w:lineRule="auto"/>
            </w:pPr>
            <w:r>
              <w:rPr>
                <w:rFonts w:ascii="Calibri" w:hAnsi="Calibri"/>
                <w:b w:val="0"/>
                <w:color w:val="1D2733"/>
                <w:sz w:val="15"/>
              </w:rPr>
              <w:t>Solo cuatro páginas; faltan pesos, umbrales y ejemplos reproducibles.</w:t>
            </w:r>
          </w:p>
        </w:tc>
        <w:tc>
          <w:tcPr>
            <w:tcW w:type="dxa" w:w="2500"/>
            <w:tcMar>
              <w:top w:w="80" w:type="dxa"/>
              <w:start w:w="120" w:type="dxa"/>
              <w:bottom w:w="80" w:type="dxa"/>
              <w:end w:w="120" w:type="dxa"/>
            </w:tcMar>
            <w:vAlign w:val="center"/>
          </w:tcPr>
          <w:p>
            <w:pPr>
              <w:spacing w:before="0" w:after="0" w:line="252" w:lineRule="auto"/>
            </w:pPr>
            <w:r>
              <w:rPr>
                <w:rFonts w:ascii="Calibri" w:hAnsi="Calibri"/>
                <w:b w:val="0"/>
                <w:color w:val="1D2733"/>
                <w:sz w:val="15"/>
              </w:rPr>
              <w:t>Guía por pantalla y metodología versionada.</w:t>
            </w:r>
          </w:p>
        </w:tc>
      </w:tr>
    </w:tbl>
    <w:p>
      <w:pPr>
        <w:spacing w:after="40"/>
      </w:pPr>
    </w:p>
    <w:p>
      <w:pPr>
        <w:pStyle w:val="Heading1"/>
        <w:keepNext/>
      </w:pPr>
      <w:r>
        <w:t>7. Calidad de datos, semántica y confianza</w:t>
      </w:r>
    </w:p>
    <w:p>
      <w:pPr>
        <w:pStyle w:val="Heading2"/>
        <w:keepNext/>
      </w:pPr>
      <w:r>
        <w:t>Citas: cantidad sin relevancia suficiente</w:t>
      </w:r>
    </w:p>
    <w:p>
      <w:r>
        <w:t>El escaneo reunió 370 citas y 240 páginas únicas. Solo tres citas y una página eran propias. La lista contenía resultados irrelevantes para la intención comercial, como una noticia de la industria láctea ucraniana, un comunicado de Match.com/Odwalla o un recurso de iconos de JetBrains. Esto demuestra que el sistema captura fuentes de las respuestas, pero todavía no separa utilidad editorial de ruido.</w:t>
      </w:r>
    </w:p>
    <w:p>
      <w:pPr>
        <w:pStyle w:val="ListBullet"/>
        <w:spacing w:after="160" w:line="280" w:lineRule="auto"/>
        <w:ind w:left="720" w:hanging="360"/>
      </w:pPr>
      <w:r>
        <w:t>Agregar relevance_score respecto al prompt, al sector y al mercado.</w:t>
      </w:r>
    </w:p>
    <w:p>
      <w:pPr>
        <w:pStyle w:val="ListBullet"/>
        <w:spacing w:after="160" w:line="280" w:lineRule="auto"/>
        <w:ind w:left="720" w:hanging="360"/>
      </w:pPr>
      <w:r>
        <w:t>Agrupar por dominio y mostrar autoridad, frecuencia, motor y consultas asociadas.</w:t>
      </w:r>
    </w:p>
    <w:p>
      <w:pPr>
        <w:pStyle w:val="ListBullet"/>
        <w:spacing w:after="160" w:line="280" w:lineRule="auto"/>
        <w:ind w:left="720" w:hanging="360"/>
      </w:pPr>
      <w:r>
        <w:t>Distinguir tres estados: fuente citada; fuente que menciona un competidor; fuente alcanzable para outreach.</w:t>
      </w:r>
    </w:p>
    <w:p>
      <w:pPr>
        <w:pStyle w:val="ListBullet"/>
        <w:spacing w:after="160" w:line="280" w:lineRule="auto"/>
        <w:ind w:left="720" w:hanging="360"/>
      </w:pPr>
      <w:r>
        <w:t>No recomendar 'consigue que esta web te mencione' hasta verificar el contenido de la página.</w:t>
      </w:r>
    </w:p>
    <w:p>
      <w:pPr>
        <w:pStyle w:val="Heading2"/>
        <w:keepNext/>
      </w:pPr>
      <w:r>
        <w:t>Metodología: transparente en intención, insuficiente para auditar</w:t>
      </w:r>
    </w:p>
    <w:p>
      <w:r>
        <w:t>La documentación explica que el GEO Score combina visibilidad, autoridad, competencia y señales técnicas, y menciona suavizado y confianza. No publica pesos, umbrales de franjas, ventana de suavizado, versión metodológica ni reglas de comparación. Para una métrica propietaria esto puede ser razonable, pero no para sostener decisiones sin un desglose reproducible.</w:t>
      </w:r>
    </w:p>
    <w:tbl>
      <w:tblPr>
        <w:tblW w:type="dxa" w:w="9360"/>
        <w:jc w:val="left"/>
        <w:tblLayout w:type="fixed"/>
        <w:tblLook w:firstColumn="1" w:firstRow="1" w:lastColumn="0" w:lastRow="0" w:noHBand="0" w:noVBand="1" w:val="04A0"/>
        <w:tblInd w:w="120" w:type="dxa"/>
        <w:tblBorders>
          <w:top w:val="single" w:sz="8" w:space="0" w:color="1F4D78"/>
          <w:left w:val="single" w:sz="8" w:space="0" w:color="1F4D78"/>
          <w:bottom w:val="single" w:sz="8" w:space="0" w:color="1F4D78"/>
          <w:right w:val="single" w:sz="8" w:space="0" w:color="1F4D78"/>
          <w:insideH w:val="single" w:sz="8" w:space="0" w:color="1F4D78"/>
          <w:insideV w:val="single" w:sz="8" w:space="0" w:color="1F4D78"/>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4D78"/>
                <w:sz w:val="21"/>
              </w:rPr>
              <w:t xml:space="preserve">Nivel mínimo de transparencia  </w:t>
            </w:r>
            <w:r>
              <w:rPr>
                <w:rFonts w:ascii="Calibri" w:hAnsi="Calibri"/>
                <w:color w:val="1D2733"/>
                <w:sz w:val="21"/>
              </w:rPr>
              <w:t>Mostrar contribución de cada componente, tamaño de muestra, confianza, fecha, motores, país, versión de fórmula y cambio atribuible desde el último scan.</w:t>
            </w:r>
          </w:p>
        </w:tc>
      </w:tr>
    </w:tbl>
    <w:p>
      <w:pPr>
        <w:spacing w:after="20"/>
      </w:pPr>
    </w:p>
    <w:p>
      <w:r>
        <w:br w:type="page"/>
      </w:r>
    </w:p>
    <w:p>
      <w:pPr>
        <w:pStyle w:val="Heading1"/>
        <w:keepNext/>
      </w:pPr>
      <w:r>
        <w:t>8. Benchmark competitivo</w:t>
      </w:r>
    </w:p>
    <w:p>
      <w:r>
        <w:t>GenScore no necesita igualar todas las suites. Sí debe superar a las alternativas en claridad, confianza y velocidad de ejecución para su segmento. La tabla compara planes públicos y capacidades visibles en fuentes oficiales en la fecha de auditoría.</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300"/>
        <w:gridCol w:w="1500"/>
        <w:gridCol w:w="2000"/>
        <w:gridCol w:w="2280"/>
        <w:gridCol w:w="2280"/>
      </w:tblGrid>
      <w:tr>
        <w:trPr>
          <w:tblHeader w:val="true"/>
          <w:cantSplit/>
        </w:trPr>
        <w:tc>
          <w:tcPr>
            <w:tcW w:type="dxa" w:w="13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4"/>
              </w:rPr>
              <w:t>Producto</w:t>
            </w:r>
          </w:p>
        </w:tc>
        <w:tc>
          <w:tcPr>
            <w:tcW w:type="dxa" w:w="1500"/>
            <w:shd w:fill="F2F4F7"/>
            <w:tcMar>
              <w:top w:w="80" w:type="dxa"/>
              <w:start w:w="120" w:type="dxa"/>
              <w:bottom w:w="80" w:type="dxa"/>
              <w:end w:w="120" w:type="dxa"/>
            </w:tcMar>
            <w:vAlign w:val="center"/>
          </w:tcPr>
          <w:p>
            <w:pPr>
              <w:spacing w:before="0" w:after="0" w:line="252" w:lineRule="auto"/>
            </w:pPr>
            <w:r>
              <w:rPr>
                <w:rFonts w:ascii="Calibri" w:hAnsi="Calibri"/>
                <w:b/>
                <w:color w:val="0B2545"/>
                <w:sz w:val="14"/>
              </w:rPr>
              <w:t>Precio público</w:t>
            </w:r>
          </w:p>
        </w:tc>
        <w:tc>
          <w:tcPr>
            <w:tcW w:type="dxa" w:w="2000"/>
            <w:shd w:fill="F2F4F7"/>
            <w:tcMar>
              <w:top w:w="80" w:type="dxa"/>
              <w:start w:w="120" w:type="dxa"/>
              <w:bottom w:w="80" w:type="dxa"/>
              <w:end w:w="120" w:type="dxa"/>
            </w:tcMar>
            <w:vAlign w:val="center"/>
          </w:tcPr>
          <w:p>
            <w:pPr>
              <w:spacing w:before="0" w:after="0" w:line="252" w:lineRule="auto"/>
            </w:pPr>
            <w:r>
              <w:rPr>
                <w:rFonts w:ascii="Calibri" w:hAnsi="Calibri"/>
                <w:b/>
                <w:color w:val="0B2545"/>
                <w:sz w:val="14"/>
              </w:rPr>
              <w:t>Cobertura</w:t>
            </w:r>
          </w:p>
        </w:tc>
        <w:tc>
          <w:tcPr>
            <w:tcW w:type="dxa" w:w="2280"/>
            <w:shd w:fill="F2F4F7"/>
            <w:tcMar>
              <w:top w:w="80" w:type="dxa"/>
              <w:start w:w="120" w:type="dxa"/>
              <w:bottom w:w="80" w:type="dxa"/>
              <w:end w:w="120" w:type="dxa"/>
            </w:tcMar>
            <w:vAlign w:val="center"/>
          </w:tcPr>
          <w:p>
            <w:pPr>
              <w:spacing w:before="0" w:after="0" w:line="252" w:lineRule="auto"/>
            </w:pPr>
            <w:r>
              <w:rPr>
                <w:rFonts w:ascii="Calibri" w:hAnsi="Calibri"/>
                <w:b/>
                <w:color w:val="0B2545"/>
                <w:sz w:val="14"/>
              </w:rPr>
              <w:t>Ventaja</w:t>
            </w:r>
          </w:p>
        </w:tc>
        <w:tc>
          <w:tcPr>
            <w:tcW w:type="dxa" w:w="2280"/>
            <w:shd w:fill="F2F4F7"/>
            <w:tcMar>
              <w:top w:w="80" w:type="dxa"/>
              <w:start w:w="120" w:type="dxa"/>
              <w:bottom w:w="80" w:type="dxa"/>
              <w:end w:w="120" w:type="dxa"/>
            </w:tcMar>
            <w:vAlign w:val="center"/>
          </w:tcPr>
          <w:p>
            <w:pPr>
              <w:spacing w:before="0" w:after="0" w:line="252" w:lineRule="auto"/>
            </w:pPr>
            <w:r>
              <w:rPr>
                <w:rFonts w:ascii="Calibri" w:hAnsi="Calibri"/>
                <w:b/>
                <w:color w:val="0B2545"/>
                <w:sz w:val="14"/>
              </w:rPr>
              <w:t>Riesgo para GenScore</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b w:val="0"/>
                <w:color w:val="1D2733"/>
                <w:sz w:val="14"/>
              </w:rPr>
              <w:t>GenScore</w:t>
            </w:r>
          </w:p>
        </w:tc>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4"/>
              </w:rPr>
              <w:t>59 €/mes promo; 179 € lista en cuenta</w:t>
            </w:r>
          </w:p>
        </w:tc>
        <w:tc>
          <w:tcPr>
            <w:tcW w:type="dxa" w:w="2000"/>
            <w:tcMar>
              <w:top w:w="80" w:type="dxa"/>
              <w:start w:w="120" w:type="dxa"/>
              <w:bottom w:w="80" w:type="dxa"/>
              <w:end w:w="120" w:type="dxa"/>
            </w:tcMar>
            <w:vAlign w:val="center"/>
          </w:tcPr>
          <w:p>
            <w:pPr>
              <w:spacing w:before="0" w:after="0" w:line="252" w:lineRule="auto"/>
            </w:pPr>
            <w:r>
              <w:rPr>
                <w:rFonts w:ascii="Calibri" w:hAnsi="Calibri"/>
                <w:b w:val="0"/>
                <w:color w:val="1D2733"/>
                <w:sz w:val="14"/>
              </w:rPr>
              <w:t>100 prompts, 5 dominios, 3 motores</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Español nativo, onboarding y evidencia simple.</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Acciones/auditoría no operativas; pricing inconsistente.</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b w:val="0"/>
                <w:color w:val="1D2733"/>
                <w:sz w:val="14"/>
              </w:rPr>
              <w:t>Semrush AI Visibility</w:t>
            </w:r>
          </w:p>
        </w:tc>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4"/>
              </w:rPr>
              <w:t>$99/mes</w:t>
            </w:r>
          </w:p>
        </w:tc>
        <w:tc>
          <w:tcPr>
            <w:tcW w:type="dxa" w:w="2000"/>
            <w:tcMar>
              <w:top w:w="80" w:type="dxa"/>
              <w:start w:w="120" w:type="dxa"/>
              <w:bottom w:w="80" w:type="dxa"/>
              <w:end w:w="120" w:type="dxa"/>
            </w:tcMar>
            <w:vAlign w:val="center"/>
          </w:tcPr>
          <w:p>
            <w:pPr>
              <w:spacing w:before="0" w:after="0" w:line="252" w:lineRule="auto"/>
            </w:pPr>
            <w:r>
              <w:rPr>
                <w:rFonts w:ascii="Calibri" w:hAnsi="Calibri"/>
                <w:b w:val="0"/>
                <w:color w:val="1D2733"/>
                <w:sz w:val="14"/>
              </w:rPr>
              <w:t>25 prompts diarios; 1 dominio; ChatGPT, AI Mode y Gemini</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Prompt research, sentimiento, audit 100 páginas, informes.</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Menos simple para B2C; un solo dominio.</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b w:val="0"/>
                <w:color w:val="1D2733"/>
                <w:sz w:val="14"/>
              </w:rPr>
              <w:t>Ahrefs Brand Radar</w:t>
            </w:r>
          </w:p>
        </w:tc>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4"/>
              </w:rPr>
              <w:t>$199 por plataforma; $699 all-in</w:t>
            </w:r>
          </w:p>
        </w:tc>
        <w:tc>
          <w:tcPr>
            <w:tcW w:type="dxa" w:w="2000"/>
            <w:tcMar>
              <w:top w:w="80" w:type="dxa"/>
              <w:start w:w="120" w:type="dxa"/>
              <w:bottom w:w="80" w:type="dxa"/>
              <w:end w:w="120" w:type="dxa"/>
            </w:tcMar>
            <w:vAlign w:val="center"/>
          </w:tcPr>
          <w:p>
            <w:pPr>
              <w:spacing w:before="0" w:after="0" w:line="252" w:lineRule="auto"/>
            </w:pPr>
            <w:r>
              <w:rPr>
                <w:rFonts w:ascii="Calibri" w:hAnsi="Calibri"/>
                <w:b w:val="0"/>
                <w:color w:val="1D2733"/>
                <w:sz w:val="14"/>
              </w:rPr>
              <w:t>Índice de 475 M consultas; 6 plataformas; 2.500 checks</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Investigación a gran escala y demanda sin setup.</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Precio elevado y complejidad.</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b w:val="0"/>
                <w:color w:val="1D2733"/>
                <w:sz w:val="14"/>
              </w:rPr>
              <w:t>Otterly.AI</w:t>
            </w:r>
          </w:p>
        </w:tc>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4"/>
              </w:rPr>
              <w:t>$29/15 prompts; $189/100</w:t>
            </w:r>
          </w:p>
        </w:tc>
        <w:tc>
          <w:tcPr>
            <w:tcW w:type="dxa" w:w="2000"/>
            <w:tcMar>
              <w:top w:w="80" w:type="dxa"/>
              <w:start w:w="120" w:type="dxa"/>
              <w:bottom w:w="80" w:type="dxa"/>
              <w:end w:w="120" w:type="dxa"/>
            </w:tcMar>
            <w:vAlign w:val="center"/>
          </w:tcPr>
          <w:p>
            <w:pPr>
              <w:spacing w:before="0" w:after="0" w:line="252" w:lineRule="auto"/>
            </w:pPr>
            <w:r>
              <w:rPr>
                <w:rFonts w:ascii="Calibri" w:hAnsi="Calibri"/>
                <w:b w:val="0"/>
                <w:color w:val="1D2733"/>
                <w:sz w:val="14"/>
              </w:rPr>
              <w:t>7 motores; 65+ países/idiomas; diario</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Cobertura, monitorización y facilidad.</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Menor capa de implementación.</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b w:val="0"/>
                <w:color w:val="1D2733"/>
                <w:sz w:val="14"/>
              </w:rPr>
              <w:t>Peec AI</w:t>
            </w:r>
          </w:p>
        </w:tc>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4"/>
              </w:rPr>
              <w:t>$95/50 prompts; $245/150</w:t>
            </w:r>
          </w:p>
        </w:tc>
        <w:tc>
          <w:tcPr>
            <w:tcW w:type="dxa" w:w="2000"/>
            <w:tcMar>
              <w:top w:w="80" w:type="dxa"/>
              <w:start w:w="120" w:type="dxa"/>
              <w:bottom w:w="80" w:type="dxa"/>
              <w:end w:w="120" w:type="dxa"/>
            </w:tcMar>
            <w:vAlign w:val="center"/>
          </w:tcPr>
          <w:p>
            <w:pPr>
              <w:spacing w:before="0" w:after="0" w:line="252" w:lineRule="auto"/>
            </w:pPr>
            <w:r>
              <w:rPr>
                <w:rFonts w:ascii="Calibri" w:hAnsi="Calibri"/>
                <w:b w:val="0"/>
                <w:color w:val="1D2733"/>
                <w:sz w:val="14"/>
              </w:rPr>
              <w:t>6 canales; proyectos y capacidades agency</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Tracking, reporting e integraciones profesionales.</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Más orientado a equipos/agencias.</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b w:val="0"/>
                <w:color w:val="1D2733"/>
                <w:sz w:val="14"/>
              </w:rPr>
              <w:t>Writesonic GEO</w:t>
            </w:r>
          </w:p>
        </w:tc>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4"/>
              </w:rPr>
              <w:t>$79/50 prompts (anual)</w:t>
            </w:r>
          </w:p>
        </w:tc>
        <w:tc>
          <w:tcPr>
            <w:tcW w:type="dxa" w:w="2000"/>
            <w:tcMar>
              <w:top w:w="80" w:type="dxa"/>
              <w:start w:w="120" w:type="dxa"/>
              <w:bottom w:w="80" w:type="dxa"/>
              <w:end w:w="120" w:type="dxa"/>
            </w:tcMar>
            <w:vAlign w:val="center"/>
          </w:tcPr>
          <w:p>
            <w:pPr>
              <w:spacing w:before="0" w:after="0" w:line="252" w:lineRule="auto"/>
            </w:pPr>
            <w:r>
              <w:rPr>
                <w:rFonts w:ascii="Calibri" w:hAnsi="Calibri"/>
                <w:b w:val="0"/>
                <w:color w:val="1D2733"/>
                <w:sz w:val="14"/>
              </w:rPr>
              <w:t>3 motores en Starter; audit y contenido</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Action Center, contenido, CMS y tráfico IA en tiers superiores.</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Producto más amplio y potencialmente más complejo.</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b w:val="0"/>
                <w:color w:val="1D2733"/>
                <w:sz w:val="14"/>
              </w:rPr>
              <w:t>Promptwatch</w:t>
            </w:r>
          </w:p>
        </w:tc>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4"/>
              </w:rPr>
              <w:t>$95/50 prompts</w:t>
            </w:r>
          </w:p>
        </w:tc>
        <w:tc>
          <w:tcPr>
            <w:tcW w:type="dxa" w:w="2000"/>
            <w:tcMar>
              <w:top w:w="80" w:type="dxa"/>
              <w:start w:w="120" w:type="dxa"/>
              <w:bottom w:w="80" w:type="dxa"/>
              <w:end w:w="120" w:type="dxa"/>
            </w:tcMar>
            <w:vAlign w:val="center"/>
          </w:tcPr>
          <w:p>
            <w:pPr>
              <w:spacing w:before="0" w:after="0" w:line="252" w:lineRule="auto"/>
            </w:pPr>
            <w:r>
              <w:rPr>
                <w:rFonts w:ascii="Calibri" w:hAnsi="Calibri"/>
                <w:b w:val="0"/>
                <w:color w:val="1D2733"/>
                <w:sz w:val="14"/>
              </w:rPr>
              <w:t>4 modelos, diario, 6.000 respuestas</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API/MCP, crawler logs y agente en planes superiores.</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Menor localización española.</w:t>
            </w:r>
          </w:p>
        </w:tc>
      </w:tr>
      <w:tr>
        <w:trPr>
          <w:cantSplit/>
        </w:trPr>
        <w:tc>
          <w:tcPr>
            <w:tcW w:type="dxa" w:w="1300"/>
            <w:tcMar>
              <w:top w:w="80" w:type="dxa"/>
              <w:start w:w="120" w:type="dxa"/>
              <w:bottom w:w="80" w:type="dxa"/>
              <w:end w:w="120" w:type="dxa"/>
            </w:tcMar>
            <w:vAlign w:val="center"/>
          </w:tcPr>
          <w:p>
            <w:pPr>
              <w:spacing w:before="0" w:after="0" w:line="252" w:lineRule="auto"/>
            </w:pPr>
            <w:r>
              <w:rPr>
                <w:rFonts w:ascii="Calibri" w:hAnsi="Calibri"/>
                <w:b w:val="0"/>
                <w:color w:val="1D2733"/>
                <w:sz w:val="14"/>
              </w:rPr>
              <w:t>Scrunch</w:t>
            </w:r>
          </w:p>
        </w:tc>
        <w:tc>
          <w:tcPr>
            <w:tcW w:type="dxa" w:w="1500"/>
            <w:tcMar>
              <w:top w:w="80" w:type="dxa"/>
              <w:start w:w="120" w:type="dxa"/>
              <w:bottom w:w="80" w:type="dxa"/>
              <w:end w:w="120" w:type="dxa"/>
            </w:tcMar>
            <w:vAlign w:val="center"/>
          </w:tcPr>
          <w:p>
            <w:pPr>
              <w:spacing w:before="0" w:after="0" w:line="252" w:lineRule="auto"/>
            </w:pPr>
            <w:r>
              <w:rPr>
                <w:rFonts w:ascii="Calibri" w:hAnsi="Calibri"/>
                <w:b w:val="0"/>
                <w:color w:val="1D2733"/>
                <w:sz w:val="14"/>
              </w:rPr>
              <w:t>$250/125 prompts</w:t>
            </w:r>
          </w:p>
        </w:tc>
        <w:tc>
          <w:tcPr>
            <w:tcW w:type="dxa" w:w="2000"/>
            <w:tcMar>
              <w:top w:w="80" w:type="dxa"/>
              <w:start w:w="120" w:type="dxa"/>
              <w:bottom w:w="80" w:type="dxa"/>
              <w:end w:w="120" w:type="dxa"/>
            </w:tcMar>
            <w:vAlign w:val="center"/>
          </w:tcPr>
          <w:p>
            <w:pPr>
              <w:spacing w:before="0" w:after="0" w:line="252" w:lineRule="auto"/>
            </w:pPr>
            <w:r>
              <w:rPr>
                <w:rFonts w:ascii="Calibri" w:hAnsi="Calibri"/>
                <w:b w:val="0"/>
                <w:color w:val="1D2733"/>
                <w:sz w:val="14"/>
              </w:rPr>
              <w:t>4 LLMs; 5 auditorías; 5 usuarios</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AXP y enfoque enterprise/machine-readable.</w:t>
            </w:r>
          </w:p>
        </w:tc>
        <w:tc>
          <w:tcPr>
            <w:tcW w:type="dxa" w:w="2280"/>
            <w:tcMar>
              <w:top w:w="80" w:type="dxa"/>
              <w:start w:w="120" w:type="dxa"/>
              <w:bottom w:w="80" w:type="dxa"/>
              <w:end w:w="120" w:type="dxa"/>
            </w:tcMar>
            <w:vAlign w:val="center"/>
          </w:tcPr>
          <w:p>
            <w:pPr>
              <w:spacing w:before="0" w:after="0" w:line="252" w:lineRule="auto"/>
            </w:pPr>
            <w:r>
              <w:rPr>
                <w:rFonts w:ascii="Calibri" w:hAnsi="Calibri"/>
                <w:b w:val="0"/>
                <w:color w:val="1D2733"/>
                <w:sz w:val="14"/>
              </w:rPr>
              <w:t>Coste alto para B2C.</w:t>
            </w:r>
          </w:p>
        </w:tc>
      </w:tr>
    </w:tbl>
    <w:p>
      <w:pPr>
        <w:spacing w:after="40"/>
      </w:pPr>
    </w:p>
    <w:p>
      <w:pPr>
        <w:spacing w:before="80" w:after="80"/>
      </w:pPr>
      <w:r>
        <w:rPr>
          <w:rFonts w:ascii="Calibri" w:hAnsi="Calibri"/>
          <w:i/>
          <w:color w:val="5F6B7A"/>
          <w:sz w:val="16"/>
        </w:rPr>
        <w:t>Comparación orientativa: los proveedores utilizan unidades y condiciones diferentes. Ver enlaces oficiales en el apéndice de fuentes.</w:t>
      </w:r>
    </w:p>
    <w:p>
      <w:pPr>
        <w:pStyle w:val="Heading2"/>
        <w:keepNext/>
      </w:pPr>
      <w:r>
        <w:t>Brechas competitivas más relevantes</w:t>
      </w:r>
    </w:p>
    <w:p>
      <w:pPr>
        <w:pStyle w:val="ListBullet"/>
        <w:spacing w:after="160" w:line="280" w:lineRule="auto"/>
        <w:ind w:left="720" w:hanging="360"/>
      </w:pPr>
      <w:r>
        <w:t>Cobertura de motores: GenScore prueba ChatGPT, Gemini y Claude. Otterly ofrece siete, y el mercado ya espera Perplexity, Google AI Overviews y AI Mode.</w:t>
      </w:r>
    </w:p>
    <w:p>
      <w:pPr>
        <w:pStyle w:val="ListBullet"/>
        <w:spacing w:after="160" w:line="280" w:lineRule="auto"/>
        <w:ind w:left="720" w:hanging="360"/>
      </w:pPr>
      <w:r>
        <w:t>Investigación de demanda: Semrush y Ahrefs aportan índices de consultas y priorización por demanda. GenScore depende casi por completo de prompts generados o añadidos por el usuario.</w:t>
      </w:r>
    </w:p>
    <w:p>
      <w:pPr>
        <w:pStyle w:val="ListBullet"/>
        <w:spacing w:after="160" w:line="280" w:lineRule="auto"/>
        <w:ind w:left="720" w:hanging="360"/>
      </w:pPr>
      <w:r>
        <w:t>Cierre del ciclo: Writesonic y Promptwatch conectan acciones, contenido, CMS, crawler logs o APIs. GenScore presenta el concepto, pero no completó los flujos probados.</w:t>
      </w:r>
    </w:p>
    <w:p>
      <w:pPr>
        <w:pStyle w:val="ListBullet"/>
        <w:spacing w:after="160" w:line="280" w:lineRule="auto"/>
        <w:ind w:left="720" w:hanging="360"/>
      </w:pPr>
      <w:r>
        <w:t>Reporting y colaboración: exportación fiable, equipos, white label, API y portales de cliente son expectativas básicas para agencia.</w:t>
      </w:r>
    </w:p>
    <w:p>
      <w:pPr>
        <w:pStyle w:val="ListBullet"/>
        <w:spacing w:after="160" w:line="280" w:lineRule="auto"/>
        <w:ind w:left="720" w:hanging="360"/>
      </w:pPr>
      <w:r>
        <w:t>Atribución: las suites más avanzadas incorporan tráfico de crawlers, referrals o conversiones. GenScore termina hoy en visibilidad y citas.</w:t>
      </w:r>
    </w:p>
    <w:p>
      <w:pPr>
        <w:pStyle w:val="Heading1"/>
        <w:keepNext/>
      </w:pPr>
      <w:r>
        <w:t>9. Posicionamiento y estrategia de producto</w:t>
      </w:r>
    </w:p>
    <w:tbl>
      <w:tblPr>
        <w:tblW w:type="dxa" w:w="9360"/>
        <w:jc w:val="left"/>
        <w:tblLayout w:type="fixed"/>
        <w:tblLook w:firstColumn="1" w:firstRow="1" w:lastColumn="0" w:lastRow="0" w:noHBand="0" w:noVBand="1" w:val="04A0"/>
        <w:tblInd w:w="120" w:type="dxa"/>
        <w:tblBorders>
          <w:top w:val="single" w:sz="8" w:space="0" w:color="1F5A43"/>
          <w:left w:val="single" w:sz="8" w:space="0" w:color="1F5A43"/>
          <w:bottom w:val="single" w:sz="8" w:space="0" w:color="1F5A43"/>
          <w:right w:val="single" w:sz="8" w:space="0" w:color="1F5A43"/>
          <w:insideH w:val="single" w:sz="8" w:space="0" w:color="1F5A43"/>
          <w:insideV w:val="single" w:sz="8" w:space="0" w:color="1F5A43"/>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5A43"/>
                <w:sz w:val="21"/>
              </w:rPr>
              <w:t xml:space="preserve">Posicionamiento recomendado  </w:t>
            </w:r>
            <w:r>
              <w:rPr>
                <w:rFonts w:ascii="Calibri" w:hAnsi="Calibri"/>
                <w:color w:val="1D2733"/>
                <w:sz w:val="21"/>
              </w:rPr>
              <w:t>La herramienta GEO en español que convierte respuestas reales de IA en un plan verificable para pymes y agencias: evidencia por motor, acción guiada y progreso medible.</w:t>
            </w:r>
          </w:p>
        </w:tc>
      </w:tr>
    </w:tbl>
    <w:p>
      <w:pPr>
        <w:spacing w:after="20"/>
      </w:pPr>
    </w:p>
    <w:p>
      <w:pPr>
        <w:pStyle w:val="Heading2"/>
        <w:keepNext/>
      </w:pPr>
      <w:r>
        <w:t>Qué debería defender GenScore</w:t>
      </w:r>
    </w:p>
    <w:p>
      <w:pPr>
        <w:pStyle w:val="ListBullet"/>
        <w:spacing w:after="160" w:line="280" w:lineRule="auto"/>
        <w:ind w:left="720" w:hanging="360"/>
      </w:pPr>
      <w:r>
        <w:t>Español y mercados hispanohablantes como diseño de producto, no solo traducción.</w:t>
      </w:r>
    </w:p>
    <w:p>
      <w:pPr>
        <w:pStyle w:val="ListBullet"/>
        <w:spacing w:after="160" w:line="280" w:lineRule="auto"/>
        <w:ind w:left="720" w:hanging="360"/>
      </w:pPr>
      <w:r>
        <w:t>Tiempo a primera evidencia inferior a cinco minutos, con prompts explicables y editables.</w:t>
      </w:r>
    </w:p>
    <w:p>
      <w:pPr>
        <w:pStyle w:val="ListBullet"/>
        <w:spacing w:after="160" w:line="280" w:lineRule="auto"/>
        <w:ind w:left="720" w:hanging="360"/>
      </w:pPr>
      <w:r>
        <w:t>Cada recomendación enlazada a respuesta, fuente, motor y cambio esperado.</w:t>
      </w:r>
    </w:p>
    <w:p>
      <w:pPr>
        <w:pStyle w:val="ListBullet"/>
        <w:spacing w:after="160" w:line="280" w:lineRule="auto"/>
        <w:ind w:left="720" w:hanging="360"/>
      </w:pPr>
      <w:r>
        <w:t>Implementación guiada para usuarios no expertos: brief, bloque FAQ, comparativa, outreach y reescaneo.</w:t>
      </w:r>
    </w:p>
    <w:p>
      <w:pPr>
        <w:pStyle w:val="ListBullet"/>
        <w:spacing w:after="160" w:line="280" w:lineRule="auto"/>
        <w:ind w:left="720" w:hanging="360"/>
      </w:pPr>
      <w:r>
        <w:t>Precio accesible frente a suites enterprise, con límites fáciles de entender.</w:t>
      </w:r>
    </w:p>
    <w:p>
      <w:pPr>
        <w:pStyle w:val="Heading2"/>
        <w:keepNext/>
      </w:pPr>
      <w:r>
        <w:t>Implicación de precio</w:t>
      </w:r>
    </w:p>
    <w:p>
      <w:r>
        <w:t>El precio promocional de 59 €/mes puede ser competitivo si el ciclo diagnóstico - acción - verificación funciona. El precio de lista de 179 €/mes es difícil de sostener mientras falten más motores, auditoría ejecutable, reporting, integraciones y colaboración: queda cerca de Otterly Standard ($189/100 prompts), pero con menor cobertura, y por encima de Semrush AI Visibility ($99). Una opción razonable es mantener Pro en 79-99 €/mes hasta alcanzar paridad operativa, y reservar 179 € para un plan con cinco dominios, equipos, informes, white label y soporte prioritario.</w:t>
      </w:r>
    </w:p>
    <w:p>
      <w:pPr>
        <w:pStyle w:val="Heading2"/>
        <w:keepNext/>
      </w:pPr>
      <w:r>
        <w:t>Segmentación sugerida</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200"/>
        <w:gridCol w:w="1900"/>
        <w:gridCol w:w="2800"/>
        <w:gridCol w:w="3460"/>
      </w:tblGrid>
      <w:tr>
        <w:trPr>
          <w:tblHeader w:val="true"/>
          <w:cantSplit/>
        </w:trPr>
        <w:tc>
          <w:tcPr>
            <w:tcW w:type="dxa" w:w="12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6"/>
              </w:rPr>
              <w:t>Plan</w:t>
            </w:r>
          </w:p>
        </w:tc>
        <w:tc>
          <w:tcPr>
            <w:tcW w:type="dxa" w:w="1900"/>
            <w:shd w:fill="F2F4F7"/>
            <w:tcMar>
              <w:top w:w="80" w:type="dxa"/>
              <w:start w:w="120" w:type="dxa"/>
              <w:bottom w:w="80" w:type="dxa"/>
              <w:end w:w="120" w:type="dxa"/>
            </w:tcMar>
            <w:vAlign w:val="center"/>
          </w:tcPr>
          <w:p>
            <w:pPr>
              <w:spacing w:before="0" w:after="0" w:line="252" w:lineRule="auto"/>
            </w:pPr>
            <w:r>
              <w:rPr>
                <w:rFonts w:ascii="Calibri" w:hAnsi="Calibri"/>
                <w:b/>
                <w:color w:val="0B2545"/>
                <w:sz w:val="16"/>
              </w:rPr>
              <w:t>Cliente</w:t>
            </w:r>
          </w:p>
        </w:tc>
        <w:tc>
          <w:tcPr>
            <w:tcW w:type="dxa" w:w="2800"/>
            <w:shd w:fill="F2F4F7"/>
            <w:tcMar>
              <w:top w:w="80" w:type="dxa"/>
              <w:start w:w="120" w:type="dxa"/>
              <w:bottom w:w="80" w:type="dxa"/>
              <w:end w:w="120" w:type="dxa"/>
            </w:tcMar>
            <w:vAlign w:val="center"/>
          </w:tcPr>
          <w:p>
            <w:pPr>
              <w:spacing w:before="0" w:after="0" w:line="252" w:lineRule="auto"/>
            </w:pPr>
            <w:r>
              <w:rPr>
                <w:rFonts w:ascii="Calibri" w:hAnsi="Calibri"/>
                <w:b/>
                <w:color w:val="0B2545"/>
                <w:sz w:val="16"/>
              </w:rPr>
              <w:t>Trabajo principal</w:t>
            </w:r>
          </w:p>
        </w:tc>
        <w:tc>
          <w:tcPr>
            <w:tcW w:type="dxa" w:w="3460"/>
            <w:shd w:fill="F2F4F7"/>
            <w:tcMar>
              <w:top w:w="80" w:type="dxa"/>
              <w:start w:w="120" w:type="dxa"/>
              <w:bottom w:w="80" w:type="dxa"/>
              <w:end w:w="120" w:type="dxa"/>
            </w:tcMar>
            <w:vAlign w:val="center"/>
          </w:tcPr>
          <w:p>
            <w:pPr>
              <w:spacing w:before="0" w:after="0" w:line="252" w:lineRule="auto"/>
            </w:pPr>
            <w:r>
              <w:rPr>
                <w:rFonts w:ascii="Calibri" w:hAnsi="Calibri"/>
                <w:b/>
                <w:color w:val="0B2545"/>
                <w:sz w:val="16"/>
              </w:rPr>
              <w:t>Capacidad mínima</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6"/>
              </w:rPr>
              <w:t>Free</w:t>
            </w:r>
          </w:p>
        </w:tc>
        <w:tc>
          <w:tcPr>
            <w:tcW w:type="dxa" w:w="1900"/>
            <w:tcMar>
              <w:top w:w="80" w:type="dxa"/>
              <w:start w:w="120" w:type="dxa"/>
              <w:bottom w:w="80" w:type="dxa"/>
              <w:end w:w="120" w:type="dxa"/>
            </w:tcMar>
            <w:vAlign w:val="center"/>
          </w:tcPr>
          <w:p>
            <w:pPr>
              <w:spacing w:before="0" w:after="0" w:line="252" w:lineRule="auto"/>
            </w:pPr>
            <w:r>
              <w:rPr>
                <w:rFonts w:ascii="Calibri" w:hAnsi="Calibri"/>
                <w:b w:val="0"/>
                <w:color w:val="1D2733"/>
                <w:sz w:val="16"/>
              </w:rPr>
              <w:t>Marca curiosa</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6"/>
              </w:rPr>
              <w:t>Comprobar presencia una vez</w:t>
            </w:r>
          </w:p>
        </w:tc>
        <w:tc>
          <w:tcPr>
            <w:tcW w:type="dxa" w:w="3460"/>
            <w:tcMar>
              <w:top w:w="80" w:type="dxa"/>
              <w:start w:w="120" w:type="dxa"/>
              <w:bottom w:w="80" w:type="dxa"/>
              <w:end w:w="120" w:type="dxa"/>
            </w:tcMar>
            <w:vAlign w:val="center"/>
          </w:tcPr>
          <w:p>
            <w:pPr>
              <w:spacing w:before="0" w:after="0" w:line="252" w:lineRule="auto"/>
            </w:pPr>
            <w:r>
              <w:rPr>
                <w:rFonts w:ascii="Calibri" w:hAnsi="Calibri"/>
                <w:b w:val="0"/>
                <w:color w:val="1D2733"/>
                <w:sz w:val="16"/>
              </w:rPr>
              <w:t>1 motor, resultado coherente, explicación de límites</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6"/>
              </w:rPr>
              <w:t>Starter</w:t>
            </w:r>
          </w:p>
        </w:tc>
        <w:tc>
          <w:tcPr>
            <w:tcW w:type="dxa" w:w="1900"/>
            <w:tcMar>
              <w:top w:w="80" w:type="dxa"/>
              <w:start w:w="120" w:type="dxa"/>
              <w:bottom w:w="80" w:type="dxa"/>
              <w:end w:w="120" w:type="dxa"/>
            </w:tcMar>
            <w:vAlign w:val="center"/>
          </w:tcPr>
          <w:p>
            <w:pPr>
              <w:spacing w:before="0" w:after="0" w:line="252" w:lineRule="auto"/>
            </w:pPr>
            <w:r>
              <w:rPr>
                <w:rFonts w:ascii="Calibri" w:hAnsi="Calibri"/>
                <w:b w:val="0"/>
                <w:color w:val="1D2733"/>
                <w:sz w:val="16"/>
              </w:rPr>
              <w:t>Pyme/consultor</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6"/>
              </w:rPr>
              <w:t>Medir y ejecutar semanalmente</w:t>
            </w:r>
          </w:p>
        </w:tc>
        <w:tc>
          <w:tcPr>
            <w:tcW w:type="dxa" w:w="3460"/>
            <w:tcMar>
              <w:top w:w="80" w:type="dxa"/>
              <w:start w:w="120" w:type="dxa"/>
              <w:bottom w:w="80" w:type="dxa"/>
              <w:end w:w="120" w:type="dxa"/>
            </w:tcMar>
            <w:vAlign w:val="center"/>
          </w:tcPr>
          <w:p>
            <w:pPr>
              <w:spacing w:before="0" w:after="0" w:line="252" w:lineRule="auto"/>
            </w:pPr>
            <w:r>
              <w:rPr>
                <w:rFonts w:ascii="Calibri" w:hAnsi="Calibri"/>
                <w:b w:val="0"/>
                <w:color w:val="1D2733"/>
                <w:sz w:val="16"/>
              </w:rPr>
              <w:t>15-25 prompts, 3+ motores, acciones y auditoría</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6"/>
              </w:rPr>
              <w:t>Pro</w:t>
            </w:r>
          </w:p>
        </w:tc>
        <w:tc>
          <w:tcPr>
            <w:tcW w:type="dxa" w:w="1900"/>
            <w:tcMar>
              <w:top w:w="80" w:type="dxa"/>
              <w:start w:w="120" w:type="dxa"/>
              <w:bottom w:w="80" w:type="dxa"/>
              <w:end w:w="120" w:type="dxa"/>
            </w:tcMar>
            <w:vAlign w:val="center"/>
          </w:tcPr>
          <w:p>
            <w:pPr>
              <w:spacing w:before="0" w:after="0" w:line="252" w:lineRule="auto"/>
            </w:pPr>
            <w:r>
              <w:rPr>
                <w:rFonts w:ascii="Calibri" w:hAnsi="Calibri"/>
                <w:b w:val="0"/>
                <w:color w:val="1D2733"/>
                <w:sz w:val="16"/>
              </w:rPr>
              <w:t>Equipo de marketing</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6"/>
              </w:rPr>
              <w:t>Priorizar y demostrar mejora</w:t>
            </w:r>
          </w:p>
        </w:tc>
        <w:tc>
          <w:tcPr>
            <w:tcW w:type="dxa" w:w="3460"/>
            <w:tcMar>
              <w:top w:w="80" w:type="dxa"/>
              <w:start w:w="120" w:type="dxa"/>
              <w:bottom w:w="80" w:type="dxa"/>
              <w:end w:w="120" w:type="dxa"/>
            </w:tcMar>
            <w:vAlign w:val="center"/>
          </w:tcPr>
          <w:p>
            <w:pPr>
              <w:spacing w:before="0" w:after="0" w:line="252" w:lineRule="auto"/>
            </w:pPr>
            <w:r>
              <w:rPr>
                <w:rFonts w:ascii="Calibri" w:hAnsi="Calibri"/>
                <w:b w:val="0"/>
                <w:color w:val="1D2733"/>
                <w:sz w:val="16"/>
              </w:rPr>
              <w:t>100 prompts, diario, export, integraciones, historial</w:t>
            </w:r>
          </w:p>
        </w:tc>
      </w:tr>
      <w:tr>
        <w:trPr>
          <w:cantSplit/>
        </w:trPr>
        <w:tc>
          <w:tcPr>
            <w:tcW w:type="dxa" w:w="1200"/>
            <w:tcMar>
              <w:top w:w="80" w:type="dxa"/>
              <w:start w:w="120" w:type="dxa"/>
              <w:bottom w:w="80" w:type="dxa"/>
              <w:end w:w="120" w:type="dxa"/>
            </w:tcMar>
            <w:vAlign w:val="center"/>
          </w:tcPr>
          <w:p>
            <w:pPr>
              <w:spacing w:before="0" w:after="0" w:line="252" w:lineRule="auto"/>
            </w:pPr>
            <w:r>
              <w:rPr>
                <w:rFonts w:ascii="Calibri" w:hAnsi="Calibri"/>
                <w:b w:val="0"/>
                <w:color w:val="1D2733"/>
                <w:sz w:val="16"/>
              </w:rPr>
              <w:t>Agency</w:t>
            </w:r>
          </w:p>
        </w:tc>
        <w:tc>
          <w:tcPr>
            <w:tcW w:type="dxa" w:w="1900"/>
            <w:tcMar>
              <w:top w:w="80" w:type="dxa"/>
              <w:start w:w="120" w:type="dxa"/>
              <w:bottom w:w="80" w:type="dxa"/>
              <w:end w:w="120" w:type="dxa"/>
            </w:tcMar>
            <w:vAlign w:val="center"/>
          </w:tcPr>
          <w:p>
            <w:pPr>
              <w:spacing w:before="0" w:after="0" w:line="252" w:lineRule="auto"/>
            </w:pPr>
            <w:r>
              <w:rPr>
                <w:rFonts w:ascii="Calibri" w:hAnsi="Calibri"/>
                <w:b w:val="0"/>
                <w:color w:val="1D2733"/>
                <w:sz w:val="16"/>
              </w:rPr>
              <w:t>Agencia GEO/SEO</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6"/>
              </w:rPr>
              <w:t>Gestionar clientes</w:t>
            </w:r>
          </w:p>
        </w:tc>
        <w:tc>
          <w:tcPr>
            <w:tcW w:type="dxa" w:w="3460"/>
            <w:tcMar>
              <w:top w:w="80" w:type="dxa"/>
              <w:start w:w="120" w:type="dxa"/>
              <w:bottom w:w="80" w:type="dxa"/>
              <w:end w:w="120" w:type="dxa"/>
            </w:tcMar>
            <w:vAlign w:val="center"/>
          </w:tcPr>
          <w:p>
            <w:pPr>
              <w:spacing w:before="0" w:after="0" w:line="252" w:lineRule="auto"/>
            </w:pPr>
            <w:r>
              <w:rPr>
                <w:rFonts w:ascii="Calibri" w:hAnsi="Calibri"/>
                <w:b w:val="0"/>
                <w:color w:val="1D2733"/>
                <w:sz w:val="16"/>
              </w:rPr>
              <w:t>Workspaces, roles, white label, API, portal y facturación</w:t>
            </w:r>
          </w:p>
        </w:tc>
      </w:tr>
    </w:tbl>
    <w:p>
      <w:pPr>
        <w:spacing w:after="40"/>
      </w:pPr>
    </w:p>
    <w:p>
      <w:pPr>
        <w:pStyle w:val="Heading1"/>
        <w:keepNext/>
      </w:pPr>
      <w:r>
        <w:t>10. Roadmap recomendado de 90 días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400"/>
        <w:gridCol w:w="1700"/>
        <w:gridCol w:w="3860"/>
        <w:gridCol w:w="2400"/>
      </w:tblGrid>
      <w:tr>
        <w:trPr>
          <w:tblHeader w:val="true"/>
          <w:cantSplit/>
        </w:trPr>
        <w:tc>
          <w:tcPr>
            <w:tcW w:type="dxa" w:w="14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6"/>
              </w:rPr>
              <w:t>Horizonte</w:t>
            </w:r>
          </w:p>
        </w:tc>
        <w:tc>
          <w:tcPr>
            <w:tcW w:type="dxa" w:w="1700"/>
            <w:shd w:fill="F2F4F7"/>
            <w:tcMar>
              <w:top w:w="80" w:type="dxa"/>
              <w:start w:w="120" w:type="dxa"/>
              <w:bottom w:w="80" w:type="dxa"/>
              <w:end w:w="120" w:type="dxa"/>
            </w:tcMar>
            <w:vAlign w:val="center"/>
          </w:tcPr>
          <w:p>
            <w:pPr>
              <w:spacing w:before="0" w:after="0" w:line="252" w:lineRule="auto"/>
            </w:pPr>
            <w:r>
              <w:rPr>
                <w:rFonts w:ascii="Calibri" w:hAnsi="Calibri"/>
                <w:b/>
                <w:color w:val="0B2545"/>
                <w:sz w:val="16"/>
              </w:rPr>
              <w:t>Objetivo</w:t>
            </w:r>
          </w:p>
        </w:tc>
        <w:tc>
          <w:tcPr>
            <w:tcW w:type="dxa" w:w="3860"/>
            <w:shd w:fill="F2F4F7"/>
            <w:tcMar>
              <w:top w:w="80" w:type="dxa"/>
              <w:start w:w="120" w:type="dxa"/>
              <w:bottom w:w="80" w:type="dxa"/>
              <w:end w:w="120" w:type="dxa"/>
            </w:tcMar>
            <w:vAlign w:val="center"/>
          </w:tcPr>
          <w:p>
            <w:pPr>
              <w:spacing w:before="0" w:after="0" w:line="252" w:lineRule="auto"/>
            </w:pPr>
            <w:r>
              <w:rPr>
                <w:rFonts w:ascii="Calibri" w:hAnsi="Calibri"/>
                <w:b/>
                <w:color w:val="0B2545"/>
                <w:sz w:val="16"/>
              </w:rPr>
              <w:t>Entregables</w:t>
            </w:r>
          </w:p>
        </w:tc>
        <w:tc>
          <w:tcPr>
            <w:tcW w:type="dxa" w:w="2400"/>
            <w:shd w:fill="F2F4F7"/>
            <w:tcMar>
              <w:top w:w="80" w:type="dxa"/>
              <w:start w:w="120" w:type="dxa"/>
              <w:bottom w:w="80" w:type="dxa"/>
              <w:end w:w="120" w:type="dxa"/>
            </w:tcMar>
            <w:vAlign w:val="center"/>
          </w:tcPr>
          <w:p>
            <w:pPr>
              <w:spacing w:before="0" w:after="0" w:line="252" w:lineRule="auto"/>
            </w:pPr>
            <w:r>
              <w:rPr>
                <w:rFonts w:ascii="Calibri" w:hAnsi="Calibri"/>
                <w:b/>
                <w:color w:val="0B2545"/>
                <w:sz w:val="16"/>
              </w:rPr>
              <w:t>Salida</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b w:val="0"/>
                <w:color w:val="1D2733"/>
                <w:sz w:val="16"/>
              </w:rPr>
              <w:t>0-2 semanas</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Restaurar confianza</w:t>
            </w:r>
          </w:p>
        </w:tc>
        <w:tc>
          <w:tcPr>
            <w:tcW w:type="dxa" w:w="3860"/>
            <w:tcMar>
              <w:top w:w="80" w:type="dxa"/>
              <w:start w:w="120" w:type="dxa"/>
              <w:bottom w:w="80" w:type="dxa"/>
              <w:end w:w="120" w:type="dxa"/>
            </w:tcMar>
            <w:vAlign w:val="center"/>
          </w:tcPr>
          <w:p>
            <w:pPr>
              <w:spacing w:before="0" w:after="0" w:line="252" w:lineRule="auto"/>
            </w:pPr>
            <w:r>
              <w:rPr>
                <w:rFonts w:ascii="Calibri" w:hAnsi="Calibri"/>
                <w:b w:val="0"/>
                <w:color w:val="1D2733"/>
                <w:sz w:val="16"/>
              </w:rPr>
              <w:t>Contrato métrico; score único; pricing/trial único; checker condicional; estados de scan; retirar CTAs rotos.</w:t>
            </w:r>
          </w:p>
        </w:tc>
        <w:tc>
          <w:tcPr>
            <w:tcW w:type="dxa" w:w="2400"/>
            <w:tcMar>
              <w:top w:w="80" w:type="dxa"/>
              <w:start w:w="120" w:type="dxa"/>
              <w:bottom w:w="80" w:type="dxa"/>
              <w:end w:w="120" w:type="dxa"/>
            </w:tcMar>
            <w:vAlign w:val="center"/>
          </w:tcPr>
          <w:p>
            <w:pPr>
              <w:spacing w:before="0" w:after="0" w:line="252" w:lineRule="auto"/>
            </w:pPr>
            <w:r>
              <w:rPr>
                <w:rFonts w:ascii="Calibri" w:hAnsi="Calibri"/>
                <w:b w:val="0"/>
                <w:color w:val="1D2733"/>
                <w:sz w:val="16"/>
              </w:rPr>
              <w:t>Cero cifras contradictorias y cero acciones silenciosas.</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b w:val="0"/>
                <w:color w:val="1D2733"/>
                <w:sz w:val="16"/>
              </w:rPr>
              <w:t>3-6 semanas</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Cerrar el ciclo</w:t>
            </w:r>
          </w:p>
        </w:tc>
        <w:tc>
          <w:tcPr>
            <w:tcW w:type="dxa" w:w="3860"/>
            <w:tcMar>
              <w:top w:w="80" w:type="dxa"/>
              <w:start w:w="120" w:type="dxa"/>
              <w:bottom w:w="80" w:type="dxa"/>
              <w:end w:w="120" w:type="dxa"/>
            </w:tcMar>
            <w:vAlign w:val="center"/>
          </w:tcPr>
          <w:p>
            <w:pPr>
              <w:spacing w:before="0" w:after="0" w:line="252" w:lineRule="auto"/>
            </w:pPr>
            <w:r>
              <w:rPr>
                <w:rFonts w:ascii="Calibri" w:hAnsi="Calibri"/>
                <w:b w:val="0"/>
                <w:color w:val="1D2733"/>
                <w:sz w:val="16"/>
              </w:rPr>
              <w:t>Auditoría ejecutable; FAQ/brief/comparativa; marcar hecho; exportar; seguimiento con próxima fecha; recomendaciones por motor.</w:t>
            </w:r>
          </w:p>
        </w:tc>
        <w:tc>
          <w:tcPr>
            <w:tcW w:type="dxa" w:w="2400"/>
            <w:tcMar>
              <w:top w:w="80" w:type="dxa"/>
              <w:start w:w="120" w:type="dxa"/>
              <w:bottom w:w="80" w:type="dxa"/>
              <w:end w:w="120" w:type="dxa"/>
            </w:tcMar>
            <w:vAlign w:val="center"/>
          </w:tcPr>
          <w:p>
            <w:pPr>
              <w:spacing w:before="0" w:after="0" w:line="252" w:lineRule="auto"/>
            </w:pPr>
            <w:r>
              <w:rPr>
                <w:rFonts w:ascii="Calibri" w:hAnsi="Calibri"/>
                <w:b w:val="0"/>
                <w:color w:val="1D2733"/>
                <w:sz w:val="16"/>
              </w:rPr>
              <w:t>Un usuario completa diagnóstico - acción - reescaneo sin soporte.</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b w:val="0"/>
                <w:color w:val="1D2733"/>
                <w:sz w:val="16"/>
              </w:rPr>
              <w:t>7-12 semanas</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Diferenciar</w:t>
            </w:r>
          </w:p>
        </w:tc>
        <w:tc>
          <w:tcPr>
            <w:tcW w:type="dxa" w:w="3860"/>
            <w:tcMar>
              <w:top w:w="80" w:type="dxa"/>
              <w:start w:w="120" w:type="dxa"/>
              <w:bottom w:w="80" w:type="dxa"/>
              <w:end w:w="120" w:type="dxa"/>
            </w:tcMar>
            <w:vAlign w:val="center"/>
          </w:tcPr>
          <w:p>
            <w:pPr>
              <w:spacing w:before="0" w:after="0" w:line="252" w:lineRule="auto"/>
            </w:pPr>
            <w:r>
              <w:rPr>
                <w:rFonts w:ascii="Calibri" w:hAnsi="Calibri"/>
                <w:b w:val="0"/>
                <w:color w:val="1D2733"/>
                <w:sz w:val="16"/>
              </w:rPr>
              <w:t>Perplexity + AI Overviews/AI Mode; relevancia de citas; GSC/GA4; equipos y reporting; metodología versionada.</w:t>
            </w:r>
          </w:p>
        </w:tc>
        <w:tc>
          <w:tcPr>
            <w:tcW w:type="dxa" w:w="2400"/>
            <w:tcMar>
              <w:top w:w="80" w:type="dxa"/>
              <w:start w:w="120" w:type="dxa"/>
              <w:bottom w:w="80" w:type="dxa"/>
              <w:end w:w="120" w:type="dxa"/>
            </w:tcMar>
            <w:vAlign w:val="center"/>
          </w:tcPr>
          <w:p>
            <w:pPr>
              <w:spacing w:before="0" w:after="0" w:line="252" w:lineRule="auto"/>
            </w:pPr>
            <w:r>
              <w:rPr>
                <w:rFonts w:ascii="Calibri" w:hAnsi="Calibri"/>
                <w:b w:val="0"/>
                <w:color w:val="1D2733"/>
                <w:sz w:val="16"/>
              </w:rPr>
              <w:t>Mayor retención, confianza y disposición a pagar.</w:t>
            </w:r>
          </w:p>
        </w:tc>
      </w:tr>
    </w:tbl>
    <w:p>
      <w:pPr>
        <w:spacing w:after="40"/>
      </w:pPr>
    </w:p>
    <w:p>
      <w:pPr>
        <w:pStyle w:val="Heading2"/>
        <w:keepNext/>
      </w:pPr>
      <w:r>
        <w:t>Backlog P1/P2</w:t>
      </w:r>
    </w:p>
    <w:p>
      <w:pPr>
        <w:pStyle w:val="ListBullet"/>
        <w:spacing w:after="160" w:line="280" w:lineRule="auto"/>
        <w:ind w:left="720" w:hanging="360"/>
      </w:pPr>
      <w:r>
        <w:t>Asistente de prompts basado en objetivo, audiencia, país/ciudad, categoría, intención y etapa del funnel.</w:t>
      </w:r>
    </w:p>
    <w:p>
      <w:pPr>
        <w:pStyle w:val="ListBullet"/>
        <w:spacing w:after="160" w:line="280" w:lineRule="auto"/>
        <w:ind w:left="720" w:hanging="360"/>
      </w:pPr>
      <w:r>
        <w:t>Priorización por relevancia y peso; no tratar todos los prompts como equivalentes.</w:t>
      </w:r>
    </w:p>
    <w:p>
      <w:pPr>
        <w:pStyle w:val="ListBullet"/>
        <w:spacing w:after="160" w:line="280" w:lineRule="auto"/>
        <w:ind w:left="720" w:hanging="360"/>
      </w:pPr>
      <w:r>
        <w:t>Rankings ordenables con definición visible de prominencia, share of voice y posición media.</w:t>
      </w:r>
    </w:p>
    <w:p>
      <w:pPr>
        <w:pStyle w:val="ListBullet"/>
        <w:spacing w:after="160" w:line="280" w:lineRule="auto"/>
        <w:ind w:left="720" w:hanging="360"/>
      </w:pPr>
      <w:r>
        <w:t>Agrupación de citas por dominio, autoridad y oportunidad; supresión de ruido.</w:t>
      </w:r>
    </w:p>
    <w:p>
      <w:pPr>
        <w:pStyle w:val="ListBullet"/>
        <w:spacing w:after="160" w:line="280" w:lineRule="auto"/>
        <w:ind w:left="720" w:hanging="360"/>
      </w:pPr>
      <w:r>
        <w:t>GSC, GA4, Cloudflare/server logs y CMS para conectar visibilidad con tráfico y conversión.</w:t>
      </w:r>
    </w:p>
    <w:p>
      <w:pPr>
        <w:pStyle w:val="ListBullet"/>
        <w:spacing w:after="160" w:line="280" w:lineRule="auto"/>
        <w:ind w:left="720" w:hanging="360"/>
      </w:pPr>
      <w:r>
        <w:t>Análisis de narrativa, atributos, exactitud y alucinaciones, no solo mención.</w:t>
      </w:r>
    </w:p>
    <w:p>
      <w:pPr>
        <w:pStyle w:val="ListBullet"/>
        <w:spacing w:after="160" w:line="280" w:lineRule="auto"/>
        <w:ind w:left="720" w:hanging="360"/>
      </w:pPr>
      <w:r>
        <w:t>Alertas con umbrales, API/MCP, Looker, portal de cliente y white label para agencia.</w:t>
      </w:r>
    </w:p>
    <w:p>
      <w:pPr>
        <w:pStyle w:val="Heading1"/>
        <w:keepNext/>
      </w:pPr>
      <w:r>
        <w:t>11. Criterios de aceptación y métricas de éxito</w:t>
      </w:r>
    </w:p>
    <w:p>
      <w:pPr>
        <w:pStyle w:val="Heading2"/>
        <w:keepNext/>
      </w:pPr>
      <w:r>
        <w:t>Pruebas funcionales mínimas antes de relanzar</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00"/>
        <w:gridCol w:w="6060"/>
        <w:gridCol w:w="1700"/>
      </w:tblGrid>
      <w:tr>
        <w:trPr>
          <w:tblHeader w:val="true"/>
          <w:cantSplit/>
        </w:trPr>
        <w:tc>
          <w:tcPr>
            <w:tcW w:type="dxa" w:w="16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6"/>
              </w:rPr>
              <w:t>Área</w:t>
            </w:r>
          </w:p>
        </w:tc>
        <w:tc>
          <w:tcPr>
            <w:tcW w:type="dxa" w:w="6060"/>
            <w:shd w:fill="F2F4F7"/>
            <w:tcMar>
              <w:top w:w="80" w:type="dxa"/>
              <w:start w:w="120" w:type="dxa"/>
              <w:bottom w:w="80" w:type="dxa"/>
              <w:end w:w="120" w:type="dxa"/>
            </w:tcMar>
            <w:vAlign w:val="center"/>
          </w:tcPr>
          <w:p>
            <w:pPr>
              <w:spacing w:before="0" w:after="0" w:line="252" w:lineRule="auto"/>
            </w:pPr>
            <w:r>
              <w:rPr>
                <w:rFonts w:ascii="Calibri" w:hAnsi="Calibri"/>
                <w:b/>
                <w:color w:val="0B2545"/>
                <w:sz w:val="16"/>
              </w:rPr>
              <w:t>Criterio</w:t>
            </w:r>
          </w:p>
        </w:tc>
        <w:tc>
          <w:tcPr>
            <w:tcW w:type="dxa" w:w="1700"/>
            <w:shd w:fill="F2F4F7"/>
            <w:tcMar>
              <w:top w:w="80" w:type="dxa"/>
              <w:start w:w="120" w:type="dxa"/>
              <w:bottom w:w="80" w:type="dxa"/>
              <w:end w:w="120" w:type="dxa"/>
            </w:tcMar>
            <w:vAlign w:val="center"/>
          </w:tcPr>
          <w:p>
            <w:pPr>
              <w:spacing w:before="0" w:after="0" w:line="252" w:lineRule="auto"/>
            </w:pPr>
            <w:r>
              <w:rPr>
                <w:rFonts w:ascii="Calibri" w:hAnsi="Calibri"/>
                <w:b/>
                <w:color w:val="0B2545"/>
                <w:sz w:val="16"/>
              </w:rPr>
              <w:t>Objetivo</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b w:val="0"/>
                <w:color w:val="1D2733"/>
                <w:sz w:val="16"/>
              </w:rPr>
              <w:t>Métricas</w:t>
            </w:r>
          </w:p>
        </w:tc>
        <w:tc>
          <w:tcPr>
            <w:tcW w:type="dxa" w:w="6060"/>
            <w:tcMar>
              <w:top w:w="80" w:type="dxa"/>
              <w:start w:w="120" w:type="dxa"/>
              <w:bottom w:w="80" w:type="dxa"/>
              <w:end w:w="120" w:type="dxa"/>
            </w:tcMar>
            <w:vAlign w:val="center"/>
          </w:tcPr>
          <w:p>
            <w:pPr>
              <w:spacing w:before="0" w:after="0" w:line="252" w:lineRule="auto"/>
            </w:pPr>
            <w:r>
              <w:rPr>
                <w:rFonts w:ascii="Calibri" w:hAnsi="Calibri"/>
                <w:b w:val="0"/>
                <w:color w:val="1D2733"/>
                <w:sz w:val="16"/>
              </w:rPr>
              <w:t>Mismo scan_id devuelve score y denominadores idénticos en cinco superficies.</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100%</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b w:val="0"/>
                <w:color w:val="1D2733"/>
                <w:sz w:val="16"/>
              </w:rPr>
              <w:t>Acciones</w:t>
            </w:r>
          </w:p>
        </w:tc>
        <w:tc>
          <w:tcPr>
            <w:tcW w:type="dxa" w:w="6060"/>
            <w:tcMar>
              <w:top w:w="80" w:type="dxa"/>
              <w:start w:w="120" w:type="dxa"/>
              <w:bottom w:w="80" w:type="dxa"/>
              <w:end w:w="120" w:type="dxa"/>
            </w:tcMar>
            <w:vAlign w:val="center"/>
          </w:tcPr>
          <w:p>
            <w:pPr>
              <w:spacing w:before="0" w:after="0" w:line="252" w:lineRule="auto"/>
            </w:pPr>
            <w:r>
              <w:rPr>
                <w:rFonts w:ascii="Calibri" w:hAnsi="Calibri"/>
                <w:b w:val="0"/>
                <w:color w:val="1D2733"/>
                <w:sz w:val="16"/>
              </w:rPr>
              <w:t>FAQ, brief, comparativa, exportación y marcar hecho terminan en éxito o error visible.</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100% E2E</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b w:val="0"/>
                <w:color w:val="1D2733"/>
                <w:sz w:val="16"/>
              </w:rPr>
              <w:t>Auditoría</w:t>
            </w:r>
          </w:p>
        </w:tc>
        <w:tc>
          <w:tcPr>
            <w:tcW w:type="dxa" w:w="6060"/>
            <w:tcMar>
              <w:top w:w="80" w:type="dxa"/>
              <w:start w:w="120" w:type="dxa"/>
              <w:bottom w:w="80" w:type="dxa"/>
              <w:end w:w="120" w:type="dxa"/>
            </w:tcMar>
            <w:vAlign w:val="center"/>
          </w:tcPr>
          <w:p>
            <w:pPr>
              <w:spacing w:before="0" w:after="0" w:line="252" w:lineRule="auto"/>
            </w:pPr>
            <w:r>
              <w:rPr>
                <w:rFonts w:ascii="Calibri" w:hAnsi="Calibri"/>
                <w:b w:val="0"/>
                <w:color w:val="1D2733"/>
                <w:sz w:val="16"/>
              </w:rPr>
              <w:t>Un usuario inicia el job, ve progreso, recibe hallazgos y actualiza score técnico.</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&lt;5 min p95</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b w:val="0"/>
                <w:color w:val="1D2733"/>
                <w:sz w:val="16"/>
              </w:rPr>
              <w:t>Escaneo</w:t>
            </w:r>
          </w:p>
        </w:tc>
        <w:tc>
          <w:tcPr>
            <w:tcW w:type="dxa" w:w="6060"/>
            <w:tcMar>
              <w:top w:w="80" w:type="dxa"/>
              <w:start w:w="120" w:type="dxa"/>
              <w:bottom w:w="80" w:type="dxa"/>
              <w:end w:w="120" w:type="dxa"/>
            </w:tcMar>
            <w:vAlign w:val="center"/>
          </w:tcPr>
          <w:p>
            <w:pPr>
              <w:spacing w:before="0" w:after="0" w:line="252" w:lineRule="auto"/>
            </w:pPr>
            <w:r>
              <w:rPr>
                <w:rFonts w:ascii="Calibri" w:hAnsi="Calibri"/>
                <w:b w:val="0"/>
                <w:color w:val="1D2733"/>
                <w:sz w:val="16"/>
              </w:rPr>
              <w:t>Navegar/recargar durante el job conserva estado y muestra finalización.</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0 estados obsoletos</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b w:val="0"/>
                <w:color w:val="1D2733"/>
                <w:sz w:val="16"/>
              </w:rPr>
              <w:t>Pricing</w:t>
            </w:r>
          </w:p>
        </w:tc>
        <w:tc>
          <w:tcPr>
            <w:tcW w:type="dxa" w:w="6060"/>
            <w:tcMar>
              <w:top w:w="80" w:type="dxa"/>
              <w:start w:w="120" w:type="dxa"/>
              <w:bottom w:w="80" w:type="dxa"/>
              <w:end w:w="120" w:type="dxa"/>
            </w:tcMar>
            <w:vAlign w:val="center"/>
          </w:tcPr>
          <w:p>
            <w:pPr>
              <w:spacing w:before="0" w:after="0" w:line="252" w:lineRule="auto"/>
            </w:pPr>
            <w:r>
              <w:rPr>
                <w:rFonts w:ascii="Calibri" w:hAnsi="Calibri"/>
                <w:b w:val="0"/>
                <w:color w:val="1D2733"/>
                <w:sz w:val="16"/>
              </w:rPr>
              <w:t>Home, pricing, FAQ, checkout y cuenta leen la misma configuración.</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0 divergencias</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b w:val="0"/>
                <w:color w:val="1D2733"/>
                <w:sz w:val="16"/>
              </w:rPr>
              <w:t>Checker</w:t>
            </w:r>
          </w:p>
        </w:tc>
        <w:tc>
          <w:tcPr>
            <w:tcW w:type="dxa" w:w="6060"/>
            <w:tcMar>
              <w:top w:w="80" w:type="dxa"/>
              <w:start w:w="120" w:type="dxa"/>
              <w:bottom w:w="80" w:type="dxa"/>
              <w:end w:w="120" w:type="dxa"/>
            </w:tcMar>
            <w:vAlign w:val="center"/>
          </w:tcPr>
          <w:p>
            <w:pPr>
              <w:spacing w:before="0" w:after="0" w:line="252" w:lineRule="auto"/>
            </w:pPr>
            <w:r>
              <w:rPr>
                <w:rFonts w:ascii="Calibri" w:hAnsi="Calibri"/>
                <w:b w:val="0"/>
                <w:color w:val="1D2733"/>
                <w:sz w:val="16"/>
              </w:rPr>
              <w:t>Copy positivo/negativo coincide con el resultado y el CTA adecuado.</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100% casos</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b w:val="0"/>
                <w:color w:val="1D2733"/>
                <w:sz w:val="16"/>
              </w:rPr>
              <w:t>Recomendaciones</w:t>
            </w:r>
          </w:p>
        </w:tc>
        <w:tc>
          <w:tcPr>
            <w:tcW w:type="dxa" w:w="6060"/>
            <w:tcMar>
              <w:top w:w="80" w:type="dxa"/>
              <w:start w:w="120" w:type="dxa"/>
              <w:bottom w:w="80" w:type="dxa"/>
              <w:end w:w="120" w:type="dxa"/>
            </w:tcMar>
            <w:vAlign w:val="center"/>
          </w:tcPr>
          <w:p>
            <w:pPr>
              <w:spacing w:before="0" w:after="0" w:line="252" w:lineRule="auto"/>
            </w:pPr>
            <w:r>
              <w:rPr>
                <w:rFonts w:ascii="Calibri" w:hAnsi="Calibri"/>
                <w:b w:val="0"/>
                <w:color w:val="1D2733"/>
                <w:sz w:val="16"/>
              </w:rPr>
              <w:t>Toda acción incluye prompt, motor, evidencia y no duplica otra.</w:t>
            </w:r>
          </w:p>
        </w:tc>
        <w:tc>
          <w:tcPr>
            <w:tcW w:type="dxa" w:w="1700"/>
            <w:tcMar>
              <w:top w:w="80" w:type="dxa"/>
              <w:start w:w="120" w:type="dxa"/>
              <w:bottom w:w="80" w:type="dxa"/>
              <w:end w:w="120" w:type="dxa"/>
            </w:tcMar>
            <w:vAlign w:val="center"/>
          </w:tcPr>
          <w:p>
            <w:pPr>
              <w:spacing w:before="0" w:after="0" w:line="252" w:lineRule="auto"/>
            </w:pPr>
            <w:r>
              <w:rPr>
                <w:rFonts w:ascii="Calibri" w:hAnsi="Calibri"/>
                <w:b w:val="0"/>
                <w:color w:val="1D2733"/>
                <w:sz w:val="16"/>
              </w:rPr>
              <w:t>&gt;95% sin duplicado</w:t>
            </w:r>
          </w:p>
        </w:tc>
      </w:tr>
    </w:tbl>
    <w:p>
      <w:pPr>
        <w:spacing w:after="40"/>
      </w:pPr>
    </w:p>
    <w:p>
      <w:pPr>
        <w:pStyle w:val="Heading2"/>
        <w:keepNext/>
      </w:pPr>
      <w:r>
        <w:t>KPIs de producto</w:t>
      </w:r>
    </w:p>
    <w:p>
      <w:pPr>
        <w:pStyle w:val="ListBullet"/>
        <w:spacing w:after="160" w:line="280" w:lineRule="auto"/>
        <w:ind w:left="720" w:hanging="360"/>
      </w:pPr>
      <w:r>
        <w:t>Activación: porcentaje que crea dominio, completa scan y abre una evidencia en la primera sesión.</w:t>
      </w:r>
    </w:p>
    <w:p>
      <w:pPr>
        <w:pStyle w:val="ListBullet"/>
        <w:spacing w:after="160" w:line="280" w:lineRule="auto"/>
        <w:ind w:left="720" w:hanging="360"/>
      </w:pPr>
      <w:r>
        <w:t>Time to first evidence: minutos desde dominio hasta respuesta verificable.</w:t>
      </w:r>
    </w:p>
    <w:p>
      <w:pPr>
        <w:pStyle w:val="ListBullet"/>
        <w:spacing w:after="160" w:line="280" w:lineRule="auto"/>
        <w:ind w:left="720" w:hanging="360"/>
      </w:pPr>
      <w:r>
        <w:t>Action completion rate: usuarios que completan al menos una acción en siete días.</w:t>
      </w:r>
    </w:p>
    <w:p>
      <w:pPr>
        <w:pStyle w:val="ListBullet"/>
        <w:spacing w:after="160" w:line="280" w:lineRule="auto"/>
        <w:ind w:left="720" w:hanging="360"/>
      </w:pPr>
      <w:r>
        <w:t>Re-scan uplift: cambio en cobertura de prompts y menciones después de una acción aplicada.</w:t>
      </w:r>
    </w:p>
    <w:p>
      <w:pPr>
        <w:pStyle w:val="ListBullet"/>
        <w:spacing w:after="160" w:line="280" w:lineRule="auto"/>
        <w:ind w:left="720" w:hanging="360"/>
      </w:pPr>
      <w:r>
        <w:t>Metric trust rate: sesiones sin discrepancias y tickets por score/denominador.</w:t>
      </w:r>
    </w:p>
    <w:p>
      <w:pPr>
        <w:pStyle w:val="ListBullet"/>
        <w:spacing w:after="160" w:line="280" w:lineRule="auto"/>
        <w:ind w:left="720" w:hanging="360"/>
      </w:pPr>
      <w:r>
        <w:t>Paid conversion y retención por plan, motor y número de dominios.</w:t>
      </w:r>
    </w:p>
    <w:tbl>
      <w:tblPr>
        <w:tblW w:type="dxa" w:w="9360"/>
        <w:jc w:val="left"/>
        <w:tblLayout w:type="fixed"/>
        <w:tblLook w:firstColumn="1" w:firstRow="1" w:lastColumn="0" w:lastRow="0" w:noHBand="0" w:noVBand="1" w:val="04A0"/>
        <w:tblInd w:w="120" w:type="dxa"/>
        <w:tblBorders>
          <w:top w:val="single" w:sz="8" w:space="0" w:color="1F5A43"/>
          <w:left w:val="single" w:sz="8" w:space="0" w:color="1F5A43"/>
          <w:bottom w:val="single" w:sz="8" w:space="0" w:color="1F5A43"/>
          <w:right w:val="single" w:sz="8" w:space="0" w:color="1F5A43"/>
          <w:insideH w:val="single" w:sz="8" w:space="0" w:color="1F5A43"/>
          <w:insideV w:val="single" w:sz="8" w:space="0" w:color="1F5A43"/>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5A43"/>
                <w:sz w:val="21"/>
              </w:rPr>
              <w:t xml:space="preserve">North star sugerida  </w:t>
            </w:r>
            <w:r>
              <w:rPr>
                <w:rFonts w:ascii="Calibri" w:hAnsi="Calibri"/>
                <w:color w:val="1D2733"/>
                <w:sz w:val="21"/>
              </w:rPr>
              <w:t>Porcentaje de proyectos que completan una acción verificada y mejoran al menos una señal GEO en 30 días. Esta métrica evita optimizar solo por scans o recomendaciones generadas.</w:t>
            </w:r>
          </w:p>
        </w:tc>
      </w:tr>
    </w:tbl>
    <w:p>
      <w:pPr>
        <w:spacing w:after="20"/>
      </w:pPr>
    </w:p>
    <w:p>
      <w:pPr>
        <w:pStyle w:val="Heading1"/>
        <w:keepNext/>
      </w:pPr>
      <w:r>
        <w:t>12. Conclusión</w:t>
      </w:r>
    </w:p>
    <w:p>
      <w:pPr>
        <w:keepNext/>
      </w:pPr>
      <w:r>
        <w:t>GenScore ya demuestra que puede descubrir prompts, ejecutar respuestas reales y presentar evidencia comprensible. Ese núcleo tiene valor. El problema no es de idea ni de estética: es de confianza operacional. Un producto que mide visibilidad en modelos probabilísticos debe ser más riguroso que la media con sus unidades, agregaciones y estados.</w:t>
      </w:r>
    </w:p>
    <w:p>
      <w:r>
        <w:t>La recomendación es mantenerlo como beta guiada, resolver los P0 en un sprint corto y relanzar el loop completo con pruebas observables. Si consigue que cada recomendación tenga evidencia, ejecución y reescaneo, puede ocupar una posición atractiva entre los checkers básicos y las suites enterprise, especialmente en España y Latinoamérica.</w:t>
      </w:r>
    </w:p>
    <w:p>
      <w:r>
        <w:br w:type="page"/>
      </w:r>
    </w:p>
    <w:p>
      <w:pPr>
        <w:pStyle w:val="Heading1"/>
        <w:keepNext/>
      </w:pPr>
      <w:r>
        <w:t>Apéndice A. Evidencias de la prueba</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100"/>
        <w:gridCol w:w="7260"/>
      </w:tblGrid>
      <w:tr>
        <w:trPr>
          <w:tblHeader w:val="true"/>
          <w:cantSplit/>
        </w:trPr>
        <w:tc>
          <w:tcPr>
            <w:tcW w:type="dxa" w:w="2100"/>
            <w:shd w:fill="F2F4F7"/>
            <w:tcMar>
              <w:top w:w="80" w:type="dxa"/>
              <w:start w:w="120" w:type="dxa"/>
              <w:bottom w:w="80" w:type="dxa"/>
              <w:end w:w="120" w:type="dxa"/>
            </w:tcMar>
            <w:vAlign w:val="center"/>
          </w:tcPr>
          <w:p>
            <w:pPr>
              <w:spacing w:before="0" w:after="0" w:line="252" w:lineRule="auto"/>
              <w:jc w:val="left"/>
            </w:pPr>
            <w:r>
              <w:rPr>
                <w:rFonts w:ascii="Calibri" w:hAnsi="Calibri"/>
                <w:b/>
                <w:color w:val="0B2545"/>
                <w:sz w:val="17"/>
              </w:rPr>
              <w:t>Elemento</w:t>
            </w:r>
          </w:p>
        </w:tc>
        <w:tc>
          <w:tcPr>
            <w:tcW w:type="dxa" w:w="7260"/>
            <w:shd w:fill="F2F4F7"/>
            <w:tcMar>
              <w:top w:w="80" w:type="dxa"/>
              <w:start w:w="120" w:type="dxa"/>
              <w:bottom w:w="80" w:type="dxa"/>
              <w:end w:w="120" w:type="dxa"/>
            </w:tcMar>
            <w:vAlign w:val="center"/>
          </w:tcPr>
          <w:p>
            <w:pPr>
              <w:spacing w:before="0" w:after="0" w:line="252" w:lineRule="auto"/>
            </w:pPr>
            <w:r>
              <w:rPr>
                <w:rFonts w:ascii="Calibri" w:hAnsi="Calibri"/>
                <w:b/>
                <w:color w:val="0B2545"/>
                <w:sz w:val="17"/>
              </w:rPr>
              <w:t>Observación</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b w:val="0"/>
                <w:color w:val="1D2733"/>
                <w:sz w:val="17"/>
              </w:rPr>
              <w:t>Proyecto</w:t>
            </w:r>
          </w:p>
        </w:tc>
        <w:tc>
          <w:tcPr>
            <w:tcW w:type="dxa" w:w="7260"/>
            <w:tcMar>
              <w:top w:w="80" w:type="dxa"/>
              <w:start w:w="120" w:type="dxa"/>
              <w:bottom w:w="80" w:type="dxa"/>
              <w:end w:w="120" w:type="dxa"/>
            </w:tcMar>
            <w:vAlign w:val="center"/>
          </w:tcPr>
          <w:p>
            <w:pPr>
              <w:spacing w:before="0" w:after="0" w:line="252" w:lineRule="auto"/>
            </w:pPr>
            <w:r>
              <w:rPr>
                <w:rFonts w:ascii="Calibri" w:hAnsi="Calibri"/>
                <w:b w:val="0"/>
                <w:color w:val="1D2733"/>
                <w:sz w:val="17"/>
              </w:rPr>
              <w:t>genscore.es; España; español; cuenta Pro de prueba</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b w:val="0"/>
                <w:color w:val="1D2733"/>
                <w:sz w:val="17"/>
              </w:rPr>
              <w:t>Prompts</w:t>
            </w:r>
          </w:p>
        </w:tc>
        <w:tc>
          <w:tcPr>
            <w:tcW w:type="dxa" w:w="7260"/>
            <w:tcMar>
              <w:top w:w="80" w:type="dxa"/>
              <w:start w:w="120" w:type="dxa"/>
              <w:bottom w:w="80" w:type="dxa"/>
              <w:end w:w="120" w:type="dxa"/>
            </w:tcMar>
            <w:vAlign w:val="center"/>
          </w:tcPr>
          <w:p>
            <w:pPr>
              <w:spacing w:before="0" w:after="0" w:line="252" w:lineRule="auto"/>
            </w:pPr>
            <w:r>
              <w:rPr>
                <w:rFonts w:ascii="Calibri" w:hAnsi="Calibri"/>
                <w:b w:val="0"/>
                <w:color w:val="1D2733"/>
                <w:sz w:val="17"/>
              </w:rPr>
              <w:t>10 autogenerados, ampliados a 15 por recomendación de la propia interfaz</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b w:val="0"/>
                <w:color w:val="1D2733"/>
                <w:sz w:val="17"/>
              </w:rPr>
              <w:t>Motores</w:t>
            </w:r>
          </w:p>
        </w:tc>
        <w:tc>
          <w:tcPr>
            <w:tcW w:type="dxa" w:w="7260"/>
            <w:tcMar>
              <w:top w:w="80" w:type="dxa"/>
              <w:start w:w="120" w:type="dxa"/>
              <w:bottom w:w="80" w:type="dxa"/>
              <w:end w:w="120" w:type="dxa"/>
            </w:tcMar>
            <w:vAlign w:val="center"/>
          </w:tcPr>
          <w:p>
            <w:pPr>
              <w:spacing w:before="0" w:after="0" w:line="252" w:lineRule="auto"/>
            </w:pPr>
            <w:r>
              <w:rPr>
                <w:rFonts w:ascii="Calibri" w:hAnsi="Calibri"/>
                <w:b w:val="0"/>
                <w:color w:val="1D2733"/>
                <w:sz w:val="17"/>
              </w:rPr>
              <w:t>ChatGPT, Gemini y Claude</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b w:val="0"/>
                <w:color w:val="1D2733"/>
                <w:sz w:val="17"/>
              </w:rPr>
              <w:t>Respuestas</w:t>
            </w:r>
          </w:p>
        </w:tc>
        <w:tc>
          <w:tcPr>
            <w:tcW w:type="dxa" w:w="7260"/>
            <w:tcMar>
              <w:top w:w="80" w:type="dxa"/>
              <w:start w:w="120" w:type="dxa"/>
              <w:bottom w:w="80" w:type="dxa"/>
              <w:end w:w="120" w:type="dxa"/>
            </w:tcMar>
            <w:vAlign w:val="center"/>
          </w:tcPr>
          <w:p>
            <w:pPr>
              <w:spacing w:before="0" w:after="0" w:line="252" w:lineRule="auto"/>
            </w:pPr>
            <w:r>
              <w:rPr>
                <w:rFonts w:ascii="Calibri" w:hAnsi="Calibri"/>
                <w:b w:val="0"/>
                <w:color w:val="1D2733"/>
                <w:sz w:val="17"/>
              </w:rPr>
              <w:t>45; una mención de marca</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b w:val="0"/>
                <w:color w:val="1D2733"/>
                <w:sz w:val="17"/>
              </w:rPr>
              <w:t>Resultado</w:t>
            </w:r>
          </w:p>
        </w:tc>
        <w:tc>
          <w:tcPr>
            <w:tcW w:type="dxa" w:w="7260"/>
            <w:tcMar>
              <w:top w:w="80" w:type="dxa"/>
              <w:start w:w="120" w:type="dxa"/>
              <w:bottom w:w="80" w:type="dxa"/>
              <w:end w:w="120" w:type="dxa"/>
            </w:tcMar>
            <w:vAlign w:val="center"/>
          </w:tcPr>
          <w:p>
            <w:pPr>
              <w:spacing w:before="0" w:after="0" w:line="252" w:lineRule="auto"/>
            </w:pPr>
            <w:r>
              <w:rPr>
                <w:rFonts w:ascii="Calibri" w:hAnsi="Calibri"/>
                <w:b w:val="0"/>
                <w:color w:val="1D2733"/>
                <w:sz w:val="17"/>
              </w:rPr>
              <w:t>GEO Score 6/100; presencia 2%; citas propias ~1%</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b w:val="0"/>
                <w:color w:val="1D2733"/>
                <w:sz w:val="17"/>
              </w:rPr>
              <w:t>Competidores sugeridos</w:t>
            </w:r>
          </w:p>
        </w:tc>
        <w:tc>
          <w:tcPr>
            <w:tcW w:type="dxa" w:w="7260"/>
            <w:tcMar>
              <w:top w:w="80" w:type="dxa"/>
              <w:start w:w="120" w:type="dxa"/>
              <w:bottom w:w="80" w:type="dxa"/>
              <w:end w:w="120" w:type="dxa"/>
            </w:tcMar>
            <w:vAlign w:val="center"/>
          </w:tcPr>
          <w:p>
            <w:pPr>
              <w:spacing w:before="0" w:after="0" w:line="252" w:lineRule="auto"/>
            </w:pPr>
            <w:r>
              <w:rPr>
                <w:rFonts w:ascii="Calibri" w:hAnsi="Calibri"/>
                <w:b w:val="0"/>
                <w:color w:val="1D2733"/>
                <w:sz w:val="17"/>
              </w:rPr>
              <w:t>Decipher, Presencia IA, Arimetrics, Promptwatch y Otterly.AI</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b w:val="0"/>
                <w:color w:val="1D2733"/>
                <w:sz w:val="17"/>
              </w:rPr>
              <w:t>Acciones</w:t>
            </w:r>
          </w:p>
        </w:tc>
        <w:tc>
          <w:tcPr>
            <w:tcW w:type="dxa" w:w="7260"/>
            <w:tcMar>
              <w:top w:w="80" w:type="dxa"/>
              <w:start w:w="120" w:type="dxa"/>
              <w:bottom w:w="80" w:type="dxa"/>
              <w:end w:w="120" w:type="dxa"/>
            </w:tcMar>
            <w:vAlign w:val="center"/>
          </w:tcPr>
          <w:p>
            <w:pPr>
              <w:spacing w:before="0" w:after="0" w:line="252" w:lineRule="auto"/>
            </w:pPr>
            <w:r>
              <w:rPr>
                <w:rFonts w:ascii="Calibri" w:hAnsi="Calibri"/>
                <w:b w:val="0"/>
                <w:color w:val="1D2733"/>
                <w:sz w:val="17"/>
              </w:rPr>
              <w:t>22 recomendaciones; generadores, export, marcar hecho y seguimiento sin resultado visible</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b w:val="0"/>
                <w:color w:val="1D2733"/>
                <w:sz w:val="17"/>
              </w:rPr>
              <w:t>Auditoría</w:t>
            </w:r>
          </w:p>
        </w:tc>
        <w:tc>
          <w:tcPr>
            <w:tcW w:type="dxa" w:w="7260"/>
            <w:tcMar>
              <w:top w:w="80" w:type="dxa"/>
              <w:start w:w="120" w:type="dxa"/>
              <w:bottom w:w="80" w:type="dxa"/>
              <w:end w:w="120" w:type="dxa"/>
            </w:tcMar>
            <w:vAlign w:val="center"/>
          </w:tcPr>
          <w:p>
            <w:pPr>
              <w:spacing w:before="0" w:after="0" w:line="252" w:lineRule="auto"/>
            </w:pPr>
            <w:r>
              <w:rPr>
                <w:rFonts w:ascii="Calibri" w:hAnsi="Calibri"/>
                <w:b w:val="0"/>
                <w:color w:val="1D2733"/>
                <w:sz w:val="17"/>
              </w:rPr>
              <w:t>Pantalla disponible, sin acción de inicio; componente técnico N/A</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b w:val="0"/>
                <w:color w:val="1D2733"/>
                <w:sz w:val="17"/>
              </w:rPr>
              <w:t>Checker gratis</w:t>
            </w:r>
          </w:p>
        </w:tc>
        <w:tc>
          <w:tcPr>
            <w:tcW w:type="dxa" w:w="7260"/>
            <w:tcMar>
              <w:top w:w="80" w:type="dxa"/>
              <w:start w:w="120" w:type="dxa"/>
              <w:bottom w:w="80" w:type="dxa"/>
              <w:end w:w="120" w:type="dxa"/>
            </w:tcMar>
            <w:vAlign w:val="center"/>
          </w:tcPr>
          <w:p>
            <w:pPr>
              <w:spacing w:before="0" w:after="0" w:line="252" w:lineRule="auto"/>
            </w:pPr>
            <w:r>
              <w:rPr>
                <w:rFonts w:ascii="Calibri" w:hAnsi="Calibri"/>
                <w:b w:val="0"/>
                <w:color w:val="1D2733"/>
                <w:sz w:val="17"/>
              </w:rPr>
              <w:t>Resultado positivo para GenScore con respuesta y cita propia; copy final contradictorio</w:t>
            </w:r>
          </w:p>
        </w:tc>
      </w:tr>
    </w:tbl>
    <w:p>
      <w:pPr>
        <w:spacing w:after="40"/>
      </w:pPr>
    </w:p>
    <w:p>
      <w:pPr>
        <w:pStyle w:val="Heading2"/>
        <w:keepNext/>
      </w:pPr>
      <w:r>
        <w:t>No probado deliberadamente</w:t>
      </w:r>
    </w:p>
    <w:p>
      <w:pPr>
        <w:pStyle w:val="ListBullet"/>
        <w:spacing w:after="160" w:line="280" w:lineRule="auto"/>
        <w:ind w:left="720" w:hanging="360"/>
      </w:pPr>
      <w:r>
        <w:t>Compra o activación de un plan de pago.</w:t>
      </w:r>
    </w:p>
    <w:p>
      <w:pPr>
        <w:pStyle w:val="ListBullet"/>
        <w:spacing w:after="160" w:line="280" w:lineRule="auto"/>
        <w:ind w:left="720" w:hanging="360"/>
      </w:pPr>
      <w:r>
        <w:t>Cambio de contraseña, borrado de cuenta o eliminación del proyecto.</w:t>
      </w:r>
    </w:p>
    <w:p>
      <w:pPr>
        <w:pStyle w:val="ListBullet"/>
        <w:spacing w:after="160" w:line="280" w:lineRule="auto"/>
        <w:ind w:left="720" w:hanging="360"/>
      </w:pPr>
      <w:r>
        <w:t>Experiencia móvil y múltiples viewports.</w:t>
      </w:r>
    </w:p>
    <w:p>
      <w:pPr>
        <w:pStyle w:val="ListBullet"/>
        <w:spacing w:after="160" w:line="280" w:lineRule="auto"/>
        <w:ind w:left="720" w:hanging="360"/>
      </w:pPr>
      <w:r>
        <w:t>Evolución longitudinal durante varios días.</w:t>
      </w:r>
    </w:p>
    <w:p>
      <w:r>
        <w:br w:type="page"/>
      </w:r>
    </w:p>
    <w:p>
      <w:pPr>
        <w:pStyle w:val="Heading1"/>
        <w:keepNext/>
      </w:pPr>
      <w:r>
        <w:t>Apéndice B. Fuentes públicas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500"/>
        <w:gridCol w:w="2800"/>
        <w:gridCol w:w="6060"/>
      </w:tblGrid>
      <w:tr>
        <w:trPr>
          <w:tblHeader w:val="true"/>
          <w:cantSplit/>
        </w:trPr>
        <w:tc>
          <w:tcPr>
            <w:tcW w:type="dxa" w:w="5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w:t>
            </w:r>
          </w:p>
        </w:tc>
        <w:tc>
          <w:tcPr>
            <w:tcW w:type="dxa" w:w="280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Fuente</w:t>
            </w:r>
          </w:p>
        </w:tc>
        <w:tc>
          <w:tcPr>
            <w:tcW w:type="dxa" w:w="6060"/>
            <w:shd w:fill="F2F4F7"/>
            <w:tcMar>
              <w:top w:w="80" w:type="dxa"/>
              <w:start w:w="120" w:type="dxa"/>
              <w:bottom w:w="80" w:type="dxa"/>
              <w:end w:w="120" w:type="dxa"/>
            </w:tcMar>
            <w:vAlign w:val="center"/>
          </w:tcPr>
          <w:p>
            <w:pPr>
              <w:spacing w:before="0" w:after="0" w:line="252" w:lineRule="auto"/>
            </w:pPr>
            <w:r>
              <w:rPr>
                <w:rFonts w:ascii="Calibri" w:hAnsi="Calibri"/>
                <w:b/>
                <w:color w:val="0B2545"/>
                <w:sz w:val="15"/>
              </w:rPr>
              <w:t>Enlace oficial</w:t>
            </w:r>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1</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GenScore - Web principal</w:t>
            </w:r>
          </w:p>
        </w:tc>
        <w:tc>
          <w:tcPr>
            <w:tcW w:type="dxa" w:w="6060"/>
            <w:tcMar>
              <w:top w:w="80" w:type="dxa"/>
              <w:start w:w="120" w:type="dxa"/>
              <w:bottom w:w="80" w:type="dxa"/>
              <w:end w:w="120" w:type="dxa"/>
            </w:tcMar>
            <w:vAlign w:val="center"/>
          </w:tcPr>
          <w:p>
            <w:pPr>
              <w:spacing w:before="0" w:after="0" w:line="252" w:lineRule="auto"/>
            </w:pPr>
            <w:hyperlink r:id="rId11">
              <w:r>
                <w:rPr>
                  <w:rFonts w:ascii="Calibri" w:hAnsi="Calibri"/>
                  <w:color w:val="2E74B5"/>
                  <w:u w:val="single"/>
                  <w:sz w:val="14"/>
                  <w:szCs w:val="14"/>
                </w:rPr>
                <w:t>https://www.genscore.es/</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2</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GenScore - Precios</w:t>
            </w:r>
          </w:p>
        </w:tc>
        <w:tc>
          <w:tcPr>
            <w:tcW w:type="dxa" w:w="6060"/>
            <w:tcMar>
              <w:top w:w="80" w:type="dxa"/>
              <w:start w:w="120" w:type="dxa"/>
              <w:bottom w:w="80" w:type="dxa"/>
              <w:end w:w="120" w:type="dxa"/>
            </w:tcMar>
            <w:vAlign w:val="center"/>
          </w:tcPr>
          <w:p>
            <w:pPr>
              <w:spacing w:before="0" w:after="0" w:line="252" w:lineRule="auto"/>
            </w:pPr>
            <w:hyperlink r:id="rId12">
              <w:r>
                <w:rPr>
                  <w:rFonts w:ascii="Calibri" w:hAnsi="Calibri"/>
                  <w:color w:val="2E74B5"/>
                  <w:u w:val="single"/>
                  <w:sz w:val="14"/>
                  <w:szCs w:val="14"/>
                </w:rPr>
                <w:t>https://www.genscore.es/pricing</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3</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GenScore - Primer escaneo</w:t>
            </w:r>
          </w:p>
        </w:tc>
        <w:tc>
          <w:tcPr>
            <w:tcW w:type="dxa" w:w="6060"/>
            <w:tcMar>
              <w:top w:w="80" w:type="dxa"/>
              <w:start w:w="120" w:type="dxa"/>
              <w:bottom w:w="80" w:type="dxa"/>
              <w:end w:w="120" w:type="dxa"/>
            </w:tcMar>
            <w:vAlign w:val="center"/>
          </w:tcPr>
          <w:p>
            <w:pPr>
              <w:spacing w:before="0" w:after="0" w:line="252" w:lineRule="auto"/>
            </w:pPr>
            <w:hyperlink r:id="rId13">
              <w:r>
                <w:rPr>
                  <w:rFonts w:ascii="Calibri" w:hAnsi="Calibri"/>
                  <w:color w:val="2E74B5"/>
                  <w:u w:val="single"/>
                  <w:sz w:val="14"/>
                  <w:szCs w:val="14"/>
                </w:rPr>
                <w:t>https://www.genscore.es/docs/empezar/primer-escaneo</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4</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GenScore - Metodología GEO Score</w:t>
            </w:r>
          </w:p>
        </w:tc>
        <w:tc>
          <w:tcPr>
            <w:tcW w:type="dxa" w:w="6060"/>
            <w:tcMar>
              <w:top w:w="80" w:type="dxa"/>
              <w:start w:w="120" w:type="dxa"/>
              <w:bottom w:w="80" w:type="dxa"/>
              <w:end w:w="120" w:type="dxa"/>
            </w:tcMar>
            <w:vAlign w:val="center"/>
          </w:tcPr>
          <w:p>
            <w:pPr>
              <w:spacing w:before="0" w:after="0" w:line="252" w:lineRule="auto"/>
            </w:pPr>
            <w:hyperlink r:id="rId14">
              <w:r>
                <w:rPr>
                  <w:rFonts w:ascii="Calibri" w:hAnsi="Calibri"/>
                  <w:color w:val="2E74B5"/>
                  <w:u w:val="single"/>
                  <w:sz w:val="14"/>
                  <w:szCs w:val="14"/>
                </w:rPr>
                <w:t>https://www.genscore.es/docs/metodologia/geo-score</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5</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GenScore - Checker gratuito</w:t>
            </w:r>
          </w:p>
        </w:tc>
        <w:tc>
          <w:tcPr>
            <w:tcW w:type="dxa" w:w="6060"/>
            <w:tcMar>
              <w:top w:w="80" w:type="dxa"/>
              <w:start w:w="120" w:type="dxa"/>
              <w:bottom w:w="80" w:type="dxa"/>
              <w:end w:w="120" w:type="dxa"/>
            </w:tcMar>
            <w:vAlign w:val="center"/>
          </w:tcPr>
          <w:p>
            <w:pPr>
              <w:spacing w:before="0" w:after="0" w:line="252" w:lineRule="auto"/>
            </w:pPr>
            <w:hyperlink r:id="rId15">
              <w:r>
                <w:rPr>
                  <w:rFonts w:ascii="Calibri" w:hAnsi="Calibri"/>
                  <w:color w:val="2E74B5"/>
                  <w:u w:val="single"/>
                  <w:sz w:val="14"/>
                  <w:szCs w:val="14"/>
                </w:rPr>
                <w:t>https://www.genscore.es/gratis/aparece-mi-marca-en-chatgpt</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6</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Semrush - AI Visibility Toolkit</w:t>
            </w:r>
          </w:p>
        </w:tc>
        <w:tc>
          <w:tcPr>
            <w:tcW w:type="dxa" w:w="6060"/>
            <w:tcMar>
              <w:top w:w="80" w:type="dxa"/>
              <w:start w:w="120" w:type="dxa"/>
              <w:bottom w:w="80" w:type="dxa"/>
              <w:end w:w="120" w:type="dxa"/>
            </w:tcMar>
            <w:vAlign w:val="center"/>
          </w:tcPr>
          <w:p>
            <w:pPr>
              <w:spacing w:before="0" w:after="0" w:line="252" w:lineRule="auto"/>
            </w:pPr>
            <w:hyperlink r:id="rId16">
              <w:r>
                <w:rPr>
                  <w:rFonts w:ascii="Calibri" w:hAnsi="Calibri"/>
                  <w:color w:val="2E74B5"/>
                  <w:u w:val="single"/>
                  <w:sz w:val="14"/>
                  <w:szCs w:val="14"/>
                </w:rPr>
                <w:t>https://www.semrush.com/kb/1493-ai-visibility-toolkit</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7</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Semrush - Prompt Tracking</w:t>
            </w:r>
          </w:p>
        </w:tc>
        <w:tc>
          <w:tcPr>
            <w:tcW w:type="dxa" w:w="6060"/>
            <w:tcMar>
              <w:top w:w="80" w:type="dxa"/>
              <w:start w:w="120" w:type="dxa"/>
              <w:bottom w:w="80" w:type="dxa"/>
              <w:end w:w="120" w:type="dxa"/>
            </w:tcMar>
            <w:vAlign w:val="center"/>
          </w:tcPr>
          <w:p>
            <w:pPr>
              <w:spacing w:before="0" w:after="0" w:line="252" w:lineRule="auto"/>
            </w:pPr>
            <w:hyperlink r:id="rId17">
              <w:r>
                <w:rPr>
                  <w:rFonts w:ascii="Calibri" w:hAnsi="Calibri"/>
                  <w:color w:val="2E74B5"/>
                  <w:u w:val="single"/>
                  <w:sz w:val="14"/>
                  <w:szCs w:val="14"/>
                </w:rPr>
                <w:t>https://www.semrush.com/kb/1503-prompt-tracking</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8</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Ahrefs - Brand Radar</w:t>
            </w:r>
          </w:p>
        </w:tc>
        <w:tc>
          <w:tcPr>
            <w:tcW w:type="dxa" w:w="6060"/>
            <w:tcMar>
              <w:top w:w="80" w:type="dxa"/>
              <w:start w:w="120" w:type="dxa"/>
              <w:bottom w:w="80" w:type="dxa"/>
              <w:end w:w="120" w:type="dxa"/>
            </w:tcMar>
            <w:vAlign w:val="center"/>
          </w:tcPr>
          <w:p>
            <w:pPr>
              <w:spacing w:before="0" w:after="0" w:line="252" w:lineRule="auto"/>
            </w:pPr>
            <w:hyperlink r:id="rId18">
              <w:r>
                <w:rPr>
                  <w:rFonts w:ascii="Calibri" w:hAnsi="Calibri"/>
                  <w:color w:val="2E74B5"/>
                  <w:u w:val="single"/>
                  <w:sz w:val="14"/>
                  <w:szCs w:val="14"/>
                </w:rPr>
                <w:t>https://ahrefs.com/brand-radar</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9</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Otterly.AI - Pricing</w:t>
            </w:r>
          </w:p>
        </w:tc>
        <w:tc>
          <w:tcPr>
            <w:tcW w:type="dxa" w:w="6060"/>
            <w:tcMar>
              <w:top w:w="80" w:type="dxa"/>
              <w:start w:w="120" w:type="dxa"/>
              <w:bottom w:w="80" w:type="dxa"/>
              <w:end w:w="120" w:type="dxa"/>
            </w:tcMar>
            <w:vAlign w:val="center"/>
          </w:tcPr>
          <w:p>
            <w:pPr>
              <w:spacing w:before="0" w:after="0" w:line="252" w:lineRule="auto"/>
            </w:pPr>
            <w:hyperlink r:id="rId19">
              <w:r>
                <w:rPr>
                  <w:rFonts w:ascii="Calibri" w:hAnsi="Calibri"/>
                  <w:color w:val="2E74B5"/>
                  <w:u w:val="single"/>
                  <w:sz w:val="14"/>
                  <w:szCs w:val="14"/>
                </w:rPr>
                <w:t>https://otterly.ai/pricing</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10</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Otterly.AI - Features</w:t>
            </w:r>
          </w:p>
        </w:tc>
        <w:tc>
          <w:tcPr>
            <w:tcW w:type="dxa" w:w="6060"/>
            <w:tcMar>
              <w:top w:w="80" w:type="dxa"/>
              <w:start w:w="120" w:type="dxa"/>
              <w:bottom w:w="80" w:type="dxa"/>
              <w:end w:w="120" w:type="dxa"/>
            </w:tcMar>
            <w:vAlign w:val="center"/>
          </w:tcPr>
          <w:p>
            <w:pPr>
              <w:spacing w:before="0" w:after="0" w:line="252" w:lineRule="auto"/>
            </w:pPr>
            <w:hyperlink r:id="rId20">
              <w:r>
                <w:rPr>
                  <w:rFonts w:ascii="Calibri" w:hAnsi="Calibri"/>
                  <w:color w:val="2E74B5"/>
                  <w:u w:val="single"/>
                  <w:sz w:val="14"/>
                  <w:szCs w:val="14"/>
                </w:rPr>
                <w:t>https://otterly.ai/features</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11</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Peec AI - Pricing</w:t>
            </w:r>
          </w:p>
        </w:tc>
        <w:tc>
          <w:tcPr>
            <w:tcW w:type="dxa" w:w="6060"/>
            <w:tcMar>
              <w:top w:w="80" w:type="dxa"/>
              <w:start w:w="120" w:type="dxa"/>
              <w:bottom w:w="80" w:type="dxa"/>
              <w:end w:w="120" w:type="dxa"/>
            </w:tcMar>
            <w:vAlign w:val="center"/>
          </w:tcPr>
          <w:p>
            <w:pPr>
              <w:spacing w:before="0" w:after="0" w:line="252" w:lineRule="auto"/>
            </w:pPr>
            <w:hyperlink r:id="rId21">
              <w:r>
                <w:rPr>
                  <w:rFonts w:ascii="Calibri" w:hAnsi="Calibri"/>
                  <w:color w:val="2E74B5"/>
                  <w:u w:val="single"/>
                  <w:sz w:val="14"/>
                  <w:szCs w:val="14"/>
                </w:rPr>
                <w:t>https://peec.ai/pricing</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12</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Writesonic - Pricing</w:t>
            </w:r>
          </w:p>
        </w:tc>
        <w:tc>
          <w:tcPr>
            <w:tcW w:type="dxa" w:w="6060"/>
            <w:tcMar>
              <w:top w:w="80" w:type="dxa"/>
              <w:start w:w="120" w:type="dxa"/>
              <w:bottom w:w="80" w:type="dxa"/>
              <w:end w:w="120" w:type="dxa"/>
            </w:tcMar>
            <w:vAlign w:val="center"/>
          </w:tcPr>
          <w:p>
            <w:pPr>
              <w:spacing w:before="0" w:after="0" w:line="252" w:lineRule="auto"/>
            </w:pPr>
            <w:hyperlink r:id="rId22">
              <w:r>
                <w:rPr>
                  <w:rFonts w:ascii="Calibri" w:hAnsi="Calibri"/>
                  <w:color w:val="2E74B5"/>
                  <w:u w:val="single"/>
                  <w:sz w:val="14"/>
                  <w:szCs w:val="14"/>
                </w:rPr>
                <w:t>https://writesonic.com/pricing</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13</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Writesonic - AI Visibility Action Center</w:t>
            </w:r>
          </w:p>
        </w:tc>
        <w:tc>
          <w:tcPr>
            <w:tcW w:type="dxa" w:w="6060"/>
            <w:tcMar>
              <w:top w:w="80" w:type="dxa"/>
              <w:start w:w="120" w:type="dxa"/>
              <w:bottom w:w="80" w:type="dxa"/>
              <w:end w:w="120" w:type="dxa"/>
            </w:tcMar>
            <w:vAlign w:val="center"/>
          </w:tcPr>
          <w:p>
            <w:pPr>
              <w:spacing w:before="0" w:after="0" w:line="252" w:lineRule="auto"/>
            </w:pPr>
            <w:hyperlink r:id="rId23">
              <w:r>
                <w:rPr>
                  <w:rFonts w:ascii="Calibri" w:hAnsi="Calibri"/>
                  <w:color w:val="2E74B5"/>
                  <w:u w:val="single"/>
                  <w:sz w:val="14"/>
                  <w:szCs w:val="14"/>
                </w:rPr>
                <w:t>https://writesonic.com/ai-visibility-action-center</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14</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Promptwatch - Pricing</w:t>
            </w:r>
          </w:p>
        </w:tc>
        <w:tc>
          <w:tcPr>
            <w:tcW w:type="dxa" w:w="6060"/>
            <w:tcMar>
              <w:top w:w="80" w:type="dxa"/>
              <w:start w:w="120" w:type="dxa"/>
              <w:bottom w:w="80" w:type="dxa"/>
              <w:end w:w="120" w:type="dxa"/>
            </w:tcMar>
            <w:vAlign w:val="center"/>
          </w:tcPr>
          <w:p>
            <w:pPr>
              <w:spacing w:before="0" w:after="0" w:line="252" w:lineRule="auto"/>
            </w:pPr>
            <w:hyperlink r:id="rId24">
              <w:r>
                <w:rPr>
                  <w:rFonts w:ascii="Calibri" w:hAnsi="Calibri"/>
                  <w:color w:val="2E74B5"/>
                  <w:u w:val="single"/>
                  <w:sz w:val="14"/>
                  <w:szCs w:val="14"/>
                </w:rPr>
                <w:t>https://promptwatch.com/pricing</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15</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Scrunch - Pricing FAQ</w:t>
            </w:r>
          </w:p>
        </w:tc>
        <w:tc>
          <w:tcPr>
            <w:tcW w:type="dxa" w:w="6060"/>
            <w:tcMar>
              <w:top w:w="80" w:type="dxa"/>
              <w:start w:w="120" w:type="dxa"/>
              <w:bottom w:w="80" w:type="dxa"/>
              <w:end w:w="120" w:type="dxa"/>
            </w:tcMar>
            <w:vAlign w:val="center"/>
          </w:tcPr>
          <w:p>
            <w:pPr>
              <w:spacing w:before="0" w:after="0" w:line="252" w:lineRule="auto"/>
            </w:pPr>
            <w:hyperlink r:id="rId25">
              <w:r>
                <w:rPr>
                  <w:rFonts w:ascii="Calibri" w:hAnsi="Calibri"/>
                  <w:color w:val="2E74B5"/>
                  <w:u w:val="single"/>
                  <w:sz w:val="14"/>
                  <w:szCs w:val="14"/>
                </w:rPr>
                <w:t>https://scrunch.com/faqs/what-is-the-pricing-for-scrunch-plans</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16</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Profound - Pricing</w:t>
            </w:r>
          </w:p>
        </w:tc>
        <w:tc>
          <w:tcPr>
            <w:tcW w:type="dxa" w:w="6060"/>
            <w:tcMar>
              <w:top w:w="80" w:type="dxa"/>
              <w:start w:w="120" w:type="dxa"/>
              <w:bottom w:w="80" w:type="dxa"/>
              <w:end w:w="120" w:type="dxa"/>
            </w:tcMar>
            <w:vAlign w:val="center"/>
          </w:tcPr>
          <w:p>
            <w:pPr>
              <w:spacing w:before="0" w:after="0" w:line="252" w:lineRule="auto"/>
            </w:pPr>
            <w:hyperlink r:id="rId26">
              <w:r>
                <w:rPr>
                  <w:rFonts w:ascii="Calibri" w:hAnsi="Calibri"/>
                  <w:color w:val="2E74B5"/>
                  <w:u w:val="single"/>
                  <w:sz w:val="14"/>
                  <w:szCs w:val="14"/>
                </w:rPr>
                <w:t>https://www.tryprofound.com/pricing</w:t>
              </w:r>
            </w:hyperlink>
          </w:p>
        </w:tc>
      </w:tr>
      <w:tr>
        <w:trPr>
          <w:cantSplit/>
        </w:trPr>
        <w:tc>
          <w:tcPr>
            <w:tcW w:type="dxa" w:w="500"/>
            <w:tcMar>
              <w:top w:w="80" w:type="dxa"/>
              <w:start w:w="120" w:type="dxa"/>
              <w:bottom w:w="80" w:type="dxa"/>
              <w:end w:w="120" w:type="dxa"/>
            </w:tcMar>
            <w:vAlign w:val="center"/>
          </w:tcPr>
          <w:p>
            <w:pPr>
              <w:spacing w:before="0" w:after="0" w:line="252" w:lineRule="auto"/>
            </w:pPr>
            <w:r>
              <w:rPr>
                <w:rFonts w:ascii="Calibri" w:hAnsi="Calibri"/>
                <w:b w:val="0"/>
                <w:color w:val="1D2733"/>
                <w:sz w:val="14"/>
              </w:rPr>
              <w:t>17</w:t>
            </w:r>
          </w:p>
        </w:tc>
        <w:tc>
          <w:tcPr>
            <w:tcW w:type="dxa" w:w="2800"/>
            <w:tcMar>
              <w:top w:w="80" w:type="dxa"/>
              <w:start w:w="120" w:type="dxa"/>
              <w:bottom w:w="80" w:type="dxa"/>
              <w:end w:w="120" w:type="dxa"/>
            </w:tcMar>
            <w:vAlign w:val="center"/>
          </w:tcPr>
          <w:p>
            <w:pPr>
              <w:spacing w:before="0" w:after="0" w:line="252" w:lineRule="auto"/>
            </w:pPr>
            <w:r>
              <w:rPr>
                <w:rFonts w:ascii="Calibri" w:hAnsi="Calibri"/>
                <w:b w:val="0"/>
                <w:color w:val="1D2733"/>
                <w:sz w:val="14"/>
              </w:rPr>
              <w:t>Presencia IA</w:t>
            </w:r>
          </w:p>
        </w:tc>
        <w:tc>
          <w:tcPr>
            <w:tcW w:type="dxa" w:w="6060"/>
            <w:tcMar>
              <w:top w:w="80" w:type="dxa"/>
              <w:start w:w="120" w:type="dxa"/>
              <w:bottom w:w="80" w:type="dxa"/>
              <w:end w:w="120" w:type="dxa"/>
            </w:tcMar>
            <w:vAlign w:val="center"/>
          </w:tcPr>
          <w:p>
            <w:pPr>
              <w:spacing w:before="0" w:after="0" w:line="252" w:lineRule="auto"/>
            </w:pPr>
            <w:hyperlink r:id="rId27">
              <w:r>
                <w:rPr>
                  <w:rFonts w:ascii="Calibri" w:hAnsi="Calibri"/>
                  <w:color w:val="2E74B5"/>
                  <w:u w:val="single"/>
                  <w:sz w:val="14"/>
                  <w:szCs w:val="14"/>
                </w:rPr>
                <w:t>https://presenciaia.com/</w:t>
              </w:r>
            </w:hyperlink>
          </w:p>
        </w:tc>
      </w:tr>
    </w:tbl>
    <w:p>
      <w:pPr>
        <w:spacing w:before="80" w:after="80"/>
      </w:pPr>
      <w:r>
        <w:rPr>
          <w:rFonts w:ascii="Calibri" w:hAnsi="Calibri"/>
          <w:i/>
          <w:color w:val="5F6B7A"/>
          <w:sz w:val="16"/>
        </w:rPr>
        <w:t>Fuentes consultadas el 26 de agosto de 2026. Las cifras y planes de terceros pueden cambiar; conviene revalidarlos antes de una decisión comercial.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6"/>
      </w:rPr>
      <w:t xml:space="preserve">26 agosto 2026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A"/>
        <w:sz w:val="16"/>
      </w:rPr>
      <w:t>GENSCORE | AUDITORÍA DE PRODUCTO SaaS Y GEO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enscore.es/" TargetMode="External"/><Relationship Id="rId12" Type="http://schemas.openxmlformats.org/officeDocument/2006/relationships/hyperlink" Target="https://www.genscore.es/pricing" TargetMode="External"/><Relationship Id="rId13" Type="http://schemas.openxmlformats.org/officeDocument/2006/relationships/hyperlink" Target="https://www.genscore.es/docs/empezar/primer-escaneo" TargetMode="External"/><Relationship Id="rId14" Type="http://schemas.openxmlformats.org/officeDocument/2006/relationships/hyperlink" Target="https://www.genscore.es/docs/metodologia/geo-score" TargetMode="External"/><Relationship Id="rId15" Type="http://schemas.openxmlformats.org/officeDocument/2006/relationships/hyperlink" Target="https://www.genscore.es/gratis/aparece-mi-marca-en-chatgpt" TargetMode="External"/><Relationship Id="rId16" Type="http://schemas.openxmlformats.org/officeDocument/2006/relationships/hyperlink" Target="https://www.semrush.com/kb/1493-ai-visibility-toolkit" TargetMode="External"/><Relationship Id="rId17" Type="http://schemas.openxmlformats.org/officeDocument/2006/relationships/hyperlink" Target="https://www.semrush.com/kb/1503-prompt-tracking" TargetMode="External"/><Relationship Id="rId18" Type="http://schemas.openxmlformats.org/officeDocument/2006/relationships/hyperlink" Target="https://ahrefs.com/brand-radar" TargetMode="External"/><Relationship Id="rId19" Type="http://schemas.openxmlformats.org/officeDocument/2006/relationships/hyperlink" Target="https://otterly.ai/pricing" TargetMode="External"/><Relationship Id="rId20" Type="http://schemas.openxmlformats.org/officeDocument/2006/relationships/hyperlink" Target="https://otterly.ai/features" TargetMode="External"/><Relationship Id="rId21" Type="http://schemas.openxmlformats.org/officeDocument/2006/relationships/hyperlink" Target="https://peec.ai/pricing" TargetMode="External"/><Relationship Id="rId22" Type="http://schemas.openxmlformats.org/officeDocument/2006/relationships/hyperlink" Target="https://writesonic.com/pricing" TargetMode="External"/><Relationship Id="rId23" Type="http://schemas.openxmlformats.org/officeDocument/2006/relationships/hyperlink" Target="https://writesonic.com/ai-visibility-action-center" TargetMode="External"/><Relationship Id="rId24" Type="http://schemas.openxmlformats.org/officeDocument/2006/relationships/hyperlink" Target="https://promptwatch.com/pricing" TargetMode="External"/><Relationship Id="rId25" Type="http://schemas.openxmlformats.org/officeDocument/2006/relationships/hyperlink" Target="https://scrunch.com/faqs/what-is-the-pricing-for-scrunch-plans" TargetMode="External"/><Relationship Id="rId26" Type="http://schemas.openxmlformats.org/officeDocument/2006/relationships/hyperlink" Target="https://www.tryprofound.com/pricing" TargetMode="External"/><Relationship Id="rId27" Type="http://schemas.openxmlformats.org/officeDocument/2006/relationships/hyperlink" Target="https://presencia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producto SaaS y UX de GenScore</dc:title>
  <dc:subject>Análisis funcional, de usabilidad y benchmark competitivo GEO</dc:subject>
  <dc:creator>Auditoría independiente</dc:creator>
  <cp:keywords>GenScore, GEO, SEO, SaaS, UX, auditoría</cp:keywords>
  <dc:description>generated by python-docx</dc:description>
  <cp:lastModifiedBy/>
  <cp:revision>1</cp:revision>
  <dcterms:created xsi:type="dcterms:W3CDTF">2013-12-23T23:15:00Z</dcterms:created>
  <dcterms:modified xsi:type="dcterms:W3CDTF">2013-12-23T23:15:00Z</dcterms:modified>
  <cp:category/>
</cp:coreProperties>
</file>