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</w:pPr>
      <w:r>
        <w:t xml:space="preserve"/>
      </w:r>
    </w:p>
    <w:p>
      <w:pPr>
        <w:spacing w:after="50"/>
        <w:jc w:val="center"/>
      </w:pPr>
      <w:r>
        <w:rPr>
          <w:rFonts w:ascii="Arial" w:cs="Arial" w:eastAsia="Arial" w:hAnsi="Arial"/>
          <w:b/>
          <w:bCs/>
          <w:color w:val="1B3D6B"/>
          <w:sz w:val="60"/>
          <w:szCs w:val="60"/>
        </w:rPr>
        <w:t xml:space="preserve">HAEE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2563A8"/>
          <w:sz w:val="27"/>
          <w:szCs w:val="27"/>
        </w:rPr>
        <w:t xml:space="preserve">Антиоксидантная сыворотка с мезороллером</w:t>
      </w:r>
    </w:p>
    <w:p>
      <w:pPr>
        <w:spacing w:after="60"/>
        <w:jc w:val="center"/>
      </w:pPr>
      <w:r>
        <w:rPr>
          <w:rFonts w:ascii="Arial" w:cs="Arial" w:eastAsia="Arial" w:hAnsi="Arial"/>
          <w:color w:val="5A6070"/>
          <w:sz w:val="21"/>
          <w:szCs w:val="21"/>
        </w:rPr>
        <w:t xml:space="preserve">Антиоксидант  •  Против пигментных пятен  •  Антиэйдж</w:t>
      </w:r>
    </w:p>
    <w:p>
      <w:pPr>
        <w:spacing w:after="200"/>
        <w:jc w:val="center"/>
      </w:pPr>
      <w:r>
        <w:rPr>
          <w:rFonts w:ascii="Arial" w:cs="Arial" w:eastAsia="Arial" w:hAnsi="Arial"/>
          <w:color w:val="5A6070"/>
          <w:sz w:val="19"/>
          <w:szCs w:val="19"/>
        </w:rPr>
        <w:t xml:space="preserve">Косметическое средство  |  Для наружного применения</w:t>
      </w:r>
    </w:p>
    <w:p>
      <w:pPr>
        <w:pBdr>
          <w:bottom w:val="single" w:color="2563A8" w:sz="6" w:space="3"/>
        </w:pBdr>
        <w:spacing w:before="300" w:after="120"/>
      </w:pPr>
      <w:r>
        <w:rPr>
          <w:rFonts w:ascii="Arial" w:cs="Arial" w:eastAsia="Arial" w:hAnsi="Arial"/>
          <w:b/>
          <w:bCs/>
          <w:caps/>
          <w:color w:val="1B3D6B"/>
          <w:sz w:val="26"/>
          <w:szCs w:val="26"/>
        </w:rPr>
        <w:t xml:space="preserve">1. Наименование и форма выпуска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AF1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D6B"/>
                <w:sz w:val="20"/>
                <w:szCs w:val="20"/>
              </w:rPr>
              <w:t xml:space="preserve">Наименование</w:t>
            </w:r>
          </w:p>
        </w:tc>
        <w:tc>
          <w:tcPr>
            <w:tcW w:type="dxa" w:w="6026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HAEE, антиоксидантная сыворотка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C8D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D6B"/>
                <w:sz w:val="20"/>
                <w:szCs w:val="20"/>
              </w:rPr>
              <w:t xml:space="preserve">Форма выпуска</w:t>
            </w:r>
          </w:p>
        </w:tc>
        <w:tc>
          <w:tcPr>
            <w:tcW w:type="dxa" w:w="6026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8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Раствор для наружного применения в ампулах; 10 ампул × 2 мл + мезороллер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AF1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D6B"/>
                <w:sz w:val="20"/>
                <w:szCs w:val="20"/>
              </w:rPr>
              <w:t xml:space="preserve">Активный компонент</w:t>
            </w:r>
          </w:p>
        </w:tc>
        <w:tc>
          <w:tcPr>
            <w:tcW w:type="dxa" w:w="6026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Тетрапептид Ac-His-Ala-Glu-Glu-NH₂ (CAS 1373826-23-3)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C8D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D6B"/>
                <w:sz w:val="20"/>
                <w:szCs w:val="20"/>
              </w:rPr>
              <w:t xml:space="preserve">Тип продукта</w:t>
            </w:r>
          </w:p>
        </w:tc>
        <w:tc>
          <w:tcPr>
            <w:tcW w:type="dxa" w:w="6026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8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Ампульная косметика профессионального ухода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AF1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D6B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6026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Антиоксидантное и осветляющее средство против пигментных пятен и признаков фотостарения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C8D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D6B"/>
                <w:sz w:val="20"/>
                <w:szCs w:val="20"/>
              </w:rPr>
              <w:t xml:space="preserve">Производитель</w:t>
            </w:r>
          </w:p>
        </w:tc>
        <w:tc>
          <w:tcPr>
            <w:tcW w:type="dxa" w:w="6026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8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_________________________ (указать)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563A8" w:sz="6" w:space="3"/>
        </w:pBdr>
        <w:spacing w:before="300" w:after="120"/>
      </w:pPr>
      <w:r>
        <w:rPr>
          <w:rFonts w:ascii="Arial" w:cs="Arial" w:eastAsia="Arial" w:hAnsi="Arial"/>
          <w:b/>
          <w:bCs/>
          <w:caps/>
          <w:color w:val="1B3D6B"/>
          <w:sz w:val="26"/>
          <w:szCs w:val="26"/>
        </w:rPr>
        <w:t xml:space="preserve">2. Состав (INCI / наименование)</w:t>
      </w:r>
    </w:p>
    <w:p>
      <w:pPr>
        <w:spacing w:after="90" w:line="288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Активный компонент: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Тетрапептид Ac-His-Ala-Glu-Glu-NH₂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 — синтетический тетрапептид (ацетил-L-гистидил-L-аланил-L-α-глутамил-L-α-глутамин). CAS 1373826-23-3. Обладает антиоксидантным действием, ингибирует активность свободных радикалов, участвует в регуляции меланогенеза.</w:t>
      </w:r>
    </w:p>
    <w:p>
      <w:pPr>
        <w:spacing w:after="80"/>
      </w:pPr>
      <w:r>
        <w:t xml:space="preserve"/>
      </w:r>
    </w:p>
    <w:p>
      <w:pPr>
        <w:spacing w:after="90" w:line="288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Вспомогательные компоненты: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Aqua purificata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 — вода очищенная (растворитель)</w:t>
      </w:r>
    </w:p>
    <w:p>
      <w:pPr>
        <w:spacing w:after="120"/>
      </w:pPr>
      <w:r>
        <w:t xml:space="preserve"/>
      </w:r>
    </w:p>
    <w:p>
      <w:pPr>
        <w:pBdr>
          <w:bottom w:val="single" w:color="2563A8" w:sz="6" w:space="3"/>
        </w:pBdr>
        <w:spacing w:before="300" w:after="120"/>
      </w:pPr>
      <w:r>
        <w:rPr>
          <w:rFonts w:ascii="Arial" w:cs="Arial" w:eastAsia="Arial" w:hAnsi="Arial"/>
          <w:b/>
          <w:bCs/>
          <w:caps/>
          <w:color w:val="1B3D6B"/>
          <w:sz w:val="26"/>
          <w:szCs w:val="26"/>
        </w:rPr>
        <w:t xml:space="preserve">3. Механизм действия</w:t>
      </w:r>
    </w:p>
    <w:p>
      <w:pPr>
        <w:spacing w:after="90" w:line="288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Биологическая активность тетрапептида HAEE (Ac-His-Ala-Glu-Glu-NH₂) основана на структурном сходстве с эндогенными пептидными регуляторами кожи. Действие реализуется через три ключевых механизма:</w:t>
      </w:r>
    </w:p>
    <w:p>
      <w:pPr>
        <w:spacing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563A8"/>
          <w:sz w:val="23"/>
          <w:szCs w:val="23"/>
        </w:rPr>
        <w:t xml:space="preserve">3.1 Антиоксидантная защита</w:t>
      </w:r>
    </w:p>
    <w:p>
      <w:pPr>
        <w:spacing w:after="90" w:line="288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Тетрапептид обладает выраженной способностью нейтрализовать активные формы кислорода (АФК) и свободные радикалы, возникающие под действием УФ-излучения и оксидативного стресса. Гистидиновый остаток в составе пептида обеспечивает хелатирование ионов металлов-прооксидантов (Fe²⁺, Cu²⁺), предотвращая цепные реакции перекисного окисления липидов клеточных мембран. Результат: снижение повреждения ДНК кератиноцитов и меланоцитов, уменьшение фотоиндуцированного старения кожи.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563A8"/>
          <w:sz w:val="23"/>
          <w:szCs w:val="23"/>
        </w:rPr>
        <w:t xml:space="preserve">3.2 Регуляция меланогенеза — осветление пигментных пятен</w:t>
      </w:r>
    </w:p>
    <w:p>
      <w:pPr>
        <w:spacing w:after="90" w:line="288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HAEE воздействует на сигнальные пути, регулирующие активность тирозиназы — ключевого фермента биосинтеза меланина. Снижение выработки меланина ведёт к: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постепенному осветлению уже сформировавшихся пигментных пятен;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предотвращению образования новых очагов гиперпигментации;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выравниванию общего тона кожи.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563A8"/>
          <w:sz w:val="23"/>
          <w:szCs w:val="23"/>
        </w:rPr>
        <w:t xml:space="preserve">3.3 Синергетический эффект при трансдермальном введении через мезороллер</w:t>
      </w:r>
    </w:p>
    <w:p>
      <w:pPr>
        <w:spacing w:after="90" w:line="288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Микроканалы, формируемые мезороллером, многократно увеличивают проникновение активного пептида в дерму по сравнению с поверхностным нанесением. Именно поэтому сыворотка HAEE разработана для совместного применения с мезороллером: это обеспечивает терапевтически значимую концентрацию пептида в зоне меланоцитов и фибробластов.</w:t>
      </w:r>
    </w:p>
    <w:p>
      <w:pPr>
        <w:spacing w:after="120"/>
      </w:pPr>
      <w:r>
        <w:t xml:space="preserve"/>
      </w:r>
    </w:p>
    <w:p>
      <w:pPr>
        <w:pBdr>
          <w:bottom w:val="single" w:color="2563A8" w:sz="6" w:space="3"/>
        </w:pBdr>
        <w:spacing w:before="300" w:after="120"/>
      </w:pPr>
      <w:r>
        <w:rPr>
          <w:rFonts w:ascii="Arial" w:cs="Arial" w:eastAsia="Arial" w:hAnsi="Arial"/>
          <w:b/>
          <w:bCs/>
          <w:caps/>
          <w:color w:val="1B3D6B"/>
          <w:sz w:val="26"/>
          <w:szCs w:val="26"/>
        </w:rPr>
        <w:t xml:space="preserve">4. Показания к применению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Пятна старения (lentigo senilis, «старческие пятна», «печёночные пятна»)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Солнечное лентиго (фотоиндуцированная пигментация) на плечах и руках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Неравномерный тон кожи, тусклость, признаки фотостарения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Поствоспалительная гиперпигментация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Профилактика появления новых пигментных пятен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A8" w:sz="5"/>
              <w:left w:val="single" w:color="2563A8" w:sz="16"/>
              <w:bottom w:val="single" w:color="2563A8" w:sz="5"/>
              <w:right w:val="single" w:color="2563A8" w:sz="5"/>
            </w:tcBorders>
            <w:shd w:fill="EAF1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D6B"/>
                <w:sz w:val="22"/>
                <w:szCs w:val="22"/>
              </w:rPr>
              <w:t xml:space="preserve">Зона применения</w:t>
            </w:r>
          </w:p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Сыворотка HAEE наносится исключительно на наружную поверхность плеча (верхняя часть руки). Именно эта зона рекомендована для регулярного применения продукта в рамках данного курса ухода.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563A8" w:sz="6" w:space="3"/>
        </w:pBdr>
        <w:spacing w:before="300" w:after="120"/>
      </w:pPr>
      <w:r>
        <w:rPr>
          <w:rFonts w:ascii="Arial" w:cs="Arial" w:eastAsia="Arial" w:hAnsi="Arial"/>
          <w:b/>
          <w:bCs/>
          <w:caps/>
          <w:color w:val="1B3D6B"/>
          <w:sz w:val="26"/>
          <w:szCs w:val="26"/>
        </w:rPr>
        <w:t xml:space="preserve">5. Способ применения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563A8"/>
          <w:sz w:val="23"/>
          <w:szCs w:val="23"/>
        </w:rPr>
        <w:t xml:space="preserve">5.1 Подготовка к процедуре</w:t>
      </w:r>
    </w:p>
    <w:p>
      <w:pPr>
        <w:spacing w:after="90" w:line="288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Перед первой процедурой ознакомьтесь с настоящей инструкцией полностью. Проведите тест на чувствительность (см. раздел 6).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Шаг 1. Очищение кожи.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 Тщательно умойтесь мягким очищающим средством. Кожа должна быть чистой, без макияжа, декоративной косметики и загрязнений.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Шаг 2. Дезинфекция мезороллера.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 Промойте мезороллер горячей водой, затем поместите в 70%-й изопропиловый спирт на 5–10 минут. Извлеките и дайте высохнуть.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Шаг 3. Подготовка ампулы.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 Встряхните ампулу. Надломите в специально отмеченном месте. Не допускайте контакта открытой части ампулы с руками и поверхностями.</w:t>
      </w:r>
    </w:p>
    <w:p>
      <w:pPr>
        <w:spacing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563A8"/>
          <w:sz w:val="23"/>
          <w:szCs w:val="23"/>
        </w:rPr>
        <w:t xml:space="preserve">5.2 Нанесение сыворотки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Количество раствора: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 0,5–1,0 мл (¼–½ ампулы) на одну процедуру.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Способ нанесения: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 Наклоните вскрытую ампулу над зоной обработки на плече и равномерно нанесите несколько капель раствора непосредственно на кожу. Не растирать и не втирать рукой — это нарушит равномерность распределения и снизит эффективность. Сразу после нанесения капель приступайте к прокатке мезороллером.</w:t>
      </w:r>
    </w:p>
    <w:p>
      <w:pPr>
        <w:spacing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563A8"/>
          <w:sz w:val="23"/>
          <w:szCs w:val="23"/>
        </w:rPr>
        <w:t xml:space="preserve">5.3 Работа с мезороллером</w:t>
      </w:r>
    </w:p>
    <w:p>
      <w:pPr>
        <w:spacing w:after="90" w:line="288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Мезороллер создаёт микропроколы, обеспечивающие проникновение активных компонентов в дерму. Соблюдайте технику работы: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900"/>
        <w:gridCol w:w="8126"/>
      </w:tblGrid>
      <w:tr>
        <w:tc>
          <w:tcPr>
            <w:tcW w:type="dxa" w:w="9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2563A8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126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D6B"/>
                <w:sz w:val="22"/>
                <w:szCs w:val="22"/>
              </w:rPr>
              <w:t xml:space="preserve">Первый проход — горизонтально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Проводите роллер по обработанной зоне слева направо и обратно. Нажим — лёгкий, без болезненных ощущений. Количество проходов: 4–6 раз по одной линии.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900"/>
        <w:gridCol w:w="8126"/>
      </w:tblGrid>
      <w:tr>
        <w:tc>
          <w:tcPr>
            <w:tcW w:type="dxa" w:w="9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2563A8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126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D6B"/>
                <w:sz w:val="22"/>
                <w:szCs w:val="22"/>
              </w:rPr>
              <w:t xml:space="preserve">Второй проход — вертикально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Поверните роллер и повторите движения сверху вниз и обратно. Количество проходов: 4–6 раз. Это обеспечивает равномерное покрытие зоны.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900"/>
        <w:gridCol w:w="8126"/>
      </w:tblGrid>
      <w:tr>
        <w:tc>
          <w:tcPr>
            <w:tcW w:type="dxa" w:w="9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2563A8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126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D6B"/>
                <w:sz w:val="22"/>
                <w:szCs w:val="22"/>
              </w:rPr>
              <w:t xml:space="preserve">Третий проход — диагонально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Проведите роллер по диагонали (45°) в обоих направлениях. Количество проходов: 2–4 раза. Итоговое покрытие каждой точки кожи — 4–6 раз за процедуру.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900"/>
        <w:gridCol w:w="8126"/>
      </w:tblGrid>
      <w:tr>
        <w:tc>
          <w:tcPr>
            <w:tcW w:type="dxa" w:w="9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2563A8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126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D6B"/>
                <w:sz w:val="22"/>
                <w:szCs w:val="22"/>
              </w:rPr>
              <w:t xml:space="preserve">Завершение процедуры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Нанесите остаток раствора из ампулы непосредственно на кожу. Не растирать. Дайте впитаться 3–5 минут. Не смывайте. Не наносите другие косметические средства в течение 30 минут после процедуры.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563A8"/>
          <w:sz w:val="23"/>
          <w:szCs w:val="23"/>
        </w:rPr>
        <w:t xml:space="preserve">5.4 Уход после процедуры</w:t>
      </w:r>
    </w:p>
    <w:p>
      <w:pPr>
        <w:spacing w:after="90" w:line="288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После применения мезороллера кожа может быть слегка покрасневшей — это нормальная реакция, проходит в течение 1–3 часов.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Утром следующего дня обязательно нанесите солнцезащитный крем SPF 30+. Защита от солнца критически важна: без неё эффект осветления значительно снижается, а повторная пигментация возможна.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В течение 24 часов после процедуры избегайте сауны, бассейна, интенсивного спорта.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Не применяйте кислотные эксфолианты (AHA/BHA) в течение 48 часов после процедуры.</w:t>
      </w:r>
    </w:p>
    <w:p>
      <w:pPr>
        <w:spacing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563A8"/>
          <w:sz w:val="23"/>
          <w:szCs w:val="23"/>
        </w:rPr>
        <w:t xml:space="preserve">5.5 Частота проведения процедур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AF1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D6B"/>
                <w:sz w:val="20"/>
                <w:szCs w:val="20"/>
              </w:rPr>
              <w:t xml:space="preserve">Стандартный режим</w:t>
            </w:r>
          </w:p>
        </w:tc>
        <w:tc>
          <w:tcPr>
            <w:tcW w:type="dxa" w:w="6026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раз в 7–10 дней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C8D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D6B"/>
                <w:sz w:val="20"/>
                <w:szCs w:val="20"/>
              </w:rPr>
              <w:t xml:space="preserve">Интенсивный курс (первые 4 недели)</w:t>
            </w:r>
          </w:p>
        </w:tc>
        <w:tc>
          <w:tcPr>
            <w:tcW w:type="dxa" w:w="6026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8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раз в 5–7 дней — по согласованию со специалистом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AF1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D6B"/>
                <w:sz w:val="20"/>
                <w:szCs w:val="20"/>
              </w:rPr>
              <w:t xml:space="preserve">Курс</w:t>
            </w:r>
          </w:p>
        </w:tc>
        <w:tc>
          <w:tcPr>
            <w:tcW w:type="dxa" w:w="6026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8–12 процедур (2–3 месяца)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C8D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D6B"/>
                <w:sz w:val="20"/>
                <w:szCs w:val="20"/>
              </w:rPr>
              <w:t xml:space="preserve">Поддерживающий режим</w:t>
            </w:r>
          </w:p>
        </w:tc>
        <w:tc>
          <w:tcPr>
            <w:tcW w:type="dxa" w:w="6026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8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раз в 2–4 недели после окончания основного курса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AF1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D6B"/>
                <w:sz w:val="20"/>
                <w:szCs w:val="20"/>
              </w:rPr>
              <w:t xml:space="preserve">Видимый результат</w:t>
            </w:r>
          </w:p>
        </w:tc>
        <w:tc>
          <w:tcPr>
            <w:tcW w:type="dxa" w:w="6026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Через 4–6 процедур (≈ 4–6 недель регулярного применения)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563A8" w:sz="6" w:space="3"/>
        </w:pBdr>
        <w:spacing w:before="300" w:after="120"/>
      </w:pPr>
      <w:r>
        <w:rPr>
          <w:rFonts w:ascii="Arial" w:cs="Arial" w:eastAsia="Arial" w:hAnsi="Arial"/>
          <w:b/>
          <w:bCs/>
          <w:caps/>
          <w:color w:val="1B3D6B"/>
          <w:sz w:val="26"/>
          <w:szCs w:val="26"/>
        </w:rPr>
        <w:t xml:space="preserve">6. Меры предосторожности и противопоказания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563A8"/>
          <w:sz w:val="23"/>
          <w:szCs w:val="23"/>
        </w:rPr>
        <w:t xml:space="preserve">Противопоказания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Индивидуальная гиперчувствительность к любому компоненту состава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Нарушение целостности кожного покрова в зоне нанесения (раны, ожоги, ссадины)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Острые воспалительные и инфекционные заболевания кожи (акне в стадии активного воспаления, герпес, экзема в острой фазе)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Розацеа (расширенные капиллярные сетки) — применение мезороллера противопоказано</w:t>
      </w:r>
    </w:p>
    <w:p>
      <w:pPr>
        <w:spacing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563A8"/>
          <w:sz w:val="23"/>
          <w:szCs w:val="23"/>
        </w:rPr>
        <w:t xml:space="preserve">Тест на чувствительность</w:t>
      </w:r>
    </w:p>
    <w:p>
      <w:pPr>
        <w:spacing w:after="90" w:line="288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Перед первым применением нанесите несколько капель сыворотки на внутренний сгиб локтя. Выждите 24 часа. При отсутствии покраснения, зуда и отёка — средство безопасно для применения. При любой реакции — не применять.</w:t>
      </w:r>
    </w:p>
    <w:p>
      <w:pPr>
        <w:spacing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563A8"/>
          <w:sz w:val="23"/>
          <w:szCs w:val="23"/>
        </w:rPr>
        <w:t xml:space="preserve">Особые группы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Беременность и кормление грудью — перед применением проконсультируйтесь с врачом.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Мезороллер не применять на зонах с куперозом, телеангиэктазиями, доброкачественными новообразованиями (папилломы, бородавки, родинки) — обходите их.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Не применять при сахарном диабете (нарушение заживления микропроколов) без консультации врача.</w:t>
      </w:r>
    </w:p>
    <w:p>
      <w:pPr>
        <w:spacing w:after="120"/>
      </w:pPr>
      <w:r>
        <w:t xml:space="preserve"/>
      </w:r>
    </w:p>
    <w:p>
      <w:pPr>
        <w:pBdr>
          <w:bottom w:val="single" w:color="2563A8" w:sz="6" w:space="3"/>
        </w:pBdr>
        <w:spacing w:before="300" w:after="120"/>
      </w:pPr>
      <w:r>
        <w:rPr>
          <w:rFonts w:ascii="Arial" w:cs="Arial" w:eastAsia="Arial" w:hAnsi="Arial"/>
          <w:b/>
          <w:bCs/>
          <w:caps/>
          <w:color w:val="1B3D6B"/>
          <w:sz w:val="26"/>
          <w:szCs w:val="26"/>
        </w:rPr>
        <w:t xml:space="preserve">7. Уход за мезороллером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A017" w:sz="5"/>
              <w:left w:val="single" w:color="D4A017" w:sz="16"/>
              <w:bottom w:val="single" w:color="D4A017" w:sz="5"/>
              <w:right w:val="single" w:color="D4A017" w:sz="5"/>
            </w:tcBorders>
            <w:shd w:fill="FFF8E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⚠ Мезороллер является индивидуальным инструментом. Не передавайте его другим лицам.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После каждой процедуры: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 промойте роллер проточной водой, затем обработайте 70% изопропиловым спиртом. Дайте высохнуть на чистой салфетке, храните в оригинальном защитном чехле.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Замена роллера: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 через 10–15 процедур (иглы затупляются и перестают создавать качественные микроканалы). При повреждении игл — замените немедленно.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Хранение: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 в оригинальной упаковке, защищённой от пыли, при комнатной температуре.</w:t>
      </w:r>
    </w:p>
    <w:p>
      <w:pPr>
        <w:spacing w:after="120"/>
      </w:pPr>
      <w:r>
        <w:t xml:space="preserve"/>
      </w:r>
    </w:p>
    <w:p>
      <w:pPr>
        <w:pBdr>
          <w:bottom w:val="single" w:color="2563A8" w:sz="6" w:space="3"/>
        </w:pBdr>
        <w:spacing w:before="300" w:after="120"/>
      </w:pPr>
      <w:r>
        <w:rPr>
          <w:rFonts w:ascii="Arial" w:cs="Arial" w:eastAsia="Arial" w:hAnsi="Arial"/>
          <w:b/>
          <w:bCs/>
          <w:caps/>
          <w:color w:val="1B3D6B"/>
          <w:sz w:val="26"/>
          <w:szCs w:val="26"/>
        </w:rPr>
        <w:t xml:space="preserve">8. Условия хранения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AF1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D6B"/>
                <w:sz w:val="20"/>
                <w:szCs w:val="20"/>
              </w:rPr>
              <w:t xml:space="preserve">Температура хранения</w:t>
            </w:r>
          </w:p>
        </w:tc>
        <w:tc>
          <w:tcPr>
            <w:tcW w:type="dxa" w:w="6026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От +5°C до +25°C, вдали от прямых солнечных лучей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C8D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D6B"/>
                <w:sz w:val="20"/>
                <w:szCs w:val="20"/>
              </w:rPr>
              <w:t xml:space="preserve">Влажность</w:t>
            </w:r>
          </w:p>
        </w:tc>
        <w:tc>
          <w:tcPr>
            <w:tcW w:type="dxa" w:w="6026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8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Не хранить в условиях высокой влажности (ванная комната)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AF1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D6B"/>
                <w:sz w:val="20"/>
                <w:szCs w:val="20"/>
              </w:rPr>
              <w:t xml:space="preserve">Упаковка</w:t>
            </w:r>
          </w:p>
        </w:tc>
        <w:tc>
          <w:tcPr>
            <w:tcW w:type="dxa" w:w="6026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Ампулы хранить в закрытой картонной упаковке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C8D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D6B"/>
                <w:sz w:val="20"/>
                <w:szCs w:val="20"/>
              </w:rPr>
              <w:t xml:space="preserve">После вскрытия ампулы</w:t>
            </w:r>
          </w:p>
        </w:tc>
        <w:tc>
          <w:tcPr>
            <w:tcW w:type="dxa" w:w="6026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8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Использовать сразу. Остаток нанести на кожу в течение 1 процедуры, не хранить вскрытую ампулу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AF1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D6B"/>
                <w:sz w:val="20"/>
                <w:szCs w:val="20"/>
              </w:rPr>
              <w:t xml:space="preserve">Срок годности</w:t>
            </w:r>
          </w:p>
        </w:tc>
        <w:tc>
          <w:tcPr>
            <w:tcW w:type="dxa" w:w="6026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24 месяца от даты производства (до вскрытия)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C8D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D6B"/>
                <w:sz w:val="20"/>
                <w:szCs w:val="20"/>
              </w:rPr>
              <w:t xml:space="preserve">Специальные условия</w:t>
            </w:r>
          </w:p>
        </w:tc>
        <w:tc>
          <w:tcPr>
            <w:tcW w:type="dxa" w:w="6026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8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Хранить в недоступном для детей месте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563A8" w:sz="6" w:space="3"/>
        </w:pBdr>
        <w:spacing w:before="300" w:after="120"/>
      </w:pPr>
      <w:r>
        <w:rPr>
          <w:rFonts w:ascii="Arial" w:cs="Arial" w:eastAsia="Arial" w:hAnsi="Arial"/>
          <w:b/>
          <w:bCs/>
          <w:caps/>
          <w:color w:val="1B3D6B"/>
          <w:sz w:val="26"/>
          <w:szCs w:val="26"/>
        </w:rPr>
        <w:t xml:space="preserve">9. Возможные нежелательные реакции</w:t>
      </w:r>
    </w:p>
    <w:p>
      <w:pPr>
        <w:spacing w:after="90" w:line="288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При соблюдении инструкции нежелательные реакции возникают редко: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Ожидаемые реакции (норма):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 лёгкое покраснение, ощущение тепла или покалывания в зоне обработки в течение 1–3 часов после процедуры с мезороллером.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Возможные реакции: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 зуд, сухость, шелушение при повышенной чувствительности кожи.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Редкие реакции: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 выраженное раздражение, отёк — прекратить применение, обратиться к специалисту.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A8" w:sz="5"/>
              <w:left w:val="single" w:color="2563A8" w:sz="16"/>
              <w:bottom w:val="single" w:color="2563A8" w:sz="5"/>
              <w:right w:val="single" w:color="2563A8" w:sz="5"/>
            </w:tcBorders>
            <w:shd w:fill="EAF1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D6B"/>
                <w:sz w:val="22"/>
                <w:szCs w:val="22"/>
              </w:rPr>
              <w:t xml:space="preserve">Действия при нежелательных реакциях</w:t>
            </w:r>
          </w:p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Промойте зону обработки прохладной водой. Нанесите успокаивающий крем без активных компонентов. При сохранении реакции более 24 часов — обратитесь к дерматологу. Не применяйте средство повторно до консультации.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563A8" w:sz="6" w:space="3"/>
        </w:pBdr>
        <w:spacing w:before="300" w:after="120"/>
      </w:pPr>
      <w:r>
        <w:rPr>
          <w:rFonts w:ascii="Arial" w:cs="Arial" w:eastAsia="Arial" w:hAnsi="Arial"/>
          <w:b/>
          <w:bCs/>
          <w:caps/>
          <w:color w:val="1B3D6B"/>
          <w:sz w:val="26"/>
          <w:szCs w:val="26"/>
        </w:rPr>
        <w:t xml:space="preserve">10. Сведения о производителе / импортёре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AF1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D6B"/>
                <w:sz w:val="20"/>
                <w:szCs w:val="20"/>
              </w:rPr>
              <w:t xml:space="preserve">Производитель</w:t>
            </w:r>
          </w:p>
        </w:tc>
        <w:tc>
          <w:tcPr>
            <w:tcW w:type="dxa" w:w="6026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___________________________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C8D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D6B"/>
                <w:sz w:val="20"/>
                <w:szCs w:val="20"/>
              </w:rPr>
              <w:t xml:space="preserve">Юридический адрес</w:t>
            </w:r>
          </w:p>
        </w:tc>
        <w:tc>
          <w:tcPr>
            <w:tcW w:type="dxa" w:w="6026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8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___________________________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AF1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D6B"/>
                <w:sz w:val="20"/>
                <w:szCs w:val="20"/>
              </w:rPr>
              <w:t xml:space="preserve">Контактный телефон / e-mail</w:t>
            </w:r>
          </w:p>
        </w:tc>
        <w:tc>
          <w:tcPr>
            <w:tcW w:type="dxa" w:w="6026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___________________________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C8D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D6B"/>
                <w:sz w:val="20"/>
                <w:szCs w:val="20"/>
              </w:rPr>
              <w:t xml:space="preserve">Декларация о соответствии</w:t>
            </w:r>
          </w:p>
        </w:tc>
        <w:tc>
          <w:tcPr>
            <w:tcW w:type="dxa" w:w="6026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8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ТР ТС 009/2011 «О безопасности парфюмерно-косметической продукции»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EAF1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D6B"/>
                <w:sz w:val="20"/>
                <w:szCs w:val="20"/>
              </w:rPr>
              <w:t xml:space="preserve">Регистрационный номер</w:t>
            </w:r>
          </w:p>
        </w:tc>
        <w:tc>
          <w:tcPr>
            <w:tcW w:type="dxa" w:w="6026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___________________________</w:t>
            </w:r>
          </w:p>
        </w:tc>
      </w:tr>
      <w:tr>
        <w:tc>
          <w:tcPr>
            <w:tcW w:type="dxa" w:w="3000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C8D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D6B"/>
                <w:sz w:val="20"/>
                <w:szCs w:val="20"/>
              </w:rPr>
              <w:t xml:space="preserve">Дата регистрации</w:t>
            </w:r>
          </w:p>
        </w:tc>
        <w:tc>
          <w:tcPr>
            <w:tcW w:type="dxa" w:w="6026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F8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___________________________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A6070" w:sz="5"/>
              <w:left w:val="single" w:color="5A6070" w:sz="16"/>
              <w:bottom w:val="single" w:color="5A6070" w:sz="5"/>
              <w:right w:val="single" w:color="5A6070" w:sz="5"/>
            </w:tcBorders>
            <w:shd w:fill="F5F7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D6B"/>
                <w:sz w:val="22"/>
                <w:szCs w:val="22"/>
              </w:rPr>
              <w:t xml:space="preserve">Важная информация</w:t>
            </w:r>
          </w:p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Данное средство является косметическим и не предназначено для диагностики, профилактики или лечения заболеваний. Сыворотка HAEE не является лекарственным препаратом. Соответствует требованиям ТР ТС 009/2011. При наличии кожных заболеваний, а также в период беременности и лактации — проконсультируйтесь с дерматологом перед применением.</w:t>
            </w:r>
          </w:p>
        </w:tc>
      </w:tr>
    </w:tbl>
    <w:p>
      <w:pPr>
        <w:spacing w:after="100"/>
      </w:pPr>
      <w:r>
        <w:t xml:space="preserve"/>
      </w:r>
    </w:p>
    <w:sectPr>
      <w:headerReference w:type="default" r:id="rId6"/>
      <w:footerReference w:type="default" r:id="rId7"/>
      <w:pgSz w:w="11906" w:h="16838" w:orient="portrait"/>
      <w:pgMar w:top="1140" w:right="1140" w:bottom="1140" w:left="11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C8E8" w:sz="3" w:space="3"/>
      </w:pBdr>
      <w:spacing w:before="70"/>
      <w:jc w:val="center"/>
    </w:pPr>
    <w:r>
      <w:rPr>
        <w:rFonts w:ascii="Arial" w:cs="Arial" w:eastAsia="Arial" w:hAnsi="Arial"/>
        <w:color w:val="5A6070"/>
        <w:sz w:val="16"/>
        <w:szCs w:val="16"/>
      </w:rPr>
      <w:t xml:space="preserve">Для наружного применения  |  Хранить в недоступном для детей месте  |  ТР ТС 009/2011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0C8E8" w:sz="3" w:space="3"/>
      </w:pBdr>
      <w:spacing w:after="80"/>
    </w:pPr>
    <w:r>
      <w:rPr>
        <w:rFonts w:ascii="Arial" w:cs="Arial" w:eastAsia="Arial" w:hAnsi="Arial"/>
        <w:color w:val="5A6070"/>
        <w:sz w:val="18"/>
        <w:szCs w:val="18"/>
      </w:rPr>
      <w:t xml:space="preserve">HAEE  |  Антиоксидантная сыворотка с мезороллером</w:t>
    </w:r>
    <w:r>
      <w:rPr>
        <w:rFonts w:ascii="Arial" w:cs="Arial" w:eastAsia="Arial" w:hAnsi="Arial"/>
        <w:i/>
        <w:iCs/>
        <w:color w:val="2563A8"/>
        <w:sz w:val="18"/>
        <w:szCs w:val="18"/>
      </w:rPr>
      <w:t xml:space="preserve">   Инструкция по применению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0" w:hanging="3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2026-03-04T22:02:27.163Z</dcterms:created>
  <dcterms:modified xsi:type="dcterms:W3CDTF">2026-03-04T22:02:27.164Z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