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40"/>
        <w:jc w:val="center"/>
      </w:pPr>
      <w:r>
        <w:rPr>
          <w:b/>
          <w:i w:val="0"/>
          <w:color w:val="B24A2B"/>
          <w:sz w:val="60"/>
        </w:rPr>
        <w:t>Структура сайта</w:t>
      </w:r>
    </w:p>
    <w:p>
      <w:pPr>
        <w:spacing w:after="440"/>
        <w:jc w:val="center"/>
      </w:pPr>
      <w:r>
        <w:rPr>
          <w:b w:val="0"/>
          <w:i w:val="0"/>
          <w:color w:val="666666"/>
          <w:sz w:val="32"/>
        </w:rPr>
        <w:t>aldena.extrit.by</w:t>
      </w:r>
    </w:p>
    <w:p>
      <w:pPr>
        <w:spacing w:after="80"/>
        <w:jc w:val="center"/>
      </w:pPr>
      <w:r>
        <w:rPr>
          <w:b w:val="0"/>
          <w:i w:val="0"/>
          <w:color w:val="1B1B1B"/>
          <w:sz w:val="25"/>
        </w:rPr>
        <w:t>Отчёт для согласования: разделы, подразделы и страницы</w:t>
      </w:r>
    </w:p>
    <w:p>
      <w:pPr>
        <w:spacing w:after="800"/>
        <w:jc w:val="center"/>
      </w:pPr>
      <w:r>
        <w:rPr>
          <w:b w:val="0"/>
          <w:i w:val="0"/>
          <w:color w:val="666666"/>
          <w:sz w:val="22"/>
        </w:rPr>
        <w:t>ООО «Алдена Групп»</w:t>
      </w:r>
    </w:p>
    <w:p>
      <w:pPr>
        <w:spacing w:after="40"/>
        <w:jc w:val="center"/>
      </w:pPr>
      <w:r>
        <w:rPr>
          <w:b w:val="0"/>
          <w:i w:val="0"/>
          <w:color w:val="666666"/>
          <w:sz w:val="21"/>
        </w:rPr>
        <w:t>Дата: 20.07.2026</w:t>
      </w:r>
    </w:p>
    <w:p>
      <w:pPr>
        <w:spacing w:after="120"/>
        <w:jc w:val="center"/>
      </w:pPr>
      <w:r>
        <w:rPr>
          <w:b w:val="0"/>
          <w:i w:val="0"/>
          <w:color w:val="666666"/>
          <w:sz w:val="21"/>
        </w:rPr>
        <w:t>Всего страниц в проекте: 117</w:t>
      </w:r>
    </w:p>
    <w:p>
      <w:r>
        <w:br w:type="page"/>
      </w:r>
    </w:p>
    <w:p>
      <w:pPr>
        <w:pStyle w:val="Heading1"/>
      </w:pPr>
      <w:r>
        <w:t>1. Коротко о структуре</w:t>
      </w:r>
    </w:p>
    <w:p>
      <w:pPr>
        <w:spacing w:after="120"/>
      </w:pPr>
      <w:r>
        <w:rPr>
          <w:b w:val="0"/>
          <w:i w:val="0"/>
          <w:color w:val="1B1B1B"/>
          <w:sz w:val="21"/>
        </w:rPr>
        <w:t>Сайт построен по трём коммерческим разделам — по трём типам спроса. Это ключевое решение структуры, всё остальное подчинено ему.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041"/>
            <w:shd w:val="clear" w:color="auto" w:fill="B24A2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Раздел</w:t>
            </w:r>
          </w:p>
        </w:tc>
        <w:tc>
          <w:tcPr>
            <w:tcW w:type="dxa" w:w="3061"/>
            <w:shd w:val="clear" w:color="auto" w:fill="B24A2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Запрос клиента</w:t>
            </w:r>
          </w:p>
        </w:tc>
        <w:tc>
          <w:tcPr>
            <w:tcW w:type="dxa" w:w="4535"/>
            <w:shd w:val="clear" w:color="auto" w:fill="B24A2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Что внутри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20"/>
              </w:rPr>
              <w:t>Производство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20"/>
              </w:rPr>
              <w:t>«Изготовьте под мой проект»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20"/>
              </w:rPr>
              <w:t>5 направлений → 27 подкатегорий → карточки изделий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20"/>
              </w:rPr>
              <w:t>Готовые решения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20"/>
              </w:rPr>
              <w:t>«Продайте готовое, с ценой и сроком»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20"/>
              </w:rPr>
              <w:t>11 каталогов типовых изделий с ценами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20"/>
              </w:rPr>
              <w:t>Услуги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20"/>
              </w:rPr>
              <w:t>«Выполните операцию»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20"/>
              </w:rPr>
              <w:t>8 отдельных услуг, без подуровней</w:t>
            </w:r>
          </w:p>
        </w:tc>
      </w:tr>
    </w:tbl>
    <w:p>
      <w:pPr>
        <w:spacing w:after="120"/>
      </w:pPr>
      <w:r>
        <w:rPr>
          <w:b w:val="0"/>
          <w:i w:val="0"/>
          <w:color w:val="1B1B1B"/>
          <w:sz w:val="21"/>
        </w:rPr>
      </w:r>
    </w:p>
    <w:p>
      <w:pPr>
        <w:spacing w:after="240"/>
      </w:pPr>
      <w:r>
        <w:rPr>
          <w:b w:val="0"/>
          <w:i w:val="0"/>
          <w:color w:val="1B1B1B"/>
          <w:sz w:val="21"/>
        </w:rPr>
        <w:t>Плюс информационный блок «О компании» (7 пунктов), «Контакты» и главная страница.</w:t>
      </w:r>
    </w:p>
    <w:p>
      <w:pPr>
        <w:pStyle w:val="Heading2"/>
      </w:pPr>
      <w:r>
        <w:t>Ключевые цифры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B24A2B"/>
                <w:sz w:val="30"/>
              </w:rPr>
              <w:t>3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20"/>
              </w:rPr>
              <w:t>коммерческих раздела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B24A2B"/>
                <w:sz w:val="30"/>
              </w:rPr>
              <w:t>5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20"/>
              </w:rPr>
              <w:t>направлений производства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B24A2B"/>
                <w:sz w:val="30"/>
              </w:rPr>
              <w:t>27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20"/>
              </w:rPr>
              <w:t>подкатегорий производства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B24A2B"/>
                <w:sz w:val="30"/>
              </w:rPr>
              <w:t>11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20"/>
              </w:rPr>
              <w:t>каталогов готовых решений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B24A2B"/>
                <w:sz w:val="30"/>
              </w:rPr>
              <w:t>8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20"/>
              </w:rPr>
              <w:t>услуг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B24A2B"/>
                <w:sz w:val="30"/>
              </w:rPr>
              <w:t>117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20"/>
              </w:rPr>
              <w:t>HTML-страниц всего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B24A2B"/>
                <w:sz w:val="30"/>
              </w:rPr>
              <w:t>67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20"/>
              </w:rPr>
              <w:t>страниц в утверждённом дизайне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B24A2B"/>
                <w:sz w:val="30"/>
              </w:rPr>
              <w:t>50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20"/>
              </w:rPr>
              <w:t>страниц вне его — требуют пересборки</w:t>
            </w:r>
          </w:p>
        </w:tc>
      </w:tr>
    </w:tbl>
    <w:p>
      <w:pPr>
        <w:spacing w:after="120"/>
      </w:pPr>
      <w:r>
        <w:rPr>
          <w:b w:val="0"/>
          <w:i w:val="0"/>
          <w:color w:val="1B1B1B"/>
          <w:sz w:val="21"/>
        </w:rPr>
      </w:r>
    </w:p>
    <w:p>
      <w:pPr>
        <w:spacing w:after="40"/>
      </w:pPr>
      <w:r>
        <w:rPr>
          <w:b/>
          <w:i w:val="0"/>
          <w:color w:val="1B1B1B"/>
          <w:sz w:val="21"/>
        </w:rPr>
        <w:t>Условные обозначения в таблицах ниже:</w:t>
      </w:r>
    </w:p>
    <w:p>
      <w:pPr>
        <w:spacing w:after="40"/>
        <w:ind w:left="283"/>
      </w:pPr>
      <w:r>
        <w:rPr>
          <w:b w:val="0"/>
          <w:i w:val="0"/>
          <w:color w:val="1B1B1B"/>
          <w:sz w:val="21"/>
        </w:rPr>
        <w:t>«новый стиль» — страница собрана в утверждённом фирменном дизайне, с общим меню и хлебными крошками.</w:t>
      </w:r>
    </w:p>
    <w:p>
      <w:pPr>
        <w:spacing w:after="40"/>
        <w:ind w:left="283"/>
      </w:pPr>
      <w:r>
        <w:rPr>
          <w:b w:val="0"/>
          <w:i w:val="0"/>
          <w:color w:val="1B1B1B"/>
          <w:sz w:val="21"/>
        </w:rPr>
        <w:t>«другой шаблон» — страница осталась в промежуточном оформлении (оранжевая тема, другие шрифты, нет общего меню). Требует пересборки — таких 47.</w:t>
      </w:r>
    </w:p>
    <w:p>
      <w:pPr>
        <w:spacing w:after="40"/>
        <w:ind w:left="283"/>
      </w:pPr>
      <w:r>
        <w:rPr>
          <w:b w:val="0"/>
          <w:i w:val="0"/>
          <w:color w:val="1B1B1B"/>
          <w:sz w:val="21"/>
        </w:rPr>
        <w:t>«старая версия» — страница перенесена с прежнего сайта и ни разу не переделывалась. Таких три.</w:t>
      </w:r>
    </w:p>
    <w:p>
      <w:pPr>
        <w:spacing w:after="120"/>
        <w:ind w:left="283"/>
      </w:pPr>
      <w:r>
        <w:rPr>
          <w:b w:val="0"/>
          <w:i w:val="0"/>
          <w:color w:val="1B1B1B"/>
          <w:sz w:val="21"/>
        </w:rPr>
        <w:t>«блок» — не отдельная страница, а раздел с якорем внутри страницы категории.</w:t>
      </w:r>
    </w:p>
    <w:p>
      <w:r>
        <w:br w:type="page"/>
      </w:r>
    </w:p>
    <w:p>
      <w:pPr>
        <w:pStyle w:val="Heading1"/>
      </w:pPr>
      <w:r>
        <w:t>2. Верхний уровень — главное меню</w:t>
      </w:r>
    </w:p>
    <w:p>
      <w:pPr>
        <w:spacing w:after="120"/>
      </w:pPr>
      <w:r>
        <w:rPr>
          <w:b w:val="0"/>
          <w:i w:val="0"/>
          <w:color w:val="1B1B1B"/>
          <w:sz w:val="21"/>
        </w:rPr>
        <w:t>Меню одинаково на всех 67 страницах нового дизайна.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B24A2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Пункт меню</w:t>
            </w:r>
          </w:p>
        </w:tc>
        <w:tc>
          <w:tcPr>
            <w:tcW w:type="dxa" w:w="6576"/>
            <w:shd w:val="clear" w:color="auto" w:fill="B24A2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Подменю</w:t>
            </w:r>
          </w:p>
        </w:tc>
        <w:tc>
          <w:tcPr>
            <w:tcW w:type="dxa" w:w="1134"/>
            <w:shd w:val="clear" w:color="auto" w:fill="B24A2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Кол-во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20"/>
              </w:rPr>
              <w:t>О компании</w:t>
            </w:r>
          </w:p>
        </w:tc>
        <w:tc>
          <w:tcPr>
            <w:tcW w:type="dxa" w:w="65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Сертификаты · Отзывы · Реквизиты · Портфолио · Производственные мощности · Новости · Карьера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20"/>
              </w:rPr>
              <w:t>7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20"/>
              </w:rPr>
              <w:t>Производство</w:t>
            </w:r>
          </w:p>
        </w:tc>
        <w:tc>
          <w:tcPr>
            <w:tcW w:type="dxa" w:w="65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Металлоконструкции · Изделия из нержавеющей стали · Архитектурные стеклянные конструкции · Быстровозводимые здания · Строительство под ключ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20"/>
              </w:rPr>
              <w:t>5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20"/>
              </w:rPr>
              <w:t>Готовые решения</w:t>
            </w:r>
          </w:p>
        </w:tc>
        <w:tc>
          <w:tcPr>
            <w:tcW w:type="dxa" w:w="65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Остановочные павильоны · Торговые павильоны · Велопарковки · Контейнеры для ТБО · Кабины для курения · Навесы для ТБО · Козырьки · Малые архитектурные формы · Контрольно-пропускные пункты · Бытовки · Беседки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20"/>
              </w:rPr>
              <w:t>11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20"/>
              </w:rPr>
              <w:t>Услуги</w:t>
            </w:r>
          </w:p>
        </w:tc>
        <w:tc>
          <w:tcPr>
            <w:tcW w:type="dxa" w:w="65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Проектирование · Лазерная резка · Лазерная сварка · Сварочные работы · Безвоздушная покраска · Огнезащита · Раскрой металла · Строительно-монтажные работы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20"/>
              </w:rPr>
              <w:t>8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20"/>
              </w:rPr>
              <w:t>Контакты</w:t>
            </w:r>
          </w:p>
        </w:tc>
        <w:tc>
          <w:tcPr>
            <w:tcW w:type="dxa" w:w="65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без подменю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20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20"/>
              </w:rPr>
              <w:t>Телефон</w:t>
            </w:r>
          </w:p>
        </w:tc>
        <w:tc>
          <w:tcPr>
            <w:tcW w:type="dxa" w:w="65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Отдел продаж · Отдел снабжения · Отдел ПТО · Конструкторский отдел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20"/>
              </w:rPr>
              <w:t>4</w:t>
            </w:r>
          </w:p>
        </w:tc>
      </w:tr>
    </w:tbl>
    <w:p>
      <w:pPr>
        <w:spacing w:after="120"/>
      </w:pPr>
      <w:r>
        <w:rPr>
          <w:b w:val="0"/>
          <w:i w:val="0"/>
          <w:color w:val="1B1B1B"/>
          <w:sz w:val="21"/>
        </w:rPr>
      </w:r>
    </w:p>
    <w:p>
      <w:pPr>
        <w:spacing w:after="120"/>
      </w:pPr>
      <w:r>
        <w:rPr>
          <w:b w:val="0"/>
          <w:i w:val="0"/>
          <w:color w:val="A8322B"/>
          <w:sz w:val="20"/>
        </w:rPr>
        <w:t>Требует решения: пункты «Отзывы» и «Новости» в меню есть, но ссылки не заданы — на всех 67 страницах они ведут «в никуда».</w:t>
      </w:r>
    </w:p>
    <w:p>
      <w:r>
        <w:br w:type="page"/>
      </w:r>
    </w:p>
    <w:p>
      <w:pPr>
        <w:pStyle w:val="Heading1"/>
      </w:pPr>
      <w:r>
        <w:t>3. Раздел «Производство»</w:t>
      </w:r>
    </w:p>
    <w:p>
      <w:pPr>
        <w:spacing w:after="120"/>
      </w:pPr>
      <w:r>
        <w:rPr>
          <w:b w:val="0"/>
          <w:i w:val="0"/>
          <w:color w:val="1B1B1B"/>
          <w:sz w:val="21"/>
        </w:rPr>
        <w:t>Хаб раздела → 5 направлений → подкатегории → посадочные страницы и карточки изделий.</w:t>
      </w:r>
    </w:p>
    <w:p>
      <w:pPr>
        <w:pStyle w:val="Heading2"/>
      </w:pPr>
      <w:r>
        <w:t>3.1. Металлоконструкции — 10 подкатегорий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567"/>
            <w:shd w:val="clear" w:color="auto" w:fill="7A6A5A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№</w:t>
            </w:r>
          </w:p>
        </w:tc>
        <w:tc>
          <w:tcPr>
            <w:tcW w:type="dxa" w:w="2835"/>
            <w:shd w:val="clear" w:color="auto" w:fill="7A6A5A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Подкатегория</w:t>
            </w:r>
          </w:p>
        </w:tc>
        <w:tc>
          <w:tcPr>
            <w:tcW w:type="dxa" w:w="4535"/>
            <w:shd w:val="clear" w:color="auto" w:fill="7A6A5A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Что внутри</w:t>
            </w:r>
          </w:p>
        </w:tc>
        <w:tc>
          <w:tcPr>
            <w:tcW w:type="dxa" w:w="1701"/>
            <w:shd w:val="clear" w:color="auto" w:fill="7A6A5A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Статус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1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Каркасы зданий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Блоки: промышленных · складских · административных зданий · усиление существующих конструкций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2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Фермы стропильные и подстропильные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Отдельная страница (собственный спрос)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3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Элементы каркаса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Блоки: колонны · балки и прогоны · связи и распорки · закладные детали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4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Лестницы металлические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6 страниц по сериям: маршевые (ЛГФ/ЛГВ/ЛГР/ЛХФ/ЛХВ/ЛХР) · вертикальные (СХ, СГ) · площадки · ограждения к лестницам · стремянки · комплекты 1.450.3. Карточка изделия: лестница 1.460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5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Ограждения, перила, поручни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6 страниц: лестничные внутренние · лестничные наружные · перила общественных зданий · поручни настенные и МГН · ограждения кровли · балконов и террас. Карточка: металлические ограждения и перила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6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Козырьки на стальном каркасе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Блоки: входных групп · консольные · с опорами · с поликарбонатом и стеклом · архитектурные индивидуальные. Посадочная: козырьки входных групп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7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Заборы и ограждающие конструкции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6 страниц: ворота распашные и откатные · секционные заборы · ограждения промышленных объектов · профнастил · 3D-сетка · калитки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8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Навесы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5 страниц: для автомобилей · складские · над входами · производственные · модульные системы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9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Рампы разгрузочные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5 страниц: стационарные · мобильные · эстакады · пандусы · платформы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10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Индивидуальные изделия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По чертежам заказчика · нестандартные · декоративные · каркасы оборудования · закладные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</w:tbl>
    <w:p>
      <w:pPr>
        <w:pStyle w:val="Heading2"/>
      </w:pPr>
      <w:r>
        <w:t>3.2. Изделия из нержавеющей стали — 6 подкатегорий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567"/>
            <w:shd w:val="clear" w:color="auto" w:fill="7A6A5A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№</w:t>
            </w:r>
          </w:p>
        </w:tc>
        <w:tc>
          <w:tcPr>
            <w:tcW w:type="dxa" w:w="2835"/>
            <w:shd w:val="clear" w:color="auto" w:fill="7A6A5A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Подкатегория</w:t>
            </w:r>
          </w:p>
        </w:tc>
        <w:tc>
          <w:tcPr>
            <w:tcW w:type="dxa" w:w="4535"/>
            <w:shd w:val="clear" w:color="auto" w:fill="7A6A5A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Что внутри</w:t>
            </w:r>
          </w:p>
        </w:tc>
        <w:tc>
          <w:tcPr>
            <w:tcW w:type="dxa" w:w="1701"/>
            <w:shd w:val="clear" w:color="auto" w:fill="7A6A5A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Статус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1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Металлоконструкции из нержавейки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Каркасы · пищевые и химические производства · коррозионно-стойкие опоры · фермы и балки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2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Лестницы и технологические площадки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Лестницы · площадки обслуживания · решётчатый настил · переходные мостики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3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Ограждения, перила, поручни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Ограждения · перила со стеклом · поручни общественных зон · бассейны и SPA · пищевые зоны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4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Козырьки из нержавеющей стали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Со стеклом · архитектурные · входных групп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5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Резервуары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Вода и техжидкости · пищевые · баки накопительные · реакторы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6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Стеллажи и столы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Столы производственные · стеллажи · моечные ванны · тележки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</w:tbl>
    <w:p>
      <w:pPr>
        <w:spacing w:after="120"/>
      </w:pPr>
      <w:r>
        <w:rPr>
          <w:b w:val="0"/>
          <w:i/>
          <w:color w:val="666666"/>
          <w:sz w:val="19"/>
        </w:rPr>
        <w:t>Индивидуальные изделия из нержавейки — блок на странице направления, отдельной страницы нет (в ТЗ была запланирована седьмая подкатегория).</w:t>
      </w:r>
    </w:p>
    <w:p>
      <w:pPr>
        <w:pStyle w:val="Heading2"/>
      </w:pPr>
      <w:r>
        <w:t>3.3. Архитектурные стеклянные конструкции — 4 подкатегории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567"/>
            <w:shd w:val="clear" w:color="auto" w:fill="7A6A5A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№</w:t>
            </w:r>
          </w:p>
        </w:tc>
        <w:tc>
          <w:tcPr>
            <w:tcW w:type="dxa" w:w="2835"/>
            <w:shd w:val="clear" w:color="auto" w:fill="7A6A5A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Подкатегория</w:t>
            </w:r>
          </w:p>
        </w:tc>
        <w:tc>
          <w:tcPr>
            <w:tcW w:type="dxa" w:w="4535"/>
            <w:shd w:val="clear" w:color="auto" w:fill="7A6A5A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Что внутри</w:t>
            </w:r>
          </w:p>
        </w:tc>
        <w:tc>
          <w:tcPr>
            <w:tcW w:type="dxa" w:w="1701"/>
            <w:shd w:val="clear" w:color="auto" w:fill="7A6A5A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Статус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1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Козырьки стеклянные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На тягах · консольные · на металлокаркасе · безопасное стекло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2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Ограждения стеклянные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Безрамные · точечные кронштейны · стойки с поручнем · профильные системы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3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Перегородки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Офисные · торговые · цельностеклянные · раздвижные · матовое и тонированное стекло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4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Навесы стеклянные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Навесы · комбинированные · перекрытия и атриумы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</w:tbl>
    <w:p>
      <w:pPr>
        <w:pStyle w:val="Heading2"/>
      </w:pPr>
      <w:r>
        <w:t>3.4. Быстровозводимые здания — 4 подкатегории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567"/>
            <w:shd w:val="clear" w:color="auto" w:fill="7A6A5A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№</w:t>
            </w:r>
          </w:p>
        </w:tc>
        <w:tc>
          <w:tcPr>
            <w:tcW w:type="dxa" w:w="2835"/>
            <w:shd w:val="clear" w:color="auto" w:fill="7A6A5A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Подкатегория</w:t>
            </w:r>
          </w:p>
        </w:tc>
        <w:tc>
          <w:tcPr>
            <w:tcW w:type="dxa" w:w="4535"/>
            <w:shd w:val="clear" w:color="auto" w:fill="7A6A5A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Что внутри</w:t>
            </w:r>
          </w:p>
        </w:tc>
        <w:tc>
          <w:tcPr>
            <w:tcW w:type="dxa" w:w="1701"/>
            <w:shd w:val="clear" w:color="auto" w:fill="7A6A5A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Статус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1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Ангары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Арочные · каркасные холодные · утеплённые сэндвич · с мостовыми кранами · под ключ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2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Производственные здания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Цеха · заводские комплексы · склады · логистические центры · пристройки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3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Торговые помещения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Залы и магазины · торговые центры · шоурумы · рынки · автосалоны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4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Модульные здания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Офисы · бытовые комплексы · временные · блок-контейнеры · диспетчерские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</w:tbl>
    <w:p>
      <w:pPr>
        <w:pStyle w:val="Heading2"/>
      </w:pPr>
      <w:r>
        <w:t>3.5. Строительство под ключ — 3 подкатегории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567"/>
            <w:shd w:val="clear" w:color="auto" w:fill="7A6A5A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№</w:t>
            </w:r>
          </w:p>
        </w:tc>
        <w:tc>
          <w:tcPr>
            <w:tcW w:type="dxa" w:w="2835"/>
            <w:shd w:val="clear" w:color="auto" w:fill="7A6A5A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Подкатегория</w:t>
            </w:r>
          </w:p>
        </w:tc>
        <w:tc>
          <w:tcPr>
            <w:tcW w:type="dxa" w:w="4535"/>
            <w:shd w:val="clear" w:color="auto" w:fill="7A6A5A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Что внутри</w:t>
            </w:r>
          </w:p>
        </w:tc>
        <w:tc>
          <w:tcPr>
            <w:tcW w:type="dxa" w:w="1701"/>
            <w:shd w:val="clear" w:color="auto" w:fill="7A6A5A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Статус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1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Генподрядные работы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Полный цикл · EPC · реконструкция и расширение · управление проектом · сдача в эксплуатацию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2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Монтаж металлоконструкций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Каркасы · лестницы и площадки · ограждения · козырьки и навесы · высотные работы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3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Монтаж лёгких ограждающих конструкций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Сэндвич-панели · профнастил · витражи и фасады · кровля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</w:tbl>
    <w:p>
      <w:r>
        <w:br w:type="page"/>
      </w:r>
    </w:p>
    <w:p>
      <w:pPr>
        <w:pStyle w:val="Heading1"/>
      </w:pPr>
      <w:r>
        <w:t>4. Раздел «Готовые решения»</w:t>
      </w:r>
    </w:p>
    <w:p>
      <w:pPr>
        <w:spacing w:after="120"/>
      </w:pPr>
      <w:r>
        <w:rPr>
          <w:b w:val="0"/>
          <w:i w:val="0"/>
          <w:color w:val="1B1B1B"/>
          <w:sz w:val="21"/>
        </w:rPr>
        <w:t>Типовые изделия с фиксированной ценой и сроком поставки. Внутри каждой страницы — карточки моделей. Два формата подачи: каталог-сетка с фильтром (для позиций с большим ассортиментом) и страница с сериями моделей.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10"/>
            <w:shd w:val="clear" w:color="auto" w:fill="B24A2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№</w:t>
            </w:r>
          </w:p>
        </w:tc>
        <w:tc>
          <w:tcPr>
            <w:tcW w:type="dxa" w:w="2381"/>
            <w:shd w:val="clear" w:color="auto" w:fill="B24A2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Изделие</w:t>
            </w:r>
          </w:p>
        </w:tc>
        <w:tc>
          <w:tcPr>
            <w:tcW w:type="dxa" w:w="4195"/>
            <w:shd w:val="clear" w:color="auto" w:fill="B24A2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Модели внутри</w:t>
            </w:r>
          </w:p>
        </w:tc>
        <w:tc>
          <w:tcPr>
            <w:tcW w:type="dxa" w:w="1134"/>
            <w:shd w:val="clear" w:color="auto" w:fill="B24A2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Формат</w:t>
            </w:r>
          </w:p>
        </w:tc>
        <w:tc>
          <w:tcPr>
            <w:tcW w:type="dxa" w:w="1417"/>
            <w:shd w:val="clear" w:color="auto" w:fill="B24A2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Статус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Остановочные павильоны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Серии City Line · City Console · City Base + таблица всех моделей, брендирование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серии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2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Торговые павильоны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Серии Prefab City · Prefab Modern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серии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3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Велопарковки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9 моделей в каталоге-сетке с фильтром и быстрым просмотром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каталог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4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Контейнеры для ТБО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Бункер БН-8, адаптация и дооснащение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серии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5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Кабины для курения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Модель Aureo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серии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6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Навесы для ТБО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N8 — закрытый блок · Project — открытый навес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серии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7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Козырьки (типовые)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8 моделей в каталоге-сетке. Противопоставлены заказным козырькам из раздела «Производство»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каталог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8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Малые архитектурные формы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9 моделей: скамейки, урны, вазоны, перголы, арт-объекты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каталог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9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Контрольно-пропускные пункты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6 моделей постов и КПП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каталог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10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Бытовки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Бытовка BL1, варианты исполнения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серии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11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Беседки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Модели «Тетрис» и «Октагон»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серии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</w:tbl>
    <w:p>
      <w:pPr>
        <w:spacing w:after="120"/>
      </w:pPr>
      <w:r>
        <w:rPr>
          <w:b w:val="0"/>
          <w:i w:val="0"/>
          <w:color w:val="1B1B1B"/>
          <w:sz w:val="21"/>
        </w:rPr>
      </w:r>
    </w:p>
    <w:p>
      <w:pPr>
        <w:spacing w:after="120"/>
      </w:pPr>
      <w:r>
        <w:rPr>
          <w:b w:val="0"/>
          <w:i w:val="0"/>
          <w:color w:val="A8322B"/>
          <w:sz w:val="20"/>
        </w:rPr>
        <w:t>«Беседки» — одиннадцатая позиция, добавлена сверх десяти, утверждённых в техническом задании. Нужно подтвердить, что позиция остаётся.</w:t>
      </w:r>
    </w:p>
    <w:p>
      <w:pPr>
        <w:pStyle w:val="Heading1"/>
      </w:pPr>
      <w:r>
        <w:t>5. Раздел «Услуги»</w:t>
      </w:r>
    </w:p>
    <w:p>
      <w:pPr>
        <w:spacing w:after="120"/>
      </w:pPr>
      <w:r>
        <w:rPr>
          <w:b w:val="0"/>
          <w:i w:val="0"/>
          <w:color w:val="1B1B1B"/>
          <w:sz w:val="21"/>
        </w:rPr>
        <w:t>8 услуг одним уровнем, без подразделов. Каждая — отдельная страница.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510"/>
            <w:shd w:val="clear" w:color="auto" w:fill="B24A2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№</w:t>
            </w:r>
          </w:p>
        </w:tc>
        <w:tc>
          <w:tcPr>
            <w:tcW w:type="dxa" w:w="2608"/>
            <w:shd w:val="clear" w:color="auto" w:fill="B24A2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Услуга</w:t>
            </w:r>
          </w:p>
        </w:tc>
        <w:tc>
          <w:tcPr>
            <w:tcW w:type="dxa" w:w="4819"/>
            <w:shd w:val="clear" w:color="auto" w:fill="B24A2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Состав</w:t>
            </w:r>
          </w:p>
        </w:tc>
        <w:tc>
          <w:tcPr>
            <w:tcW w:type="dxa" w:w="1701"/>
            <w:shd w:val="clear" w:color="auto" w:fill="B24A2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Статус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Проектирование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КМ, КМД, 3D, BIM, расчёты нагрузок, авторский надзор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Лазерная резка металла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Лист, нержавейка, DXF/DWG, серийная и единичная резка, гравировка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Лазерная сварка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Тонколист, нержавейка, сложные соединения, декоративные швы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Сварочные работы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MIG/MAG, аргонодуговая, по чертежам, трубные конструкции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Безвоздушная покраска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Грунтование, антикоррозийные составы, полимерная окраска, RAL, выезд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Огнезащита конструкций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Вспучивающиеся покрытия, штукатурки, обёртывание, документация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Раскрой металла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Ленточные пилы, трубы и профиль, торцовка, серийный и единичный раскрой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B1B1B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Строительно-монтажные работы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Страница-агрегатор: ссылается на монтаж МК и монтаж ЛОК из «Строительства под ключ»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</w:tbl>
    <w:p>
      <w:pPr>
        <w:pStyle w:val="Heading1"/>
      </w:pPr>
      <w:r>
        <w:t>6. «О компании», контакты и служебные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B24A2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Страница</w:t>
            </w:r>
          </w:p>
        </w:tc>
        <w:tc>
          <w:tcPr>
            <w:tcW w:type="dxa" w:w="5102"/>
            <w:shd w:val="clear" w:color="auto" w:fill="B24A2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Содержание</w:t>
            </w:r>
          </w:p>
        </w:tc>
        <w:tc>
          <w:tcPr>
            <w:tcW w:type="dxa" w:w="1701"/>
            <w:shd w:val="clear" w:color="auto" w:fill="B24A2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Статус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О компании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Кто мы · ценности · возможности · команда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Сертификаты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Документы и соответствие стандартам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Отзывы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Ссылка в меню не задана — страницы нет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A8322B"/>
                <w:sz w:val="18"/>
              </w:rPr>
              <w:t>нет страницы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Реквизиты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Юридические и банковские реквизиты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Портфолио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Кейсы и реализованные объекты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Производственные мощности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Цех, станки, оборудование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Новости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Ссылка в меню не задана; страница новостей существует, но в меню не подключена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A8322B"/>
                <w:sz w:val="18"/>
              </w:rPr>
              <w:t>старая версия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Карьера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Вакансии, работа в Aldena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Команда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Страница есть, но в меню не выведена — доступна только со страницы «О компании»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A8322B"/>
                <w:sz w:val="18"/>
              </w:rPr>
              <w:t>старая версия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Контакты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Адрес, телефоны отделов, форма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1B1B"/>
                <w:sz w:val="19"/>
              </w:rPr>
              <w:t>Главная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1B1B"/>
                <w:sz w:val="18"/>
              </w:rPr>
              <w:t>Витрина: направления, команда, сертификаты, партнёры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6B3A"/>
                <w:sz w:val="18"/>
              </w:rPr>
              <w:t>новый стиль</w:t>
            </w:r>
          </w:p>
        </w:tc>
      </w:tr>
    </w:tbl>
    <w:p>
      <w:r>
        <w:br w:type="page"/>
      </w:r>
    </w:p>
    <w:p>
      <w:pPr>
        <w:pStyle w:val="Heading1"/>
      </w:pPr>
      <w:r>
        <w:t>7. Что требует решения</w:t>
      </w:r>
    </w:p>
    <w:p>
      <w:pPr>
        <w:spacing w:after="120"/>
      </w:pPr>
      <w:r>
        <w:rPr>
          <w:b w:val="0"/>
          <w:i w:val="0"/>
          <w:color w:val="1B1B1B"/>
          <w:sz w:val="21"/>
        </w:rPr>
        <w:t>Пять пунктов, по которым нужна позиция руководителя. Они не меняют логику структуры, но определяют объём оставшихся работ.</w:t>
      </w:r>
    </w:p>
    <w:p>
      <w:pPr>
        <w:pStyle w:val="Heading3"/>
      </w:pPr>
      <w:r>
        <w:t>1. Вне утверждённого дизайна — 50 страниц из 117</w:t>
      </w:r>
    </w:p>
    <w:p>
      <w:pPr>
        <w:spacing w:after="200"/>
      </w:pPr>
      <w:r>
        <w:rPr>
          <w:b w:val="0"/>
          <w:i w:val="0"/>
          <w:color w:val="1B1B1B"/>
          <w:sz w:val="20"/>
        </w:rPr>
        <w:t>Верхние два уровня (главная, разделы, направления, категории, готовые решения, услуги) собраны в новом фирменном стиле — это 67 страниц. А весь третий уровень, страницы конкретных изделий (калитки, стремянки, пандусы, навесы для автомобилей и т. д.), остался в промежуточном оформлении: другая цветовая схема, другие шрифты и, главное, нет общего меню сайта — посетитель, попав на такую страницу из поиска, теряет навигацию. Таких страниц 47. Ещё три — «Команда», «Новости» и «Металлоконструкции для зданий» — перенесены с прежнего сайта без переделки. Решение: пересобрать все 50 в утверждённом дизайне.</w:t>
      </w:r>
    </w:p>
    <w:p>
      <w:pPr>
        <w:pStyle w:val="Heading3"/>
      </w:pPr>
      <w:r>
        <w:t>2. 10 страниц не связаны с сайтом</w:t>
      </w:r>
    </w:p>
    <w:p>
      <w:pPr>
        <w:spacing w:after="200"/>
      </w:pPr>
      <w:r>
        <w:rPr>
          <w:b w:val="0"/>
          <w:i w:val="0"/>
          <w:color w:val="1B1B1B"/>
          <w:sz w:val="20"/>
        </w:rPr>
        <w:t>Страницы существуют, но на них не ведёт ни одна ссылка — открыть можно только по прямому адресу, и поиск их почти наверняка не покажет. Это четыре страницы козырьков (консольные, с опорами, с поликарбонатом и стеклом, архитектурные индивидуальные) и карточка «Козырёк на стальном каркасе»; а также декоративные металлоконструкции, закладные детали, каркасы оборудования, нестандартные конструкции и металлоизделия по чертежам заказчика. Содержательно они дублируют блоки внутри страниц «Козырьки на стальном каркасе», «Элементы каркаса» и «Индивидуальные изделия». Решение: либо подключить ссылками как самостоятельные страницы, либо удалить, оставив блоки.</w:t>
      </w:r>
    </w:p>
    <w:p>
      <w:pPr>
        <w:pStyle w:val="Heading3"/>
      </w:pPr>
      <w:r>
        <w:t>3. Два пункта меню ведут «в никуда»</w:t>
      </w:r>
    </w:p>
    <w:p>
      <w:pPr>
        <w:spacing w:after="200"/>
      </w:pPr>
      <w:r>
        <w:rPr>
          <w:b w:val="0"/>
          <w:i w:val="0"/>
          <w:color w:val="1B1B1B"/>
          <w:sz w:val="20"/>
        </w:rPr>
        <w:t>«Отзывы» и «Новости» присутствуют в выпадающем меню «О компании» на всех 67 страницах, но ссылка не задана. Страница новостей при этом существует. Решение: подключить или убрать из меню.</w:t>
      </w:r>
    </w:p>
    <w:p>
      <w:pPr>
        <w:pStyle w:val="Heading3"/>
      </w:pPr>
      <w:r>
        <w:t>4. Дубли страниц</w:t>
      </w:r>
    </w:p>
    <w:p>
      <w:pPr>
        <w:spacing w:after="200"/>
      </w:pPr>
      <w:r>
        <w:rPr>
          <w:b w:val="0"/>
          <w:i w:val="0"/>
          <w:color w:val="1B1B1B"/>
          <w:sz w:val="20"/>
        </w:rPr>
        <w:t>Две позиции готовых решений существуют в двух версиях каждая — «Остановочные павильоны» и «Контейнеры для ТБО» были сделаны в двух вариантах для сравнения подачи. Отдельно лежит страница «Металлоконструкции для зданий» — оглавление прежней версии сайта со ссылками на 44 страницы; сейчас её роль выполняют «Каркасы зданий» и «Элементы каркаса». Решение: подтвердить основной вариант по павильонам и контейнерам, остальное удалить.</w:t>
      </w:r>
    </w:p>
    <w:p>
      <w:pPr>
        <w:pStyle w:val="Heading3"/>
      </w:pPr>
      <w:r>
        <w:t>5. Старая версия сайта в проекте</w:t>
      </w:r>
    </w:p>
    <w:p>
      <w:pPr>
        <w:spacing w:after="200"/>
      </w:pPr>
      <w:r>
        <w:rPr>
          <w:b w:val="0"/>
          <w:i w:val="0"/>
          <w:color w:val="1B1B1B"/>
          <w:sz w:val="20"/>
        </w:rPr>
        <w:t>В папках proizvodstvo, o-kompanii и novosti лежат 37 файлов прежней версии сайта. Они не используются, но занимают место и путают. Решение: удалить после подтверждения.</w:t>
      </w:r>
    </w:p>
    <w:p>
      <w:pPr>
        <w:spacing w:after="200"/>
        <w:pBdr>
          <w:bottom w:val="single" w:sz="6" w:color="C8BEB2"/>
        </w:pBdr>
      </w:pPr>
    </w:p>
    <w:p>
      <w:pPr>
        <w:pStyle w:val="Heading2"/>
      </w:pPr>
      <w:r>
        <w:t>Что структура закрывает уже сейчас</w:t>
      </w:r>
    </w:p>
    <w:p>
      <w:pPr>
        <w:spacing w:after="120"/>
      </w:pPr>
      <w:r>
        <w:rPr>
          <w:b w:val="0"/>
          <w:i w:val="0"/>
          <w:color w:val="1B1B1B"/>
          <w:sz w:val="21"/>
        </w:rPr>
        <w:t>Три раздела верхнего уровня разведены по типу спроса, дублирования между ними нет. Пять направлений производства и 27 подкатегорий покрывают весь ассортимент. Готовые решения и услуги полностью соответствуют утверждённому перечню. Между разделами выстроены перекрёстные ссылки: категория ведёт на связанные услуги, на аналог из другого материала (сталь — нержавейка — стекло) и на готовое решение той же тематики.</w:t>
      </w:r>
    </w:p>
    <w:sectPr w:rsidR="00FC693F" w:rsidRPr="0006063C" w:rsidSect="00034616">
      <w:pgSz w:w="11906" w:h="16838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B1B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B24A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B1B1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B1B1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