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ТАБЕЛЬ учёта использования рабочего времени</w:t>
      </w:r>
    </w:p>
    <w:p>
      <w:r>
        <w:rPr>
          <w:rFonts w:ascii="Times New Roman" w:hAnsi="Times New Roman"/>
          <w:b/>
        </w:rPr>
        <w:t>Отдел:</w:t>
      </w:r>
      <w:r>
        <w:rPr>
          <w:rFonts w:ascii="Times New Roman" w:hAnsi="Times New Roman"/>
        </w:rPr>
        <w:t xml:space="preserve"> проектно-конструкторский отдел · </w:t>
      </w:r>
      <w:r>
        <w:rPr>
          <w:rFonts w:ascii="Times New Roman" w:hAnsi="Times New Roman"/>
          <w:b/>
        </w:rPr>
        <w:t>Организация:</w:t>
      </w:r>
      <w:r>
        <w:rPr>
          <w:rFonts w:ascii="Times New Roman" w:hAnsi="Times New Roman"/>
        </w:rPr>
        <w:t xml:space="preserve"> ООО «АльденаГрупп»</w:t>
      </w:r>
    </w:p>
    <w:p>
      <w:r>
        <w:rPr>
          <w:rFonts w:ascii="Times New Roman" w:hAnsi="Times New Roman"/>
          <w:b/>
        </w:rPr>
        <w:t>Месяц:</w:t>
      </w:r>
      <w:r>
        <w:rPr>
          <w:rFonts w:ascii="Times New Roman" w:hAnsi="Times New Roman"/>
        </w:rPr>
        <w:t xml:space="preserve"> ____________ 2026 г. · </w:t>
      </w:r>
      <w:r>
        <w:rPr>
          <w:rFonts w:ascii="Times New Roman" w:hAnsi="Times New Roman"/>
          <w:b/>
        </w:rPr>
        <w:t>Ответственный (табельщик):</w:t>
      </w:r>
      <w:r>
        <w:rPr>
          <w:rFonts w:ascii="Times New Roman" w:hAnsi="Times New Roman"/>
        </w:rPr>
        <w:t xml:space="preserve"> Иванюк В.С.</w:t>
      </w:r>
    </w:p>
    <w:p>
      <w:r>
        <w:rPr>
          <w:rFonts w:ascii="Times New Roman" w:hAnsi="Times New Roman"/>
          <w:b/>
          <w:sz w:val="26"/>
        </w:rPr>
        <w:t>Условные обозначения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явка (отработано, час)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трудовой отпуск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выходной/праздничный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Б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временная нетрудоспособность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К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служебная командировка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ОЗ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отпуск без сохранения з/п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сверхурочные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НН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неявка по невыясненным причинам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прогул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гособязанности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Табель (дни 1–15)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blHeader w:val="true"/>
        </w:trPr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ФИО, должность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5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6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7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8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9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10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13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14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2"/>
              </w:rPr>
              <w:t>15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Иванюк В.С., вед. инж.-констр.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Шука А.С., инж.-констр.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Горбач Д.О., архитектор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567"/>
          </w:tcPr>
          <w:p>
            <w:r>
              <w:rPr>
                <w:rFonts w:ascii="Times New Roman" w:hAnsi="Times New Roman"/>
                <w:sz w:val="22"/>
              </w:rPr>
              <w:t>[Конструктор 2], инж.-констр.</w:t>
            </w:r>
          </w:p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  <w:tc>
          <w:tcPr>
            <w:tcW w:type="dxa" w:w="567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Табель (дни 16–31)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tblHeader w:val="true"/>
        </w:trPr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16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17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18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19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20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21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22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23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24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25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26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27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28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29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30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b/>
                <w:sz w:val="22"/>
              </w:rPr>
              <w:t>31</w:t>
            </w:r>
          </w:p>
        </w:tc>
      </w:tr>
      <w:tr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Шука А.С.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Горбач Д.О.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  <w:tr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535"/>
          </w:tcPr>
          <w:p>
            <w:r>
              <w:rPr>
                <w:rFonts w:ascii="Times New Roman" w:hAnsi="Times New Roman"/>
                <w:sz w:val="22"/>
              </w:rPr>
              <w:t>[Конструктор 2]</w:t>
            </w:r>
          </w:p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  <w:tc>
          <w:tcPr>
            <w:tcW w:type="dxa" w:w="535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Итоги за месяц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Отработано дней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Отработано часов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Отпуск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Больничный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Неявки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Шука А.С.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Горбач Д.О.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[Конструктор 2]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</w:tbl>
    <w:p/>
    <w:p>
      <w:r>
        <w:rPr>
          <w:rFonts w:ascii="Times New Roman" w:hAnsi="Times New Roman"/>
        </w:rPr>
        <w:t>Табель составил(а): ___________________ Иванюк В.С. · «___» _______ 2026 г.</w:t>
      </w:r>
    </w:p>
    <w:p>
      <w:r>
        <w:rPr>
          <w:rFonts w:ascii="Times New Roman" w:hAnsi="Times New Roman"/>
        </w:rPr>
        <w:t>Утверждаю: заместитель директора ___________________ Д.Г. Покалюк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