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архитекторы.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техническими нормативными правовыми актами (СТБ, ГОСТ, СНБ)</w:t>
      </w:r>
    </w:p>
    <w:p>
      <w:r>
        <w:rPr>
          <w:rFonts w:ascii="Times New Roman" w:hAnsi="Times New Roman"/>
        </w:rPr>
        <w:t>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«Архитектура и строительство»,</w:t>
      </w:r>
    </w:p>
    <w:p>
      <w:r>
        <w:rPr>
          <w:rFonts w:ascii="Times New Roman" w:hAnsi="Times New Roman"/>
        </w:rPr>
        <w:t>«Промышленное и гражданское строительство» соответствующего вида</w:t>
      </w:r>
    </w:p>
    <w:p>
      <w:r>
        <w:rPr>
          <w:rFonts w:ascii="Times New Roman" w:hAnsi="Times New Roman"/>
        </w:rPr>
        <w:t>профессиональной деятельности;</w:t>
      </w:r>
    </w:p>
    <w:p>
      <w:pPr>
        <w:pStyle w:val="ListBullet"/>
      </w:pPr>
      <w:r>
        <w:rPr>
          <w:rFonts w:ascii="Times New Roman" w:hAnsi="Times New Roman"/>
        </w:rPr>
        <w:t>стаж конструкторской работы не менее 8 лет.</w:t>
      </w:r>
    </w:p>
    <w:p>
      <w:r>
        <w:rPr>
          <w:rFonts w:ascii="Times New Roman" w:hAnsi="Times New Roman"/>
        </w:rPr>
        <w:t>2.4.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1. Решение о таком назначении принимает</w:t>
      </w:r>
    </w:p>
    <w:p>
      <w:r>
        <w:rPr>
          <w:rFonts w:ascii="Times New Roman" w:hAnsi="Times New Roman"/>
        </w:rPr>
        <w:t>наниматель, учитывая уровень и профиль образования, специальные знания, деловые</w:t>
      </w:r>
    </w:p>
    <w:p>
      <w:r>
        <w:rPr>
          <w:rFonts w:ascii="Times New Roman" w:hAnsi="Times New Roman"/>
        </w:rPr>
        <w:t>качества и опыт работы по соответствующему направлению деятельности.</w:t>
      </w:r>
    </w:p>
    <w:p>
      <w:r>
        <w:rPr>
          <w:rFonts w:ascii="Times New Roman" w:hAnsi="Times New Roman"/>
        </w:rPr>
        <w:t xml:space="preserve">2.5.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соединений, проектирования и раскладки сэндвич-панелей, спецификации изделий</w:t>
      </w:r>
    </w:p>
    <w:p>
      <w:r>
        <w:rPr>
          <w:rFonts w:ascii="Times New Roman" w:hAnsi="Times New Roman"/>
        </w:rPr>
        <w:t>из древесно-полимерного композита (нащельники, водосточная система и другие</w:t>
      </w:r>
    </w:p>
    <w:p>
      <w:r>
        <w:rPr>
          <w:rFonts w:ascii="Times New Roman" w:hAnsi="Times New Roman"/>
        </w:rPr>
        <w:t>архитектурные элементы);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(Advanced Steel,</w:t>
      </w:r>
    </w:p>
    <w:p>
      <w:r>
        <w:rPr>
          <w:rFonts w:ascii="Times New Roman" w:hAnsi="Times New Roman"/>
        </w:rPr>
        <w:t>Tekla Structures, Revit, ПО для раскроя CutLogic 1D, формирование DXF для</w:t>
      </w:r>
    </w:p>
    <w:p>
      <w:r>
        <w:rPr>
          <w:rFonts w:ascii="Times New Roman" w:hAnsi="Times New Roman"/>
        </w:rPr>
        <w:t>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архитекторами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соблюдение; доводит до</w:t>
      </w:r>
    </w:p>
    <w:p>
      <w:r>
        <w:rPr>
          <w:rFonts w:ascii="Times New Roman" w:hAnsi="Times New Roman"/>
        </w:rPr>
        <w:t>работников задачи, полученные от руководства, и обеспечивает их выполнение.</w:t>
      </w:r>
    </w:p>
    <w:p>
      <w:r>
        <w:rPr>
          <w:rFonts w:ascii="Times New Roman" w:hAnsi="Times New Roman"/>
        </w:rPr>
        <w:t>3.3. Выявляет совместно с другими подразделениями информацию по объекту, перечень</w:t>
      </w:r>
    </w:p>
    <w:p>
      <w:r>
        <w:rPr>
          <w:rFonts w:ascii="Times New Roman" w:hAnsi="Times New Roman"/>
        </w:rPr>
        <w:t>исходной документации (КМ, КЖ, АР) и других данных, необходимых для качественного</w:t>
      </w:r>
    </w:p>
    <w:p>
      <w:r>
        <w:rPr>
          <w:rFonts w:ascii="Times New Roman" w:hAnsi="Times New Roman"/>
        </w:rPr>
        <w:t>и своевременного выполнения работ отдела.</w:t>
      </w:r>
    </w:p>
    <w:p>
      <w:r>
        <w:rPr>
          <w:rFonts w:ascii="Times New Roman" w:hAnsi="Times New Roman"/>
        </w:rPr>
        <w:t>3.4.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3.5.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3.6.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3.7.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3.8. </w:t>
      </w:r>
      <w:r>
        <w:rPr>
          <w:rFonts w:ascii="Times New Roman" w:hAnsi="Times New Roman"/>
          <w:b/>
        </w:rPr>
        <w:t>Проверяет и принимает (нормоконтроль)</w:t>
      </w:r>
      <w:r>
        <w:rPr>
          <w:rFonts w:ascii="Times New Roman" w:hAnsi="Times New Roman"/>
        </w:rPr>
        <w:t xml:space="preserve"> чертежи, ведомости и спецификации</w:t>
      </w:r>
    </w:p>
    <w:p>
      <w:r>
        <w:rPr>
          <w:rFonts w:ascii="Times New Roman" w:hAnsi="Times New Roman"/>
        </w:rPr>
        <w:t>перед выпуском в соответствии с Регламентом. Нормоконтроль комплектов,</w:t>
      </w:r>
    </w:p>
    <w:p>
      <w:r>
        <w:rPr>
          <w:rFonts w:ascii="Times New Roman" w:hAnsi="Times New Roman"/>
        </w:rPr>
        <w:t>разработанных лично начальником отдела, выполняет непосредственный руководитель —</w:t>
      </w:r>
    </w:p>
    <w:p>
      <w:r>
        <w:rPr>
          <w:rFonts w:ascii="Times New Roman" w:hAnsi="Times New Roman"/>
        </w:rPr>
        <w:t>заместитель директора Покалюк Д.Г.</w:t>
      </w:r>
    </w:p>
    <w:p>
      <w:r>
        <w:rPr>
          <w:rFonts w:ascii="Times New Roman" w:hAnsi="Times New Roman"/>
        </w:rPr>
        <w:t>3.9. Не допускает к выпуску документацию, не соответствующую Регламенту либо</w:t>
      </w:r>
    </w:p>
    <w:p>
      <w:r>
        <w:rPr>
          <w:rFonts w:ascii="Times New Roman" w:hAnsi="Times New Roman"/>
        </w:rPr>
        <w:t>содержащую ошибки; возвращает её на доработку с замечаниями.</w:t>
      </w:r>
    </w:p>
    <w:p>
      <w:r>
        <w:rPr>
          <w:rFonts w:ascii="Times New Roman" w:hAnsi="Times New Roman"/>
        </w:rPr>
        <w:t>3.10. Обеспечивает единообразие оформления, маркировки отправочных марок и</w:t>
      </w:r>
    </w:p>
    <w:p>
      <w:r>
        <w:rPr>
          <w:rFonts w:ascii="Times New Roman" w:hAnsi="Times New Roman"/>
        </w:rPr>
        <w:t>порядок внесения изменений в документацию.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3.11.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3.12. Оценивает квалификацию работников отдела.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3.13.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3.14.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 xml:space="preserve">3.15. Ведёт </w:t>
      </w:r>
      <w:r>
        <w:rPr>
          <w:rFonts w:ascii="Times New Roman" w:hAnsi="Times New Roman"/>
          <w:b/>
        </w:rPr>
        <w:t>рабочий журнал отдела</w:t>
      </w:r>
      <w:r>
        <w:rPr>
          <w:rFonts w:ascii="Times New Roman" w:hAnsi="Times New Roman"/>
        </w:rPr>
        <w:t>: объекты, сроки, распределение задач и</w:t>
      </w:r>
    </w:p>
    <w:p>
      <w:r>
        <w:rPr>
          <w:rFonts w:ascii="Times New Roman" w:hAnsi="Times New Roman"/>
        </w:rPr>
        <w:t>результат нормоконтроля по каждому чертежу. Журнал является формой отчётности</w:t>
      </w:r>
    </w:p>
    <w:p>
      <w:r>
        <w:rPr>
          <w:rFonts w:ascii="Times New Roman" w:hAnsi="Times New Roman"/>
        </w:rPr>
        <w:t>отдела перед заместителем директора.</w:t>
      </w:r>
    </w:p>
    <w:p>
      <w:r>
        <w:rPr>
          <w:rFonts w:ascii="Times New Roman" w:hAnsi="Times New Roman"/>
        </w:rPr>
        <w:t>3.16.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 либо</w:t>
      </w:r>
    </w:p>
    <w:p>
      <w:r>
        <w:rPr>
          <w:rFonts w:ascii="Times New Roman" w:hAnsi="Times New Roman"/>
        </w:rPr>
        <w:t>содержащую ошибки.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Работник несёт ответственность:</w:t>
      </w:r>
    </w:p>
    <w:p>
      <w:r>
        <w:rPr>
          <w:rFonts w:ascii="Times New Roman" w:hAnsi="Times New Roman"/>
        </w:rPr>
        <w:t>5.1. За чертежи отдела в целом, за качество и своевременность выпуска рабочей</w:t>
      </w:r>
    </w:p>
    <w:p>
      <w:r>
        <w:rPr>
          <w:rFonts w:ascii="Times New Roman" w:hAnsi="Times New Roman"/>
        </w:rPr>
        <w:t>документации отдела.</w:t>
      </w:r>
    </w:p>
    <w:p>
      <w:r>
        <w:rPr>
          <w:rFonts w:ascii="Times New Roman" w:hAnsi="Times New Roman"/>
        </w:rPr>
        <w:t>5.2. За техническую обоснованность, надёжность и безопасность конструктивных</w:t>
      </w:r>
    </w:p>
    <w:p>
      <w:r>
        <w:rPr>
          <w:rFonts w:ascii="Times New Roman" w:hAnsi="Times New Roman"/>
        </w:rPr>
        <w:t>решений, принятых в отделе (узлы, сварные и болтовые соединения, сечения</w:t>
      </w:r>
    </w:p>
    <w:p>
      <w:r>
        <w:rPr>
          <w:rFonts w:ascii="Times New Roman" w:hAnsi="Times New Roman"/>
        </w:rPr>
        <w:t>элементов), и за соответствие рабочей документации чертежам-основанию стадии КМ</w:t>
      </w:r>
    </w:p>
    <w:p>
      <w:r>
        <w:rPr>
          <w:rFonts w:ascii="Times New Roman" w:hAnsi="Times New Roman"/>
        </w:rPr>
        <w:t>или АС (Регламент, п. 2.3, раздел 4).</w:t>
      </w:r>
    </w:p>
    <w:p>
      <w:r>
        <w:rPr>
          <w:rFonts w:ascii="Times New Roman" w:hAnsi="Times New Roman"/>
        </w:rPr>
        <w:t>5.3. За экономичность принятых решений: металлоёмкость конструкций,</w:t>
      </w:r>
    </w:p>
    <w:p>
      <w:r>
        <w:rPr>
          <w:rFonts w:ascii="Times New Roman" w:hAnsi="Times New Roman"/>
        </w:rPr>
        <w:t>технологичность их изготовления и монтажа, унификацию отправочных марок</w:t>
      </w:r>
    </w:p>
    <w:p>
      <w:r>
        <w:rPr>
          <w:rFonts w:ascii="Times New Roman" w:hAnsi="Times New Roman"/>
        </w:rPr>
        <w:t>(Регламент, п. 4.6), минимизацию отходов при раскрое в специализированном</w:t>
      </w:r>
    </w:p>
    <w:p>
      <w:r>
        <w:rPr>
          <w:rFonts w:ascii="Times New Roman" w:hAnsi="Times New Roman"/>
        </w:rPr>
        <w:t>программном обеспечении (Регламент, п. 9.6).</w:t>
      </w:r>
    </w:p>
    <w:p>
      <w:r>
        <w:rPr>
          <w:rFonts w:ascii="Times New Roman" w:hAnsi="Times New Roman"/>
        </w:rPr>
        <w:t>5.4. За соблюдение Регламента КМД и нормоконтроль выпускаемых чертежей, в том числе:</w:t>
      </w:r>
    </w:p>
    <w:p>
      <w:pPr>
        <w:pStyle w:val="ListBullet"/>
      </w:pPr>
      <w:r>
        <w:rPr>
          <w:rFonts w:ascii="Times New Roman" w:hAnsi="Times New Roman"/>
        </w:rPr>
        <w:t>за ошибки в документации, прошедшей нормоконтроль (Регламент, п. 2.6), которые</w:t>
      </w:r>
    </w:p>
    <w:p>
      <w:r>
        <w:rPr>
          <w:rFonts w:ascii="Times New Roman" w:hAnsi="Times New Roman"/>
        </w:rPr>
        <w:t>повлекли брак при изготовлении, переделки на производстве или на монтаже;</w:t>
      </w:r>
    </w:p>
    <w:p>
      <w:pPr>
        <w:pStyle w:val="ListBullet"/>
      </w:pPr>
      <w:r>
        <w:rPr>
          <w:rFonts w:ascii="Times New Roman" w:hAnsi="Times New Roman"/>
        </w:rPr>
        <w:t>за выпуск документации без нормоконтроля, с неустранёнными коллизиями модели</w:t>
      </w:r>
    </w:p>
    <w:p>
      <w:r>
        <w:rPr>
          <w:rFonts w:ascii="Times New Roman" w:hAnsi="Times New Roman"/>
        </w:rPr>
        <w:t>(Регламент, п. 4.4) или без отметки о результате нормоконтроля в рабочем</w:t>
      </w:r>
    </w:p>
    <w:p>
      <w:r>
        <w:rPr>
          <w:rFonts w:ascii="Times New Roman" w:hAnsi="Times New Roman"/>
        </w:rPr>
        <w:t>журнале отдела.</w:t>
      </w:r>
    </w:p>
    <w:p>
      <w:r>
        <w:rPr>
          <w:rFonts w:ascii="Times New Roman" w:hAnsi="Times New Roman"/>
        </w:rPr>
        <w:t>5.5. За срыв сроков выпуска рабочей документации, установленных заданием и</w:t>
      </w:r>
    </w:p>
    <w:p>
      <w:r>
        <w:rPr>
          <w:rFonts w:ascii="Times New Roman" w:hAnsi="Times New Roman"/>
        </w:rPr>
        <w:t>зафиксированных в рабочем журнале отдела (Регламент, пп. 2.3, 2.4), —</w:t>
      </w:r>
    </w:p>
    <w:p>
      <w:r>
        <w:rPr>
          <w:rFonts w:ascii="Times New Roman" w:hAnsi="Times New Roman"/>
        </w:rPr>
        <w:t>если работник не уведомил заместителя директора заблаговременно о риске срыва</w:t>
      </w:r>
    </w:p>
    <w:p>
      <w:r>
        <w:rPr>
          <w:rFonts w:ascii="Times New Roman" w:hAnsi="Times New Roman"/>
        </w:rPr>
        <w:t>срока с указанием причин (недостаточность исходных данных, загрузка отдела,</w:t>
      </w:r>
    </w:p>
    <w:p>
      <w:r>
        <w:rPr>
          <w:rFonts w:ascii="Times New Roman" w:hAnsi="Times New Roman"/>
        </w:rPr>
        <w:t>изменение задания) и предложений по новому сроку.</w:t>
      </w:r>
    </w:p>
    <w:p>
      <w:r>
        <w:rPr>
          <w:rFonts w:ascii="Times New Roman" w:hAnsi="Times New Roman"/>
        </w:rPr>
        <w:t>5.6.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5.7. За неисполнение или ненадлежащее исполнение должностных обязанностей,</w:t>
      </w:r>
    </w:p>
    <w:p>
      <w:r>
        <w:rPr>
          <w:rFonts w:ascii="Times New Roman" w:hAnsi="Times New Roman"/>
        </w:rPr>
        <w:t>нарушение трудовой дисциплины — дисциплинарную ответственность в порядке,</w:t>
      </w:r>
    </w:p>
    <w:p>
      <w:r>
        <w:rPr>
          <w:rFonts w:ascii="Times New Roman" w:hAnsi="Times New Roman"/>
        </w:rPr>
        <w:t>установленном статьями 197–204 Трудового кодекса Республики Беларусь.</w:t>
      </w:r>
    </w:p>
    <w:p>
      <w:r>
        <w:rPr>
          <w:rFonts w:ascii="Times New Roman" w:hAnsi="Times New Roman"/>
        </w:rPr>
        <w:t>5.8. За ущерб, причинённый нанимателю, — материальную ответственность в порядке</w:t>
      </w:r>
    </w:p>
    <w:p>
      <w:r>
        <w:rPr>
          <w:rFonts w:ascii="Times New Roman" w:hAnsi="Times New Roman"/>
        </w:rPr>
        <w:t>и пределах, установленных главой 37 Трудового кодекса Республики Беларусь.</w:t>
      </w:r>
    </w:p>
    <w:p>
      <w:r>
        <w:rPr>
          <w:rFonts w:ascii="Times New Roman" w:hAnsi="Times New Roman"/>
        </w:rPr>
        <w:t>5.9. Нарушения, указанные в пп. 5.2–5.5, учитываются при премировании в</w:t>
      </w:r>
    </w:p>
    <w:p>
      <w:r>
        <w:rPr>
          <w:rFonts w:ascii="Times New Roman" w:hAnsi="Times New Roman"/>
        </w:rPr>
        <w:t>соответствии с локальными правовыми актами организации.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информацию и задачи по объектам,</w:t>
      </w:r>
    </w:p>
    <w:p>
      <w:r>
        <w:rPr>
          <w:rFonts w:ascii="Times New Roman" w:hAnsi="Times New Roman"/>
        </w:rPr>
        <w:t>приоритеты, сроки.</w:t>
      </w:r>
    </w:p>
    <w:p>
      <w:r>
        <w:rPr>
          <w:rFonts w:ascii="Times New Roman" w:hAnsi="Times New Roman"/>
        </w:rPr>
        <w:t xml:space="preserve">6.2. Передаёт </w:t>
      </w:r>
      <w:r>
        <w:rPr>
          <w:rFonts w:ascii="Times New Roman" w:hAnsi="Times New Roman"/>
          <w:b/>
        </w:rPr>
        <w:t>заместителю директора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r>
        <w:rPr>
          <w:rFonts w:ascii="Times New Roman" w:hAnsi="Times New Roman"/>
          <w:b/>
          <w:sz w:val="26"/>
        </w:rPr>
        <w:t>7. Заключительные положения</w:t>
      </w:r>
    </w:p>
    <w:p>
      <w:r>
        <w:rPr>
          <w:rFonts w:ascii="Times New Roman" w:hAnsi="Times New Roman"/>
        </w:rPr>
        <w:t>7.1. Настоящая инструкция вступает в силу с момента её утверждения директором.</w:t>
      </w:r>
    </w:p>
    <w:p>
      <w:r>
        <w:rPr>
          <w:rFonts w:ascii="Times New Roman" w:hAnsi="Times New Roman"/>
        </w:rPr>
        <w:t>7.2. Изменения и дополнения в настоящую инструкцию вносятся приказом директора.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