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Рабочий журнал проектно-конструкторского отдела</w:t>
      </w:r>
    </w:p>
    <w:p>
      <w:r>
        <w:rPr>
          <w:rFonts w:ascii="Times New Roman" w:hAnsi="Times New Roman"/>
        </w:rPr>
        <w:t>Единый журнал: объекты, распределение задач и нормоконтроль в одной таблице.</w:t>
      </w:r>
    </w:p>
    <w:p>
      <w:r>
        <w:rPr>
          <w:rFonts w:ascii="Times New Roman" w:hAnsi="Times New Roman"/>
        </w:rPr>
        <w:t>Ведёт начальник отдела (Иванюк В.С.). Одна строка — одна задача по объекту,</w:t>
      </w:r>
    </w:p>
    <w:p>
      <w:r>
        <w:rPr>
          <w:rFonts w:ascii="Times New Roman" w:hAnsi="Times New Roman"/>
        </w:rPr>
        <w:t>от постановки до выпуска. Заводить отдельные журналы не требуется.</w:t>
      </w:r>
    </w:p>
    <w:p>
      <w:r>
        <w:rPr>
          <w:rFonts w:ascii="Times New Roman" w:hAnsi="Times New Roman"/>
          <w:b/>
        </w:rPr>
        <w:t>Приоритет:</w:t>
      </w:r>
      <w:r>
        <w:rPr>
          <w:rFonts w:ascii="Times New Roman" w:hAnsi="Times New Roman"/>
        </w:rPr>
        <w:t xml:space="preserve"> проставляется от руки — `1`, `2`, `3` … (1 — самый срочный).</w:t>
      </w:r>
    </w:p>
    <w:p>
      <w:r>
        <w:rPr>
          <w:rFonts w:ascii="Times New Roman" w:hAnsi="Times New Roman"/>
        </w:rPr>
        <w:t>Приоритеты согласуются с заместителем директора и меняются по ходу работы.</w:t>
      </w:r>
    </w:p>
    <w:p>
      <w:r>
        <w:rPr>
          <w:rFonts w:ascii="Times New Roman" w:hAnsi="Times New Roman"/>
          <w:b/>
        </w:rPr>
        <w:t>Статус:</w:t>
      </w:r>
      <w:r>
        <w:rPr>
          <w:rFonts w:ascii="Times New Roman" w:hAnsi="Times New Roman"/>
        </w:rPr>
        <w:t xml:space="preserve"> `в очереди` → `в работе` → `на проверке` → `выпущено`</w:t>
      </w:r>
    </w:p>
    <w:p>
      <w:r>
        <w:rPr>
          <w:rFonts w:ascii="Times New Roman" w:hAnsi="Times New Roman"/>
          <w:b/>
        </w:rPr>
        <w:t>Нормоконтроль:</w:t>
      </w:r>
      <w:r>
        <w:rPr>
          <w:rFonts w:ascii="Times New Roman" w:hAnsi="Times New Roman"/>
        </w:rPr>
        <w:t xml:space="preserve"> `прошёл` / `не прошёл` (заполняется на этапе «на проверке»)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</w:tblGrid>
      <w:tr>
        <w:trPr>
          <w:tblHeader w:val="true"/>
        </w:trPr>
        <w:tc>
          <w:tcPr>
            <w:tcW w:type="dxa" w:w="1325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1325"/>
          </w:tcPr>
          <w:p>
            <w:r>
              <w:rPr>
                <w:rFonts w:ascii="Times New Roman" w:hAnsi="Times New Roman"/>
                <w:b/>
                <w:sz w:val="22"/>
              </w:rPr>
              <w:t>Объект</w:t>
            </w:r>
          </w:p>
        </w:tc>
        <w:tc>
          <w:tcPr>
            <w:tcW w:type="dxa" w:w="1325"/>
          </w:tcPr>
          <w:p>
            <w:r>
              <w:rPr>
                <w:rFonts w:ascii="Times New Roman" w:hAnsi="Times New Roman"/>
                <w:b/>
                <w:sz w:val="22"/>
              </w:rPr>
              <w:t>Приоритет</w:t>
            </w:r>
          </w:p>
        </w:tc>
        <w:tc>
          <w:tcPr>
            <w:tcW w:type="dxa" w:w="1325"/>
          </w:tcPr>
          <w:p>
            <w:r>
              <w:rPr>
                <w:rFonts w:ascii="Times New Roman" w:hAnsi="Times New Roman"/>
                <w:b/>
                <w:sz w:val="22"/>
              </w:rPr>
              <w:t>Задача / состав работ (КМД, раскрой, DXF)</w:t>
            </w:r>
          </w:p>
        </w:tc>
        <w:tc>
          <w:tcPr>
            <w:tcW w:type="dxa" w:w="1325"/>
          </w:tcPr>
          <w:p>
            <w:r>
              <w:rPr>
                <w:rFonts w:ascii="Times New Roman" w:hAnsi="Times New Roman"/>
                <w:b/>
                <w:sz w:val="22"/>
              </w:rPr>
              <w:t>Исполнитель</w:t>
            </w:r>
          </w:p>
        </w:tc>
        <w:tc>
          <w:tcPr>
            <w:tcW w:type="dxa" w:w="1325"/>
          </w:tcPr>
          <w:p>
            <w:r>
              <w:rPr>
                <w:rFonts w:ascii="Times New Roman" w:hAnsi="Times New Roman"/>
                <w:b/>
                <w:sz w:val="22"/>
              </w:rPr>
              <w:t>Начало</w:t>
            </w:r>
          </w:p>
        </w:tc>
        <w:tc>
          <w:tcPr>
            <w:tcW w:type="dxa" w:w="1325"/>
          </w:tcPr>
          <w:p>
            <w:r>
              <w:rPr>
                <w:rFonts w:ascii="Times New Roman" w:hAnsi="Times New Roman"/>
                <w:b/>
                <w:sz w:val="22"/>
              </w:rPr>
              <w:t>Срок</w:t>
            </w:r>
          </w:p>
        </w:tc>
        <w:tc>
          <w:tcPr>
            <w:tcW w:type="dxa" w:w="1325"/>
          </w:tcPr>
          <w:p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  <w:tc>
          <w:tcPr>
            <w:tcW w:type="dxa" w:w="1325"/>
          </w:tcPr>
          <w:p>
            <w:r>
              <w:rPr>
                <w:rFonts w:ascii="Times New Roman" w:hAnsi="Times New Roman"/>
                <w:b/>
                <w:sz w:val="22"/>
              </w:rPr>
              <w:t>Нормоконтроль (прошёл / не прошёл)</w:t>
            </w:r>
          </w:p>
        </w:tc>
        <w:tc>
          <w:tcPr>
            <w:tcW w:type="dxa" w:w="1325"/>
          </w:tcPr>
          <w:p>
            <w:r>
              <w:rPr>
                <w:rFonts w:ascii="Times New Roman" w:hAnsi="Times New Roman"/>
                <w:b/>
                <w:sz w:val="22"/>
              </w:rPr>
              <w:t>Замечания и дата повторной сдачи</w:t>
            </w:r>
          </w:p>
        </w:tc>
        <w:tc>
          <w:tcPr>
            <w:tcW w:type="dxa" w:w="1325"/>
          </w:tcPr>
          <w:p>
            <w:r>
              <w:rPr>
                <w:rFonts w:ascii="Times New Roman" w:hAnsi="Times New Roman"/>
                <w:b/>
                <w:sz w:val="22"/>
              </w:rPr>
              <w:t>Выпущено (дата, подпись)</w:t>
            </w:r>
          </w:p>
        </w:tc>
      </w:tr>
      <w:tr>
        <w:tc>
          <w:tcPr>
            <w:tcW w:type="dxa" w:w="1325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>
            <w:r>
              <w:rPr>
                <w:rFonts w:ascii="Times New Roman" w:hAnsi="Times New Roman"/>
                <w:sz w:val="22"/>
              </w:rPr>
              <w:t>в очереди</w:t>
            </w:r>
          </w:p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</w:tr>
      <w:tr>
        <w:tc>
          <w:tcPr>
            <w:tcW w:type="dxa" w:w="1325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</w:tr>
      <w:tr>
        <w:tc>
          <w:tcPr>
            <w:tcW w:type="dxa" w:w="1325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</w:tr>
      <w:tr>
        <w:tc>
          <w:tcPr>
            <w:tcW w:type="dxa" w:w="1325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</w:tr>
      <w:tr>
        <w:tc>
          <w:tcPr>
            <w:tcW w:type="dxa" w:w="1325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</w:tr>
      <w:tr>
        <w:tc>
          <w:tcPr>
            <w:tcW w:type="dxa" w:w="1325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</w:tr>
      <w:tr>
        <w:tc>
          <w:tcPr>
            <w:tcW w:type="dxa" w:w="1325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</w:tr>
      <w:tr>
        <w:tc>
          <w:tcPr>
            <w:tcW w:type="dxa" w:w="1325"/>
          </w:tcPr>
          <w:p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</w:tr>
      <w:tr>
        <w:tc>
          <w:tcPr>
            <w:tcW w:type="dxa" w:w="1325"/>
          </w:tcPr>
          <w:p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</w:tr>
      <w:tr>
        <w:tc>
          <w:tcPr>
            <w:tcW w:type="dxa" w:w="1325"/>
          </w:tcPr>
          <w:p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</w:tr>
      <w:tr>
        <w:tc>
          <w:tcPr>
            <w:tcW w:type="dxa" w:w="1325"/>
          </w:tcPr>
          <w:p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</w:tr>
      <w:tr>
        <w:tc>
          <w:tcPr>
            <w:tcW w:type="dxa" w:w="1325"/>
          </w:tcPr>
          <w:p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  <w:tc>
          <w:tcPr>
            <w:tcW w:type="dxa" w:w="1325"/>
          </w:tcPr>
          <w:p/>
        </w:tc>
      </w:tr>
    </w:tbl>
    <w:p/>
    <w:p>
      <w:r>
        <w:rPr>
          <w:rFonts w:ascii="Times New Roman" w:hAnsi="Times New Roman"/>
          <w:b/>
          <w:sz w:val="26"/>
        </w:rPr>
        <w:t>Как вести журнал</w:t>
      </w:r>
    </w:p>
    <w:p>
      <w:r>
        <w:rPr>
          <w:rFonts w:ascii="Times New Roman" w:hAnsi="Times New Roman"/>
        </w:rPr>
        <w:t xml:space="preserve">1. </w:t>
      </w:r>
      <w:r>
        <w:rPr>
          <w:rFonts w:ascii="Times New Roman" w:hAnsi="Times New Roman"/>
          <w:b/>
        </w:rPr>
        <w:t>Объект пришёл</w:t>
      </w:r>
      <w:r>
        <w:rPr>
          <w:rFonts w:ascii="Times New Roman" w:hAnsi="Times New Roman"/>
        </w:rPr>
        <w:t xml:space="preserve"> — завести строку: объект, состав работ, срок; статус «в очереди».</w:t>
      </w:r>
    </w:p>
    <w:p>
      <w:r>
        <w:rPr>
          <w:rFonts w:ascii="Times New Roman" w:hAnsi="Times New Roman"/>
        </w:rPr>
        <w:t xml:space="preserve">2. </w:t>
      </w:r>
      <w:r>
        <w:rPr>
          <w:rFonts w:ascii="Times New Roman" w:hAnsi="Times New Roman"/>
          <w:b/>
        </w:rPr>
        <w:t>Проставить приоритет</w:t>
      </w:r>
      <w:r>
        <w:rPr>
          <w:rFonts w:ascii="Times New Roman" w:hAnsi="Times New Roman"/>
        </w:rPr>
        <w:t xml:space="preserve"> — от руки, цифрой. При изменении приоритета старую</w:t>
      </w:r>
    </w:p>
    <w:p>
      <w:r>
        <w:rPr>
          <w:rFonts w:ascii="Times New Roman" w:hAnsi="Times New Roman"/>
        </w:rPr>
        <w:t>цифру зачеркнуть, рядом написать новую (карандашом — просто переписать).</w:t>
      </w:r>
    </w:p>
    <w:p>
      <w:r>
        <w:rPr>
          <w:rFonts w:ascii="Times New Roman" w:hAnsi="Times New Roman"/>
        </w:rPr>
        <w:t xml:space="preserve">3. </w:t>
      </w:r>
      <w:r>
        <w:rPr>
          <w:rFonts w:ascii="Times New Roman" w:hAnsi="Times New Roman"/>
          <w:b/>
        </w:rPr>
        <w:t>Задача роздана</w:t>
      </w:r>
      <w:r>
        <w:rPr>
          <w:rFonts w:ascii="Times New Roman" w:hAnsi="Times New Roman"/>
        </w:rPr>
        <w:t xml:space="preserve"> — вписать исполнителя и дату начала; статус «в работе».</w:t>
      </w:r>
    </w:p>
    <w:p>
      <w:r>
        <w:rPr>
          <w:rFonts w:ascii="Times New Roman" w:hAnsi="Times New Roman"/>
        </w:rPr>
        <w:t>Задачи берутся в работу по возрастанию приоритета.</w:t>
      </w:r>
    </w:p>
    <w:p>
      <w:r>
        <w:rPr>
          <w:rFonts w:ascii="Times New Roman" w:hAnsi="Times New Roman"/>
        </w:rPr>
        <w:t xml:space="preserve">4. </w:t>
      </w:r>
      <w:r>
        <w:rPr>
          <w:rFonts w:ascii="Times New Roman" w:hAnsi="Times New Roman"/>
          <w:b/>
        </w:rPr>
        <w:t>Чертёж сдан на проверку</w:t>
      </w:r>
      <w:r>
        <w:rPr>
          <w:rFonts w:ascii="Times New Roman" w:hAnsi="Times New Roman"/>
        </w:rPr>
        <w:t xml:space="preserve"> — статус «на проверке», пройти чек-лист ниже.</w:t>
      </w:r>
    </w:p>
    <w:p>
      <w:r>
        <w:rPr>
          <w:rFonts w:ascii="Times New Roman" w:hAnsi="Times New Roman"/>
        </w:rPr>
        <w:t xml:space="preserve">5. </w:t>
      </w:r>
      <w:r>
        <w:rPr>
          <w:rFonts w:ascii="Times New Roman" w:hAnsi="Times New Roman"/>
          <w:b/>
        </w:rPr>
        <w:t>Нормоконтроль:</w:t>
      </w:r>
    </w:p>
    <w:p>
      <w:pPr>
        <w:pStyle w:val="ListBullet"/>
      </w:pPr>
      <w:r>
        <w:rPr>
          <w:rFonts w:ascii="Times New Roman" w:hAnsi="Times New Roman"/>
        </w:rPr>
        <w:t xml:space="preserve">всё в порядке → в столбце «Нормоконтроль» поставить </w:t>
      </w:r>
      <w:r>
        <w:rPr>
          <w:rFonts w:ascii="Times New Roman" w:hAnsi="Times New Roman"/>
          <w:b/>
        </w:rPr>
        <w:t>прошёл</w:t>
      </w:r>
      <w:r>
        <w:rPr>
          <w:rFonts w:ascii="Times New Roman" w:hAnsi="Times New Roman"/>
        </w:rPr>
        <w:t>, статус «выпущено», дата и подпись;</w:t>
      </w:r>
    </w:p>
    <w:p>
      <w:pPr>
        <w:pStyle w:val="ListBullet"/>
      </w:pPr>
      <w:r>
        <w:rPr>
          <w:rFonts w:ascii="Times New Roman" w:hAnsi="Times New Roman"/>
        </w:rPr>
        <w:t xml:space="preserve">есть замечания → </w:t>
      </w:r>
      <w:r>
        <w:rPr>
          <w:rFonts w:ascii="Times New Roman" w:hAnsi="Times New Roman"/>
          <w:b/>
        </w:rPr>
        <w:t>не прошёл</w:t>
      </w:r>
      <w:r>
        <w:rPr>
          <w:rFonts w:ascii="Times New Roman" w:hAnsi="Times New Roman"/>
        </w:rPr>
        <w:t>, кратко записать замечания и дату повторной сдачи, статус остаётся «на проверке».</w:t>
      </w:r>
    </w:p>
    <w:p>
      <w:r>
        <w:rPr>
          <w:rFonts w:ascii="Times New Roman" w:hAnsi="Times New Roman"/>
        </w:rPr>
        <w:t>6. Повторная сдача — отметку в столбце «Нормоконтроль» переписать на «прошёл»</w:t>
      </w:r>
    </w:p>
    <w:p>
      <w:r>
        <w:rPr>
          <w:rFonts w:ascii="Times New Roman" w:hAnsi="Times New Roman"/>
        </w:rPr>
        <w:t>после устранения замечаний.</w:t>
      </w:r>
    </w:p>
    <w:p>
      <w:r>
        <w:rPr>
          <w:rFonts w:ascii="Times New Roman" w:hAnsi="Times New Roman"/>
          <w:b/>
          <w:sz w:val="26"/>
        </w:rPr>
        <w:t>Чек-лист нормоконтроля по Регламенту КМД (подсказка)</w:t>
      </w:r>
    </w:p>
    <w:p>
      <w:r>
        <w:rPr>
          <w:rFonts w:ascii="Times New Roman" w:hAnsi="Times New Roman"/>
        </w:rPr>
        <w:t>Проходится перед простановкой отметки «прошёл». Ссылки — на разделы Регламента</w:t>
      </w:r>
    </w:p>
    <w:p>
      <w:r>
        <w:rPr>
          <w:rFonts w:ascii="Times New Roman" w:hAnsi="Times New Roman"/>
        </w:rPr>
        <w:t>оформления чертежей рабочей документации стадии КМД.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rPr>
          <w:tblHeader w:val="true"/>
        </w:trPr>
        <w:tc>
          <w:tcPr>
            <w:tcW w:type="dxa" w:w="4857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4857"/>
          </w:tcPr>
          <w:p>
            <w:r>
              <w:rPr>
                <w:rFonts w:ascii="Times New Roman" w:hAnsi="Times New Roman"/>
                <w:b/>
                <w:sz w:val="22"/>
              </w:rPr>
              <w:t>Что проверить</w:t>
            </w:r>
          </w:p>
        </w:tc>
        <w:tc>
          <w:tcPr>
            <w:tcW w:type="dxa" w:w="4857"/>
          </w:tcPr>
          <w:p>
            <w:r>
              <w:rPr>
                <w:rFonts w:ascii="Times New Roman" w:hAnsi="Times New Roman"/>
                <w:b/>
                <w:sz w:val="22"/>
              </w:rPr>
              <w:t>Раздел Регламента</w:t>
            </w:r>
          </w:p>
        </w:tc>
      </w:tr>
      <w:tr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Модель: коллизии проверены, номенклатура марок оптимизирована</w:t>
            </w:r>
          </w:p>
        </w:tc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4.4, 4.6</w:t>
            </w:r>
          </w:p>
        </w:tc>
      </w:tr>
      <w:tr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Состав и порядок листов комплекта</w:t>
            </w:r>
          </w:p>
        </w:tc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5.2</w:t>
            </w:r>
          </w:p>
        </w:tc>
      </w:tr>
      <w:tr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Маркировка отправочных марок (К, Б, Ф, СВ, СГ …)</w:t>
            </w:r>
          </w:p>
        </w:tc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5.5</w:t>
            </w:r>
          </w:p>
        </w:tc>
      </w:tr>
      <w:tr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Оформление листа: формат, рамка, штамп, шрифты, линии, масштабы</w:t>
            </w:r>
          </w:p>
        </w:tc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6.1–6.5</w:t>
            </w:r>
          </w:p>
        </w:tc>
      </w:tr>
      <w:tr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Штамп: графы заполнены, подписи Разраб. / Нач. констр. / Н. контроль / Гл. инженер</w:t>
            </w:r>
          </w:p>
        </w:tc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6.2</w:t>
            </w:r>
          </w:p>
        </w:tc>
      </w:tr>
      <w:tr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Компоновка: три таблицы (спецификация, выборка металла, требуется изготовить)</w:t>
            </w:r>
          </w:p>
        </w:tc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7.2</w:t>
            </w:r>
          </w:p>
        </w:tc>
      </w:tr>
      <w:tr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Обозначения видов, разрезов и узлов</w:t>
            </w:r>
          </w:p>
        </w:tc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7.3</w:t>
            </w:r>
          </w:p>
        </w:tc>
      </w:tr>
      <w:tr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Полнота: набор изображений, узлы, разрезы</w:t>
            </w:r>
          </w:p>
        </w:tc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8.1–8.3</w:t>
            </w:r>
          </w:p>
        </w:tc>
      </w:tr>
      <w:tr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4857"/>
          </w:tcPr>
          <w:p>
            <w:r>
              <w:rPr>
                <w:rFonts w:ascii="Times New Roman" w:hAnsi="Times New Roman"/>
                <w:b/>
                <w:sz w:val="22"/>
              </w:rPr>
              <w:t>Двойная простановка размеров</w:t>
            </w:r>
            <w:r>
              <w:rPr>
                <w:rFonts w:ascii="Times New Roman" w:hAnsi="Times New Roman"/>
                <w:sz w:val="22"/>
              </w:rPr>
              <w:t xml:space="preserve"> на марках; на деталях с отверстиями — абсолютные</w:t>
            </w:r>
          </w:p>
        </w:tc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8.4–8.5</w:t>
            </w:r>
          </w:p>
        </w:tc>
      </w:tr>
      <w:tr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Технические требования под спецификацией, над штампом</w:t>
            </w:r>
          </w:p>
        </w:tc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8.7</w:t>
            </w:r>
          </w:p>
        </w:tc>
      </w:tr>
      <w:tr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Чертежи деталей: прокатных и листовых, углы зарезки</w:t>
            </w:r>
          </w:p>
        </w:tc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9.2–9.4</w:t>
            </w:r>
          </w:p>
        </w:tc>
      </w:tr>
      <w:tr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Раскроечные карты CutLogic 1D, kerf 5 мм, длины хлыстов</w:t>
            </w:r>
          </w:p>
        </w:tc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9.5–9.6</w:t>
            </w:r>
          </w:p>
        </w:tc>
      </w:tr>
      <w:tr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13</w:t>
            </w:r>
          </w:p>
        </w:tc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DXF: слои Layer 1 / Layer 14, гравировка примыканий, имена файлов</w:t>
            </w:r>
          </w:p>
        </w:tc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9.7</w:t>
            </w:r>
          </w:p>
        </w:tc>
      </w:tr>
      <w:tr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14</w:t>
            </w:r>
          </w:p>
        </w:tc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Файлы IGES (при наличии указания) и сопроводительные спецификации</w:t>
            </w:r>
          </w:p>
        </w:tc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9.8–9.9</w:t>
            </w:r>
          </w:p>
        </w:tc>
      </w:tr>
      <w:tr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15</w:t>
            </w:r>
          </w:p>
        </w:tc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Спецификация на марку, надбавка «На сварные швы 1 %»</w:t>
            </w:r>
          </w:p>
        </w:tc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10.1</w:t>
            </w:r>
          </w:p>
        </w:tc>
      </w:tr>
      <w:tr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16</w:t>
            </w:r>
          </w:p>
        </w:tc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Выборка металла, ведомость марок, метизы, ведомость покраски</w:t>
            </w:r>
          </w:p>
        </w:tc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10.2–10.5</w:t>
            </w:r>
          </w:p>
        </w:tc>
      </w:tr>
      <w:tr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17</w:t>
            </w:r>
          </w:p>
        </w:tc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Лист «Общие данные»: ведомости, АКЗ, цвет RAL</w:t>
            </w:r>
          </w:p>
        </w:tc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11</w:t>
            </w:r>
          </w:p>
        </w:tc>
      </w:tr>
      <w:tr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18</w:t>
            </w:r>
          </w:p>
        </w:tc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 xml:space="preserve">Сварные швы; </w:t>
            </w:r>
            <w:r>
              <w:rPr>
                <w:rFonts w:ascii="Times New Roman" w:hAnsi="Times New Roman"/>
                <w:b/>
                <w:sz w:val="22"/>
              </w:rPr>
              <w:t>разделка кромок</w:t>
            </w:r>
            <w:r>
              <w:rPr>
                <w:rFonts w:ascii="Times New Roman" w:hAnsi="Times New Roman"/>
                <w:sz w:val="22"/>
              </w:rPr>
              <w:t xml:space="preserve"> там, где обязательна</w:t>
            </w:r>
          </w:p>
        </w:tc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12.1–12.6</w:t>
            </w:r>
          </w:p>
        </w:tc>
      </w:tr>
      <w:tr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19</w:t>
            </w:r>
          </w:p>
        </w:tc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Шифр и нумерация листов</w:t>
            </w:r>
          </w:p>
        </w:tc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13</w:t>
            </w:r>
          </w:p>
        </w:tc>
      </w:tr>
      <w:tr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20</w:t>
            </w:r>
          </w:p>
        </w:tc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Изменения оформлены корректно</w:t>
            </w:r>
          </w:p>
        </w:tc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14</w:t>
            </w:r>
          </w:p>
        </w:tc>
      </w:tr>
      <w:tr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21</w:t>
            </w:r>
          </w:p>
        </w:tc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Чек-лист конструктора заполнен и подписан разработчиком</w:t>
            </w:r>
          </w:p>
        </w:tc>
        <w:tc>
          <w:tcPr>
            <w:tcW w:type="dxa" w:w="4857"/>
          </w:tcPr>
          <w:p>
            <w:r>
              <w:rPr>
                <w:rFonts w:ascii="Times New Roman" w:hAnsi="Times New Roman"/>
                <w:sz w:val="22"/>
              </w:rPr>
              <w:t>16</w:t>
            </w:r>
          </w:p>
        </w:tc>
      </w:tr>
    </w:tbl>
    <w:p/>
    <w:p>
      <w:r>
        <w:rPr>
          <w:rFonts w:ascii="Times New Roman" w:hAnsi="Times New Roman"/>
          <w:i/>
        </w:rPr>
        <w:t xml:space="preserve">Типовые повторяющиеся замечания выписывайте в </w:t>
      </w:r>
      <w:r>
        <w:rPr>
          <w:rFonts w:ascii="Times New Roman" w:hAnsi="Times New Roman"/>
          <w:b/>
          <w:i/>
        </w:rPr>
        <w:t>Памятку типовых замечаний</w:t>
      </w:r>
    </w:p>
    <w:p>
      <w:r>
        <w:rPr>
          <w:rFonts w:ascii="Times New Roman" w:hAnsi="Times New Roman"/>
          <w:i/>
        </w:rPr>
        <w:t>нормоконтроля</w:t>
      </w:r>
      <w:r>
        <w:rPr>
          <w:rFonts w:ascii="Times New Roman" w:hAnsi="Times New Roman"/>
          <w:b/>
          <w:i/>
        </w:rPr>
        <w:t xml:space="preserve"> — это сокращает время проверки следующих комплектов.</w:t>
      </w:r>
    </w:p>
    <w:sectPr w:rsidR="00FC693F" w:rsidRPr="0006063C" w:rsidSect="00034616">
      <w:pgSz w:w="16838" w:h="11906" w:orient="landscape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