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Definition of Done — Audit (Standalone)</w:t>
      </w:r>
    </w:p>
    <w:p>
      <w:r>
        <w:rPr>
          <w:b/>
          <w:bCs/>
        </w:rPr>
        <w:t xml:space="preserve">Cognigy Multi-Agent System · audit-report.md sign-off checklist</w:t>
      </w:r>
    </w:p>
    <w:p>
      <w:pPr>
        <w:spacing w:after="100"/>
      </w:pPr>
      <w:r>
        <w:rPr>
          <w:i/>
          <w:iCs/>
        </w:rPr>
        <w:t xml:space="preserve">Definition-of-Done checklist for an audit-report.md covering a Cognigy conversational flow.</w:t>
      </w:r>
    </w:p>
    <w:p>
      <w:pPr>
        <w:spacing w:after="200"/>
      </w:pPr>
      <w:r>
        <w:rPr>
          <w:color w:val="666666"/>
          <w:sz w:val="18"/>
          <w:szCs w:val="18"/>
        </w:rPr>
        <w:t xml:space="preserve">3 September 2026</w:t>
      </w:r>
    </w:p>
    <w:p>
      <w:pPr>
        <w:spacing w:after="120"/>
      </w:pPr>
      <w:r>
        <w:rPr>
          <w:b/>
          <w:bCs/>
        </w:rPr>
        <w:t xml:space="preserve">Purpose. </w:t>
      </w:r>
      <w:r>
        <w:t xml:space="preserve">This checklist confirms that an audit-report.md produced by the audit-agent is complete enough to act on. Unlike the spec/build/test checklists, it does not gate a pipeline transition — audit-agent is optional and standalone, and nothing downstream waits on it. This checklist instead confirms the report itself is evidence-backed and safe to hand to whoever decides what to act on: the user, or specific items back to build-agent.</w:t>
      </w:r>
    </w:p>
    <w:p>
      <w:pPr>
        <w:spacing w:after="120"/>
      </w:pPr>
      <w:r>
        <w:t xml:space="preserve">This is a check on the deliverable (audit-report.md), not on the agent's process. It can be applied by whoever ran the audit, or by anyone else picking up the report cold. Each section below includes a How to verify note — checking a box means you did that verification, not that you skimmed the section and it looked fine.</w:t>
      </w:r>
    </w:p>
    <w:p>
      <w:pPr>
        <w:pStyle w:val="Heading1"/>
        <w:spacing w:after="120" w:before="280"/>
      </w:pPr>
      <w:r>
        <w:t xml:space="preserve">1. Structural completeness</w:t>
      </w:r>
    </w:p>
    <w:p>
      <w:pPr>
        <w:spacing w:after="120"/>
      </w:pPr>
      <w:r>
        <w:t xml:space="preserve">All eight parts are present in audit-report.md and contain actual content — not a heading with nothing under it. In Part 7, every finding tagged Small or Medium Effort carries a Build-Agent Remediation Order block; every Large-Effort finding is explicitly routed to spec-agent instead.</w:t>
      </w:r>
    </w:p>
    <w:p>
      <w:pPr>
        <w:spacing w:after="140"/>
      </w:pPr>
      <w:r>
        <w:rPr>
          <w:b/>
          <w:bCs/>
          <w:i/>
          <w:iCs/>
        </w:rPr>
        <w:t xml:space="preserve">How to verify: </w:t>
      </w:r>
      <w:r>
        <w:rPr>
          <w:i/>
          <w:iCs/>
        </w:rPr>
        <w:t xml:space="preserve">Read audit-report.md top to bottom. Each heading must have a substantive paragraph, table, or list under it — not a placeholder sentence that could apply to any flow.</w:t>
      </w:r>
    </w:p>
    <w:p>
      <w:pPr>
        <w:pStyle w:val="ListParagraph"/>
        <w:numPr>
          <w:ilvl w:val="0"/>
          <w:numId w:val="1"/>
        </w:numPr>
        <w:spacing w:after="60"/>
      </w:pPr>
      <w:r>
        <w:t xml:space="preserve">Executive Summary</w:t>
      </w:r>
    </w:p>
    <w:p>
      <w:pPr>
        <w:pStyle w:val="ListParagraph"/>
        <w:numPr>
          <w:ilvl w:val="0"/>
          <w:numId w:val="1"/>
        </w:numPr>
        <w:spacing w:after="60"/>
      </w:pPr>
      <w:r>
        <w:t xml:space="preserve">Security &amp; Compliance Findings</w:t>
      </w:r>
    </w:p>
    <w:p>
      <w:pPr>
        <w:pStyle w:val="ListParagraph"/>
        <w:numPr>
          <w:ilvl w:val="0"/>
          <w:numId w:val="1"/>
        </w:numPr>
        <w:spacing w:after="60"/>
      </w:pPr>
      <w:r>
        <w:t xml:space="preserve">Cost &amp; Operation Optimization</w:t>
      </w:r>
    </w:p>
    <w:p>
      <w:pPr>
        <w:pStyle w:val="ListParagraph"/>
        <w:numPr>
          <w:ilvl w:val="0"/>
          <w:numId w:val="1"/>
        </w:numPr>
        <w:spacing w:after="60"/>
      </w:pPr>
      <w:r>
        <w:t xml:space="preserve">Conversation Logic, Reliability &amp; Error Handling Plan</w:t>
      </w:r>
    </w:p>
    <w:p>
      <w:pPr>
        <w:pStyle w:val="ListParagraph"/>
        <w:numPr>
          <w:ilvl w:val="0"/>
          <w:numId w:val="1"/>
        </w:numPr>
        <w:spacing w:after="60"/>
      </w:pPr>
      <w:r>
        <w:t xml:space="preserve">Node Relabeling Guide</w:t>
      </w:r>
    </w:p>
    <w:p>
      <w:pPr>
        <w:pStyle w:val="ListParagraph"/>
        <w:numPr>
          <w:ilvl w:val="0"/>
          <w:numId w:val="1"/>
        </w:numPr>
        <w:spacing w:after="60"/>
      </w:pPr>
      <w:r>
        <w:t xml:space="preserve">Feature &amp; Migration Suggestions</w:t>
      </w:r>
    </w:p>
    <w:p>
      <w:pPr>
        <w:pStyle w:val="ListParagraph"/>
        <w:numPr>
          <w:ilvl w:val="0"/>
          <w:numId w:val="1"/>
        </w:numPr>
        <w:spacing w:after="60"/>
      </w:pPr>
      <w:r>
        <w:t xml:space="preserve">Prioritized Checklist (with Build-Agent Remediation Order blocks — see Section 4)</w:t>
      </w:r>
    </w:p>
    <w:p>
      <w:pPr>
        <w:pStyle w:val="ListParagraph"/>
        <w:numPr>
          <w:ilvl w:val="0"/>
          <w:numId w:val="1"/>
        </w:numPr>
        <w:spacing w:after="60"/>
      </w:pPr>
      <w:r>
        <w:t xml:space="preserve">Open Questions &amp; Assumptions</w:t>
      </w:r>
    </w:p>
    <w:p>
      <w:pPr>
        <w:pStyle w:val="Heading1"/>
        <w:spacing w:after="120" w:before="280"/>
      </w:pPr>
      <w:r>
        <w:t xml:space="preserve">2. Dimension-by-dimension coverage</w:t>
      </w:r>
    </w:p>
    <w:p>
      <w:pPr>
        <w:spacing w:after="120"/>
      </w:pPr>
      <w:r>
        <w:t xml:space="preserve">For each dimension, confirm the report actually addresses it with a specific finding tied to a node — not a generic statement that could apply to any flow.</w:t>
      </w:r>
    </w:p>
    <w:p>
      <w:pPr>
        <w:spacing w:after="140"/>
      </w:pPr>
      <w:r>
        <w:rPr>
          <w:b/>
          <w:bCs/>
          <w:i/>
          <w:iCs/>
        </w:rPr>
        <w:t xml:space="preserve">How to verify: </w:t>
      </w:r>
      <w:r>
        <w:rPr>
          <w:i/>
          <w:iCs/>
        </w:rPr>
        <w:t xml:space="preserve">For each dimension, point to at least one finding citing a specific node ID/label (and field or transcript-turn reference where applicable). If you can't point to one, the dimension isn't covered — mark it N regardless of how thorough the surrounding prose reads.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100"/>
        <w:gridCol w:w="5500"/>
        <w:gridCol w:w="1300"/>
      </w:tblGrid>
      <w:tr>
        <w:trPr>
          <w:tblHeader/>
        </w:trPr>
        <w:tc>
          <w:tcPr>
            <w:tcW w:type="dxa" w:w="3100"/>
            <w:shd w:fill="D9D9D9" w:val="clear"/>
            <w:tcMar>
              <w:top w:type="dxa" w:w="80"/>
              <w:left w:type="dxa" w:w="100"/>
              <w:bottom w:type="dxa" w:w="80"/>
              <w:right w:type="dxa" w:w="100"/>
            </w:tcMar>
          </w:tcPr>
          <w:p>
            <w:r>
              <w:rPr>
                <w:b/>
                <w:bCs/>
              </w:rPr>
              <w:t xml:space="preserve">Dimension</w:t>
            </w:r>
          </w:p>
        </w:tc>
        <w:tc>
          <w:tcPr>
            <w:tcW w:type="dxa" w:w="5500"/>
            <w:shd w:fill="D9D9D9" w:val="clear"/>
            <w:tcMar>
              <w:top w:type="dxa" w:w="80"/>
              <w:left w:type="dxa" w:w="100"/>
              <w:bottom w:type="dxa" w:w="80"/>
              <w:right w:type="dxa" w:w="100"/>
            </w:tcMar>
          </w:tcPr>
          <w:p>
            <w:r>
              <w:rPr>
                <w:b/>
                <w:bCs/>
              </w:rPr>
              <w:t xml:space="preserve">What "addressed" means</w:t>
            </w:r>
          </w:p>
        </w:tc>
        <w:tc>
          <w:tcPr>
            <w:tcW w:type="dxa" w:w="1300"/>
            <w:shd w:fill="D9D9D9" w:val="clear"/>
            <w:tcMar>
              <w:top w:type="dxa" w:w="80"/>
              <w:left w:type="dxa" w:w="100"/>
              <w:bottom w:type="dxa" w:w="80"/>
              <w:right w:type="dxa" w:w="100"/>
            </w:tcMar>
          </w:tcPr>
          <w:p>
            <w:r>
              <w:rPr>
                <w:b/>
                <w:bCs/>
              </w:rPr>
              <w:t xml:space="preserve">Y / N</w:t>
            </w:r>
          </w:p>
        </w:tc>
      </w:tr>
      <w:tr>
        <w:tc>
          <w:tcPr>
            <w:tcW w:type="dxa" w:w="3100"/>
            <w:tcMar>
              <w:top w:type="dxa" w:w="80"/>
              <w:left w:type="dxa" w:w="100"/>
              <w:bottom w:type="dxa" w:w="80"/>
              <w:right w:type="dxa" w:w="100"/>
            </w:tcMar>
          </w:tcPr>
          <w:p>
            <w:r>
              <w:rPr>
                <w:b w:val="false"/>
                <w:bCs w:val="false"/>
              </w:rPr>
              <w:t xml:space="preserve">1. Security &amp; Compliance</w:t>
            </w:r>
          </w:p>
        </w:tc>
        <w:tc>
          <w:tcPr>
            <w:tcW w:type="dxa" w:w="5500"/>
            <w:tcMar>
              <w:top w:type="dxa" w:w="80"/>
              <w:left w:type="dxa" w:w="100"/>
              <w:bottom w:type="dxa" w:w="80"/>
              <w:right w:type="dxa" w:w="100"/>
            </w:tcMar>
          </w:tcPr>
          <w:p>
            <w:r>
              <w:rPr>
                <w:b w:val="false"/>
                <w:bCs w:val="false"/>
              </w:rPr>
              <w:t xml:space="preserve">Goes beyond test-agent's mandatory Dimension 11 baseline (hardcoded secrets, prompt-injection exposure — checked on every flow regardless of whether an audit is requested). Findings here cover the broader surface: OAuth/API scope breadth, PII written to Context/Analytics/transcripts beyond the bare secret scan, webhook/trigger authorization, and platform-level compliance posture. Any real secret is still redacted as [REDACTED_SECRET].</w:t>
            </w:r>
          </w:p>
        </w:tc>
        <w:tc>
          <w:tcPr>
            <w:tcW w:type="dxa" w:w="1300"/>
            <w:tcMar>
              <w:top w:type="dxa" w:w="80"/>
              <w:left w:type="dxa" w:w="100"/>
              <w:bottom w:type="dxa" w:w="80"/>
              <w:right w:type="dxa" w:w="100"/>
            </w:tcMar>
          </w:tcPr>
          <w:p>
            <w:r>
              <w:rPr>
                <w:b w:val="false"/>
                <w:bCs w:val="false"/>
              </w:rPr>
              <w:t xml:space="preserve"/>
            </w:r>
          </w:p>
        </w:tc>
      </w:tr>
      <w:tr>
        <w:tc>
          <w:tcPr>
            <w:tcW w:type="dxa" w:w="3100"/>
            <w:tcMar>
              <w:top w:type="dxa" w:w="80"/>
              <w:left w:type="dxa" w:w="100"/>
              <w:bottom w:type="dxa" w:w="80"/>
              <w:right w:type="dxa" w:w="100"/>
            </w:tcMar>
          </w:tcPr>
          <w:p>
            <w:r>
              <w:rPr>
                <w:b w:val="false"/>
                <w:bCs w:val="false"/>
              </w:rPr>
              <w:t xml:space="preserve">2. Cost &amp; Operation Optimization</w:t>
            </w:r>
          </w:p>
        </w:tc>
        <w:tc>
          <w:tcPr>
            <w:tcW w:type="dxa" w:w="5500"/>
            <w:tcMar>
              <w:top w:type="dxa" w:w="80"/>
              <w:left w:type="dxa" w:w="100"/>
              <w:bottom w:type="dxa" w:w="80"/>
              <w:right w:type="dxa" w:w="100"/>
            </w:tcMar>
          </w:tcPr>
          <w:p>
            <w:r>
              <w:rPr>
                <w:b w:val="false"/>
                <w:bCs w:val="false"/>
              </w:rPr>
              <w:t xml:space="preserve">A before/after estimate is stated with explicit assumptions, or real session-window data (window named). Also covers: Context data volume, redundant Context reads/writes in loop-like constructs, and for GenAI/LLM nodes, model right-sizing and structured-output use.</w:t>
            </w:r>
          </w:p>
        </w:tc>
        <w:tc>
          <w:tcPr>
            <w:tcW w:type="dxa" w:w="1300"/>
            <w:tcMar>
              <w:top w:type="dxa" w:w="80"/>
              <w:left w:type="dxa" w:w="100"/>
              <w:bottom w:type="dxa" w:w="80"/>
              <w:right w:type="dxa" w:w="100"/>
            </w:tcMar>
          </w:tcPr>
          <w:p>
            <w:r>
              <w:rPr>
                <w:b w:val="false"/>
                <w:bCs w:val="false"/>
              </w:rPr>
              <w:t xml:space="preserve"/>
            </w:r>
          </w:p>
        </w:tc>
      </w:tr>
      <w:tr>
        <w:tc>
          <w:tcPr>
            <w:tcW w:type="dxa" w:w="3100"/>
            <w:tcMar>
              <w:top w:type="dxa" w:w="80"/>
              <w:left w:type="dxa" w:w="100"/>
              <w:bottom w:type="dxa" w:w="80"/>
              <w:right w:type="dxa" w:w="100"/>
            </w:tcMar>
          </w:tcPr>
          <w:p>
            <w:r>
              <w:rPr>
                <w:b w:val="false"/>
                <w:bCs w:val="false"/>
              </w:rPr>
              <w:t xml:space="preserve">3. Conversation Logic &amp; Reliability</w:t>
            </w:r>
          </w:p>
        </w:tc>
        <w:tc>
          <w:tcPr>
            <w:tcW w:type="dxa" w:w="5500"/>
            <w:tcMar>
              <w:top w:type="dxa" w:w="80"/>
              <w:left w:type="dxa" w:w="100"/>
              <w:bottom w:type="dxa" w:w="80"/>
              <w:right w:type="dxa" w:w="100"/>
            </w:tcMar>
          </w:tcPr>
          <w:p>
            <w:r>
              <w:rPr>
                <w:b w:val="false"/>
                <w:bCs w:val="false"/>
              </w:rPr>
              <w:t xml:space="preserve">Findings cite specific nodes, branches, or flow-level settings — not generic reliability advice that could apply to any flow.</w:t>
            </w:r>
          </w:p>
        </w:tc>
        <w:tc>
          <w:tcPr>
            <w:tcW w:type="dxa" w:w="1300"/>
            <w:tcMar>
              <w:top w:type="dxa" w:w="80"/>
              <w:left w:type="dxa" w:w="100"/>
              <w:bottom w:type="dxa" w:w="80"/>
              <w:right w:type="dxa" w:w="100"/>
            </w:tcMar>
          </w:tcPr>
          <w:p>
            <w:r>
              <w:rPr>
                <w:b w:val="false"/>
                <w:bCs w:val="false"/>
              </w:rPr>
              <w:t xml:space="preserve"/>
            </w:r>
          </w:p>
        </w:tc>
      </w:tr>
      <w:tr>
        <w:tc>
          <w:tcPr>
            <w:tcW w:type="dxa" w:w="3100"/>
            <w:tcMar>
              <w:top w:type="dxa" w:w="80"/>
              <w:left w:type="dxa" w:w="100"/>
              <w:bottom w:type="dxa" w:w="80"/>
              <w:right w:type="dxa" w:w="100"/>
            </w:tcMar>
          </w:tcPr>
          <w:p>
            <w:r>
              <w:rPr>
                <w:b w:val="false"/>
                <w:bCs w:val="false"/>
              </w:rPr>
              <w:t xml:space="preserve">4. Persona, Content &amp; Localization</w:t>
            </w:r>
          </w:p>
        </w:tc>
        <w:tc>
          <w:tcPr>
            <w:tcW w:type="dxa" w:w="5500"/>
            <w:tcMar>
              <w:top w:type="dxa" w:w="80"/>
              <w:left w:type="dxa" w:w="100"/>
              <w:bottom w:type="dxa" w:w="80"/>
              <w:right w:type="dxa" w:w="100"/>
            </w:tcMar>
          </w:tcPr>
          <w:p>
            <w:r>
              <w:rPr>
                <w:b w:val="false"/>
                <w:bCs w:val="false"/>
              </w:rPr>
              <w:t xml:space="preserve">Findings (where the flow has multiple Say Nodes or language requirements) name specific nodes; if tone/localization is consistent, the report says so rather than leaving the section blank.</w:t>
            </w:r>
          </w:p>
        </w:tc>
        <w:tc>
          <w:tcPr>
            <w:tcW w:type="dxa" w:w="1300"/>
            <w:tcMar>
              <w:top w:type="dxa" w:w="80"/>
              <w:left w:type="dxa" w:w="100"/>
              <w:bottom w:type="dxa" w:w="80"/>
              <w:right w:type="dxa" w:w="100"/>
            </w:tcMar>
          </w:tcPr>
          <w:p>
            <w:r>
              <w:rPr>
                <w:b w:val="false"/>
                <w:bCs w:val="false"/>
              </w:rPr>
              <w:t xml:space="preserve"/>
            </w:r>
          </w:p>
        </w:tc>
      </w:tr>
      <w:tr>
        <w:tc>
          <w:tcPr>
            <w:tcW w:type="dxa" w:w="3100"/>
            <w:tcMar>
              <w:top w:type="dxa" w:w="80"/>
              <w:left w:type="dxa" w:w="100"/>
              <w:bottom w:type="dxa" w:w="80"/>
              <w:right w:type="dxa" w:w="100"/>
            </w:tcMar>
          </w:tcPr>
          <w:p>
            <w:r>
              <w:rPr>
                <w:b w:val="false"/>
                <w:bCs w:val="false"/>
              </w:rPr>
              <w:t xml:space="preserve">5. Error Handling, Escalation &amp; Idempotency</w:t>
            </w:r>
          </w:p>
        </w:tc>
        <w:tc>
          <w:tcPr>
            <w:tcW w:type="dxa" w:w="5500"/>
            <w:tcMar>
              <w:top w:type="dxa" w:w="80"/>
              <w:left w:type="dxa" w:w="100"/>
              <w:bottom w:type="dxa" w:w="80"/>
              <w:right w:type="dxa" w:w="100"/>
            </w:tcMar>
          </w:tcPr>
          <w:p>
            <w:r>
              <w:rPr>
                <w:b w:val="false"/>
                <w:bCs w:val="false"/>
              </w:rPr>
              <w:t xml:space="preserve">States whether a mechanism exists at all and, if adequate — distinct from test-agent's compliance-to-spec question. For GenAI/LLM nodes, checks for a distinct route for rate-limit vs. service-unavailable responses.</w:t>
            </w:r>
          </w:p>
        </w:tc>
        <w:tc>
          <w:tcPr>
            <w:tcW w:type="dxa" w:w="1300"/>
            <w:tcMar>
              <w:top w:type="dxa" w:w="80"/>
              <w:left w:type="dxa" w:w="100"/>
              <w:bottom w:type="dxa" w:w="80"/>
              <w:right w:type="dxa" w:w="100"/>
            </w:tcMar>
          </w:tcPr>
          <w:p>
            <w:r>
              <w:rPr>
                <w:b w:val="false"/>
                <w:bCs w:val="false"/>
              </w:rPr>
              <w:t xml:space="preserve"/>
            </w:r>
          </w:p>
        </w:tc>
      </w:tr>
      <w:tr>
        <w:tc>
          <w:tcPr>
            <w:tcW w:type="dxa" w:w="3100"/>
            <w:tcMar>
              <w:top w:type="dxa" w:w="80"/>
              <w:left w:type="dxa" w:w="100"/>
              <w:bottom w:type="dxa" w:w="80"/>
              <w:right w:type="dxa" w:w="100"/>
            </w:tcMar>
          </w:tcPr>
          <w:p>
            <w:r>
              <w:rPr>
                <w:b w:val="false"/>
                <w:bCs w:val="false"/>
              </w:rPr>
              <w:t xml:space="preserve">6. Naming &amp; Documentation</w:t>
            </w:r>
          </w:p>
        </w:tc>
        <w:tc>
          <w:tcPr>
            <w:tcW w:type="dxa" w:w="5500"/>
            <w:tcMar>
              <w:top w:type="dxa" w:w="80"/>
              <w:left w:type="dxa" w:w="100"/>
              <w:bottom w:type="dxa" w:w="80"/>
              <w:right w:type="dxa" w:w="100"/>
            </w:tcMar>
          </w:tcPr>
          <w:p>
            <w:r>
              <w:rPr>
                <w:b w:val="false"/>
                <w:bCs w:val="false"/>
              </w:rPr>
              <w:t xml:space="preserve">The Node Relabeling Guide covers every node not already following [Step#] [Branch] Verb: Object – System/Node-type – Purpose.</w:t>
            </w:r>
          </w:p>
        </w:tc>
        <w:tc>
          <w:tcPr>
            <w:tcW w:type="dxa" w:w="1300"/>
            <w:tcMar>
              <w:top w:type="dxa" w:w="80"/>
              <w:left w:type="dxa" w:w="100"/>
              <w:bottom w:type="dxa" w:w="80"/>
              <w:right w:type="dxa" w:w="100"/>
            </w:tcMar>
          </w:tcPr>
          <w:p>
            <w:r>
              <w:rPr>
                <w:b w:val="false"/>
                <w:bCs w:val="false"/>
              </w:rPr>
              <w:t xml:space="preserve"/>
            </w:r>
          </w:p>
        </w:tc>
      </w:tr>
    </w:tbl>
    <w:p>
      <w:pPr>
        <w:pStyle w:val="Heading1"/>
        <w:spacing w:after="120" w:before="280"/>
      </w:pPr>
      <w:r>
        <w:t xml:space="preserve">3. Evidence-not-guessing — elevated check</w:t>
      </w:r>
    </w:p>
    <w:p>
      <w:pPr>
        <w:spacing w:after="120"/>
      </w:pPr>
      <w:r>
        <w:t xml:space="preserve">This gets its own gate because a plausible-sounding finding with no specific location is exactly as unverifiable as the failure mode test-agent's DoD guards against — the Flow Overview's own claim standing in for evidence — just one system over.</w:t>
      </w:r>
    </w:p>
    <w:p>
      <w:pPr>
        <w:spacing w:after="140"/>
      </w:pPr>
      <w:r>
        <w:rPr>
          <w:b/>
          <w:bCs/>
          <w:i/>
          <w:iCs/>
        </w:rPr>
        <w:t xml:space="preserve">How to verify: </w:t>
      </w:r>
      <w:r>
        <w:rPr>
          <w:i/>
          <w:iCs/>
        </w:rPr>
        <w:t xml:space="preserve">For every finding in every section, confirm it names a specific node ID/label and, where relevant, a field or transcript-turn reference. For every cost estimate, confirm the assumptions are stated explicitly, or the real session window it was computed from is named.</w:t>
      </w:r>
    </w:p>
    <w:p>
      <w:pPr>
        <w:pStyle w:val="ListParagraph"/>
        <w:numPr>
          <w:ilvl w:val="0"/>
          <w:numId w:val="1"/>
        </w:numPr>
        <w:spacing w:after="60"/>
      </w:pPr>
      <w:r>
        <w:t xml:space="preserve">No finding is written without a specific node or location it points to.</w:t>
      </w:r>
    </w:p>
    <w:p>
      <w:pPr>
        <w:pStyle w:val="ListParagraph"/>
        <w:numPr>
          <w:ilvl w:val="0"/>
          <w:numId w:val="1"/>
        </w:numPr>
        <w:spacing w:after="60"/>
      </w:pPr>
      <w:r>
        <w:t xml:space="preserve">Every cost/savings estimate states its assumptions, or names the real session data it was computed from.</w:t>
      </w:r>
    </w:p>
    <w:p>
      <w:pPr>
        <w:pStyle w:val="ListParagraph"/>
        <w:numPr>
          <w:ilvl w:val="0"/>
          <w:numId w:val="1"/>
        </w:numPr>
        <w:spacing w:after="60"/>
      </w:pPr>
      <w:r>
        <w:t xml:space="preserve">If Cognigy MCP read-only calls were used, the report states which ones and, for session data, the exact window pulled (count and period) — not left implicit.</w:t>
      </w:r>
    </w:p>
    <w:p>
      <w:pPr>
        <w:pStyle w:val="Heading1"/>
        <w:spacing w:after="120" w:before="280"/>
      </w:pPr>
      <w:r>
        <w:t xml:space="preserve">4. Priority Matrix &amp; Build-Agent Remediation Order — elevated check</w:t>
      </w:r>
    </w:p>
    <w:p>
      <w:pPr>
        <w:spacing w:after="120"/>
      </w:pPr>
      <w:r>
        <w:t xml:space="preserve">This gets its own gate because an unranked or inconsistently-ranked checklist defeats the point of prioritizing at all, and a remediation item without a structured handoff format forces build-agent (or the user) to re-derive the fix from prose instead of acting on it directly.</w:t>
      </w:r>
    </w:p>
    <w:p>
      <w:pPr>
        <w:spacing w:after="140"/>
      </w:pPr>
      <w:r>
        <w:rPr>
          <w:b/>
          <w:bCs/>
          <w:i/>
          <w:iCs/>
        </w:rPr>
        <w:t xml:space="preserve">How to verify: </w:t>
      </w:r>
      <w:r>
        <w:rPr>
          <w:i/>
          <w:iCs/>
        </w:rPr>
        <w:t xml:space="preserve">Recompute each finding's bucket yourself from its stated Severity and Effort using the matrix below, and confirm it matches the tag in the report. Then confirm every Small/Medium-Effort finding carries all five Remediation Order fields, and every Large-Effort finding is explicitly routed to spec-agent rather than given a Remediation Order block.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900"/>
      </w:tblGrid>
      <w:tr>
        <w:trPr>
          <w:tblHeader/>
        </w:trPr>
        <w:tc>
          <w:tcPr>
            <w:tcW w:type="dxa" w:w="2600"/>
            <w:shd w:fill="D9D9D9" w:val="clear"/>
            <w:tcMar>
              <w:top w:type="dxa" w:w="80"/>
              <w:left w:type="dxa" w:w="100"/>
              <w:bottom w:type="dxa" w:w="80"/>
              <w:right w:type="dxa" w:w="100"/>
            </w:tcMar>
          </w:tcPr>
          <w:p>
            <w:r>
              <w:rPr>
                <w:b/>
                <w:bCs/>
              </w:rPr>
              <w:t xml:space="preserve">Bucket</w:t>
            </w:r>
          </w:p>
        </w:tc>
        <w:tc>
          <w:tcPr>
            <w:tcW w:type="dxa" w:w="2200"/>
            <w:shd w:fill="D9D9D9" w:val="clear"/>
            <w:tcMar>
              <w:top w:type="dxa" w:w="80"/>
              <w:left w:type="dxa" w:w="100"/>
              <w:bottom w:type="dxa" w:w="80"/>
              <w:right w:type="dxa" w:w="100"/>
            </w:tcMar>
          </w:tcPr>
          <w:p>
            <w:r>
              <w:rPr>
                <w:b/>
                <w:bCs/>
              </w:rPr>
              <w:t xml:space="preserve">Severity band</w:t>
            </w:r>
          </w:p>
        </w:tc>
        <w:tc>
          <w:tcPr>
            <w:tcW w:type="dxa" w:w="2200"/>
            <w:shd w:fill="D9D9D9" w:val="clear"/>
            <w:tcMar>
              <w:top w:type="dxa" w:w="80"/>
              <w:left w:type="dxa" w:w="100"/>
              <w:bottom w:type="dxa" w:w="80"/>
              <w:right w:type="dxa" w:w="100"/>
            </w:tcMar>
          </w:tcPr>
          <w:p>
            <w:r>
              <w:rPr>
                <w:b/>
                <w:bCs/>
              </w:rPr>
              <w:t xml:space="preserve">Effort band</w:t>
            </w:r>
          </w:p>
        </w:tc>
        <w:tc>
          <w:tcPr>
            <w:tcW w:type="dxa" w:w="2900"/>
            <w:shd w:fill="D9D9D9" w:val="clear"/>
            <w:tcMar>
              <w:top w:type="dxa" w:w="80"/>
              <w:left w:type="dxa" w:w="100"/>
              <w:bottom w:type="dxa" w:w="80"/>
              <w:right w:type="dxa" w:w="100"/>
            </w:tcMar>
          </w:tcPr>
          <w:p>
            <w:r>
              <w:rPr>
                <w:b/>
                <w:bCs/>
              </w:rPr>
              <w:t xml:space="preserve">Meaning</w:t>
            </w:r>
          </w:p>
        </w:tc>
      </w:tr>
      <w:tr>
        <w:tc>
          <w:tcPr>
            <w:tcW w:type="dxa" w:w="2600"/>
            <w:tcMar>
              <w:top w:type="dxa" w:w="80"/>
              <w:left w:type="dxa" w:w="100"/>
              <w:bottom w:type="dxa" w:w="80"/>
              <w:right w:type="dxa" w:w="100"/>
            </w:tcMar>
          </w:tcPr>
          <w:p>
            <w:r>
              <w:rPr>
                <w:b w:val="false"/>
                <w:bCs w:val="false"/>
              </w:rPr>
              <w:t xml:space="preserve">P1 — Quick Wins</w:t>
            </w:r>
          </w:p>
        </w:tc>
        <w:tc>
          <w:tcPr>
            <w:tcW w:type="dxa" w:w="2200"/>
            <w:tcMar>
              <w:top w:type="dxa" w:w="80"/>
              <w:left w:type="dxa" w:w="100"/>
              <w:bottom w:type="dxa" w:w="80"/>
              <w:right w:type="dxa" w:w="100"/>
            </w:tcMar>
          </w:tcPr>
          <w:p>
            <w:r>
              <w:rPr>
                <w:b w:val="false"/>
                <w:bCs w:val="false"/>
              </w:rPr>
              <w:t xml:space="preserve">Critical / High</w:t>
            </w:r>
          </w:p>
        </w:tc>
        <w:tc>
          <w:tcPr>
            <w:tcW w:type="dxa" w:w="2200"/>
            <w:tcMar>
              <w:top w:type="dxa" w:w="80"/>
              <w:left w:type="dxa" w:w="100"/>
              <w:bottom w:type="dxa" w:w="80"/>
              <w:right w:type="dxa" w:w="100"/>
            </w:tcMar>
          </w:tcPr>
          <w:p>
            <w:r>
              <w:rPr>
                <w:b w:val="false"/>
                <w:bCs w:val="false"/>
              </w:rPr>
              <w:t xml:space="preserve">Small</w:t>
            </w:r>
          </w:p>
        </w:tc>
        <w:tc>
          <w:tcPr>
            <w:tcW w:type="dxa" w:w="2900"/>
            <w:tcMar>
              <w:top w:type="dxa" w:w="80"/>
              <w:left w:type="dxa" w:w="100"/>
              <w:bottom w:type="dxa" w:w="80"/>
              <w:right w:type="dxa" w:w="100"/>
            </w:tcMar>
          </w:tcPr>
          <w:p>
            <w:r>
              <w:rPr>
                <w:b w:val="false"/>
                <w:bCs w:val="false"/>
              </w:rPr>
              <w:t xml:space="preserve">Do now</w:t>
            </w:r>
          </w:p>
        </w:tc>
      </w:tr>
      <w:tr>
        <w:tc>
          <w:tcPr>
            <w:tcW w:type="dxa" w:w="2600"/>
            <w:tcMar>
              <w:top w:type="dxa" w:w="80"/>
              <w:left w:type="dxa" w:w="100"/>
              <w:bottom w:type="dxa" w:w="80"/>
              <w:right w:type="dxa" w:w="100"/>
            </w:tcMar>
          </w:tcPr>
          <w:p>
            <w:r>
              <w:rPr>
                <w:b w:val="false"/>
                <w:bCs w:val="false"/>
              </w:rPr>
              <w:t xml:space="preserve">P2 — Major Projects</w:t>
            </w:r>
          </w:p>
        </w:tc>
        <w:tc>
          <w:tcPr>
            <w:tcW w:type="dxa" w:w="2200"/>
            <w:tcMar>
              <w:top w:type="dxa" w:w="80"/>
              <w:left w:type="dxa" w:w="100"/>
              <w:bottom w:type="dxa" w:w="80"/>
              <w:right w:type="dxa" w:w="100"/>
            </w:tcMar>
          </w:tcPr>
          <w:p>
            <w:r>
              <w:rPr>
                <w:b w:val="false"/>
                <w:bCs w:val="false"/>
              </w:rPr>
              <w:t xml:space="preserve">Critical / High</w:t>
            </w:r>
          </w:p>
        </w:tc>
        <w:tc>
          <w:tcPr>
            <w:tcW w:type="dxa" w:w="2200"/>
            <w:tcMar>
              <w:top w:type="dxa" w:w="80"/>
              <w:left w:type="dxa" w:w="100"/>
              <w:bottom w:type="dxa" w:w="80"/>
              <w:right w:type="dxa" w:w="100"/>
            </w:tcMar>
          </w:tcPr>
          <w:p>
            <w:r>
              <w:rPr>
                <w:b w:val="false"/>
                <w:bCs w:val="false"/>
              </w:rPr>
              <w:t xml:space="preserve">Medium / Large</w:t>
            </w:r>
          </w:p>
        </w:tc>
        <w:tc>
          <w:tcPr>
            <w:tcW w:type="dxa" w:w="2900"/>
            <w:tcMar>
              <w:top w:type="dxa" w:w="80"/>
              <w:left w:type="dxa" w:w="100"/>
              <w:bottom w:type="dxa" w:w="80"/>
              <w:right w:type="dxa" w:w="100"/>
            </w:tcMar>
          </w:tcPr>
          <w:p>
            <w:r>
              <w:rPr>
                <w:b w:val="false"/>
                <w:bCs w:val="false"/>
              </w:rPr>
              <w:t xml:space="preserve">Plan it</w:t>
            </w:r>
          </w:p>
        </w:tc>
      </w:tr>
      <w:tr>
        <w:tc>
          <w:tcPr>
            <w:tcW w:type="dxa" w:w="2600"/>
            <w:tcMar>
              <w:top w:type="dxa" w:w="80"/>
              <w:left w:type="dxa" w:w="100"/>
              <w:bottom w:type="dxa" w:w="80"/>
              <w:right w:type="dxa" w:w="100"/>
            </w:tcMar>
          </w:tcPr>
          <w:p>
            <w:r>
              <w:rPr>
                <w:b w:val="false"/>
                <w:bCs w:val="false"/>
              </w:rPr>
              <w:t xml:space="preserve">P3 — Minor Tuning</w:t>
            </w:r>
          </w:p>
        </w:tc>
        <w:tc>
          <w:tcPr>
            <w:tcW w:type="dxa" w:w="2200"/>
            <w:tcMar>
              <w:top w:type="dxa" w:w="80"/>
              <w:left w:type="dxa" w:w="100"/>
              <w:bottom w:type="dxa" w:w="80"/>
              <w:right w:type="dxa" w:w="100"/>
            </w:tcMar>
          </w:tcPr>
          <w:p>
            <w:r>
              <w:rPr>
                <w:b w:val="false"/>
                <w:bCs w:val="false"/>
              </w:rPr>
              <w:t xml:space="preserve">Medium / Low</w:t>
            </w:r>
          </w:p>
        </w:tc>
        <w:tc>
          <w:tcPr>
            <w:tcW w:type="dxa" w:w="2200"/>
            <w:tcMar>
              <w:top w:type="dxa" w:w="80"/>
              <w:left w:type="dxa" w:w="100"/>
              <w:bottom w:type="dxa" w:w="80"/>
              <w:right w:type="dxa" w:w="100"/>
            </w:tcMar>
          </w:tcPr>
          <w:p>
            <w:r>
              <w:rPr>
                <w:b w:val="false"/>
                <w:bCs w:val="false"/>
              </w:rPr>
              <w:t xml:space="preserve">Small</w:t>
            </w:r>
          </w:p>
        </w:tc>
        <w:tc>
          <w:tcPr>
            <w:tcW w:type="dxa" w:w="2900"/>
            <w:tcMar>
              <w:top w:type="dxa" w:w="80"/>
              <w:left w:type="dxa" w:w="100"/>
              <w:bottom w:type="dxa" w:w="80"/>
              <w:right w:type="dxa" w:w="100"/>
            </w:tcMar>
          </w:tcPr>
          <w:p>
            <w:r>
              <w:rPr>
                <w:b w:val="false"/>
                <w:bCs w:val="false"/>
              </w:rPr>
              <w:t xml:space="preserve">Bundle in</w:t>
            </w:r>
          </w:p>
        </w:tc>
      </w:tr>
      <w:tr>
        <w:tc>
          <w:tcPr>
            <w:tcW w:type="dxa" w:w="2600"/>
            <w:tcMar>
              <w:top w:type="dxa" w:w="80"/>
              <w:left w:type="dxa" w:w="100"/>
              <w:bottom w:type="dxa" w:w="80"/>
              <w:right w:type="dxa" w:w="100"/>
            </w:tcMar>
          </w:tcPr>
          <w:p>
            <w:r>
              <w:rPr>
                <w:b w:val="false"/>
                <w:bCs w:val="false"/>
              </w:rPr>
              <w:t xml:space="preserve">P4 — Backlog / Low ROI</w:t>
            </w:r>
          </w:p>
        </w:tc>
        <w:tc>
          <w:tcPr>
            <w:tcW w:type="dxa" w:w="2200"/>
            <w:tcMar>
              <w:top w:type="dxa" w:w="80"/>
              <w:left w:type="dxa" w:w="100"/>
              <w:bottom w:type="dxa" w:w="80"/>
              <w:right w:type="dxa" w:w="100"/>
            </w:tcMar>
          </w:tcPr>
          <w:p>
            <w:r>
              <w:rPr>
                <w:b w:val="false"/>
                <w:bCs w:val="false"/>
              </w:rPr>
              <w:t xml:space="preserve">Medium / Low</w:t>
            </w:r>
          </w:p>
        </w:tc>
        <w:tc>
          <w:tcPr>
            <w:tcW w:type="dxa" w:w="2200"/>
            <w:tcMar>
              <w:top w:type="dxa" w:w="80"/>
              <w:left w:type="dxa" w:w="100"/>
              <w:bottom w:type="dxa" w:w="80"/>
              <w:right w:type="dxa" w:w="100"/>
            </w:tcMar>
          </w:tcPr>
          <w:p>
            <w:r>
              <w:rPr>
                <w:b w:val="false"/>
                <w:bCs w:val="false"/>
              </w:rPr>
              <w:t xml:space="preserve">Medium / Large</w:t>
            </w:r>
          </w:p>
        </w:tc>
        <w:tc>
          <w:tcPr>
            <w:tcW w:type="dxa" w:w="2900"/>
            <w:tcMar>
              <w:top w:type="dxa" w:w="80"/>
              <w:left w:type="dxa" w:w="100"/>
              <w:bottom w:type="dxa" w:w="80"/>
              <w:right w:type="dxa" w:w="100"/>
            </w:tcMar>
          </w:tcPr>
          <w:p>
            <w:r>
              <w:rPr>
                <w:b w:val="false"/>
                <w:bCs w:val="false"/>
              </w:rPr>
              <w:t xml:space="preserve">Name it, don't chase it</w:t>
            </w:r>
          </w:p>
        </w:tc>
      </w:tr>
    </w:tbl>
    <w:p>
      <w:pPr>
        <w:spacing w:after="100"/>
      </w:pPr>
    </w:p>
    <w:p>
      <w:pPr>
        <w:pStyle w:val="ListParagraph"/>
        <w:numPr>
          <w:ilvl w:val="0"/>
          <w:numId w:val="1"/>
        </w:numPr>
        <w:spacing w:after="60"/>
      </w:pPr>
      <w:r>
        <w:t xml:space="preserve">Every finding in the Prioritized Checklist carries a P1–P4 tag matching its stated Severity/Effort, per the matrix above.</w:t>
      </w:r>
    </w:p>
    <w:p>
      <w:pPr>
        <w:pStyle w:val="ListParagraph"/>
        <w:numPr>
          <w:ilvl w:val="0"/>
          <w:numId w:val="1"/>
        </w:numPr>
        <w:spacing w:after="60"/>
      </w:pPr>
      <w:r>
        <w:t xml:space="preserve">The checklist is ordered P1 → P2 → P3 → P4.</w:t>
      </w:r>
    </w:p>
    <w:p>
      <w:pPr>
        <w:pStyle w:val="ListParagraph"/>
        <w:numPr>
          <w:ilvl w:val="0"/>
          <w:numId w:val="1"/>
        </w:numPr>
        <w:spacing w:after="60"/>
      </w:pPr>
      <w:r>
        <w:t xml:space="preserve">Every Small/Medium-Effort finding has a complete Remediation Order block: Node ID &amp; Label, Field/Context Path, Current State, Recommended Fix, Priority.</w:t>
      </w:r>
    </w:p>
    <w:p>
      <w:pPr>
        <w:pStyle w:val="ListParagraph"/>
        <w:numPr>
          <w:ilvl w:val="0"/>
          <w:numId w:val="1"/>
        </w:numPr>
        <w:spacing w:after="60"/>
      </w:pPr>
      <w:r>
        <w:t xml:space="preserve">Every Large-Effort finding is explicitly routed back through spec-agent instead of carrying a Remediation Order block.</w:t>
      </w:r>
    </w:p>
    <w:p>
      <w:pPr>
        <w:pStyle w:val="Heading1"/>
        <w:spacing w:after="120" w:before="280"/>
      </w:pPr>
      <w:r>
        <w:t xml:space="preserve">5. Pipeline placeholder / Global Parameter leak check — elevated check</w:t>
      </w:r>
    </w:p>
    <w:p>
      <w:pPr>
        <w:spacing w:after="120"/>
      </w:pPr>
      <w:r>
        <w:t xml:space="preserve">This gets its own gate for the same reason it does in test-agent's DoD: a build-time placeholder or an undefined Global Parameter that made it into a live flow is a production-grade defect, not a documentation footnote — it must not get buried as a minor note under Dimension 1 or 2.</w:t>
      </w:r>
    </w:p>
    <w:p>
      <w:pPr>
        <w:spacing w:after="140"/>
      </w:pPr>
      <w:r>
        <w:rPr>
          <w:b/>
          <w:bCs/>
          <w:i/>
          <w:iCs/>
        </w:rPr>
        <w:t xml:space="preserve">How to verify: </w:t>
      </w:r>
      <w:r>
        <w:rPr>
          <w:i/>
          <w:iCs/>
        </w:rPr>
        <w:t xml:space="preserve">Confirm the report states explicitly that the flow (and transcript, if available) was scanned for build-agent's current placeholder conventions and for any Global Parameter a node references but that isn't defined — check build-agent.md's Placeholder &amp; Global Parameter Syntax section for the authoritative, current definition, since this check tracks that file rather than a fixed string. Confirm any hit found live in the flow is tagged Critical Severity / Small Effort / P1, regardless of what a general severity read might otherwise suggest.</w:t>
      </w:r>
    </w:p>
    <w:p>
      <w:pPr>
        <w:pStyle w:val="ListParagraph"/>
        <w:numPr>
          <w:ilvl w:val="0"/>
          <w:numId w:val="1"/>
        </w:numPr>
        <w:spacing w:after="60"/>
      </w:pPr>
      <w:r>
        <w:t xml:space="preserve">The report states the flow (and transcript, if available) was scanned for build-agent's current placeholder conventions and for undefined Global Parameter references — not just areas that looked suspicious.</w:t>
      </w:r>
    </w:p>
    <w:p>
      <w:pPr>
        <w:pStyle w:val="ListParagraph"/>
        <w:numPr>
          <w:ilvl w:val="0"/>
          <w:numId w:val="1"/>
        </w:numPr>
        <w:spacing w:after="60"/>
      </w:pPr>
      <w:r>
        <w:t xml:space="preserve">Any placeholder or undefined Global Parameter found live in the flow is tagged Critical Severity / Small Effort / P1.</w:t>
      </w:r>
    </w:p>
    <w:p>
      <w:pPr>
        <w:pStyle w:val="ListParagraph"/>
        <w:numPr>
          <w:ilvl w:val="0"/>
          <w:numId w:val="1"/>
        </w:numPr>
        <w:spacing w:after="60"/>
      </w:pPr>
      <w:r>
        <w:t xml:space="preserve">If the syntax cited in the report doesn't match what build-agent.md currently defines, that's a flag to fix — the scan must track the live definition.</w:t>
      </w:r>
    </w:p>
    <w:p>
      <w:pPr>
        <w:pStyle w:val="Heading1"/>
        <w:spacing w:after="120" w:before="280"/>
      </w:pPr>
      <w:r>
        <w:t xml:space="preserve">6. Secrets &amp; PII redaction — elevated check</w:t>
      </w:r>
    </w:p>
    <w:p>
      <w:pPr>
        <w:spacing w:after="120"/>
      </w:pPr>
      <w:r>
        <w:t xml:space="preserve">This gets its own gate because a leaked credential printed in a report meant to be shared or filed is a worse outcome than the original finding it was reporting on.</w:t>
      </w:r>
    </w:p>
    <w:p>
      <w:pPr>
        <w:spacing w:after="140"/>
      </w:pPr>
      <w:r>
        <w:rPr>
          <w:b/>
          <w:bCs/>
          <w:i/>
          <w:iCs/>
        </w:rPr>
        <w:t xml:space="preserve">How to verify: </w:t>
      </w:r>
      <w:r>
        <w:rPr>
          <w:i/>
          <w:iCs/>
        </w:rPr>
        <w:t xml:space="preserve">Scan the entire report for anything that looks like a live credential, token, or PII value reproduced in full. Confirm every such instance is redacted as [REDACTED_SECRET] (or an equivalent redaction for PII) with the node and field named instead.</w:t>
      </w:r>
    </w:p>
    <w:p>
      <w:pPr>
        <w:pStyle w:val="ListParagraph"/>
        <w:numPr>
          <w:ilvl w:val="0"/>
          <w:numId w:val="1"/>
        </w:numPr>
        <w:spacing w:after="60"/>
      </w:pPr>
      <w:r>
        <w:t xml:space="preserve">No real secret, token, or credential value appears anywhere in the report.</w:t>
      </w:r>
    </w:p>
    <w:p>
      <w:pPr>
        <w:pStyle w:val="ListParagraph"/>
        <w:numPr>
          <w:ilvl w:val="0"/>
          <w:numId w:val="1"/>
        </w:numPr>
        <w:spacing w:after="60"/>
      </w:pPr>
      <w:r>
        <w:t xml:space="preserve">No PII value is reproduced in full; the field and node are named instead.</w:t>
      </w:r>
    </w:p>
    <w:p>
      <w:pPr>
        <w:pStyle w:val="ListParagraph"/>
        <w:numPr>
          <w:ilvl w:val="0"/>
          <w:numId w:val="1"/>
        </w:numPr>
        <w:spacing w:after="60"/>
      </w:pPr>
      <w:r>
        <w:t xml:space="preserve">Every redacted item has its exact node and field named so the user can act on it directly.</w:t>
      </w:r>
    </w:p>
    <w:p>
      <w:pPr>
        <w:pStyle w:val="Heading1"/>
        <w:spacing w:after="120" w:before="280"/>
      </w:pPr>
      <w:r>
        <w:t xml:space="preserve">7. Feature/migration fabrication guard — elevated check</w:t>
      </w:r>
    </w:p>
    <w:p>
      <w:pPr>
        <w:spacing w:after="120"/>
      </w:pPr>
      <w:r>
        <w:t xml:space="preserve">This gets its own gate because a confidently wrong release date or a fabricated documentation link is actively worse than omitting the suggestion.</w:t>
      </w:r>
    </w:p>
    <w:p>
      <w:pPr>
        <w:spacing w:after="140"/>
      </w:pPr>
      <w:r>
        <w:rPr>
          <w:b/>
          <w:bCs/>
          <w:i/>
          <w:iCs/>
        </w:rPr>
        <w:t xml:space="preserve">How to verify: </w:t>
      </w:r>
      <w:r>
        <w:rPr>
          <w:i/>
          <w:iCs/>
        </w:rPr>
        <w:t xml:space="preserve">For every item in Feature &amp; Migration Suggestions, confirm it is framed as "worth checking" rather than asserted as verified fact, and that no specific release date or documentation link is stated unless it is clearly accurate.</w:t>
      </w:r>
    </w:p>
    <w:p>
      <w:pPr>
        <w:pStyle w:val="ListParagraph"/>
        <w:numPr>
          <w:ilvl w:val="0"/>
          <w:numId w:val="1"/>
        </w:numPr>
        <w:spacing w:after="60"/>
      </w:pPr>
      <w:r>
        <w:t xml:space="preserve">No unverified specific release date or documentation link appears in this section.</w:t>
      </w:r>
    </w:p>
    <w:p>
      <w:pPr>
        <w:pStyle w:val="ListParagraph"/>
        <w:numPr>
          <w:ilvl w:val="0"/>
          <w:numId w:val="1"/>
        </w:numPr>
        <w:spacing w:after="60"/>
      </w:pPr>
      <w:r>
        <w:t xml:space="preserve">Suggestions are framed as directional ("worth checking in current Cognigy docs"), not settled fact.</w:t>
      </w:r>
    </w:p>
    <w:p>
      <w:pPr>
        <w:pStyle w:val="Heading1"/>
        <w:spacing w:after="120" w:before="280"/>
      </w:pPr>
      <w:r>
        <w:t xml:space="preserve">8. Boundary checks</w:t>
      </w:r>
    </w:p>
    <w:p>
      <w:pPr>
        <w:spacing w:after="120"/>
      </w:pPr>
      <w:r>
        <w:t xml:space="preserve">Confirms the audit stayed in its lane — finding and proposing, not fixing, rebuilding, or comparing against a spec as if it were test-agent, and never crossing the build-agent's Safety boundary.</w:t>
      </w:r>
    </w:p>
    <w:p>
      <w:pPr>
        <w:spacing w:after="140"/>
      </w:pPr>
      <w:r>
        <w:rPr>
          <w:b/>
          <w:bCs/>
          <w:i/>
          <w:iCs/>
        </w:rPr>
        <w:t xml:space="preserve">How to verify: </w:t>
      </w:r>
      <w:r>
        <w:rPr>
          <w:i/>
          <w:iCs/>
        </w:rPr>
        <w:t xml:space="preserve">Scan the report for any rewritten flow content, any claim of having modified the flow, or any verdict phrased as Pass/Fail/Open (that vocabulary belongs to test-agent). Confirm any Cognigy MCP calls used were read-only.</w:t>
      </w:r>
    </w:p>
    <w:p>
      <w:pPr>
        <w:pStyle w:val="ListParagraph"/>
        <w:numPr>
          <w:ilvl w:val="0"/>
          <w:numId w:val="1"/>
        </w:numPr>
        <w:spacing w:after="60"/>
      </w:pPr>
      <w:r>
        <w:t xml:space="preserve">The report contains no rewritten flow content — only findings and proposals.</w:t>
      </w:r>
    </w:p>
    <w:p>
      <w:pPr>
        <w:pStyle w:val="ListParagraph"/>
        <w:numPr>
          <w:ilvl w:val="0"/>
          <w:numId w:val="1"/>
        </w:numPr>
        <w:spacing w:after="60"/>
      </w:pPr>
      <w:r>
        <w:t xml:space="preserve">No Pass/Fail/Open verdict language appears anywhere — findings use Severity/Effort/Priority instead.</w:t>
      </w:r>
    </w:p>
    <w:p>
      <w:pPr>
        <w:pStyle w:val="ListParagraph"/>
        <w:numPr>
          <w:ilvl w:val="0"/>
          <w:numId w:val="1"/>
        </w:numPr>
        <w:spacing w:after="60"/>
      </w:pPr>
      <w:r>
        <w:t xml:space="preserve">Any Cognigy MCP calls used were read-only (cognigy_get_flow, cognigy_list_flows, cognigy_list_projects, or a GET-method cognigy_api call) — no write call was made.</w:t>
      </w:r>
    </w:p>
    <w:p>
      <w:pPr>
        <w:pStyle w:val="ListParagraph"/>
        <w:numPr>
          <w:ilvl w:val="0"/>
          <w:numId w:val="1"/>
        </w:numPr>
        <w:spacing w:after="60"/>
      </w:pPr>
      <w:r>
        <w:t xml:space="preserve">Where spec.md was used, it was for context only — the report doesn't claim a compliance verdict against it.</w:t>
      </w:r>
    </w:p>
    <w:p>
      <w:pPr>
        <w:pStyle w:val="Heading1"/>
        <w:spacing w:after="120" w:before="280"/>
      </w:pPr>
      <w:r>
        <w:t xml:space="preserve">9. Sign-off</w:t>
      </w:r>
    </w:p>
    <w:p>
      <w:pPr>
        <w:spacing w:after="120"/>
      </w:pPr>
      <w:r>
        <w:t xml:space="preserve">Record the decision. Since audit-agent doesn't gate a pipeline, all three outcomes are equally valid — "Dismiss" means the checklist did its job by giving the user grounds to decide nothing needs acting on.</w:t>
      </w:r>
    </w:p>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c>
          <w:tcPr>
            <w:tcW w:type="dxa" w:w="2400"/>
            <w:tcMar>
              <w:top w:type="dxa" w:w="80"/>
              <w:left w:type="dxa" w:w="100"/>
              <w:bottom w:type="dxa" w:w="80"/>
              <w:right w:type="dxa" w:w="100"/>
            </w:tcMar>
          </w:tcPr>
          <w:p>
            <w:r>
              <w:rPr>
                <w:b/>
                <w:bCs/>
              </w:rPr>
              <w:t xml:space="preserve">Reviewed by</w:t>
            </w:r>
          </w:p>
        </w:tc>
        <w:tc>
          <w:tcPr>
            <w:tcW w:type="dxa" w:w="7500"/>
            <w:tcMar>
              <w:top w:type="dxa" w:w="80"/>
              <w:left w:type="dxa" w:w="100"/>
              <w:bottom w:type="dxa" w:w="80"/>
              <w:right w:type="dxa" w:w="100"/>
            </w:tcMar>
          </w:tcPr>
          <w:p>
            <w:r>
              <w:rPr>
                <w:b w:val="false"/>
                <w:bCs w:val="false"/>
              </w:rPr>
              <w:t xml:space="preserve"/>
            </w:r>
          </w:p>
        </w:tc>
      </w:tr>
      <w:tr>
        <w:tc>
          <w:tcPr>
            <w:tcW w:type="dxa" w:w="2400"/>
            <w:tcMar>
              <w:top w:type="dxa" w:w="80"/>
              <w:left w:type="dxa" w:w="100"/>
              <w:bottom w:type="dxa" w:w="80"/>
              <w:right w:type="dxa" w:w="100"/>
            </w:tcMar>
          </w:tcPr>
          <w:p>
            <w:r>
              <w:rPr>
                <w:b/>
                <w:bCs/>
              </w:rPr>
              <w:t xml:space="preserve">Date</w:t>
            </w:r>
          </w:p>
        </w:tc>
        <w:tc>
          <w:tcPr>
            <w:tcW w:type="dxa" w:w="7500"/>
            <w:tcMar>
              <w:top w:type="dxa" w:w="80"/>
              <w:left w:type="dxa" w:w="100"/>
              <w:bottom w:type="dxa" w:w="80"/>
              <w:right w:type="dxa" w:w="100"/>
            </w:tcMar>
          </w:tcPr>
          <w:p>
            <w:r>
              <w:rPr>
                <w:b w:val="false"/>
                <w:bCs w:val="false"/>
              </w:rPr>
              <w:t xml:space="preserve"/>
            </w:r>
          </w:p>
        </w:tc>
      </w:tr>
      <w:tr>
        <w:tc>
          <w:tcPr>
            <w:tcW w:type="dxa" w:w="2400"/>
            <w:tcMar>
              <w:top w:type="dxa" w:w="80"/>
              <w:left w:type="dxa" w:w="100"/>
              <w:bottom w:type="dxa" w:w="80"/>
              <w:right w:type="dxa" w:w="100"/>
            </w:tcMar>
          </w:tcPr>
          <w:p>
            <w:r>
              <w:rPr>
                <w:b/>
                <w:bCs/>
              </w:rPr>
              <w:t xml:space="preserve">Decision</w:t>
            </w:r>
          </w:p>
        </w:tc>
        <w:tc>
          <w:tcPr>
            <w:tcW w:type="dxa" w:w="7500"/>
            <w:tcMar>
              <w:top w:type="dxa" w:w="80"/>
              <w:left w:type="dxa" w:w="100"/>
              <w:bottom w:type="dxa" w:w="80"/>
              <w:right w:type="dxa" w:w="100"/>
            </w:tcMar>
          </w:tcPr>
          <w:p>
            <w:r>
              <w:rPr>
                <w:b w:val="false"/>
                <w:bCs w:val="false"/>
              </w:rPr>
              <w:t xml:space="preserve">Accept findings as-is  /  Send specific items to build for revision  /  Dismiss (no action)</w:t>
            </w:r>
          </w:p>
        </w:tc>
      </w:tr>
      <w:tr>
        <w:tc>
          <w:tcPr>
            <w:tcW w:type="dxa" w:w="2400"/>
            <w:tcMar>
              <w:top w:type="dxa" w:w="80"/>
              <w:left w:type="dxa" w:w="100"/>
              <w:bottom w:type="dxa" w:w="80"/>
              <w:right w:type="dxa" w:w="100"/>
            </w:tcMar>
          </w:tcPr>
          <w:p>
            <w:r>
              <w:rPr>
                <w:b/>
                <w:bCs/>
              </w:rPr>
              <w:t xml:space="preserve">Notes</w:t>
            </w:r>
          </w:p>
        </w:tc>
        <w:tc>
          <w:tcPr>
            <w:tcW w:type="dxa" w:w="7500"/>
            <w:tcMar>
              <w:top w:type="dxa" w:w="80"/>
              <w:left w:type="dxa" w:w="100"/>
              <w:bottom w:type="dxa" w:w="80"/>
              <w:right w:type="dxa" w:w="100"/>
            </w:tcMar>
          </w:tcPr>
          <w:p>
            <w:r>
              <w:rPr>
                <w:b w:val="false"/>
                <w:bCs w:val="false"/>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2026-09-03T07:52:55.624Z</dcterms:created>
  <dcterms:modified xsi:type="dcterms:W3CDTF">2026-09-03T07:52:55.626Z</dcterms:modified>
</cp:coreProperties>
</file>

<file path=docProps/custom.xml><?xml version="1.0" encoding="utf-8"?>
<Properties xmlns="http://schemas.openxmlformats.org/officeDocument/2006/custom-properties" xmlns:vt="http://schemas.openxmlformats.org/officeDocument/2006/docPropsVTypes"/>
</file>