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Definition of Done — Build Phase</w:t>
      </w:r>
    </w:p>
    <w:p>
      <w:r>
        <w:rPr>
          <w:b/>
          <w:bCs/>
        </w:rPr>
        <w:t xml:space="preserve">Cognigy Multi-Agent System · flow + Flow Overview sign-off checklist</w:t>
      </w:r>
    </w:p>
    <w:p>
      <w:pPr>
        <w:spacing w:after="100"/>
      </w:pPr>
      <w:r>
        <w:rPr>
          <w:i/>
          <w:iCs/>
        </w:rPr>
        <w:t xml:space="preserve">Definition-of-Done checklist for a flow built live via the Cognigy MCP server.</w:t>
      </w:r>
    </w:p>
    <w:p>
      <w:pPr>
        <w:spacing w:after="200"/>
      </w:pPr>
      <w:r>
        <w:rPr>
          <w:color w:val="666666"/>
          <w:sz w:val="18"/>
          <w:szCs w:val="18"/>
        </w:rPr>
        <w:t xml:space="preserve">3 September 2026</w:t>
      </w:r>
    </w:p>
    <w:p>
      <w:pPr>
        <w:spacing w:after="120"/>
      </w:pPr>
      <w:r>
        <w:rPr>
          <w:b/>
          <w:bCs/>
        </w:rPr>
        <w:t xml:space="preserve">Purpose. </w:t>
      </w:r>
      <w:r>
        <w:t xml:space="preserve">This checklist confirms that a flow built by the build-agent, together with its Flow Overview, is complete enough to hand to the test-agent. It gates the build → test transition: the test-agent must be able to check the tested flow (via an automated Playbook run or a manual Try-out) against the Flow Overview without guessing what the build-agent intended. Run through every item below against the specific flow (via cognigy_get_flow) and its Flow Overview before starting the test phase.</w:t>
      </w:r>
    </w:p>
    <w:p>
      <w:pPr>
        <w:spacing w:after="120"/>
      </w:pPr>
      <w:r>
        <w:t xml:space="preserve">This is a check on the deliverables (the live flow and its Flow Overview), not on the agent's process. It can be applied by whoever ran the build, or by anyone else picking up the project cold. Each section below includes a How to verify note — checking a box means you did that verification, not that you skimmed the section and it looked fine.</w:t>
      </w:r>
    </w:p>
    <w:p>
      <w:pPr>
        <w:pStyle w:val="Heading1"/>
        <w:spacing w:after="120" w:before="280"/>
      </w:pPr>
      <w:r>
        <w:t xml:space="preserve">1. Structural completeness</w:t>
      </w:r>
    </w:p>
    <w:p>
      <w:pPr>
        <w:spacing w:after="120"/>
      </w:pPr>
      <w:r>
        <w:t xml:space="preserve">cognigy_get_flow returns the flow without errors, and the Flow Overview contains all ten parts below — not a heading with nothing under it.</w:t>
      </w:r>
    </w:p>
    <w:p>
      <w:pPr>
        <w:spacing w:after="140"/>
      </w:pPr>
      <w:r>
        <w:rPr>
          <w:b/>
          <w:bCs/>
          <w:i/>
          <w:iCs/>
        </w:rPr>
        <w:t xml:space="preserve">How to verify: </w:t>
      </w:r>
      <w:r>
        <w:rPr>
          <w:i/>
          <w:iCs/>
        </w:rPr>
        <w:t xml:space="preserve">Call cognigy_get_flow and confirm it returns a coherent node list. Read the Flow Overview top to bottom — each part must have actual content, not a placeholder sentence that could apply to any flow.</w:t>
      </w:r>
    </w:p>
    <w:p>
      <w:pPr>
        <w:pStyle w:val="ListParagraph"/>
        <w:numPr>
          <w:ilvl w:val="0"/>
          <w:numId w:val="1"/>
        </w:numPr>
        <w:spacing w:after="60"/>
      </w:pPr>
      <w:r>
        <w:t xml:space="preserve">Build Status — Complete, or Blocked, stated explicitly</w:t>
      </w:r>
    </w:p>
    <w:p>
      <w:pPr>
        <w:pStyle w:val="ListParagraph"/>
        <w:numPr>
          <w:ilvl w:val="0"/>
          <w:numId w:val="1"/>
        </w:numPr>
        <w:spacing w:after="60"/>
      </w:pPr>
      <w:r>
        <w:t xml:space="preserve">On a revision: a reference to a pre-build snapshot, actually retrievable</w:t>
      </w:r>
    </w:p>
    <w:p>
      <w:pPr>
        <w:pStyle w:val="ListParagraph"/>
        <w:numPr>
          <w:ilvl w:val="0"/>
          <w:numId w:val="1"/>
        </w:numPr>
        <w:spacing w:after="60"/>
      </w:pPr>
      <w:r>
        <w:t xml:space="preserve">Nodes, in order, with their labels, node IDs, and a NEW / MODIFIED / UNCHANGED tag on every one</w:t>
      </w:r>
    </w:p>
    <w:p>
      <w:pPr>
        <w:pStyle w:val="ListParagraph"/>
        <w:numPr>
          <w:ilvl w:val="0"/>
          <w:numId w:val="1"/>
        </w:numPr>
        <w:spacing w:after="60"/>
      </w:pPr>
      <w:r>
        <w:t xml:space="preserve">Whether a Playbook was created (and its ID/name), or why one couldn't be</w:t>
      </w:r>
    </w:p>
    <w:p>
      <w:pPr>
        <w:pStyle w:val="ListParagraph"/>
        <w:numPr>
          <w:ilvl w:val="0"/>
          <w:numId w:val="1"/>
        </w:numPr>
        <w:spacing w:after="60"/>
      </w:pPr>
      <w:r>
        <w:t xml:space="preserve">Global Parameters this flow now depends on, with what value each needs and why</w:t>
      </w:r>
    </w:p>
    <w:p>
      <w:pPr>
        <w:pStyle w:val="ListParagraph"/>
        <w:numPr>
          <w:ilvl w:val="0"/>
          <w:numId w:val="1"/>
        </w:numPr>
        <w:spacing w:after="60"/>
      </w:pPr>
      <w:r>
        <w:t xml:space="preserve">Placeholders left deliberately (bot-facing and node-specific), with what's needed to resolve each</w:t>
      </w:r>
    </w:p>
    <w:p>
      <w:pPr>
        <w:pStyle w:val="ListParagraph"/>
        <w:numPr>
          <w:ilvl w:val="0"/>
          <w:numId w:val="1"/>
        </w:numPr>
        <w:spacing w:after="60"/>
      </w:pPr>
      <w:r>
        <w:t xml:space="preserve">Platform defaults applied, named as defaults</w:t>
      </w:r>
    </w:p>
    <w:p>
      <w:pPr>
        <w:pStyle w:val="ListParagraph"/>
        <w:numPr>
          <w:ilvl w:val="0"/>
          <w:numId w:val="1"/>
        </w:numPr>
        <w:spacing w:after="60"/>
      </w:pPr>
      <w:r>
        <w:t xml:space="preserve">Gaps: anything spec.md didn't cover clearly enough to build without guessing</w:t>
      </w:r>
    </w:p>
    <w:p>
      <w:pPr>
        <w:pStyle w:val="ListParagraph"/>
        <w:numPr>
          <w:ilvl w:val="0"/>
          <w:numId w:val="1"/>
        </w:numPr>
        <w:spacing w:after="60"/>
      </w:pPr>
      <w:r>
        <w:t xml:space="preserve">Risk &amp; Human-Oversight flags</w:t>
      </w:r>
    </w:p>
    <w:p>
      <w:pPr>
        <w:pStyle w:val="ListParagraph"/>
        <w:numPr>
          <w:ilvl w:val="0"/>
          <w:numId w:val="1"/>
        </w:numPr>
        <w:spacing w:after="60"/>
      </w:pPr>
      <w:r>
        <w:t xml:space="preserve">Compliance Gate status, carried forward from spec.md</w:t>
      </w:r>
    </w:p>
    <w:p>
      <w:pPr>
        <w:pStyle w:val="Heading1"/>
        <w:spacing w:after="120" w:before="280"/>
      </w:pPr>
      <w:r>
        <w:t xml:space="preserve">2. Dimension-by-dimension coverage</w:t>
      </w:r>
    </w:p>
    <w:p>
      <w:pPr>
        <w:spacing w:after="120"/>
      </w:pPr>
      <w:r>
        <w:t xml:space="preserve">For each dimension, confirm the build actually addresses it — not just touches the topic.</w:t>
      </w:r>
    </w:p>
    <w:p>
      <w:pPr>
        <w:spacing w:after="140"/>
      </w:pPr>
      <w:r>
        <w:rPr>
          <w:b/>
          <w:bCs/>
          <w:i/>
          <w:iCs/>
        </w:rPr>
        <w:t xml:space="preserve">How to verify: </w:t>
      </w:r>
      <w:r>
        <w:rPr>
          <w:i/>
          <w:iCs/>
        </w:rPr>
        <w:t xml:space="preserve">For each dimension, point to the specific node (by label) or Flow Overview line that satisfies it. If you can't point to one, the dimension isn't covered — mark it N regardless of how confident you feel.</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100"/>
        <w:gridCol w:w="5500"/>
        <w:gridCol w:w="1300"/>
      </w:tblGrid>
      <w:tr>
        <w:trPr>
          <w:tblHeader/>
        </w:trPr>
        <w:tc>
          <w:tcPr>
            <w:tcW w:type="dxa" w:w="3100"/>
            <w:shd w:fill="D9D9D9" w:val="clear"/>
            <w:tcMar>
              <w:top w:type="dxa" w:w="80"/>
              <w:left w:type="dxa" w:w="100"/>
              <w:bottom w:type="dxa" w:w="80"/>
              <w:right w:type="dxa" w:w="100"/>
            </w:tcMar>
          </w:tcPr>
          <w:p>
            <w:r>
              <w:rPr>
                <w:b/>
                <w:bCs/>
              </w:rPr>
              <w:t xml:space="preserve">Dimension</w:t>
            </w:r>
          </w:p>
        </w:tc>
        <w:tc>
          <w:tcPr>
            <w:tcW w:type="dxa" w:w="5500"/>
            <w:shd w:fill="D9D9D9" w:val="clear"/>
            <w:tcMar>
              <w:top w:type="dxa" w:w="80"/>
              <w:left w:type="dxa" w:w="100"/>
              <w:bottom w:type="dxa" w:w="80"/>
              <w:right w:type="dxa" w:w="100"/>
            </w:tcMar>
          </w:tcPr>
          <w:p>
            <w:r>
              <w:rPr>
                <w:b/>
                <w:bCs/>
              </w:rPr>
              <w:t xml:space="preserve">What "addressed" means</w:t>
            </w:r>
          </w:p>
        </w:tc>
        <w:tc>
          <w:tcPr>
            <w:tcW w:type="dxa" w:w="1300"/>
            <w:shd w:fill="D9D9D9" w:val="clear"/>
            <w:tcMar>
              <w:top w:type="dxa" w:w="80"/>
              <w:left w:type="dxa" w:w="100"/>
              <w:bottom w:type="dxa" w:w="80"/>
              <w:right w:type="dxa" w:w="100"/>
            </w:tcMar>
          </w:tcPr>
          <w:p>
            <w:r>
              <w:rPr>
                <w:b/>
                <w:bCs/>
              </w:rPr>
              <w:t xml:space="preserve">Y / N</w:t>
            </w:r>
          </w:p>
        </w:tc>
      </w:tr>
      <w:tr>
        <w:tc>
          <w:tcPr>
            <w:tcW w:type="dxa" w:w="3100"/>
            <w:tcMar>
              <w:top w:type="dxa" w:w="80"/>
              <w:left w:type="dxa" w:w="100"/>
              <w:bottom w:type="dxa" w:w="80"/>
              <w:right w:type="dxa" w:w="100"/>
            </w:tcMar>
          </w:tcPr>
          <w:p>
            <w:r>
              <w:rPr>
                <w:b w:val="false"/>
                <w:bCs w:val="false"/>
              </w:rPr>
              <w:t xml:space="preserve">1. Node Mapping</w:t>
            </w:r>
          </w:p>
        </w:tc>
        <w:tc>
          <w:tcPr>
            <w:tcW w:type="dxa" w:w="5500"/>
            <w:tcMar>
              <w:top w:type="dxa" w:w="80"/>
              <w:left w:type="dxa" w:w="100"/>
              <w:bottom w:type="dxa" w:w="80"/>
              <w:right w:type="dxa" w:w="100"/>
            </w:tcMar>
          </w:tcPr>
          <w:p>
            <w:r>
              <w:rPr>
                <w:b w:val="false"/>
                <w:bCs w:val="false"/>
              </w:rPr>
              <w:t xml:space="preserve">Every Conversation Flow step in spec.md maps to a named node in the flow — Intent, Say, Input, Logic, Question, Code, Generative AI, or HTTP Request. Any stretch spec.md's Generative AI / Agentic Strategy section flags is built as a Generative AI Node with the named Tools/Functions and guardrails, not substituted with classic branching or vice versa. Anything uncertain is a marked placeholder, not a silent guess.</w:t>
            </w:r>
          </w:p>
        </w:tc>
        <w:tc>
          <w:tcPr>
            <w:tcW w:type="dxa" w:w="1300"/>
            <w:tcMar>
              <w:top w:type="dxa" w:w="80"/>
              <w:left w:type="dxa" w:w="100"/>
              <w:bottom w:type="dxa" w:w="80"/>
              <w:right w:type="dxa" w:w="100"/>
            </w:tcMar>
          </w:tcPr>
          <w:p>
            <w:r>
              <w:rPr>
                <w:b w:val="false"/>
                <w:bCs w:val="false"/>
              </w:rPr>
              <w:t xml:space="preserve"/>
            </w:r>
          </w:p>
        </w:tc>
      </w:tr>
      <w:tr>
        <w:tc>
          <w:tcPr>
            <w:tcW w:type="dxa" w:w="3100"/>
            <w:tcMar>
              <w:top w:type="dxa" w:w="80"/>
              <w:left w:type="dxa" w:w="100"/>
              <w:bottom w:type="dxa" w:w="80"/>
              <w:right w:type="dxa" w:w="100"/>
            </w:tcMar>
          </w:tcPr>
          <w:p>
            <w:r>
              <w:rPr>
                <w:b w:val="false"/>
                <w:bCs w:val="false"/>
              </w:rPr>
              <w:t xml:space="preserve">2. Intent &amp; NLU Configuration</w:t>
            </w:r>
          </w:p>
        </w:tc>
        <w:tc>
          <w:tcPr>
            <w:tcW w:type="dxa" w:w="5500"/>
            <w:tcMar>
              <w:top w:type="dxa" w:w="80"/>
              <w:left w:type="dxa" w:w="100"/>
              <w:bottom w:type="dxa" w:w="80"/>
              <w:right w:type="dxa" w:w="100"/>
            </w:tcMar>
          </w:tcPr>
          <w:p>
            <w:r>
              <w:rPr>
                <w:b w:val="false"/>
                <w:bCs w:val="false"/>
              </w:rPr>
              <w:t xml:space="preserve">Every intent from spec.md's Intents &amp; Scope has an Intent Node with a small, clearly-marked starter training-phrase set — not presented as production-grade training data.</w:t>
            </w:r>
          </w:p>
        </w:tc>
        <w:tc>
          <w:tcPr>
            <w:tcW w:type="dxa" w:w="1300"/>
            <w:tcMar>
              <w:top w:type="dxa" w:w="80"/>
              <w:left w:type="dxa" w:w="100"/>
              <w:bottom w:type="dxa" w:w="80"/>
              <w:right w:type="dxa" w:w="100"/>
            </w:tcMar>
          </w:tcPr>
          <w:p>
            <w:r>
              <w:rPr>
                <w:b w:val="false"/>
                <w:bCs w:val="false"/>
              </w:rPr>
              <w:t xml:space="preserve"/>
            </w:r>
          </w:p>
        </w:tc>
      </w:tr>
      <w:tr>
        <w:tc>
          <w:tcPr>
            <w:tcW w:type="dxa" w:w="3100"/>
            <w:tcMar>
              <w:top w:type="dxa" w:w="80"/>
              <w:left w:type="dxa" w:w="100"/>
              <w:bottom w:type="dxa" w:w="80"/>
              <w:right w:type="dxa" w:w="100"/>
            </w:tcMar>
          </w:tcPr>
          <w:p>
            <w:r>
              <w:rPr>
                <w:b w:val="false"/>
                <w:bCs w:val="false"/>
              </w:rPr>
              <w:t xml:space="preserve">3. Flow Control &amp; Branching</w:t>
            </w:r>
          </w:p>
        </w:tc>
        <w:tc>
          <w:tcPr>
            <w:tcW w:type="dxa" w:w="5500"/>
            <w:tcMar>
              <w:top w:type="dxa" w:w="80"/>
              <w:left w:type="dxa" w:w="100"/>
              <w:bottom w:type="dxa" w:w="80"/>
              <w:right w:type="dxa" w:w="100"/>
            </w:tcMar>
          </w:tcPr>
          <w:p>
            <w:r>
              <w:rPr>
                <w:b w:val="false"/>
                <w:bCs w:val="false"/>
              </w:rPr>
              <w:t xml:space="preserve">Every branch and per-item construct in the flow traces to a Conversation Flow requirement — including per-item ("for every...") behavior realized as a Code Node / iteration construct even when spec.md never names it.</w:t>
            </w:r>
          </w:p>
        </w:tc>
        <w:tc>
          <w:tcPr>
            <w:tcW w:type="dxa" w:w="1300"/>
            <w:tcMar>
              <w:top w:type="dxa" w:w="80"/>
              <w:left w:type="dxa" w:w="100"/>
              <w:bottom w:type="dxa" w:w="80"/>
              <w:right w:type="dxa" w:w="100"/>
            </w:tcMar>
          </w:tcPr>
          <w:p>
            <w:r>
              <w:rPr>
                <w:b w:val="false"/>
                <w:bCs w:val="false"/>
              </w:rPr>
              <w:t xml:space="preserve"/>
            </w:r>
          </w:p>
        </w:tc>
      </w:tr>
      <w:tr>
        <w:tc>
          <w:tcPr>
            <w:tcW w:type="dxa" w:w="3100"/>
            <w:tcMar>
              <w:top w:type="dxa" w:w="80"/>
              <w:left w:type="dxa" w:w="100"/>
              <w:bottom w:type="dxa" w:w="80"/>
              <w:right w:type="dxa" w:w="100"/>
            </w:tcMar>
          </w:tcPr>
          <w:p>
            <w:r>
              <w:rPr>
                <w:b w:val="false"/>
                <w:bCs w:val="false"/>
              </w:rPr>
              <w:t xml:space="preserve">4. Error Handling Assembly</w:t>
            </w:r>
          </w:p>
        </w:tc>
        <w:tc>
          <w:tcPr>
            <w:tcW w:type="dxa" w:w="5500"/>
            <w:tcMar>
              <w:top w:type="dxa" w:w="80"/>
              <w:left w:type="dxa" w:w="100"/>
              <w:bottom w:type="dxa" w:w="80"/>
              <w:right w:type="dxa" w:w="100"/>
            </w:tcMar>
          </w:tcPr>
          <w:p>
            <w:r>
              <w:rPr>
                <w:b w:val="false"/>
                <w:bCs w:val="false"/>
              </w:rPr>
              <w:t xml:space="preserve">Every instruction in spec.md's Error Handling Strategy is realized as an on-error path or a Context-counter retry pattern attached to the right node — including on any Generative AI Node's external call. Any retry ceiling named in spec.md is used exactly.</w:t>
            </w:r>
          </w:p>
        </w:tc>
        <w:tc>
          <w:tcPr>
            <w:tcW w:type="dxa" w:w="1300"/>
            <w:tcMar>
              <w:top w:type="dxa" w:w="80"/>
              <w:left w:type="dxa" w:w="100"/>
              <w:bottom w:type="dxa" w:w="80"/>
              <w:right w:type="dxa" w:w="100"/>
            </w:tcMar>
          </w:tcPr>
          <w:p>
            <w:r>
              <w:rPr>
                <w:b w:val="false"/>
                <w:bCs w:val="false"/>
              </w:rPr>
              <w:t xml:space="preserve"/>
            </w:r>
          </w:p>
        </w:tc>
      </w:tr>
      <w:tr>
        <w:tc>
          <w:tcPr>
            <w:tcW w:type="dxa" w:w="3100"/>
            <w:tcMar>
              <w:top w:type="dxa" w:w="80"/>
              <w:left w:type="dxa" w:w="100"/>
              <w:bottom w:type="dxa" w:w="80"/>
              <w:right w:type="dxa" w:w="100"/>
            </w:tcMar>
          </w:tcPr>
          <w:p>
            <w:r>
              <w:rPr>
                <w:b w:val="false"/>
                <w:bCs w:val="false"/>
              </w:rPr>
              <w:t xml:space="preserve">5. Escalation / Handoff Implementation</w:t>
            </w:r>
          </w:p>
        </w:tc>
        <w:tc>
          <w:tcPr>
            <w:tcW w:type="dxa" w:w="5500"/>
            <w:tcMar>
              <w:top w:type="dxa" w:w="80"/>
              <w:left w:type="dxa" w:w="100"/>
              <w:bottom w:type="dxa" w:w="80"/>
              <w:right w:type="dxa" w:w="100"/>
            </w:tcMar>
          </w:tcPr>
          <w:p>
            <w:r>
              <w:rPr>
                <w:b w:val="false"/>
                <w:bCs w:val="false"/>
              </w:rPr>
              <w:t xml:space="preserve">spec.md's Escalation &amp; Human-in-the-Loop Approach is realized as concrete nodes (transfer, ticket-creation) and, where named, a confirmation gate in front of any irreversible Tool call — not left implicit.</w:t>
            </w:r>
          </w:p>
        </w:tc>
        <w:tc>
          <w:tcPr>
            <w:tcW w:type="dxa" w:w="1300"/>
            <w:tcMar>
              <w:top w:type="dxa" w:w="80"/>
              <w:left w:type="dxa" w:w="100"/>
              <w:bottom w:type="dxa" w:w="80"/>
              <w:right w:type="dxa" w:w="100"/>
            </w:tcMar>
          </w:tcPr>
          <w:p>
            <w:r>
              <w:rPr>
                <w:b w:val="false"/>
                <w:bCs w:val="false"/>
              </w:rPr>
              <w:t xml:space="preserve"/>
            </w:r>
          </w:p>
        </w:tc>
      </w:tr>
      <w:tr>
        <w:tc>
          <w:tcPr>
            <w:tcW w:type="dxa" w:w="3100"/>
            <w:tcMar>
              <w:top w:type="dxa" w:w="80"/>
              <w:left w:type="dxa" w:w="100"/>
              <w:bottom w:type="dxa" w:w="80"/>
              <w:right w:type="dxa" w:w="100"/>
            </w:tcMar>
          </w:tcPr>
          <w:p>
            <w:r>
              <w:rPr>
                <w:b w:val="false"/>
                <w:bCs w:val="false"/>
              </w:rPr>
              <w:t xml:space="preserve">6. Context &amp; Flow-Level Constants Setup</w:t>
            </w:r>
          </w:p>
        </w:tc>
        <w:tc>
          <w:tcPr>
            <w:tcW w:type="dxa" w:w="5500"/>
            <w:tcMar>
              <w:top w:type="dxa" w:w="80"/>
              <w:left w:type="dxa" w:w="100"/>
              <w:bottom w:type="dxa" w:w="80"/>
              <w:right w:type="dxa" w:w="100"/>
            </w:tcMar>
          </w:tcPr>
          <w:p>
            <w:r>
              <w:rPr>
                <w:b w:val="false"/>
                <w:bCs w:val="false"/>
              </w:rPr>
              <w:t xml:space="preserve">Context keys from spec.md's Dependencies section exist in the flow, and flow-level constants are registered as Cognigy Global Parameters rather than hardcoded into node fields.</w:t>
            </w:r>
          </w:p>
        </w:tc>
        <w:tc>
          <w:tcPr>
            <w:tcW w:type="dxa" w:w="1300"/>
            <w:tcMar>
              <w:top w:type="dxa" w:w="80"/>
              <w:left w:type="dxa" w:w="100"/>
              <w:bottom w:type="dxa" w:w="80"/>
              <w:right w:type="dxa" w:w="100"/>
            </w:tcMar>
          </w:tcPr>
          <w:p>
            <w:r>
              <w:rPr>
                <w:b w:val="false"/>
                <w:bCs w:val="false"/>
              </w:rPr>
              <w:t xml:space="preserve"/>
            </w:r>
          </w:p>
        </w:tc>
      </w:tr>
      <w:tr>
        <w:tc>
          <w:tcPr>
            <w:tcW w:type="dxa" w:w="3100"/>
            <w:tcMar>
              <w:top w:type="dxa" w:w="80"/>
              <w:left w:type="dxa" w:w="100"/>
              <w:bottom w:type="dxa" w:w="80"/>
              <w:right w:type="dxa" w:w="100"/>
            </w:tcMar>
          </w:tcPr>
          <w:p>
            <w:r>
              <w:rPr>
                <w:b w:val="false"/>
                <w:bCs w:val="false"/>
              </w:rPr>
              <w:t xml:space="preserve">7. Field Mapping &amp; Placeholders</w:t>
            </w:r>
          </w:p>
        </w:tc>
        <w:tc>
          <w:tcPr>
            <w:tcW w:type="dxa" w:w="5500"/>
            <w:tcMar>
              <w:top w:type="dxa" w:w="80"/>
              <w:left w:type="dxa" w:w="100"/>
              <w:bottom w:type="dxa" w:w="80"/>
              <w:right w:type="dxa" w:w="100"/>
            </w:tcMar>
          </w:tcPr>
          <w:p>
            <w:r>
              <w:rPr>
                <w:b w:val="false"/>
                <w:bCs w:val="false"/>
              </w:rPr>
              <w:t xml:space="preserve">Data Contract fields from spec.md are mapped via CognigyScript; anything not resolvable without a live credential or manual testing is an explicit, labeled placeholder or Global Parameter reference in the standardized syntax.</w:t>
            </w:r>
          </w:p>
        </w:tc>
        <w:tc>
          <w:tcPr>
            <w:tcW w:type="dxa" w:w="1300"/>
            <w:tcMar>
              <w:top w:type="dxa" w:w="80"/>
              <w:left w:type="dxa" w:w="100"/>
              <w:bottom w:type="dxa" w:w="80"/>
              <w:right w:type="dxa" w:w="100"/>
            </w:tcMar>
          </w:tcPr>
          <w:p>
            <w:r>
              <w:rPr>
                <w:b w:val="false"/>
                <w:bCs w:val="false"/>
              </w:rPr>
              <w:t xml:space="preserve"/>
            </w:r>
          </w:p>
        </w:tc>
      </w:tr>
      <w:tr>
        <w:tc>
          <w:tcPr>
            <w:tcW w:type="dxa" w:w="3100"/>
            <w:tcMar>
              <w:top w:type="dxa" w:w="80"/>
              <w:left w:type="dxa" w:w="100"/>
              <w:bottom w:type="dxa" w:w="80"/>
              <w:right w:type="dxa" w:w="100"/>
            </w:tcMar>
          </w:tcPr>
          <w:p>
            <w:r>
              <w:rPr>
                <w:b w:val="false"/>
                <w:bCs w:val="false"/>
              </w:rPr>
              <w:t xml:space="preserve">8. Labeling Convention</w:t>
            </w:r>
          </w:p>
        </w:tc>
        <w:tc>
          <w:tcPr>
            <w:tcW w:type="dxa" w:w="5500"/>
            <w:tcMar>
              <w:top w:type="dxa" w:w="80"/>
              <w:left w:type="dxa" w:w="100"/>
              <w:bottom w:type="dxa" w:w="80"/>
              <w:right w:type="dxa" w:w="100"/>
            </w:tcMar>
          </w:tcPr>
          <w:p>
            <w:r>
              <w:rPr>
                <w:b w:val="false"/>
                <w:bCs w:val="false"/>
              </w:rPr>
              <w:t xml:space="preserve">Every node follows [Step#] [Branch] Verb: Object – System/Node-type – Purpose, consistently.</w:t>
            </w:r>
          </w:p>
        </w:tc>
        <w:tc>
          <w:tcPr>
            <w:tcW w:type="dxa" w:w="1300"/>
            <w:tcMar>
              <w:top w:type="dxa" w:w="80"/>
              <w:left w:type="dxa" w:w="100"/>
              <w:bottom w:type="dxa" w:w="80"/>
              <w:right w:type="dxa" w:w="100"/>
            </w:tcMar>
          </w:tcPr>
          <w:p>
            <w:r>
              <w:rPr>
                <w:b w:val="false"/>
                <w:bCs w:val="false"/>
              </w:rPr>
              <w:t xml:space="preserve"/>
            </w:r>
          </w:p>
        </w:tc>
      </w:tr>
      <w:tr>
        <w:tc>
          <w:tcPr>
            <w:tcW w:type="dxa" w:w="3100"/>
            <w:tcMar>
              <w:top w:type="dxa" w:w="80"/>
              <w:left w:type="dxa" w:w="100"/>
              <w:bottom w:type="dxa" w:w="80"/>
              <w:right w:type="dxa" w:w="100"/>
            </w:tcMar>
          </w:tcPr>
          <w:p>
            <w:r>
              <w:rPr>
                <w:b w:val="false"/>
                <w:bCs w:val="false"/>
              </w:rPr>
              <w:t xml:space="preserve">9. Risk &amp; Human-Oversight Points</w:t>
            </w:r>
          </w:p>
        </w:tc>
        <w:tc>
          <w:tcPr>
            <w:tcW w:type="dxa" w:w="5500"/>
            <w:tcMar>
              <w:top w:type="dxa" w:w="80"/>
              <w:left w:type="dxa" w:w="100"/>
              <w:bottom w:type="dxa" w:w="80"/>
              <w:right w:type="dxa" w:w="100"/>
            </w:tcMar>
          </w:tcPr>
          <w:p>
            <w:r>
              <w:rPr>
                <w:b w:val="false"/>
                <w:bCs w:val="false"/>
              </w:rPr>
              <w:t xml:space="preserve">Every irreversible or high-stakes node without a spec-defined approval mechanism is flagged in the Flow Overview — see Section 4.</w:t>
            </w:r>
          </w:p>
        </w:tc>
        <w:tc>
          <w:tcPr>
            <w:tcW w:type="dxa" w:w="1300"/>
            <w:tcMar>
              <w:top w:type="dxa" w:w="80"/>
              <w:left w:type="dxa" w:w="100"/>
              <w:bottom w:type="dxa" w:w="80"/>
              <w:right w:type="dxa" w:w="100"/>
            </w:tcMar>
          </w:tcPr>
          <w:p>
            <w:r>
              <w:rPr>
                <w:b w:val="false"/>
                <w:bCs w:val="false"/>
              </w:rPr>
              <w:t xml:space="preserve"/>
            </w:r>
          </w:p>
        </w:tc>
      </w:tr>
      <w:tr>
        <w:tc>
          <w:tcPr>
            <w:tcW w:type="dxa" w:w="3100"/>
            <w:tcMar>
              <w:top w:type="dxa" w:w="80"/>
              <w:left w:type="dxa" w:w="100"/>
              <w:bottom w:type="dxa" w:w="80"/>
              <w:right w:type="dxa" w:w="100"/>
            </w:tcMar>
          </w:tcPr>
          <w:p>
            <w:r>
              <w:rPr>
                <w:b w:val="false"/>
                <w:bCs w:val="false"/>
              </w:rPr>
              <w:t xml:space="preserve">10. Compliance Gate Carry-Forward</w:t>
            </w:r>
          </w:p>
        </w:tc>
        <w:tc>
          <w:tcPr>
            <w:tcW w:type="dxa" w:w="5500"/>
            <w:tcMar>
              <w:top w:type="dxa" w:w="80"/>
              <w:left w:type="dxa" w:w="100"/>
              <w:bottom w:type="dxa" w:w="80"/>
              <w:right w:type="dxa" w:w="100"/>
            </w:tcMar>
          </w:tcPr>
          <w:p>
            <w:r>
              <w:rPr>
                <w:b w:val="false"/>
                <w:bCs w:val="false"/>
              </w:rPr>
              <w:t xml:space="preserve">Flow Overview states the same Compliance Gate status as spec.md — see Section 5.</w:t>
            </w:r>
          </w:p>
        </w:tc>
        <w:tc>
          <w:tcPr>
            <w:tcW w:type="dxa" w:w="1300"/>
            <w:tcMar>
              <w:top w:type="dxa" w:w="80"/>
              <w:left w:type="dxa" w:w="100"/>
              <w:bottom w:type="dxa" w:w="80"/>
              <w:right w:type="dxa" w:w="100"/>
            </w:tcMar>
          </w:tcPr>
          <w:p>
            <w:r>
              <w:rPr>
                <w:b w:val="false"/>
                <w:bCs w:val="false"/>
              </w:rPr>
              <w:t xml:space="preserve"/>
            </w:r>
          </w:p>
        </w:tc>
      </w:tr>
    </w:tbl>
    <w:p>
      <w:pPr>
        <w:pStyle w:val="Heading1"/>
        <w:spacing w:after="120" w:before="280"/>
      </w:pPr>
      <w:r>
        <w:t xml:space="preserve">3. Blocking Gap handling check</w:t>
      </w:r>
    </w:p>
    <w:p>
      <w:pPr>
        <w:spacing w:after="120"/>
      </w:pPr>
      <w:r>
        <w:t xml:space="preserve">Build Status is a claim, not a formality — confirm it matches what's actually in the deliverables, not just what the heading says.</w:t>
      </w:r>
    </w:p>
    <w:p>
      <w:pPr>
        <w:spacing w:after="140"/>
      </w:pPr>
      <w:r>
        <w:rPr>
          <w:b/>
          <w:bCs/>
          <w:i/>
          <w:iCs/>
        </w:rPr>
        <w:t xml:space="preserve">How to verify: </w:t>
      </w:r>
      <w:r>
        <w:rPr>
          <w:i/>
          <w:iCs/>
        </w:rPr>
        <w:t xml:space="preserve">If Build Status is Blocked, confirm the flow is absent or truncated exactly at the documented stopping point, and the Flow Overview names precisely what's missing and why nothing downstream of it could be built. If Build Status is Complete, walk the listed gaps and placeholders and confirm none of them actually meets the blocking criteria from build-agent.md (undefined intent scope, unclear target system, or a central data shape with no sample payload and no Open Questions acceptance).</w:t>
      </w:r>
    </w:p>
    <w:p>
      <w:pPr>
        <w:pStyle w:val="ListParagraph"/>
        <w:numPr>
          <w:ilvl w:val="0"/>
          <w:numId w:val="1"/>
        </w:numPr>
        <w:spacing w:after="60"/>
      </w:pPr>
      <w:r>
        <w:t xml:space="preserve">If Blocked: no complete flow exists beyond the stopping point, and the missing scope is named precisely — not just "spec was incomplete."</w:t>
      </w:r>
    </w:p>
    <w:p>
      <w:pPr>
        <w:pStyle w:val="ListParagraph"/>
        <w:numPr>
          <w:ilvl w:val="0"/>
          <w:numId w:val="1"/>
        </w:numPr>
        <w:spacing w:after="60"/>
      </w:pPr>
      <w:r>
        <w:t xml:space="preserve">If Complete: no listed gap or placeholder is actually a blocking-level gap that should have stopped the build instead.</w:t>
      </w:r>
    </w:p>
    <w:p>
      <w:pPr>
        <w:pStyle w:val="Heading1"/>
        <w:spacing w:after="120" w:before="280"/>
      </w:pPr>
      <w:r>
        <w:t xml:space="preserve">4. Risk &amp; Human-Oversight — elevated check</w:t>
      </w:r>
    </w:p>
    <w:p>
      <w:pPr>
        <w:spacing w:after="120"/>
      </w:pPr>
      <w:r>
        <w:t xml:space="preserve">Dimension 9 gets its own gate because an unflagged irreversible action is a production incident waiting to happen, not a cosmetic gap. Do not let it hide inside the Flow Overview's placeholder list.</w:t>
      </w:r>
    </w:p>
    <w:p>
      <w:pPr>
        <w:spacing w:after="140"/>
      </w:pPr>
      <w:r>
        <w:rPr>
          <w:b/>
          <w:bCs/>
          <w:i/>
          <w:iCs/>
        </w:rPr>
        <w:t xml:space="preserve">How to verify: </w:t>
      </w:r>
      <w:r>
        <w:rPr>
          <w:i/>
          <w:iCs/>
        </w:rPr>
        <w:t xml:space="preserve">List every node in the flow that issues a refund, cancels something, or communicates externally on the company's behalf. For each, confirm the Flow Overview either names an existing approval/human-in-the-loop mechanism from spec.md, or explicitly flags that none exists yet.</w:t>
      </w:r>
    </w:p>
    <w:p>
      <w:pPr>
        <w:pStyle w:val="ListParagraph"/>
        <w:numPr>
          <w:ilvl w:val="0"/>
          <w:numId w:val="1"/>
        </w:numPr>
        <w:spacing w:after="60"/>
      </w:pPr>
      <w:r>
        <w:t xml:space="preserve">Every irreversible / high-stakes node is identified.</w:t>
      </w:r>
    </w:p>
    <w:p>
      <w:pPr>
        <w:pStyle w:val="ListParagraph"/>
        <w:numPr>
          <w:ilvl w:val="0"/>
          <w:numId w:val="1"/>
        </w:numPr>
        <w:spacing w:after="60"/>
      </w:pPr>
      <w:r>
        <w:t xml:space="preserve">Each one has either a defined approval mechanism (from spec.md) or an explicit "no gate yet" flag in the Flow Overview — not silence.</w:t>
      </w:r>
    </w:p>
    <w:p>
      <w:pPr>
        <w:pStyle w:val="Heading1"/>
        <w:spacing w:after="120" w:before="280"/>
      </w:pPr>
      <w:r>
        <w:t xml:space="preserve">5. Compliance Gate carry-forward check</w:t>
      </w:r>
    </w:p>
    <w:p>
      <w:pPr>
        <w:spacing w:after="120"/>
      </w:pPr>
      <w:r>
        <w:t xml:space="preserve">Same status, not a new one. The build-agent doesn't get to resolve a gate the spec-agent left Open or Blocked.</w:t>
      </w:r>
    </w:p>
    <w:p>
      <w:pPr>
        <w:spacing w:after="140"/>
      </w:pPr>
      <w:r>
        <w:rPr>
          <w:b/>
          <w:bCs/>
          <w:i/>
          <w:iCs/>
        </w:rPr>
        <w:t xml:space="preserve">How to verify: </w:t>
      </w:r>
      <w:r>
        <w:rPr>
          <w:i/>
          <w:iCs/>
        </w:rPr>
        <w:t xml:space="preserve">Compare the Compliance Gate Status stated in spec.md against the one stated in the Flow Overview, word for word.</w:t>
      </w:r>
    </w:p>
    <w:p>
      <w:pPr>
        <w:pStyle w:val="ListParagraph"/>
        <w:numPr>
          <w:ilvl w:val="0"/>
          <w:numId w:val="1"/>
        </w:numPr>
        <w:spacing w:after="60"/>
      </w:pPr>
      <w:r>
        <w:t xml:space="preserve">Flow Overview's Compliance Gate status matches spec.md's exactly (Clear / Open / Blocked).</w:t>
      </w:r>
    </w:p>
    <w:p>
      <w:pPr>
        <w:pStyle w:val="ListParagraph"/>
        <w:numPr>
          <w:ilvl w:val="0"/>
          <w:numId w:val="1"/>
        </w:numPr>
        <w:spacing w:after="60"/>
      </w:pPr>
      <w:r>
        <w:t xml:space="preserve">If Open or Blocked, the required sign-off party from spec.md is still named, unchanged.</w:t>
      </w:r>
    </w:p>
    <w:p>
      <w:pPr>
        <w:pStyle w:val="Heading1"/>
        <w:spacing w:after="120" w:before="280"/>
      </w:pPr>
      <w:r>
        <w:t xml:space="preserve">6. Boundary checks</w:t>
      </w:r>
    </w:p>
    <w:p>
      <w:pPr>
        <w:spacing w:after="120"/>
      </w:pPr>
      <w:r>
        <w:t xml:space="preserve">Confirms the build stayed in its lane — assembling what the spec described, not deciding what should exist, and never crossing the Safety boundary into a live action.</w:t>
      </w:r>
    </w:p>
    <w:p>
      <w:pPr>
        <w:spacing w:after="140"/>
      </w:pPr>
      <w:r>
        <w:rPr>
          <w:b/>
          <w:bCs/>
          <w:i/>
          <w:iCs/>
        </w:rPr>
        <w:t xml:space="preserve">How to verify: </w:t>
      </w:r>
      <w:r>
        <w:rPr>
          <w:i/>
          <w:iCs/>
        </w:rPr>
        <w:t xml:space="preserve">For every node in the flow, trace it back to a step in spec.md's Conversation Flow. Any node with no traceable origin is an invented requirement — flag it, don't just note it. Also confirm the Flow Overview and build session show no publish, channel activation, training run, or live send having occurred.</w:t>
      </w:r>
    </w:p>
    <w:p>
      <w:pPr>
        <w:pStyle w:val="ListParagraph"/>
        <w:numPr>
          <w:ilvl w:val="0"/>
          <w:numId w:val="1"/>
        </w:numPr>
        <w:spacing w:after="60"/>
      </w:pPr>
      <w:r>
        <w:t xml:space="preserve">Every node in the flow traces to a step in spec.md; nothing was added that isn't there.</w:t>
      </w:r>
    </w:p>
    <w:p>
      <w:pPr>
        <w:pStyle w:val="ListParagraph"/>
        <w:numPr>
          <w:ilvl w:val="0"/>
          <w:numId w:val="1"/>
        </w:numPr>
        <w:spacing w:after="60"/>
      </w:pPr>
      <w:r>
        <w:t xml:space="preserve">No design or architecture decision was made that spec.md left open — it's logged as a gap instead.</w:t>
      </w:r>
    </w:p>
    <w:p>
      <w:pPr>
        <w:pStyle w:val="ListParagraph"/>
        <w:numPr>
          <w:ilvl w:val="0"/>
          <w:numId w:val="1"/>
        </w:numPr>
        <w:spacing w:after="60"/>
      </w:pPr>
      <w:r>
        <w:t xml:space="preserve">Every per-item construct and platform default applied traces to either an explicit Conversation Flow requirement or a documented default — not an invented convenience.</w:t>
      </w:r>
    </w:p>
    <w:p>
      <w:pPr>
        <w:pStyle w:val="ListParagraph"/>
        <w:numPr>
          <w:ilvl w:val="0"/>
          <w:numId w:val="1"/>
        </w:numPr>
        <w:spacing w:after="60"/>
      </w:pPr>
      <w:r>
        <w:t xml:space="preserve">No publish, deploy, channel activation, training run, or live/simulated send occurred during the build.</w:t>
      </w:r>
    </w:p>
    <w:p>
      <w:pPr>
        <w:pStyle w:val="Heading1"/>
        <w:spacing w:after="120" w:before="280"/>
      </w:pPr>
      <w:r>
        <w:t xml:space="preserve">7. Placeholder / Global Parameter / Gap check</w:t>
      </w:r>
    </w:p>
    <w:p>
      <w:pPr>
        <w:spacing w:after="120"/>
      </w:pPr>
      <w:r>
        <w:t xml:space="preserve">This is where guessing most often sneaks in — not as a missing node, but as a placeholder quietly filled with a plausible-looking value instead of left visibly open, a config value hardcoded into a node instead of registered as a Global Parameter, or a default presented as if it resolved a business question.</w:t>
      </w:r>
    </w:p>
    <w:p>
      <w:pPr>
        <w:spacing w:after="140"/>
      </w:pPr>
      <w:r>
        <w:rPr>
          <w:b/>
          <w:bCs/>
          <w:i/>
          <w:iCs/>
        </w:rPr>
        <w:t xml:space="preserve">How to verify: </w:t>
      </w:r>
      <w:r>
        <w:rPr>
          <w:i/>
          <w:iCs/>
        </w:rPr>
        <w:t xml:space="preserve">For every placeholder or Global Parameter listed in the Flow Overview, check the corresponding field via cognigy_get_flow and confirm it's genuinely unresolved or correctly referenced (not a fabricated-but-plausible value, and not silently hardcoded where a Global Parameter belongs), follows the standardized syntax, and that the Flow Overview states what's needed to resolve it. For every platform default listed, confirm it's labeled as a default, not folded into the gap list as if it were a spec answer.</w:t>
      </w:r>
    </w:p>
    <w:p>
      <w:pPr>
        <w:pStyle w:val="ListParagraph"/>
        <w:numPr>
          <w:ilvl w:val="0"/>
          <w:numId w:val="1"/>
        </w:numPr>
        <w:spacing w:after="60"/>
      </w:pPr>
      <w:r>
        <w:t xml:space="preserve">Every placeholder in the flow is listed in the Flow Overview, with what's needed to resolve it.</w:t>
      </w:r>
    </w:p>
    <w:p>
      <w:pPr>
        <w:pStyle w:val="ListParagraph"/>
        <w:numPr>
          <w:ilvl w:val="0"/>
          <w:numId w:val="1"/>
        </w:numPr>
        <w:spacing w:after="60"/>
      </w:pPr>
      <w:r>
        <w:t xml:space="preserve">Every placeholder follows the standardized syntax — bot-facing text: [[PLACEHOLDER: …]], node-specific config fields: __PLACEHOLDER__…, numeric: the -999999 sentinel with the node/field noted, connections: labeled and left for Cognigy's own Connection setup — not "TODO" or a plausible-looking fake value.</w:t>
      </w:r>
    </w:p>
    <w:p>
      <w:pPr>
        <w:pStyle w:val="ListParagraph"/>
        <w:numPr>
          <w:ilvl w:val="0"/>
          <w:numId w:val="1"/>
        </w:numPr>
        <w:spacing w:after="60"/>
      </w:pPr>
      <w:r>
        <w:t xml:space="preserve">Every project/environment-level config value (base URLs, endpoints, feature flags, flow-wide thresholds) is registered as a Global Parameter and referenced from the node, not hardcoded or left as a scattered node-level placeholder.</w:t>
      </w:r>
    </w:p>
    <w:p>
      <w:pPr>
        <w:pStyle w:val="ListParagraph"/>
        <w:numPr>
          <w:ilvl w:val="0"/>
          <w:numId w:val="1"/>
        </w:numPr>
        <w:spacing w:after="60"/>
      </w:pPr>
      <w:r>
        <w:t xml:space="preserve">No field contains a fabricated value dressed up as real data.</w:t>
      </w:r>
    </w:p>
    <w:p>
      <w:pPr>
        <w:pStyle w:val="ListParagraph"/>
        <w:numPr>
          <w:ilvl w:val="0"/>
          <w:numId w:val="1"/>
        </w:numPr>
        <w:spacing w:after="60"/>
      </w:pPr>
      <w:r>
        <w:t xml:space="preserve">Every platform default applied is labeled as a default in the Flow Overview, not presented as if it resolved a spec gap on its own authority.</w:t>
      </w:r>
    </w:p>
    <w:p>
      <w:pPr>
        <w:pStyle w:val="ListParagraph"/>
        <w:numPr>
          <w:ilvl w:val="0"/>
          <w:numId w:val="1"/>
        </w:numPr>
        <w:spacing w:after="60"/>
      </w:pPr>
      <w:r>
        <w:t xml:space="preserve">Every gap from spec.md that couldn't be built without guessing is listed in the Flow Overview, not silently filled.</w:t>
      </w:r>
    </w:p>
    <w:p>
      <w:pPr>
        <w:pStyle w:val="Heading1"/>
        <w:spacing w:after="120" w:before="280"/>
      </w:pPr>
      <w:r>
        <w:t xml:space="preserve">8. Ground truth &amp; change-tagging check — elevated check</w:t>
      </w:r>
    </w:p>
    <w:p>
      <w:pPr>
        <w:spacing w:after="120"/>
      </w:pPr>
      <w:r>
        <w:t xml:space="preserve">Applies whenever this build is a revision — spec.md carries a Revision Notes preamble. This gets its own gate because an unrequested edit to an existing node dressed up as a tidy-up is the exact silent-scope-creep failure mode the rest of this checklist exists to catch, just applied to editing instead of inventing.</w:t>
      </w:r>
    </w:p>
    <w:p>
      <w:pPr>
        <w:spacing w:after="140"/>
      </w:pPr>
      <w:r>
        <w:rPr>
          <w:b/>
          <w:bCs/>
          <w:i/>
          <w:iCs/>
        </w:rPr>
        <w:t xml:space="preserve">How to verify: </w:t>
      </w:r>
      <w:r>
        <w:rPr>
          <w:i/>
          <w:iCs/>
        </w:rPr>
        <w:t xml:space="preserve">Confirm the Flow Overview references a pre-build snapshot (cognigy_get_flow output captured before this build pass started) and that it's actually retrievable, not just mentioned. Confirm every node carries a NEW / MODIFIED / UNCHANGED tag. For a sample of nodes tagged UNCHANGED, compare them against the pre-build snapshot field for field and confirm they're genuinely untouched. For every node tagged MODIFIED, confirm the Flow Overview states what changed and that the stated reason traces to something spec.md's Revision Notes actually listed as changed.</w:t>
      </w:r>
    </w:p>
    <w:p>
      <w:pPr>
        <w:pStyle w:val="ListParagraph"/>
        <w:numPr>
          <w:ilvl w:val="0"/>
          <w:numId w:val="1"/>
        </w:numPr>
        <w:spacing w:after="60"/>
      </w:pPr>
      <w:r>
        <w:t xml:space="preserve">The Flow Overview references a pre-build snapshot, and it's actually retrievable.</w:t>
      </w:r>
    </w:p>
    <w:p>
      <w:pPr>
        <w:pStyle w:val="ListParagraph"/>
        <w:numPr>
          <w:ilvl w:val="0"/>
          <w:numId w:val="1"/>
        </w:numPr>
        <w:spacing w:after="60"/>
      </w:pPr>
      <w:r>
        <w:t xml:space="preserve">Every node in the flow carries a NEW, MODIFIED, or UNCHANGED tag — none are left untagged.</w:t>
      </w:r>
    </w:p>
    <w:p>
      <w:pPr>
        <w:pStyle w:val="ListParagraph"/>
        <w:numPr>
          <w:ilvl w:val="0"/>
          <w:numId w:val="1"/>
        </w:numPr>
        <w:spacing w:after="60"/>
      </w:pPr>
      <w:r>
        <w:t xml:space="preserve">A sample of UNCHANGED-tagged nodes matches the pre-build snapshot exactly; none show a silent edit.</w:t>
      </w:r>
    </w:p>
    <w:p>
      <w:pPr>
        <w:pStyle w:val="ListParagraph"/>
        <w:numPr>
          <w:ilvl w:val="0"/>
          <w:numId w:val="1"/>
        </w:numPr>
        <w:spacing w:after="60"/>
      </w:pPr>
      <w:r>
        <w:t xml:space="preserve">Every MODIFIED-tagged node states what changed and why, and that reason traces to spec.md's Revision Notes — not an unrequested improvement.</w:t>
      </w:r>
    </w:p>
    <w:p>
      <w:pPr>
        <w:pStyle w:val="ListParagraph"/>
        <w:numPr>
          <w:ilvl w:val="0"/>
          <w:numId w:val="1"/>
        </w:numPr>
        <w:spacing w:after="60"/>
      </w:pPr>
      <w:r>
        <w:t xml:space="preserve">If this build is not a revision (a first build), this section is marked Not Applicable rather than forced.</w:t>
      </w:r>
    </w:p>
    <w:p>
      <w:pPr>
        <w:pStyle w:val="Heading1"/>
        <w:spacing w:after="120" w:before="280"/>
      </w:pPr>
      <w:r>
        <w:t xml:space="preserve">9. Sign-off</w:t>
      </w:r>
    </w:p>
    <w:p>
      <w:pPr>
        <w:spacing w:after="120"/>
      </w:pPr>
      <w:r>
        <w:t xml:space="preserve">Record the decision. "Return to build" is a valid and expected outcome — it means this checklist did its job.</w:t>
      </w:r>
    </w:p>
    <w:p>
      <w:pPr>
        <w:spacing w:after="100"/>
      </w:pP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7500"/>
      </w:tblGrid>
      <w:tr>
        <w:tc>
          <w:tcPr>
            <w:tcW w:type="dxa" w:w="2400"/>
            <w:tcMar>
              <w:top w:type="dxa" w:w="80"/>
              <w:left w:type="dxa" w:w="100"/>
              <w:bottom w:type="dxa" w:w="80"/>
              <w:right w:type="dxa" w:w="100"/>
            </w:tcMar>
          </w:tcPr>
          <w:p>
            <w:r>
              <w:rPr>
                <w:b/>
                <w:bCs/>
              </w:rPr>
              <w:t xml:space="preserve">Reviewed by</w:t>
            </w:r>
          </w:p>
        </w:tc>
        <w:tc>
          <w:tcPr>
            <w:tcW w:type="dxa" w:w="7500"/>
            <w:tcMar>
              <w:top w:type="dxa" w:w="80"/>
              <w:left w:type="dxa" w:w="100"/>
              <w:bottom w:type="dxa" w:w="80"/>
              <w:right w:type="dxa" w:w="100"/>
            </w:tcMar>
          </w:tcPr>
          <w:p>
            <w:r>
              <w:rPr>
                <w:b w:val="false"/>
                <w:bCs w:val="false"/>
              </w:rPr>
              <w:t xml:space="preserve"/>
            </w:r>
          </w:p>
        </w:tc>
      </w:tr>
      <w:tr>
        <w:tc>
          <w:tcPr>
            <w:tcW w:type="dxa" w:w="2400"/>
            <w:tcMar>
              <w:top w:type="dxa" w:w="80"/>
              <w:left w:type="dxa" w:w="100"/>
              <w:bottom w:type="dxa" w:w="80"/>
              <w:right w:type="dxa" w:w="100"/>
            </w:tcMar>
          </w:tcPr>
          <w:p>
            <w:r>
              <w:rPr>
                <w:b/>
                <w:bCs/>
              </w:rPr>
              <w:t xml:space="preserve">Date</w:t>
            </w:r>
          </w:p>
        </w:tc>
        <w:tc>
          <w:tcPr>
            <w:tcW w:type="dxa" w:w="7500"/>
            <w:tcMar>
              <w:top w:type="dxa" w:w="80"/>
              <w:left w:type="dxa" w:w="100"/>
              <w:bottom w:type="dxa" w:w="80"/>
              <w:right w:type="dxa" w:w="100"/>
            </w:tcMar>
          </w:tcPr>
          <w:p>
            <w:r>
              <w:rPr>
                <w:b w:val="false"/>
                <w:bCs w:val="false"/>
              </w:rPr>
              <w:t xml:space="preserve"/>
            </w:r>
          </w:p>
        </w:tc>
      </w:tr>
      <w:tr>
        <w:tc>
          <w:tcPr>
            <w:tcW w:type="dxa" w:w="2400"/>
            <w:tcMar>
              <w:top w:type="dxa" w:w="80"/>
              <w:left w:type="dxa" w:w="100"/>
              <w:bottom w:type="dxa" w:w="80"/>
              <w:right w:type="dxa" w:w="100"/>
            </w:tcMar>
          </w:tcPr>
          <w:p>
            <w:r>
              <w:rPr>
                <w:b/>
                <w:bCs/>
              </w:rPr>
              <w:t xml:space="preserve">Decision</w:t>
            </w:r>
          </w:p>
        </w:tc>
        <w:tc>
          <w:tcPr>
            <w:tcW w:type="dxa" w:w="7500"/>
            <w:tcMar>
              <w:top w:type="dxa" w:w="80"/>
              <w:left w:type="dxa" w:w="100"/>
              <w:bottom w:type="dxa" w:w="80"/>
              <w:right w:type="dxa" w:w="100"/>
            </w:tcMar>
          </w:tcPr>
          <w:p>
            <w:r>
              <w:rPr>
                <w:b w:val="false"/>
                <w:bCs w:val="false"/>
              </w:rPr>
              <w:t xml:space="preserve">Proceed to test  /  Return to build</w:t>
            </w:r>
          </w:p>
        </w:tc>
      </w:tr>
      <w:tr>
        <w:tc>
          <w:tcPr>
            <w:tcW w:type="dxa" w:w="2400"/>
            <w:tcMar>
              <w:top w:type="dxa" w:w="80"/>
              <w:left w:type="dxa" w:w="100"/>
              <w:bottom w:type="dxa" w:w="80"/>
              <w:right w:type="dxa" w:w="100"/>
            </w:tcMar>
          </w:tcPr>
          <w:p>
            <w:r>
              <w:rPr>
                <w:b/>
                <w:bCs/>
              </w:rPr>
              <w:t xml:space="preserve">Notes</w:t>
            </w:r>
          </w:p>
        </w:tc>
        <w:tc>
          <w:tcPr>
            <w:tcW w:type="dxa" w:w="7500"/>
            <w:tcMar>
              <w:top w:type="dxa" w:w="80"/>
              <w:left w:type="dxa" w:w="100"/>
              <w:bottom w:type="dxa" w:w="80"/>
              <w:right w:type="dxa" w:w="100"/>
            </w:tcMar>
          </w:tcPr>
          <w:p>
            <w:r>
              <w:rPr>
                <w:b w:val="false"/>
                <w:bCs w:val="false"/>
              </w:rPr>
              <w:t xml:space="preserve"/>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2026-09-03T13:46:59.962Z</dcterms:created>
  <dcterms:modified xsi:type="dcterms:W3CDTF">2026-09-03T13:46:59.963Z</dcterms:modified>
</cp:coreProperties>
</file>

<file path=docProps/custom.xml><?xml version="1.0" encoding="utf-8"?>
<Properties xmlns="http://schemas.openxmlformats.org/officeDocument/2006/custom-properties" xmlns:vt="http://schemas.openxmlformats.org/officeDocument/2006/docPropsVTypes"/>
</file>