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Definition of Done — Doc Phase</w:t>
      </w:r>
    </w:p>
    <w:p>
      <w:r>
        <w:rPr>
          <w:b/>
          <w:bCs/>
        </w:rPr>
        <w:t xml:space="preserve">Cognigy Multi-Agent System · handover-client.md + handover-technical.md sign-off checklist</w:t>
      </w:r>
    </w:p>
    <w:p>
      <w:pPr>
        <w:spacing w:after="100"/>
      </w:pPr>
      <w:r>
        <w:rPr>
          <w:i/>
          <w:iCs/>
        </w:rPr>
        <w:t xml:space="preserve">Definition-of-Done checklist for the two Cognigy flow handover documents.</w:t>
      </w:r>
    </w:p>
    <w:p>
      <w:pPr>
        <w:spacing w:after="200"/>
      </w:pPr>
      <w:r>
        <w:rPr>
          <w:color w:val="666666"/>
          <w:sz w:val="18"/>
          <w:szCs w:val="18"/>
        </w:rPr>
        <w:t xml:space="preserve">3 September 2026</w:t>
      </w:r>
    </w:p>
    <w:p>
      <w:pPr>
        <w:spacing w:after="120"/>
      </w:pPr>
      <w:r>
        <w:rPr>
          <w:b/>
          <w:bCs/>
        </w:rPr>
        <w:t xml:space="preserve">Purpose. </w:t>
      </w:r>
      <w:r>
        <w:t xml:space="preserve">This checklist confirms that handover-client.md and handover-technical.md, produced by the doc-agent, are complete and traceable enough to actually reach their audiences. Unlike the spec/build/test checklists, doc-agent doesn't gate a pipeline transition — nothing downstream in this system waits on it. It gates two separate human handoffs instead: sending handover-client.md to the client, and leaving handover-technical.md as the next maintainer's reference. Run through every item below before either document leaves this system.</w:t>
      </w:r>
    </w:p>
    <w:p>
      <w:pPr>
        <w:spacing w:after="120"/>
      </w:pPr>
      <w:r>
        <w:t xml:space="preserve">This is a check on the deliverables (the two handover documents), not on the agent's process. It can be applied by whoever ran doc-agent, or by anyone else picking up the project cold. Each section below includes a How to verify note — checking a box means you did that verification, not that you skimmed the section and it looked fine.</w:t>
      </w:r>
    </w:p>
    <w:p>
      <w:pPr>
        <w:pStyle w:val="Heading1"/>
        <w:spacing w:after="120" w:before="280"/>
      </w:pPr>
      <w:r>
        <w:t xml:space="preserve">1. Structural completeness</w:t>
      </w:r>
    </w:p>
    <w:p>
      <w:pPr>
        <w:spacing w:after="120"/>
      </w:pPr>
      <w:r>
        <w:t xml:space="preserve">Both documents contain all of their fixed sections — not a heading with nothing under it, and not a section quietly merged into another.</w:t>
      </w:r>
    </w:p>
    <w:p>
      <w:pPr>
        <w:spacing w:after="140"/>
      </w:pPr>
      <w:r>
        <w:rPr>
          <w:b/>
          <w:bCs/>
          <w:i/>
          <w:iCs/>
        </w:rPr>
        <w:t xml:space="preserve">How to verify: </w:t>
      </w:r>
      <w:r>
        <w:rPr>
          <w:i/>
          <w:iCs/>
        </w:rPr>
        <w:t xml:space="preserve">Read both documents top to bottom. Each listed section must have actual content — or, where Partial-Input Handling or Cold-Start Mode applies, an explicit stub or mechanical-description substitute explaining why full content isn't available yet — not a placeholder sentence that could apply to any flow.</w:t>
      </w:r>
    </w:p>
    <w:p>
      <w:pPr>
        <w:spacing w:after="120"/>
      </w:pPr>
      <w:r>
        <w:rPr>
          <w:b/>
          <w:bCs/>
        </w:rPr>
        <w:t xml:space="preserve">Document A — handover-client.md</w:t>
      </w:r>
      <w:r>
        <w:t xml:space="preserve"/>
      </w:r>
    </w:p>
    <w:p>
      <w:pPr>
        <w:pStyle w:val="ListParagraph"/>
        <w:numPr>
          <w:ilvl w:val="0"/>
          <w:numId w:val="1"/>
        </w:numPr>
        <w:spacing w:after="60"/>
      </w:pPr>
      <w:r>
        <w:t xml:space="preserve">What the flow does</w:t>
      </w:r>
    </w:p>
    <w:p>
      <w:pPr>
        <w:pStyle w:val="ListParagraph"/>
        <w:numPr>
          <w:ilvl w:val="0"/>
          <w:numId w:val="1"/>
        </w:numPr>
        <w:spacing w:after="60"/>
      </w:pPr>
      <w:r>
        <w:t xml:space="preserve">When it runs and what it delivers</w:t>
      </w:r>
    </w:p>
    <w:p>
      <w:pPr>
        <w:pStyle w:val="ListParagraph"/>
        <w:numPr>
          <w:ilvl w:val="0"/>
          <w:numId w:val="1"/>
        </w:numPr>
        <w:spacing w:after="60"/>
      </w:pPr>
      <w:r>
        <w:t xml:space="preserve">What you need to do</w:t>
      </w:r>
    </w:p>
    <w:p>
      <w:pPr>
        <w:pStyle w:val="ListParagraph"/>
        <w:numPr>
          <w:ilvl w:val="0"/>
          <w:numId w:val="1"/>
        </w:numPr>
        <w:spacing w:after="60"/>
      </w:pPr>
      <w:r>
        <w:t xml:space="preserve">Data privacy &amp; third-party sharing</w:t>
      </w:r>
    </w:p>
    <w:p>
      <w:pPr>
        <w:pStyle w:val="ListParagraph"/>
        <w:numPr>
          <w:ilvl w:val="0"/>
          <w:numId w:val="1"/>
        </w:numPr>
        <w:spacing w:after="60"/>
      </w:pPr>
      <w:r>
        <w:t xml:space="preserve">Known limitations</w:t>
      </w:r>
    </w:p>
    <w:p>
      <w:pPr>
        <w:spacing w:after="120"/>
      </w:pPr>
      <w:r>
        <w:rPr>
          <w:b/>
          <w:bCs/>
        </w:rPr>
        <w:t xml:space="preserve">Document B — handover-technical.md</w:t>
      </w:r>
      <w:r>
        <w:t xml:space="preserve"/>
      </w:r>
    </w:p>
    <w:p>
      <w:pPr>
        <w:pStyle w:val="ListParagraph"/>
        <w:numPr>
          <w:ilvl w:val="0"/>
          <w:numId w:val="1"/>
        </w:numPr>
        <w:spacing w:after="60"/>
      </w:pPr>
      <w:r>
        <w:t xml:space="preserve">List of nodes and connections, with an accompanying architecture diagram</w:t>
      </w:r>
    </w:p>
    <w:p>
      <w:pPr>
        <w:pStyle w:val="ListParagraph"/>
        <w:numPr>
          <w:ilvl w:val="0"/>
          <w:numId w:val="1"/>
        </w:numPr>
        <w:spacing w:after="60"/>
      </w:pPr>
      <w:r>
        <w:t xml:space="preserve">Placeholder values and Global Parameters that need to be filled in</w:t>
      </w:r>
    </w:p>
    <w:p>
      <w:pPr>
        <w:pStyle w:val="ListParagraph"/>
        <w:numPr>
          <w:ilvl w:val="0"/>
          <w:numId w:val="1"/>
        </w:numPr>
        <w:spacing w:after="60"/>
      </w:pPr>
      <w:r>
        <w:t xml:space="preserve">Error handling approach</w:t>
      </w:r>
    </w:p>
    <w:p>
      <w:pPr>
        <w:pStyle w:val="ListParagraph"/>
        <w:numPr>
          <w:ilvl w:val="0"/>
          <w:numId w:val="1"/>
        </w:numPr>
        <w:spacing w:after="60"/>
      </w:pPr>
      <w:r>
        <w:t xml:space="preserve">Operations &amp; Runbook</w:t>
      </w:r>
    </w:p>
    <w:p>
      <w:pPr>
        <w:pStyle w:val="ListParagraph"/>
        <w:numPr>
          <w:ilvl w:val="0"/>
          <w:numId w:val="1"/>
        </w:numPr>
        <w:spacing w:after="60"/>
      </w:pPr>
      <w:r>
        <w:t xml:space="preserve">Instructions for changes and testing</w:t>
      </w:r>
    </w:p>
    <w:p>
      <w:pPr>
        <w:pStyle w:val="ListParagraph"/>
        <w:numPr>
          <w:ilvl w:val="0"/>
          <w:numId w:val="1"/>
        </w:numPr>
        <w:spacing w:after="60"/>
      </w:pPr>
      <w:r>
        <w:t xml:space="preserve">Links to other flows</w:t>
      </w:r>
    </w:p>
    <w:p>
      <w:pPr>
        <w:pStyle w:val="Heading1"/>
        <w:spacing w:after="120" w:before="280"/>
      </w:pPr>
      <w:r>
        <w:t xml:space="preserve">2. Document A — dimension-by-dimension coverage</w:t>
      </w:r>
    </w:p>
    <w:p>
      <w:pPr>
        <w:spacing w:after="120"/>
      </w:pPr>
      <w:r>
        <w:t xml:space="preserve">For each section, confirm the document actually addresses it — not just mentions the topic in passing.</w:t>
      </w:r>
    </w:p>
    <w:p>
      <w:pPr>
        <w:spacing w:after="140"/>
      </w:pPr>
      <w:r>
        <w:rPr>
          <w:b/>
          <w:bCs/>
          <w:i/>
          <w:iCs/>
        </w:rPr>
        <w:t xml:space="preserve">How to verify: </w:t>
      </w:r>
      <w:r>
        <w:rPr>
          <w:i/>
          <w:iCs/>
        </w:rPr>
        <w:t xml:space="preserve">For each section, point to the specific sentence in handover-client.md and the specific source line (spec.md, Flow Overview, or test-report.md) it traces back to. If you can't point to both, the section isn't covered — mark it N regardless of how complete it reads.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1300"/>
      </w:tblGrid>
      <w:tr>
        <w:trPr>
          <w:tblHeader/>
        </w:trPr>
        <w:tc>
          <w:tcPr>
            <w:tcW w:type="dxa" w:w="2600"/>
            <w:shd w:fill="D9D9D9" w:val="clear"/>
            <w:tcMar>
              <w:top w:type="dxa" w:w="80"/>
              <w:left w:type="dxa" w:w="100"/>
              <w:bottom w:type="dxa" w:w="80"/>
              <w:right w:type="dxa" w:w="100"/>
            </w:tcMar>
          </w:tcPr>
          <w:p>
            <w:r>
              <w:rPr>
                <w:b/>
                <w:bCs/>
              </w:rPr>
              <w:t xml:space="preserve">Section</w:t>
            </w:r>
          </w:p>
        </w:tc>
        <w:tc>
          <w:tcPr>
            <w:tcW w:type="dxa" w:w="6000"/>
            <w:shd w:fill="D9D9D9" w:val="clear"/>
            <w:tcMar>
              <w:top w:type="dxa" w:w="80"/>
              <w:left w:type="dxa" w:w="100"/>
              <w:bottom w:type="dxa" w:w="80"/>
              <w:right w:type="dxa" w:w="100"/>
            </w:tcMar>
          </w:tcPr>
          <w:p>
            <w:r>
              <w:rPr>
                <w:b/>
                <w:bCs/>
              </w:rPr>
              <w:t xml:space="preserve">What "addressed" means</w:t>
            </w:r>
          </w:p>
        </w:tc>
        <w:tc>
          <w:tcPr>
            <w:tcW w:type="dxa" w:w="1300"/>
            <w:shd w:fill="D9D9D9" w:val="clear"/>
            <w:tcMar>
              <w:top w:type="dxa" w:w="80"/>
              <w:left w:type="dxa" w:w="100"/>
              <w:bottom w:type="dxa" w:w="80"/>
              <w:right w:type="dxa" w:w="100"/>
            </w:tcMar>
          </w:tcPr>
          <w:p>
            <w:r>
              <w:rPr>
                <w:b/>
                <w:bCs/>
              </w:rPr>
              <w:t xml:space="preserve">Y / N</w:t>
            </w:r>
          </w:p>
        </w:tc>
      </w:tr>
      <w:tr>
        <w:tc>
          <w:tcPr>
            <w:tcW w:type="dxa" w:w="2600"/>
            <w:tcMar>
              <w:top w:type="dxa" w:w="80"/>
              <w:left w:type="dxa" w:w="100"/>
              <w:bottom w:type="dxa" w:w="80"/>
              <w:right w:type="dxa" w:w="100"/>
            </w:tcMar>
          </w:tcPr>
          <w:p>
            <w:r>
              <w:rPr>
                <w:b w:val="false"/>
                <w:bCs w:val="false"/>
              </w:rPr>
              <w:t xml:space="preserve">What the flow does</w:t>
            </w:r>
          </w:p>
        </w:tc>
        <w:tc>
          <w:tcPr>
            <w:tcW w:type="dxa" w:w="6000"/>
            <w:tcMar>
              <w:top w:type="dxa" w:w="80"/>
              <w:left w:type="dxa" w:w="100"/>
              <w:bottom w:type="dxa" w:w="80"/>
              <w:right w:type="dxa" w:w="100"/>
            </w:tcMar>
          </w:tcPr>
          <w:p>
            <w:r>
              <w:rPr>
                <w:b w:val="false"/>
                <w:bCs w:val="false"/>
              </w:rPr>
              <w:t xml:space="preserve">Plain-language paragraph tracing to spec.md § Goal &amp; Business Value / § Intents &amp; Scope / § Conversation Flow — no Cognigy node names, no CognigyScript, no jargon a non-technical reader would stumble on.</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When it runs &amp; what it delivers</w:t>
            </w:r>
          </w:p>
        </w:tc>
        <w:tc>
          <w:tcPr>
            <w:tcW w:type="dxa" w:w="6000"/>
            <w:tcMar>
              <w:top w:type="dxa" w:w="80"/>
              <w:left w:type="dxa" w:w="100"/>
              <w:bottom w:type="dxa" w:w="80"/>
              <w:right w:type="dxa" w:w="100"/>
            </w:tcMar>
          </w:tcPr>
          <w:p>
            <w:r>
              <w:rPr>
                <w:b w:val="false"/>
                <w:bCs w:val="false"/>
              </w:rPr>
              <w:t xml:space="preserve">States channel(s) and what the flow delivers, traceable to spec.md § Channels &amp; Systems Involved and § Dependencies, Session State &amp; Volume/SLA.</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What you need to do</w:t>
            </w:r>
          </w:p>
        </w:tc>
        <w:tc>
          <w:tcPr>
            <w:tcW w:type="dxa" w:w="6000"/>
            <w:tcMar>
              <w:top w:type="dxa" w:w="80"/>
              <w:left w:type="dxa" w:w="100"/>
              <w:bottom w:type="dxa" w:w="80"/>
              <w:right w:type="dxa" w:w="100"/>
            </w:tcMar>
          </w:tcPr>
          <w:p>
            <w:r>
              <w:rPr>
                <w:b w:val="false"/>
                <w:bCs w:val="false"/>
              </w:rPr>
              <w:t xml:space="preserve">Names every manual step spec.md's Escalation &amp; Human-in-the-Loop Approach assigns to the client, and discloses every Flow Overview Risk &amp; Human-Oversight flag that has no approval mechanism — stated as "this runs unattended," not omitted.</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Data privacy &amp; third-party sharing</w:t>
            </w:r>
          </w:p>
        </w:tc>
        <w:tc>
          <w:tcPr>
            <w:tcW w:type="dxa" w:w="6000"/>
            <w:tcMar>
              <w:top w:type="dxa" w:w="80"/>
              <w:left w:type="dxa" w:w="100"/>
              <w:bottom w:type="dxa" w:w="80"/>
              <w:right w:type="dxa" w:w="100"/>
            </w:tcMar>
          </w:tcPr>
          <w:p>
            <w:r>
              <w:rPr>
                <w:b w:val="false"/>
                <w:bCs w:val="false"/>
              </w:rPr>
              <w:t xml:space="preserve">Names every PII field from spec.md § Data Handling Notes and the actual external system each is sent to (spec.md § Channels &amp; Systems Involved), plus the Compliance Gate status in plain language — not folded silently into Known Limitations, not left as a generic "third parties may process data" sentence.</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Known limitations</w:t>
            </w:r>
          </w:p>
        </w:tc>
        <w:tc>
          <w:tcPr>
            <w:tcW w:type="dxa" w:w="6000"/>
            <w:tcMar>
              <w:top w:type="dxa" w:w="80"/>
              <w:left w:type="dxa" w:w="100"/>
              <w:bottom w:type="dxa" w:w="80"/>
              <w:right w:type="dxa" w:w="100"/>
            </w:tcMar>
          </w:tcPr>
          <w:p>
            <w:r>
              <w:rPr>
                <w:b w:val="false"/>
                <w:bCs w:val="false"/>
              </w:rPr>
              <w:t xml:space="preserve">Covers every open item from the Flow Overview (§ Gaps, § Placeholders, Build Status if Blocked), spec.md § Open Questions, the Compliance Gate if Open/Blocked, and test-report.md § Critical Gaps / Non-Critical Findings if the report is Conditional or Fail — with the freshness caveat applied where relevant (see Section 9) — nothing silently dropped.</w:t>
            </w:r>
          </w:p>
        </w:tc>
        <w:tc>
          <w:tcPr>
            <w:tcW w:type="dxa" w:w="1300"/>
            <w:tcMar>
              <w:top w:type="dxa" w:w="80"/>
              <w:left w:type="dxa" w:w="100"/>
              <w:bottom w:type="dxa" w:w="80"/>
              <w:right w:type="dxa" w:w="100"/>
            </w:tcMar>
          </w:tcPr>
          <w:p>
            <w:r>
              <w:rPr>
                <w:b w:val="false"/>
                <w:bCs w:val="false"/>
              </w:rPr>
              <w:t xml:space="preserve"/>
            </w:r>
          </w:p>
        </w:tc>
      </w:tr>
    </w:tbl>
    <w:p>
      <w:pPr>
        <w:pStyle w:val="Heading1"/>
        <w:spacing w:after="120" w:before="280"/>
      </w:pPr>
      <w:r>
        <w:t xml:space="preserve">3. Document B — dimension-by-dimension coverage</w:t>
      </w:r>
    </w:p>
    <w:p>
      <w:pPr>
        <w:spacing w:after="120"/>
      </w:pPr>
      <w:r>
        <w:t xml:space="preserve">Same check, applied to the technical document.</w:t>
      </w:r>
    </w:p>
    <w:p>
      <w:pPr>
        <w:spacing w:after="140"/>
      </w:pPr>
      <w:r>
        <w:rPr>
          <w:b/>
          <w:bCs/>
          <w:i/>
          <w:iCs/>
        </w:rPr>
        <w:t xml:space="preserve">How to verify: </w:t>
      </w:r>
      <w:r>
        <w:rPr>
          <w:i/>
          <w:iCs/>
        </w:rPr>
        <w:t xml:space="preserve">For each section, point to the specific Flow Overview line, cognigy_get_flow field, or test-report.md finding it traces back to. If you can't point to one, the section isn't covered — mark it 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1300"/>
      </w:tblGrid>
      <w:tr>
        <w:trPr>
          <w:tblHeader/>
        </w:trPr>
        <w:tc>
          <w:tcPr>
            <w:tcW w:type="dxa" w:w="2600"/>
            <w:shd w:fill="D9D9D9" w:val="clear"/>
            <w:tcMar>
              <w:top w:type="dxa" w:w="80"/>
              <w:left w:type="dxa" w:w="100"/>
              <w:bottom w:type="dxa" w:w="80"/>
              <w:right w:type="dxa" w:w="100"/>
            </w:tcMar>
          </w:tcPr>
          <w:p>
            <w:r>
              <w:rPr>
                <w:b/>
                <w:bCs/>
              </w:rPr>
              <w:t xml:space="preserve">Section</w:t>
            </w:r>
          </w:p>
        </w:tc>
        <w:tc>
          <w:tcPr>
            <w:tcW w:type="dxa" w:w="6000"/>
            <w:shd w:fill="D9D9D9" w:val="clear"/>
            <w:tcMar>
              <w:top w:type="dxa" w:w="80"/>
              <w:left w:type="dxa" w:w="100"/>
              <w:bottom w:type="dxa" w:w="80"/>
              <w:right w:type="dxa" w:w="100"/>
            </w:tcMar>
          </w:tcPr>
          <w:p>
            <w:r>
              <w:rPr>
                <w:b/>
                <w:bCs/>
              </w:rPr>
              <w:t xml:space="preserve">What "addressed" means</w:t>
            </w:r>
          </w:p>
        </w:tc>
        <w:tc>
          <w:tcPr>
            <w:tcW w:type="dxa" w:w="1300"/>
            <w:shd w:fill="D9D9D9" w:val="clear"/>
            <w:tcMar>
              <w:top w:type="dxa" w:w="80"/>
              <w:left w:type="dxa" w:w="100"/>
              <w:bottom w:type="dxa" w:w="80"/>
              <w:right w:type="dxa" w:w="100"/>
            </w:tcMar>
          </w:tcPr>
          <w:p>
            <w:r>
              <w:rPr>
                <w:b/>
                <w:bCs/>
              </w:rPr>
              <w:t xml:space="preserve">Y / N</w:t>
            </w:r>
          </w:p>
        </w:tc>
      </w:tr>
      <w:tr>
        <w:tc>
          <w:tcPr>
            <w:tcW w:type="dxa" w:w="2600"/>
            <w:tcMar>
              <w:top w:type="dxa" w:w="80"/>
              <w:left w:type="dxa" w:w="100"/>
              <w:bottom w:type="dxa" w:w="80"/>
              <w:right w:type="dxa" w:w="100"/>
            </w:tcMar>
          </w:tcPr>
          <w:p>
            <w:r>
              <w:rPr>
                <w:b w:val="false"/>
                <w:bCs w:val="false"/>
              </w:rPr>
              <w:t xml:space="preserve">Node &amp; connection list + architecture diagram</w:t>
            </w:r>
          </w:p>
        </w:tc>
        <w:tc>
          <w:tcPr>
            <w:tcW w:type="dxa" w:w="6000"/>
            <w:tcMar>
              <w:top w:type="dxa" w:w="80"/>
              <w:left w:type="dxa" w:w="100"/>
              <w:bottom w:type="dxa" w:w="80"/>
              <w:right w:type="dxa" w:w="100"/>
            </w:tcMar>
          </w:tcPr>
          <w:p>
            <w:r>
              <w:rPr>
                <w:b w:val="false"/>
                <w:bCs w:val="false"/>
              </w:rPr>
              <w:t xml:space="preserve">The list matches the Flow Overview's § Nodes created exactly — same labels, same order, same node types as cognigy_get_flow. A Mermaid flowchart accompanies it and reflects the same structure — see Section 5.</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Placeholder values &amp; Global Parameters to resolve</w:t>
            </w:r>
          </w:p>
        </w:tc>
        <w:tc>
          <w:tcPr>
            <w:tcW w:type="dxa" w:w="6000"/>
            <w:tcMar>
              <w:top w:type="dxa" w:w="80"/>
              <w:left w:type="dxa" w:w="100"/>
              <w:bottom w:type="dxa" w:w="80"/>
              <w:right w:type="dxa" w:w="100"/>
            </w:tcMar>
          </w:tcPr>
          <w:p>
            <w:r>
              <w:rPr>
                <w:b w:val="false"/>
                <w:bCs w:val="false"/>
              </w:rPr>
              <w:t xml:space="preserve">Every placeholder and Global Parameter from the Flow Overview is listed with its node/field reference and, for Global Parameters, who's expected to own/set it; if test-report.md's Dimension 8 narrowed which are still open post-testing, that's reflected here, not just the original build-time list.</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Error handling approach</w:t>
            </w:r>
          </w:p>
        </w:tc>
        <w:tc>
          <w:tcPr>
            <w:tcW w:type="dxa" w:w="6000"/>
            <w:tcMar>
              <w:top w:type="dxa" w:w="80"/>
              <w:left w:type="dxa" w:w="100"/>
              <w:bottom w:type="dxa" w:w="80"/>
              <w:right w:type="dxa" w:w="100"/>
            </w:tcMar>
          </w:tcPr>
          <w:p>
            <w:r>
              <w:rPr>
                <w:b w:val="false"/>
                <w:bCs w:val="false"/>
              </w:rPr>
              <w:t xml:space="preserve">Matches spec.md's § Error Handling Strategy and the Flow Overview's realization of it; test-report.md Dimension 5 findings (Structural/Runtime) are folded in if the report exists.</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Operations &amp; Runbook</w:t>
            </w:r>
          </w:p>
        </w:tc>
        <w:tc>
          <w:tcPr>
            <w:tcW w:type="dxa" w:w="6000"/>
            <w:tcMar>
              <w:top w:type="dxa" w:w="80"/>
              <w:left w:type="dxa" w:w="100"/>
              <w:bottom w:type="dxa" w:w="80"/>
              <w:right w:type="dxa" w:w="100"/>
            </w:tcMar>
          </w:tcPr>
          <w:p>
            <w:r>
              <w:rPr>
                <w:b w:val="false"/>
                <w:bCs w:val="false"/>
              </w:rPr>
              <w:t xml:space="preserve">States credential/Connection ownership and rotation cadence (spec.md § Authentication &amp; Identity), the manual recovery procedure for failed or escalated conversations (spec.md § Escalation &amp; Human-in-the-Loop Approach / Flow Overview's error handling assembly), and Context retention (spec.md § Dependencies) — or says plainly that any of these isn't documented, rather than omitting the point.</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Instructions for changes &amp; testing</w:t>
            </w:r>
          </w:p>
        </w:tc>
        <w:tc>
          <w:tcPr>
            <w:tcW w:type="dxa" w:w="6000"/>
            <w:tcMar>
              <w:top w:type="dxa" w:w="80"/>
              <w:left w:type="dxa" w:w="100"/>
              <w:bottom w:type="dxa" w:w="80"/>
              <w:right w:type="dxa" w:w="100"/>
            </w:tcMar>
          </w:tcPr>
          <w:p>
            <w:r>
              <w:rPr>
                <w:b w:val="false"/>
                <w:bCs w:val="false"/>
              </w:rPr>
              <w:t xml:space="preserve">States Build Status and any unresolved Gaps from the Flow Overview, and test-report.md's Recommendation / Pass-Fail-Conditional status if a report exists.</w:t>
            </w:r>
          </w:p>
        </w:tc>
        <w:tc>
          <w:tcPr>
            <w:tcW w:type="dxa" w:w="130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Links to other flows</w:t>
            </w:r>
          </w:p>
        </w:tc>
        <w:tc>
          <w:tcPr>
            <w:tcW w:type="dxa" w:w="6000"/>
            <w:tcMar>
              <w:top w:type="dxa" w:w="80"/>
              <w:left w:type="dxa" w:w="100"/>
              <w:bottom w:type="dxa" w:w="80"/>
              <w:right w:type="dxa" w:w="100"/>
            </w:tcMar>
          </w:tcPr>
          <w:p>
            <w:r>
              <w:rPr>
                <w:b w:val="false"/>
                <w:bCs w:val="false"/>
              </w:rPr>
              <w:t xml:space="preserve">Matches spec.md § Dependencies, Session State &amp; Volume/SLA — chained flows, shared Context, cross-flow constants.</w:t>
            </w:r>
          </w:p>
        </w:tc>
        <w:tc>
          <w:tcPr>
            <w:tcW w:type="dxa" w:w="1300"/>
            <w:tcMar>
              <w:top w:type="dxa" w:w="80"/>
              <w:left w:type="dxa" w:w="100"/>
              <w:bottom w:type="dxa" w:w="80"/>
              <w:right w:type="dxa" w:w="100"/>
            </w:tcMar>
          </w:tcPr>
          <w:p>
            <w:r>
              <w:rPr>
                <w:b w:val="false"/>
                <w:bCs w:val="false"/>
              </w:rPr>
              <w:t xml:space="preserve"/>
            </w:r>
          </w:p>
        </w:tc>
      </w:tr>
    </w:tbl>
    <w:p>
      <w:pPr>
        <w:pStyle w:val="Heading1"/>
        <w:spacing w:after="120" w:before="280"/>
      </w:pPr>
      <w:r>
        <w:t xml:space="preserve">4. Traceability / no-invention — elevated check</w:t>
      </w:r>
    </w:p>
    <w:p>
      <w:pPr>
        <w:spacing w:after="120"/>
      </w:pPr>
      <w:r>
        <w:t xml:space="preserve">This gets its own gate because it's doc-agent's core failure mode: writing a sentence that sounds complete and specific but doesn't actually trace to spec.md, the Flow Overview, the flow's own structure, or test-report.md — the documentation equivalent of build-agent inventing a field mapping.</w:t>
      </w:r>
    </w:p>
    <w:p>
      <w:pPr>
        <w:spacing w:after="140"/>
      </w:pPr>
      <w:r>
        <w:rPr>
          <w:b/>
          <w:bCs/>
          <w:i/>
          <w:iCs/>
        </w:rPr>
        <w:t xml:space="preserve">How to verify: </w:t>
      </w:r>
      <w:r>
        <w:rPr>
          <w:i/>
          <w:iCs/>
        </w:rPr>
        <w:t xml:space="preserve">Pick several sentences at random from each document. For each, confirm it can be pointed to a specific source line. Any sentence that reads as generic Cognigy platform knowledge rather than project-specific fact is a fail.</w:t>
      </w:r>
    </w:p>
    <w:p>
      <w:pPr>
        <w:pStyle w:val="ListParagraph"/>
        <w:numPr>
          <w:ilvl w:val="0"/>
          <w:numId w:val="1"/>
        </w:numPr>
        <w:spacing w:after="60"/>
      </w:pPr>
      <w:r>
        <w:t xml:space="preserve">No sentence in either document states a fact that isn't traceable to spec.md, the Flow Overview, the flow's structure, or test-report.md.</w:t>
      </w:r>
    </w:p>
    <w:p>
      <w:pPr>
        <w:pStyle w:val="ListParagraph"/>
        <w:numPr>
          <w:ilvl w:val="0"/>
          <w:numId w:val="1"/>
        </w:numPr>
        <w:spacing w:after="60"/>
      </w:pPr>
      <w:r>
        <w:t xml:space="preserve">Where something needed for a section isn't derivable from those sources, the document says so explicitly ("not yet documented" / "not specified in spec.md") instead of writing a plausible-sounding filler sentence.</w:t>
      </w:r>
    </w:p>
    <w:p>
      <w:pPr>
        <w:pStyle w:val="Heading1"/>
        <w:spacing w:after="120" w:before="280"/>
      </w:pPr>
      <w:r>
        <w:t xml:space="preserve">5. Architecture diagram accuracy — elevated check</w:t>
      </w:r>
    </w:p>
    <w:p>
      <w:pPr>
        <w:spacing w:after="120"/>
      </w:pPr>
      <w:r>
        <w:t xml:space="preserve">This gets its own gate because a diagram is trusted at a glance more than prose — a fabricated or oversimplified branch is easy to miss and easy to build on.</w:t>
      </w:r>
    </w:p>
    <w:p>
      <w:pPr>
        <w:spacing w:after="140"/>
      </w:pPr>
      <w:r>
        <w:rPr>
          <w:b/>
          <w:bCs/>
          <w:i/>
          <w:iCs/>
        </w:rPr>
        <w:t xml:space="preserve">How to verify: </w:t>
      </w:r>
      <w:r>
        <w:rPr>
          <w:i/>
          <w:iCs/>
        </w:rPr>
        <w:t xml:space="preserve">Compare the Mermaid flowchart in handover-technical.md node-by-node against cognigy_get_flow's output (or the Flow Overview's node list). Confirm every Logic/If or Switch branch, every per-item construct, and every error-handler route actually present in the flow appears in the diagram, and that nothing appears in the diagram that isn't actually in the flow.</w:t>
      </w:r>
    </w:p>
    <w:p>
      <w:pPr>
        <w:pStyle w:val="ListParagraph"/>
        <w:numPr>
          <w:ilvl w:val="0"/>
          <w:numId w:val="1"/>
        </w:numPr>
        <w:spacing w:after="60"/>
      </w:pPr>
      <w:r>
        <w:t xml:space="preserve">Every node in the diagram corresponds to an actual node in the flow/Flow Overview, in the same execution order.</w:t>
      </w:r>
    </w:p>
    <w:p>
      <w:pPr>
        <w:pStyle w:val="ListParagraph"/>
        <w:numPr>
          <w:ilvl w:val="0"/>
          <w:numId w:val="1"/>
        </w:numPr>
        <w:spacing w:after="60"/>
      </w:pPr>
      <w:r>
        <w:t xml:space="preserve">Every branch, loop, and error-handler route in the diagram matches one that actually exists in the flow — no invented or omitted paths.</w:t>
      </w:r>
    </w:p>
    <w:p>
      <w:pPr>
        <w:pStyle w:val="ListParagraph"/>
        <w:numPr>
          <w:ilvl w:val="0"/>
          <w:numId w:val="1"/>
        </w:numPr>
        <w:spacing w:after="60"/>
      </w:pPr>
      <w:r>
        <w:t xml:space="preserve">A linear flow with no branching is rendered as a straight line, not padded with invented structure.</w:t>
      </w:r>
    </w:p>
    <w:p>
      <w:pPr>
        <w:pStyle w:val="ListParagraph"/>
        <w:numPr>
          <w:ilvl w:val="0"/>
          <w:numId w:val="1"/>
        </w:numPr>
        <w:spacing w:after="60"/>
      </w:pPr>
      <w:r>
        <w:t xml:space="preserve">The diagram uses valid Mermaid flowchart syntax that renders without errors.</w:t>
      </w:r>
    </w:p>
    <w:p>
      <w:pPr>
        <w:pStyle w:val="Heading1"/>
        <w:spacing w:after="120" w:before="280"/>
      </w:pPr>
      <w:r>
        <w:t xml:space="preserve">6. Partial-input handling check</w:t>
      </w:r>
    </w:p>
    <w:p>
      <w:pPr>
        <w:spacing w:after="120"/>
      </w:pPr>
      <w:r>
        <w:t xml:space="preserve">Applies whenever the flow / Flow Overview didn't exist at generation time (spec.md was written or revised, build hasn't finished).</w:t>
      </w:r>
    </w:p>
    <w:p>
      <w:pPr>
        <w:spacing w:after="140"/>
      </w:pPr>
      <w:r>
        <w:rPr>
          <w:b/>
          <w:bCs/>
          <w:i/>
          <w:iCs/>
        </w:rPr>
        <w:t xml:space="preserve">How to verify: </w:t>
      </w:r>
      <w:r>
        <w:rPr>
          <w:i/>
          <w:iCs/>
        </w:rPr>
        <w:t xml:space="preserve">Confirm Document A was still produced in full. Confirm Document B is not silently missing or fabricated — it exists as an explicit stub stating the technical handover isn't available yet, naming what's blocking it if the Flow Overview's Build Status is Blocked.</w:t>
      </w:r>
    </w:p>
    <w:p>
      <w:pPr>
        <w:pStyle w:val="ListParagraph"/>
        <w:numPr>
          <w:ilvl w:val="0"/>
          <w:numId w:val="1"/>
        </w:numPr>
        <w:spacing w:after="60"/>
      </w:pPr>
      <w:r>
        <w:t xml:space="preserve">Document A was generated even though Document B's inputs weren't ready.</w:t>
      </w:r>
    </w:p>
    <w:p>
      <w:pPr>
        <w:pStyle w:val="ListParagraph"/>
        <w:numPr>
          <w:ilvl w:val="0"/>
          <w:numId w:val="1"/>
        </w:numPr>
        <w:spacing w:after="60"/>
      </w:pPr>
      <w:r>
        <w:t xml:space="preserve">Document B is present as an explicit stub, not silently absent and not filled with guessed content.</w:t>
      </w:r>
    </w:p>
    <w:p>
      <w:pPr>
        <w:pStyle w:val="ListParagraph"/>
        <w:numPr>
          <w:ilvl w:val="0"/>
          <w:numId w:val="1"/>
        </w:numPr>
        <w:spacing w:after="60"/>
      </w:pPr>
      <w:r>
        <w:t xml:space="preserve">If Build Status is Blocked, the stub names exactly what's blocking it, matching the Flow Overview.</w:t>
      </w:r>
    </w:p>
    <w:p>
      <w:pPr>
        <w:pStyle w:val="Heading1"/>
        <w:spacing w:after="120" w:before="280"/>
      </w:pPr>
      <w:r>
        <w:t xml:space="preserve">7. Cold-start mode check</w:t>
      </w:r>
    </w:p>
    <w:p>
      <w:pPr>
        <w:spacing w:after="120"/>
      </w:pPr>
      <w:r>
        <w:t xml:space="preserve">Applies whenever doc-agent ran on a flow with only live access via cognigy_get_flow and no spec.md. The risk here isn't a missing document — it's an over-full one, where mechanical fact quietly slides into invented business rationale.</w:t>
      </w:r>
    </w:p>
    <w:p>
      <w:pPr>
        <w:spacing w:after="140"/>
      </w:pPr>
      <w:r>
        <w:rPr>
          <w:b/>
          <w:bCs/>
          <w:i/>
          <w:iCs/>
        </w:rPr>
        <w:t xml:space="preserve">How to verify: </w:t>
      </w:r>
      <w:r>
        <w:rPr>
          <w:i/>
          <w:iCs/>
        </w:rPr>
        <w:t xml:space="preserve">Confirm Document B's content (node list, placeholders, error handling, runbook, change instructions) is traceable directly to the flow's own structure — not to a Flow Overview that doesn't exist. Confirm Document A states only what's directly observable from the flow — entry intent, connected systems, data movement, field names actually mapped to external systems — and explicitly flags business rationale, SLA, compliance posture, and PII classification as undocumented rather than inferring any of them from a node or connector name. Confirm no version line claims a project history that doesn't exist.</w:t>
      </w:r>
    </w:p>
    <w:p>
      <w:pPr>
        <w:pStyle w:val="ListParagraph"/>
        <w:numPr>
          <w:ilvl w:val="0"/>
          <w:numId w:val="1"/>
        </w:numPr>
        <w:spacing w:after="60"/>
      </w:pPr>
      <w:r>
        <w:t xml:space="preserve">Document B is sourced from the flow's own structure (node types/labels, error-handler paths, scanned placeholders/empty fields) — no claim rests on a nonexistent Flow Overview.</w:t>
      </w:r>
    </w:p>
    <w:p>
      <w:pPr>
        <w:pStyle w:val="ListParagraph"/>
        <w:numPr>
          <w:ilvl w:val="0"/>
          <w:numId w:val="1"/>
        </w:numPr>
        <w:spacing w:after="60"/>
      </w:pPr>
      <w:r>
        <w:t xml:space="preserve">Document A's description is limited to what's structurally observable (entry intent, connected systems, data movement, mapped field names) — it does not state business rationale, SLA, or compliance posture as if documented.</w:t>
      </w:r>
    </w:p>
    <w:p>
      <w:pPr>
        <w:pStyle w:val="ListParagraph"/>
        <w:numPr>
          <w:ilvl w:val="0"/>
          <w:numId w:val="1"/>
        </w:numPr>
        <w:spacing w:after="60"/>
      </w:pPr>
      <w:r>
        <w:t xml:space="preserve">PII classification and Compliance Gate status are explicitly flagged as unassessed, not inferred from a field name or connector.</w:t>
      </w:r>
    </w:p>
    <w:p>
      <w:pPr>
        <w:pStyle w:val="ListParagraph"/>
        <w:numPr>
          <w:ilvl w:val="0"/>
          <w:numId w:val="1"/>
        </w:numPr>
        <w:spacing w:after="60"/>
      </w:pPr>
      <w:r>
        <w:t xml:space="preserve">Neither document opens with a fabricated version line; the cold-start note (date, no pipeline history) is used instead.</w:t>
      </w:r>
    </w:p>
    <w:p>
      <w:pPr>
        <w:pStyle w:val="Heading1"/>
        <w:spacing w:after="120" w:before="280"/>
      </w:pPr>
      <w:r>
        <w:t xml:space="preserve">8. Test-report carry-forward check</w:t>
      </w:r>
    </w:p>
    <w:p>
      <w:pPr>
        <w:spacing w:after="120"/>
      </w:pPr>
      <w:r>
        <w:t xml:space="preserve">This gets its own gate because a Fail or Conditional test-report is exactly the kind of information a document could plausibly "forget" to mention while still looking finished.</w:t>
      </w:r>
    </w:p>
    <w:p>
      <w:pPr>
        <w:spacing w:after="140"/>
      </w:pPr>
      <w:r>
        <w:rPr>
          <w:b/>
          <w:bCs/>
          <w:i/>
          <w:iCs/>
        </w:rPr>
        <w:t xml:space="preserve">How to verify: </w:t>
      </w:r>
      <w:r>
        <w:rPr>
          <w:i/>
          <w:iCs/>
        </w:rPr>
        <w:t xml:space="preserve">If test-report.md exists, confirm every Critical Gap and every outstanding Conditional item appears in Document A's Known Limitations (plain language) and in the matching Document B section per the source-to-section mapping in doc-agent.md. If the report is Pass, confirm Document B notes it briefly. If no test-report.md exists, confirm neither document makes a testing claim it can't back up.</w:t>
      </w:r>
    </w:p>
    <w:p>
      <w:pPr>
        <w:pStyle w:val="ListParagraph"/>
        <w:numPr>
          <w:ilvl w:val="0"/>
          <w:numId w:val="1"/>
        </w:numPr>
        <w:spacing w:after="60"/>
      </w:pPr>
      <w:r>
        <w:t xml:space="preserve">Fail/Conditional: every Critical Gap and outstanding item appears in both documents, at the appropriate section and altitude.</w:t>
      </w:r>
    </w:p>
    <w:p>
      <w:pPr>
        <w:pStyle w:val="ListParagraph"/>
        <w:numPr>
          <w:ilvl w:val="0"/>
          <w:numId w:val="1"/>
        </w:numPr>
        <w:spacing w:after="60"/>
      </w:pPr>
      <w:r>
        <w:t xml:space="preserve">Pass: Document B notes the Pass status briefly; Document A doesn't need to mention it.</w:t>
      </w:r>
    </w:p>
    <w:p>
      <w:pPr>
        <w:pStyle w:val="ListParagraph"/>
        <w:numPr>
          <w:ilvl w:val="0"/>
          <w:numId w:val="1"/>
        </w:numPr>
        <w:spacing w:after="60"/>
      </w:pPr>
      <w:r>
        <w:t xml:space="preserve">No test-report.md: neither document states or implies a testing result that didn't happen.</w:t>
      </w:r>
    </w:p>
    <w:p>
      <w:pPr>
        <w:pStyle w:val="Heading1"/>
        <w:spacing w:after="120" w:before="280"/>
      </w:pPr>
      <w:r>
        <w:t xml:space="preserve">9. Test-report freshness — elevated check</w:t>
      </w:r>
    </w:p>
    <w:p>
      <w:pPr>
        <w:spacing w:after="120"/>
      </w:pPr>
      <w:r>
        <w:t xml:space="preserve">This gets its own gate because a stale Critical Gap presented as current fact is worse than no finding at all — it tells the reader a problem still exists when build-agent may have already fixed it, or vice versa.</w:t>
      </w:r>
    </w:p>
    <w:p>
      <w:pPr>
        <w:spacing w:after="140"/>
      </w:pPr>
      <w:r>
        <w:rPr>
          <w:b/>
          <w:bCs/>
          <w:i/>
          <w:iCs/>
        </w:rPr>
        <w:t xml:space="preserve">How to verify: </w:t>
      </w:r>
      <w:r>
        <w:rPr>
          <w:i/>
          <w:iCs/>
        </w:rPr>
        <w:t xml:space="preserve">Compare whatever state test-report.md says it evaluated against the flow's current structure (via cognigy_get_flow) or a dated Flow Overview revision. If the flow has changed since the test-report was generated, confirm every Fail/Conditional finding carried into either document carries an explicit staleness caveat rather than being stated as unqualified current fact. If it can't be determined whether the flow changed, confirm the documents say so rather than assuming the report still applies.</w:t>
      </w:r>
    </w:p>
    <w:p>
      <w:pPr>
        <w:pStyle w:val="ListParagraph"/>
        <w:numPr>
          <w:ilvl w:val="0"/>
          <w:numId w:val="1"/>
        </w:numPr>
        <w:spacing w:after="60"/>
      </w:pPr>
      <w:r>
        <w:t xml:space="preserve">Every carried-forward Critical Gap or Conditional item is checked against the flow's current state before being presented as current fact.</w:t>
      </w:r>
    </w:p>
    <w:p>
      <w:pPr>
        <w:pStyle w:val="ListParagraph"/>
        <w:numPr>
          <w:ilvl w:val="0"/>
          <w:numId w:val="1"/>
        </w:numPr>
        <w:spacing w:after="60"/>
      </w:pPr>
      <w:r>
        <w:t xml:space="preserve">Where the flow has changed since test-report.md was generated, the finding carries an explicit staleness caveat in both documents, not a bare unqualified statement.</w:t>
      </w:r>
    </w:p>
    <w:p>
      <w:pPr>
        <w:pStyle w:val="ListParagraph"/>
        <w:numPr>
          <w:ilvl w:val="0"/>
          <w:numId w:val="1"/>
        </w:numPr>
        <w:spacing w:after="60"/>
      </w:pPr>
      <w:r>
        <w:t xml:space="preserve">Where it can't be determined whether the flow changed, the documents say so explicitly instead of silently assuming the report is current.</w:t>
      </w:r>
    </w:p>
    <w:p>
      <w:pPr>
        <w:pStyle w:val="Heading1"/>
        <w:spacing w:after="120" w:before="280"/>
      </w:pPr>
      <w:r>
        <w:t xml:space="preserve">10. Compliance Gate &amp; Risk — elevated check</w:t>
      </w:r>
    </w:p>
    <w:p>
      <w:pPr>
        <w:spacing w:after="120"/>
      </w:pPr>
      <w:r>
        <w:t xml:space="preserve">This gets its own gate because an unflagged Open/Blocked Compliance Gate, or an unattended irreversible action, is a production and legal risk hiding inside a document meant to reassure the reader that everything is covered.</w:t>
      </w:r>
    </w:p>
    <w:p>
      <w:pPr>
        <w:spacing w:after="140"/>
      </w:pPr>
      <w:r>
        <w:rPr>
          <w:b/>
          <w:bCs/>
          <w:i/>
          <w:iCs/>
        </w:rPr>
        <w:t xml:space="preserve">How to verify: </w:t>
      </w:r>
      <w:r>
        <w:rPr>
          <w:i/>
          <w:iCs/>
        </w:rPr>
        <w:t xml:space="preserve">Compare the Compliance Gate status in both documents against spec.md / the Flow Overview, word for word. List every node the Flow Overview flagged as irreversible/high-stakes with no approval mechanism, and confirm Document A's "What you need to do" discloses it in plain language, and Document B names the exact node.</w:t>
      </w:r>
    </w:p>
    <w:p>
      <w:pPr>
        <w:pStyle w:val="ListParagraph"/>
        <w:numPr>
          <w:ilvl w:val="0"/>
          <w:numId w:val="1"/>
        </w:numPr>
        <w:spacing w:after="60"/>
      </w:pPr>
      <w:r>
        <w:t xml:space="preserve">Compliance Gate status matches the Flow Overview exactly (Clear / Open / Blocked) in both documents; if Open or Blocked, the named sign-off party is unchanged.</w:t>
      </w:r>
    </w:p>
    <w:p>
      <w:pPr>
        <w:pStyle w:val="ListParagraph"/>
        <w:numPr>
          <w:ilvl w:val="0"/>
          <w:numId w:val="1"/>
        </w:numPr>
        <w:spacing w:after="60"/>
      </w:pPr>
      <w:r>
        <w:t xml:space="preserve">Every risk-flagged node with no approval mechanism is disclosed in Document A as running unattended — not silently omitted.</w:t>
      </w:r>
    </w:p>
    <w:p>
      <w:pPr>
        <w:pStyle w:val="ListParagraph"/>
        <w:numPr>
          <w:ilvl w:val="0"/>
          <w:numId w:val="1"/>
        </w:numPr>
        <w:spacing w:after="60"/>
      </w:pPr>
      <w:r>
        <w:t xml:space="preserve">The same node is named exactly in Document B's Instructions for Changes &amp; Testing.</w:t>
      </w:r>
    </w:p>
    <w:p>
      <w:pPr>
        <w:pStyle w:val="Heading1"/>
        <w:spacing w:after="120" w:before="280"/>
      </w:pPr>
      <w:r>
        <w:t xml:space="preserve">11. Data privacy &amp; third-party sharing — elevated check</w:t>
      </w:r>
    </w:p>
    <w:p>
      <w:pPr>
        <w:spacing w:after="120"/>
      </w:pPr>
      <w:r>
        <w:t xml:space="preserve">This gets its own gate because this is the section a client's legal team or DPO reads first, and a vague or generic version of it defeats the point of having it at all.</w:t>
      </w:r>
    </w:p>
    <w:p>
      <w:pPr>
        <w:spacing w:after="140"/>
      </w:pPr>
      <w:r>
        <w:rPr>
          <w:b/>
          <w:bCs/>
          <w:i/>
          <w:iCs/>
        </w:rPr>
        <w:t xml:space="preserve">How to verify: </w:t>
      </w:r>
      <w:r>
        <w:rPr>
          <w:i/>
          <w:iCs/>
        </w:rPr>
        <w:t xml:space="preserve">Confirm every PII field named in spec.md's § Data Handling Notes appears in Document A's Data Privacy &amp; Third-Party Sharing section, each paired with the actual external system (not a generic "third parties") it's sent to, per spec.md's § Channels &amp; Systems Involved. Confirm the Compliance Gate status stated here matches the Compliance Gate &amp; Risk section exactly. If spec.md documents no PII, confirm the section says so plainly rather than being silently thin or omitted.</w:t>
      </w:r>
    </w:p>
    <w:p>
      <w:pPr>
        <w:pStyle w:val="ListParagraph"/>
        <w:numPr>
          <w:ilvl w:val="0"/>
          <w:numId w:val="1"/>
        </w:numPr>
        <w:spacing w:after="60"/>
      </w:pPr>
      <w:r>
        <w:t xml:space="preserve">Every PII field from spec.md § Data Handling Notes is named, each paired with the specific external system it's sent to.</w:t>
      </w:r>
    </w:p>
    <w:p>
      <w:pPr>
        <w:pStyle w:val="ListParagraph"/>
        <w:numPr>
          <w:ilvl w:val="0"/>
          <w:numId w:val="1"/>
        </w:numPr>
        <w:spacing w:after="60"/>
      </w:pPr>
      <w:r>
        <w:t xml:space="preserve">No field or destination is described generically ("third-party services") when spec.md names the actual system.</w:t>
      </w:r>
    </w:p>
    <w:p>
      <w:pPr>
        <w:pStyle w:val="ListParagraph"/>
        <w:numPr>
          <w:ilvl w:val="0"/>
          <w:numId w:val="1"/>
        </w:numPr>
        <w:spacing w:after="60"/>
      </w:pPr>
      <w:r>
        <w:t xml:space="preserve">The Compliance Gate status stated here matches the Compliance Gate &amp; Risk section exactly — no disagreement between the two.</w:t>
      </w:r>
    </w:p>
    <w:p>
      <w:pPr>
        <w:pStyle w:val="ListParagraph"/>
        <w:numPr>
          <w:ilvl w:val="0"/>
          <w:numId w:val="1"/>
        </w:numPr>
        <w:spacing w:after="60"/>
      </w:pPr>
      <w:r>
        <w:t xml:space="preserve">If no PII is documented in spec.md, the section states this plainly instead of being thin or missing.</w:t>
      </w:r>
    </w:p>
    <w:p>
      <w:pPr>
        <w:pStyle w:val="Heading1"/>
        <w:spacing w:after="120" w:before="280"/>
      </w:pPr>
      <w:r>
        <w:t xml:space="preserve">12. Versioning check</w:t>
      </w:r>
    </w:p>
    <w:p>
      <w:pPr>
        <w:spacing w:after="120"/>
      </w:pPr>
      <w:r>
        <w:t xml:space="preserve">Confirms the version line is present and that any changed-since-last-version note is fact, not a guess.</w:t>
      </w:r>
    </w:p>
    <w:p>
      <w:pPr>
        <w:spacing w:after="140"/>
      </w:pPr>
      <w:r>
        <w:rPr>
          <w:b/>
          <w:bCs/>
          <w:i/>
          <w:iCs/>
        </w:rPr>
        <w:t xml:space="preserve">How to verify: </w:t>
      </w:r>
      <w:r>
        <w:rPr>
          <w:i/>
          <w:iCs/>
        </w:rPr>
        <w:t xml:space="preserve">Confirm both documents open with a version line naming the date spec.md/the flow were last known to reflect. If a "changed since last version" sentence is present, confirm it's based on an actual supplied diff, spec.md's Revision Notes preamble, the Flow Overview's NEW/MODIFIED/UNCHANGED node tags, or an explicit statement of what changed — not an inferred guess. On a revision, a changed-since note is expected to exist and to be specific (which sections, which nodes) rather than vague, since both source documents now carry exactly that information.</w:t>
      </w:r>
    </w:p>
    <w:p>
      <w:pPr>
        <w:pStyle w:val="ListParagraph"/>
        <w:numPr>
          <w:ilvl w:val="0"/>
          <w:numId w:val="1"/>
        </w:numPr>
        <w:spacing w:after="60"/>
      </w:pPr>
      <w:r>
        <w:t xml:space="preserve">Both documents open with a version line stating the date.</w:t>
      </w:r>
    </w:p>
    <w:p>
      <w:pPr>
        <w:pStyle w:val="ListParagraph"/>
        <w:numPr>
          <w:ilvl w:val="0"/>
          <w:numId w:val="1"/>
        </w:numPr>
        <w:spacing w:after="60"/>
      </w:pPr>
      <w:r>
        <w:t xml:space="preserve">Any changed-since-last-version note is based on known information (a supplied diff, Revision Notes, or node tags), not a guessed summary.</w:t>
      </w:r>
    </w:p>
    <w:p>
      <w:pPr>
        <w:pStyle w:val="ListParagraph"/>
        <w:numPr>
          <w:ilvl w:val="0"/>
          <w:numId w:val="1"/>
        </w:numPr>
        <w:spacing w:after="60"/>
      </w:pPr>
      <w:r>
        <w:t xml:space="preserve">On a revision, the changed-since note is specific — naming sections and/or nodes — not a vague gesture at 'some changes.'</w:t>
      </w:r>
    </w:p>
    <w:p>
      <w:pPr>
        <w:pStyle w:val="ListParagraph"/>
        <w:numPr>
          <w:ilvl w:val="0"/>
          <w:numId w:val="1"/>
        </w:numPr>
        <w:spacing w:after="60"/>
      </w:pPr>
      <w:r>
        <w:t xml:space="preserve">Where what changed wasn't known, the version line appears without a fabricated changed-since claim.</w:t>
      </w:r>
    </w:p>
    <w:p>
      <w:pPr>
        <w:pStyle w:val="Heading1"/>
        <w:spacing w:after="120" w:before="280"/>
      </w:pPr>
      <w:r>
        <w:t xml:space="preserve">13. Boundary checks</w:t>
      </w:r>
    </w:p>
    <w:p>
      <w:pPr>
        <w:spacing w:after="120"/>
      </w:pPr>
      <w:r>
        <w:t xml:space="preserve">Confirms doc-agent stayed in its lane — documenting, not fixing, verifying, publishing, or sending anything externally.</w:t>
      </w:r>
    </w:p>
    <w:p>
      <w:pPr>
        <w:spacing w:after="140"/>
      </w:pPr>
      <w:r>
        <w:rPr>
          <w:b/>
          <w:bCs/>
          <w:i/>
          <w:iCs/>
        </w:rPr>
        <w:t xml:space="preserve">How to verify: </w:t>
      </w:r>
      <w:r>
        <w:rPr>
          <w:i/>
          <w:iCs/>
        </w:rPr>
        <w:t xml:space="preserve">Scan both documents for any rewritten flow content, any claim of having called a write Cognigy MCP tool, any resolved Compliance Gate, or any statement implying the document was already sent to the client.</w:t>
      </w:r>
    </w:p>
    <w:p>
      <w:pPr>
        <w:pStyle w:val="ListParagraph"/>
        <w:numPr>
          <w:ilvl w:val="0"/>
          <w:numId w:val="1"/>
        </w:numPr>
        <w:spacing w:after="60"/>
      </w:pPr>
      <w:r>
        <w:t xml:space="preserve">Neither document contains rewritten flow content — only descriptions of what already exists.</w:t>
      </w:r>
    </w:p>
    <w:p>
      <w:pPr>
        <w:pStyle w:val="ListParagraph"/>
        <w:numPr>
          <w:ilvl w:val="0"/>
          <w:numId w:val="1"/>
        </w:numPr>
        <w:spacing w:after="60"/>
      </w:pPr>
      <w:r>
        <w:t xml:space="preserve">No write Cognigy MCP or cognigy_api call is claimed or implied — both documents are synthesized from spec.md, the Flow Overview, the flow's structure, and test-report.md only.</w:t>
      </w:r>
    </w:p>
    <w:p>
      <w:pPr>
        <w:pStyle w:val="ListParagraph"/>
        <w:numPr>
          <w:ilvl w:val="0"/>
          <w:numId w:val="1"/>
        </w:numPr>
        <w:spacing w:after="60"/>
      </w:pPr>
      <w:r>
        <w:t xml:space="preserve">The Compliance Gate is reported, not resolved, in both documents.</w:t>
      </w:r>
    </w:p>
    <w:p>
      <w:pPr>
        <w:pStyle w:val="ListParagraph"/>
        <w:numPr>
          <w:ilvl w:val="0"/>
          <w:numId w:val="1"/>
        </w:numPr>
        <w:spacing w:after="60"/>
      </w:pPr>
      <w:r>
        <w:t xml:space="preserve">Neither document states or implies it has already been sent to the client, or that the flow has been published — those actions belong to the user.</w:t>
      </w:r>
    </w:p>
    <w:p>
      <w:pPr>
        <w:pStyle w:val="Heading1"/>
        <w:spacing w:after="120" w:before="280"/>
      </w:pPr>
      <w:r>
        <w:t xml:space="preserve">14. Sign-off</w:t>
      </w:r>
    </w:p>
    <w:p>
      <w:pPr>
        <w:spacing w:after="120"/>
      </w:pPr>
      <w:r>
        <w:t xml:space="preserve">Doc-agent doesn't gate a pipeline transition, so record the two real-world handoffs separately — sending Document A to the client, and leaving Document B for the maintainer.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400"/>
      </w:tblGrid>
      <w:tr>
        <w:trPr>
          <w:tblHeader/>
        </w:trPr>
        <w:tc>
          <w:tcPr>
            <w:tcW w:type="dxa" w:w="3200"/>
            <w:shd w:fill="D9D9D9" w:val="clear"/>
            <w:tcMar>
              <w:top w:type="dxa" w:w="80"/>
              <w:left w:type="dxa" w:w="100"/>
              <w:bottom w:type="dxa" w:w="80"/>
              <w:right w:type="dxa" w:w="100"/>
            </w:tcMar>
          </w:tcPr>
          <w:p>
            <w:r>
              <w:rPr>
                <w:b/>
                <w:bCs/>
              </w:rPr>
              <w:t xml:space="preserve">Document</w:t>
            </w:r>
          </w:p>
        </w:tc>
        <w:tc>
          <w:tcPr>
            <w:tcW w:type="dxa" w:w="2600"/>
            <w:shd w:fill="D9D9D9" w:val="clear"/>
            <w:tcMar>
              <w:top w:type="dxa" w:w="80"/>
              <w:left w:type="dxa" w:w="100"/>
              <w:bottom w:type="dxa" w:w="80"/>
              <w:right w:type="dxa" w:w="100"/>
            </w:tcMar>
          </w:tcPr>
          <w:p>
            <w:r>
              <w:rPr>
                <w:b/>
                <w:bCs/>
              </w:rPr>
              <w:t xml:space="preserve">Reviewed by / Date</w:t>
            </w:r>
          </w:p>
        </w:tc>
        <w:tc>
          <w:tcPr>
            <w:tcW w:type="dxa" w:w="3400"/>
            <w:shd w:fill="D9D9D9" w:val="clear"/>
            <w:tcMar>
              <w:top w:type="dxa" w:w="80"/>
              <w:left w:type="dxa" w:w="100"/>
              <w:bottom w:type="dxa" w:w="80"/>
              <w:right w:type="dxa" w:w="100"/>
            </w:tcMar>
          </w:tcPr>
          <w:p>
            <w:r>
              <w:rPr>
                <w:b/>
                <w:bCs/>
              </w:rPr>
              <w:t xml:space="preserve">Decision</w:t>
            </w:r>
          </w:p>
        </w:tc>
      </w:tr>
      <w:tr>
        <w:tc>
          <w:tcPr>
            <w:tcW w:type="dxa" w:w="3200"/>
            <w:tcMar>
              <w:top w:type="dxa" w:w="80"/>
              <w:left w:type="dxa" w:w="100"/>
              <w:bottom w:type="dxa" w:w="80"/>
              <w:right w:type="dxa" w:w="100"/>
            </w:tcMar>
          </w:tcPr>
          <w:p>
            <w:r>
              <w:rPr>
                <w:b w:val="false"/>
                <w:bCs w:val="false"/>
              </w:rPr>
              <w:t xml:space="preserve">handover-client.md</w:t>
            </w:r>
          </w:p>
        </w:tc>
        <w:tc>
          <w:tcPr>
            <w:tcW w:type="dxa" w:w="2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Send to client / Hold</w:t>
            </w:r>
          </w:p>
        </w:tc>
      </w:tr>
      <w:tr>
        <w:tc>
          <w:tcPr>
            <w:tcW w:type="dxa" w:w="3200"/>
            <w:tcMar>
              <w:top w:type="dxa" w:w="80"/>
              <w:left w:type="dxa" w:w="100"/>
              <w:bottom w:type="dxa" w:w="80"/>
              <w:right w:type="dxa" w:w="100"/>
            </w:tcMar>
          </w:tcPr>
          <w:p>
            <w:r>
              <w:rPr>
                <w:b w:val="false"/>
                <w:bCs w:val="false"/>
              </w:rPr>
              <w:t xml:space="preserve">handover-technical.md</w:t>
            </w:r>
          </w:p>
        </w:tc>
        <w:tc>
          <w:tcPr>
            <w:tcW w:type="dxa" w:w="2600"/>
            <w:tcMar>
              <w:top w:type="dxa" w:w="80"/>
              <w:left w:type="dxa" w:w="100"/>
              <w:bottom w:type="dxa" w:w="80"/>
              <w:right w:type="dxa" w:w="100"/>
            </w:tcMar>
          </w:tcPr>
          <w:p>
            <w:r>
              <w:rPr>
                <w:b w:val="false"/>
                <w:bCs w:val="false"/>
              </w:rPr>
              <w:t xml:space="preserve"/>
            </w:r>
          </w:p>
        </w:tc>
        <w:tc>
          <w:tcPr>
            <w:tcW w:type="dxa" w:w="3400"/>
            <w:tcMar>
              <w:top w:type="dxa" w:w="80"/>
              <w:left w:type="dxa" w:w="100"/>
              <w:bottom w:type="dxa" w:w="80"/>
              <w:right w:type="dxa" w:w="100"/>
            </w:tcMar>
          </w:tcPr>
          <w:p>
            <w:r>
              <w:rPr>
                <w:b w:val="false"/>
                <w:bCs w:val="false"/>
              </w:rPr>
              <w:t xml:space="preserve">Accept as maintainer reference / Revise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2026-09-03T13:47:00.276Z</dcterms:created>
  <dcterms:modified xsi:type="dcterms:W3CDTF">2026-09-03T13:47:00.277Z</dcterms:modified>
</cp:coreProperties>
</file>

<file path=docProps/custom.xml><?xml version="1.0" encoding="utf-8"?>
<Properties xmlns="http://schemas.openxmlformats.org/officeDocument/2006/custom-properties" xmlns:vt="http://schemas.openxmlformats.org/officeDocument/2006/docPropsVTypes"/>
</file>