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Definition of Done — Spec Phase</w:t>
      </w:r>
    </w:p>
    <w:p>
      <w:r>
        <w:rPr>
          <w:b/>
          <w:bCs/>
        </w:rPr>
        <w:t xml:space="preserve">Cognigy Multi-Agent System · spec.md sign-off checklist</w:t>
      </w:r>
    </w:p>
    <w:p>
      <w:pPr>
        <w:spacing w:after="100"/>
      </w:pPr>
      <w:r>
        <w:rPr>
          <w:i/>
          <w:iCs/>
        </w:rPr>
        <w:t xml:space="preserve">Definition-of-Done checklist for the Cognigy conversational-flow pipeline.</w:t>
      </w:r>
    </w:p>
    <w:p>
      <w:pPr>
        <w:spacing w:after="200"/>
      </w:pPr>
      <w:r>
        <w:rPr>
          <w:color w:val="666666"/>
          <w:sz w:val="18"/>
          <w:szCs w:val="18"/>
        </w:rPr>
        <w:t xml:space="preserve">3 September 2026</w:t>
      </w:r>
    </w:p>
    <w:p>
      <w:pPr>
        <w:spacing w:after="120"/>
      </w:pPr>
      <w:r>
        <w:rPr>
          <w:b/>
          <w:bCs/>
        </w:rPr>
        <w:t xml:space="preserve">Purpose. </w:t>
      </w:r>
      <w:r>
        <w:t xml:space="preserve">This checklist confirms that a spec.md produced by the spec-agent is complete enough to hand to the build-agent, which will construct the flow live in Cognigy via the MCP server. It gates the spec → build transition: the build-agent must be able to derive a Cognigy flow from the spec without inventing requirements of its own. Run through every item below against the specific spec.md before starting the build phase.</w:t>
      </w:r>
    </w:p>
    <w:p>
      <w:pPr>
        <w:spacing w:after="120"/>
      </w:pPr>
      <w:r>
        <w:t xml:space="preserve">This is a check on the deliverable (spec.md), not on the agent's process. It can be applied by the person who ran discovery, or by anyone else picking up the project cold. Each section below includes a How to verify note — checking a box means you did that verification, not that you skimmed the section and it looked fine.</w:t>
      </w:r>
    </w:p>
    <w:p>
      <w:pPr>
        <w:pStyle w:val="Heading1"/>
        <w:spacing w:after="120" w:before="280"/>
      </w:pPr>
      <w:r>
        <w:t xml:space="preserve">1. Structural completeness</w:t>
      </w:r>
    </w:p>
    <w:p>
      <w:pPr>
        <w:spacing w:after="120"/>
      </w:pPr>
      <w:r>
        <w:t xml:space="preserve">All fifteen sections are present in spec.md and contain actual content — not a heading with nothing under it. Each of the ten pillars now has its own named section (see Section 2) — if a pillar's answer is only findable by hunting through an unrelated section, treat that as a missing section, not a pass.</w:t>
      </w:r>
    </w:p>
    <w:p>
      <w:pPr>
        <w:spacing w:after="140"/>
      </w:pPr>
      <w:r>
        <w:rPr>
          <w:b/>
          <w:bCs/>
          <w:i/>
          <w:iCs/>
        </w:rPr>
        <w:t xml:space="preserve">How to verify: </w:t>
      </w:r>
      <w:r>
        <w:rPr>
          <w:i/>
          <w:iCs/>
        </w:rPr>
        <w:t xml:space="preserve">Read spec.md top to bottom. Each heading must have a substantive paragraph or list under it — not a placeholder, not one vague sentence that could apply to any flow.</w:t>
      </w:r>
    </w:p>
    <w:p>
      <w:pPr>
        <w:pStyle w:val="ListParagraph"/>
        <w:numPr>
          <w:ilvl w:val="0"/>
          <w:numId w:val="1"/>
        </w:numPr>
        <w:spacing w:after="60"/>
      </w:pPr>
      <w:r>
        <w:t xml:space="preserve">Goal &amp; Business Value</w:t>
      </w:r>
    </w:p>
    <w:p>
      <w:pPr>
        <w:pStyle w:val="ListParagraph"/>
        <w:numPr>
          <w:ilvl w:val="0"/>
          <w:numId w:val="1"/>
        </w:numPr>
        <w:spacing w:after="60"/>
      </w:pPr>
      <w:r>
        <w:t xml:space="preserve">Compliance Gate Status</w:t>
      </w:r>
    </w:p>
    <w:p>
      <w:pPr>
        <w:pStyle w:val="ListParagraph"/>
        <w:numPr>
          <w:ilvl w:val="0"/>
          <w:numId w:val="1"/>
        </w:numPr>
        <w:spacing w:after="60"/>
      </w:pPr>
      <w:r>
        <w:t xml:space="preserve">Intents &amp; Scope</w:t>
      </w:r>
    </w:p>
    <w:p>
      <w:pPr>
        <w:pStyle w:val="ListParagraph"/>
        <w:numPr>
          <w:ilvl w:val="0"/>
          <w:numId w:val="1"/>
        </w:numPr>
        <w:spacing w:after="60"/>
      </w:pPr>
      <w:r>
        <w:t xml:space="preserve">Dependencies, Session State &amp; Volume/SLA</w:t>
      </w:r>
    </w:p>
    <w:p>
      <w:pPr>
        <w:pStyle w:val="ListParagraph"/>
        <w:numPr>
          <w:ilvl w:val="0"/>
          <w:numId w:val="1"/>
        </w:numPr>
        <w:spacing w:after="60"/>
      </w:pPr>
      <w:r>
        <w:t xml:space="preserve">Channels &amp; Systems Involved</w:t>
      </w:r>
    </w:p>
    <w:p>
      <w:pPr>
        <w:pStyle w:val="ListParagraph"/>
        <w:numPr>
          <w:ilvl w:val="0"/>
          <w:numId w:val="1"/>
        </w:numPr>
        <w:spacing w:after="60"/>
      </w:pPr>
      <w:r>
        <w:t xml:space="preserve">Authentication &amp; Identity</w:t>
      </w:r>
    </w:p>
    <w:p>
      <w:pPr>
        <w:pStyle w:val="ListParagraph"/>
        <w:numPr>
          <w:ilvl w:val="0"/>
          <w:numId w:val="1"/>
        </w:numPr>
        <w:spacing w:after="60"/>
      </w:pPr>
      <w:r>
        <w:t xml:space="preserve">Conversation Flow</w:t>
      </w:r>
    </w:p>
    <w:p>
      <w:pPr>
        <w:pStyle w:val="ListParagraph"/>
        <w:numPr>
          <w:ilvl w:val="0"/>
          <w:numId w:val="1"/>
        </w:numPr>
        <w:spacing w:after="60"/>
      </w:pPr>
      <w:r>
        <w:t xml:space="preserve">Generative AI / Agentic Strategy</w:t>
      </w:r>
    </w:p>
    <w:p>
      <w:pPr>
        <w:pStyle w:val="ListParagraph"/>
        <w:numPr>
          <w:ilvl w:val="0"/>
          <w:numId w:val="1"/>
        </w:numPr>
        <w:spacing w:after="60"/>
      </w:pPr>
      <w:r>
        <w:t xml:space="preserve">Data Contract &amp; Sample Payloads</w:t>
      </w:r>
    </w:p>
    <w:p>
      <w:pPr>
        <w:pStyle w:val="ListParagraph"/>
        <w:numPr>
          <w:ilvl w:val="0"/>
          <w:numId w:val="1"/>
        </w:numPr>
        <w:spacing w:after="60"/>
      </w:pPr>
      <w:r>
        <w:t xml:space="preserve">Error Handling Strategy</w:t>
      </w:r>
    </w:p>
    <w:p>
      <w:pPr>
        <w:pStyle w:val="ListParagraph"/>
        <w:numPr>
          <w:ilvl w:val="0"/>
          <w:numId w:val="1"/>
        </w:numPr>
        <w:spacing w:after="60"/>
      </w:pPr>
      <w:r>
        <w:t xml:space="preserve">Escalation &amp; Human-in-the-Loop Approach</w:t>
      </w:r>
    </w:p>
    <w:p>
      <w:pPr>
        <w:pStyle w:val="ListParagraph"/>
        <w:numPr>
          <w:ilvl w:val="0"/>
          <w:numId w:val="1"/>
        </w:numPr>
        <w:spacing w:after="60"/>
      </w:pPr>
      <w:r>
        <w:t xml:space="preserve">Persona &amp; Tonality</w:t>
      </w:r>
    </w:p>
    <w:p>
      <w:pPr>
        <w:pStyle w:val="ListParagraph"/>
        <w:numPr>
          <w:ilvl w:val="0"/>
          <w:numId w:val="1"/>
        </w:numPr>
        <w:spacing w:after="60"/>
      </w:pPr>
      <w:r>
        <w:t xml:space="preserve">Data Handling Notes</w:t>
      </w:r>
    </w:p>
    <w:p>
      <w:pPr>
        <w:pStyle w:val="ListParagraph"/>
        <w:numPr>
          <w:ilvl w:val="0"/>
          <w:numId w:val="1"/>
        </w:numPr>
        <w:spacing w:after="60"/>
      </w:pPr>
      <w:r>
        <w:t xml:space="preserve">Compliance Gate Detail</w:t>
      </w:r>
    </w:p>
    <w:p>
      <w:pPr>
        <w:pStyle w:val="ListParagraph"/>
        <w:numPr>
          <w:ilvl w:val="0"/>
          <w:numId w:val="1"/>
        </w:numPr>
        <w:spacing w:after="60"/>
      </w:pPr>
      <w:r>
        <w:t xml:space="preserve">Open Questions</w:t>
      </w:r>
    </w:p>
    <w:p>
      <w:pPr>
        <w:pStyle w:val="Heading1"/>
        <w:spacing w:after="120" w:before="280"/>
      </w:pPr>
      <w:r>
        <w:t xml:space="preserve">2. Ten-pillar coverage</w:t>
      </w:r>
    </w:p>
    <w:p>
      <w:pPr>
        <w:spacing w:after="120"/>
      </w:pPr>
      <w:r>
        <w:t xml:space="preserve">For each pillar, confirm the spec actually addresses it — not just mentions the topic in passing.</w:t>
      </w:r>
    </w:p>
    <w:p>
      <w:pPr>
        <w:spacing w:after="140"/>
      </w:pPr>
      <w:r>
        <w:rPr>
          <w:b/>
          <w:bCs/>
          <w:i/>
          <w:iCs/>
        </w:rPr>
        <w:t xml:space="preserve">How to verify: </w:t>
      </w:r>
      <w:r>
        <w:rPr>
          <w:i/>
          <w:iCs/>
        </w:rPr>
        <w:t xml:space="preserve">For each pillar, point to the specific sentence in spec.md that answers it. If you can't point to one, the pillar isn't covered — mark it N regardless of how confident you feel about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5400"/>
        <w:gridCol w:w="1300"/>
      </w:tblGrid>
      <w:tr>
        <w:trPr>
          <w:tblHeader/>
        </w:trPr>
        <w:tc>
          <w:tcPr>
            <w:tcW w:type="dxa" w:w="3200"/>
            <w:shd w:fill="D9D9D9" w:val="clear"/>
            <w:tcMar>
              <w:top w:type="dxa" w:w="80"/>
              <w:left w:type="dxa" w:w="100"/>
              <w:bottom w:type="dxa" w:w="80"/>
              <w:right w:type="dxa" w:w="100"/>
            </w:tcMar>
          </w:tcPr>
          <w:p>
            <w:r>
              <w:rPr>
                <w:b/>
                <w:bCs/>
              </w:rPr>
              <w:t xml:space="preserve">Pillar</w:t>
            </w:r>
          </w:p>
        </w:tc>
        <w:tc>
          <w:tcPr>
            <w:tcW w:type="dxa" w:w="5400"/>
            <w:shd w:fill="D9D9D9" w:val="clear"/>
            <w:tcMar>
              <w:top w:type="dxa" w:w="80"/>
              <w:left w:type="dxa" w:w="100"/>
              <w:bottom w:type="dxa" w:w="80"/>
              <w:right w:type="dxa" w:w="100"/>
            </w:tcMar>
          </w:tcPr>
          <w:p>
            <w:r>
              <w:rPr>
                <w:b/>
                <w:bCs/>
              </w:rPr>
              <w:t xml:space="preserve">What "addressed" means</w:t>
            </w:r>
          </w:p>
        </w:tc>
        <w:tc>
          <w:tcPr>
            <w:tcW w:type="dxa" w:w="1300"/>
            <w:shd w:fill="D9D9D9" w:val="clear"/>
            <w:tcMar>
              <w:top w:type="dxa" w:w="80"/>
              <w:left w:type="dxa" w:w="100"/>
              <w:bottom w:type="dxa" w:w="80"/>
              <w:right w:type="dxa" w:w="100"/>
            </w:tcMar>
          </w:tcPr>
          <w:p>
            <w:r>
              <w:rPr>
                <w:b/>
                <w:bCs/>
              </w:rPr>
              <w:t xml:space="preserve">Y / N</w:t>
            </w:r>
          </w:p>
        </w:tc>
      </w:tr>
      <w:tr>
        <w:tc>
          <w:tcPr>
            <w:tcW w:type="dxa" w:w="3200"/>
            <w:tcMar>
              <w:top w:type="dxa" w:w="80"/>
              <w:left w:type="dxa" w:w="100"/>
              <w:bottom w:type="dxa" w:w="80"/>
              <w:right w:type="dxa" w:w="100"/>
            </w:tcMar>
          </w:tcPr>
          <w:p>
            <w:r>
              <w:rPr>
                <w:b w:val="false"/>
                <w:bCs w:val="false"/>
              </w:rPr>
              <w:t xml:space="preserve">1. Intent Discovery &amp; Feasibility</w:t>
            </w:r>
          </w:p>
        </w:tc>
        <w:tc>
          <w:tcPr>
            <w:tcW w:type="dxa" w:w="5400"/>
            <w:tcMar>
              <w:top w:type="dxa" w:w="80"/>
              <w:left w:type="dxa" w:w="100"/>
              <w:bottom w:type="dxa" w:w="80"/>
              <w:right w:type="dxa" w:w="100"/>
            </w:tcMar>
          </w:tcPr>
          <w:p>
            <w:r>
              <w:rPr>
                <w:b w:val="false"/>
                <w:bCs w:val="false"/>
              </w:rPr>
              <w:t xml:space="preserve">→ Intents &amp; Scope section. In-scope and out-of-scope intents are named; confusable intent pairs are flagged as a feasibility risk.</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2. Channels &amp; Integration Readiness</w:t>
            </w:r>
          </w:p>
        </w:tc>
        <w:tc>
          <w:tcPr>
            <w:tcW w:type="dxa" w:w="5400"/>
            <w:tcMar>
              <w:top w:type="dxa" w:w="80"/>
              <w:left w:type="dxa" w:w="100"/>
              <w:bottom w:type="dxa" w:w="80"/>
              <w:right w:type="dxa" w:w="100"/>
            </w:tcMar>
          </w:tcPr>
          <w:p>
            <w:r>
              <w:rPr>
                <w:b w:val="false"/>
                <w:bCs w:val="false"/>
              </w:rPr>
              <w:t xml:space="preserve">→ Channels &amp; Systems Involved section. Every channel and backend system is marked native connector or custom HTTP; custom HTTP has endpoint/method/auth or is in Open Questions.</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3. Authentication &amp; Identity</w:t>
            </w:r>
          </w:p>
        </w:tc>
        <w:tc>
          <w:tcPr>
            <w:tcW w:type="dxa" w:w="5400"/>
            <w:tcMar>
              <w:top w:type="dxa" w:w="80"/>
              <w:left w:type="dxa" w:w="100"/>
              <w:bottom w:type="dxa" w:w="80"/>
              <w:right w:type="dxa" w:w="100"/>
            </w:tcMar>
          </w:tcPr>
          <w:p>
            <w:r>
              <w:rPr>
                <w:b w:val="false"/>
                <w:bCs w:val="false"/>
              </w:rPr>
              <w:t xml:space="preserve">→ Authentication &amp; Identity section (its own section, not folded into Channels). Mechanism, point in the conversation, and credential owner are named.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4. Escalation &amp; Guardrails (HITL)</w:t>
            </w:r>
          </w:p>
        </w:tc>
        <w:tc>
          <w:tcPr>
            <w:tcW w:type="dxa" w:w="5400"/>
            <w:tcMar>
              <w:top w:type="dxa" w:w="80"/>
              <w:left w:type="dxa" w:w="100"/>
              <w:bottom w:type="dxa" w:w="80"/>
              <w:right w:type="dxa" w:w="100"/>
            </w:tcMar>
          </w:tcPr>
          <w:p>
            <w:r>
              <w:rPr>
                <w:b w:val="false"/>
                <w:bCs w:val="false"/>
              </w:rPr>
              <w:t xml:space="preserve">→ Escalation &amp; Human-in-the-Loop Approach section. Handoff mechanism, no-human-available fallback, and the bot's explicit hard limits are all defined.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5. Error Handling &amp; Resilience</w:t>
            </w:r>
          </w:p>
        </w:tc>
        <w:tc>
          <w:tcPr>
            <w:tcW w:type="dxa" w:w="5400"/>
            <w:tcMar>
              <w:top w:type="dxa" w:w="80"/>
              <w:left w:type="dxa" w:w="100"/>
              <w:bottom w:type="dxa" w:w="80"/>
              <w:right w:type="dxa" w:w="100"/>
            </w:tcMar>
          </w:tcPr>
          <w:p>
            <w:r>
              <w:rPr>
                <w:b w:val="false"/>
                <w:bCs w:val="false"/>
              </w:rPr>
              <w:t xml:space="preserve">→ Error Handling Strategy section. Backend failure behavior and no-match/no-input retry ceiling are both defined.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6. Persona &amp; Brand Tonality</w:t>
            </w:r>
          </w:p>
        </w:tc>
        <w:tc>
          <w:tcPr>
            <w:tcW w:type="dxa" w:w="5400"/>
            <w:tcMar>
              <w:top w:type="dxa" w:w="80"/>
              <w:left w:type="dxa" w:w="100"/>
              <w:bottom w:type="dxa" w:w="80"/>
              <w:right w:type="dxa" w:w="100"/>
            </w:tcMar>
          </w:tcPr>
          <w:p>
            <w:r>
              <w:rPr>
                <w:b w:val="false"/>
                <w:bCs w:val="false"/>
              </w:rPr>
              <w:t xml:space="preserve">→ Persona &amp; Tonality section. Voice, formality, and supported language(s) are stated.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7. PII &amp; Data Handling</w:t>
            </w:r>
          </w:p>
        </w:tc>
        <w:tc>
          <w:tcPr>
            <w:tcW w:type="dxa" w:w="5400"/>
            <w:tcMar>
              <w:top w:type="dxa" w:w="80"/>
              <w:left w:type="dxa" w:w="100"/>
              <w:bottom w:type="dxa" w:w="80"/>
              <w:right w:type="dxa" w:w="100"/>
            </w:tcMar>
          </w:tcPr>
          <w:p>
            <w:r>
              <w:rPr>
                <w:b w:val="false"/>
                <w:bCs w:val="false"/>
              </w:rPr>
              <w:t xml:space="preserve">→ Data Handling Notes section. Sensitive/personal fields identified; logging and storage points noted.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8. Compliance Gate</w:t>
            </w:r>
          </w:p>
        </w:tc>
        <w:tc>
          <w:tcPr>
            <w:tcW w:type="dxa" w:w="5400"/>
            <w:tcMar>
              <w:top w:type="dxa" w:w="80"/>
              <w:left w:type="dxa" w:w="100"/>
              <w:bottom w:type="dxa" w:w="80"/>
              <w:right w:type="dxa" w:w="100"/>
            </w:tcMar>
          </w:tcPr>
          <w:p>
            <w:r>
              <w:rPr>
                <w:b w:val="false"/>
                <w:bCs w:val="false"/>
              </w:rPr>
              <w:t xml:space="preserve">→ Compliance Gate Status + Compliance Gate Detail sections — see Section 3 below.</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9. Dependencies, Session State &amp; Volume/SLA</w:t>
            </w:r>
          </w:p>
        </w:tc>
        <w:tc>
          <w:tcPr>
            <w:tcW w:type="dxa" w:w="5400"/>
            <w:tcMar>
              <w:top w:type="dxa" w:w="80"/>
              <w:left w:type="dxa" w:w="100"/>
              <w:bottom w:type="dxa" w:w="80"/>
              <w:right w:type="dxa" w:w="100"/>
            </w:tcMar>
          </w:tcPr>
          <w:p>
            <w:r>
              <w:rPr>
                <w:b w:val="false"/>
                <w:bCs w:val="false"/>
              </w:rPr>
              <w:t xml:space="preserve">→ its own section. Standalone vs. chained flows, Context/session variables, flow-level constants, volume, and SLA/time-sensitivity are all covered.</w:t>
            </w:r>
          </w:p>
        </w:tc>
        <w:tc>
          <w:tcPr>
            <w:tcW w:type="dxa" w:w="1300"/>
            <w:tcMar>
              <w:top w:type="dxa" w:w="80"/>
              <w:left w:type="dxa" w:w="100"/>
              <w:bottom w:type="dxa" w:w="80"/>
              <w:right w:type="dxa" w:w="100"/>
            </w:tcMar>
          </w:tcPr>
          <w:p>
            <w:r>
              <w:rPr>
                <w:b w:val="false"/>
                <w:bCs w:val="false"/>
              </w:rPr>
              <w:t xml:space="preserve"/>
            </w:r>
          </w:p>
        </w:tc>
      </w:tr>
      <w:tr>
        <w:tc>
          <w:tcPr>
            <w:tcW w:type="dxa" w:w="3200"/>
            <w:tcMar>
              <w:top w:type="dxa" w:w="80"/>
              <w:left w:type="dxa" w:w="100"/>
              <w:bottom w:type="dxa" w:w="80"/>
              <w:right w:type="dxa" w:w="100"/>
            </w:tcMar>
          </w:tcPr>
          <w:p>
            <w:r>
              <w:rPr>
                <w:b w:val="false"/>
                <w:bCs w:val="false"/>
              </w:rPr>
              <w:t xml:space="preserve">10. Generative AI / Agentic Strategy</w:t>
            </w:r>
          </w:p>
        </w:tc>
        <w:tc>
          <w:tcPr>
            <w:tcW w:type="dxa" w:w="5400"/>
            <w:tcMar>
              <w:top w:type="dxa" w:w="80"/>
              <w:left w:type="dxa" w:w="100"/>
              <w:bottom w:type="dxa" w:w="80"/>
              <w:right w:type="dxa" w:w="100"/>
            </w:tcMar>
          </w:tcPr>
          <w:p>
            <w:r>
              <w:rPr>
                <w:b w:val="false"/>
                <w:bCs w:val="false"/>
              </w:rPr>
              <w:t xml:space="preserve">→ Generative AI / Agentic Strategy section. Names which conversation stretches (if any) use a Generative AI Node with tool-calling versus classic Intent+Logic branching, and why; for any Generative-AI-driven stretch, the Tools/Functions and output guardrails are named. If none apply, the section says so explicitly rather than being thin or missing.</w:t>
            </w:r>
          </w:p>
        </w:tc>
        <w:tc>
          <w:tcPr>
            <w:tcW w:type="dxa" w:w="1300"/>
            <w:tcMar>
              <w:top w:type="dxa" w:w="80"/>
              <w:left w:type="dxa" w:w="100"/>
              <w:bottom w:type="dxa" w:w="80"/>
              <w:right w:type="dxa" w:w="100"/>
            </w:tcMar>
          </w:tcPr>
          <w:p>
            <w:r>
              <w:rPr>
                <w:b w:val="false"/>
                <w:bCs w:val="false"/>
              </w:rPr>
              <w:t xml:space="preserve"/>
            </w:r>
          </w:p>
        </w:tc>
      </w:tr>
    </w:tbl>
    <w:p>
      <w:pPr>
        <w:pStyle w:val="Heading1"/>
        <w:spacing w:after="120" w:before="280"/>
      </w:pPr>
      <w:r>
        <w:t xml:space="preserve">3. Compliance Gate — elevated check</w:t>
      </w:r>
    </w:p>
    <w:p>
      <w:pPr>
        <w:spacing w:after="120"/>
      </w:pPr>
      <w:r>
        <w:t xml:space="preserve">Pillar 8 gets its own gate because it can block a project the way works-council co-determination can. Do not let it hide inside the data-handling notes.</w:t>
      </w:r>
    </w:p>
    <w:p>
      <w:pPr>
        <w:spacing w:after="140"/>
      </w:pPr>
      <w:r>
        <w:rPr>
          <w:b/>
          <w:bCs/>
          <w:i/>
          <w:iCs/>
        </w:rPr>
        <w:t xml:space="preserve">How to verify: </w:t>
      </w:r>
      <w:r>
        <w:rPr>
          <w:i/>
          <w:iCs/>
        </w:rPr>
        <w:t xml:space="preserve">Search spec.md for the words Clear, Open, or Blocked next to Compliance Gate. If you have to infer the status from context instead of reading it stated outright, that's a fail — send it back for an explicit statement.</w:t>
      </w:r>
    </w:p>
    <w:p>
      <w:pPr>
        <w:pStyle w:val="ListParagraph"/>
        <w:numPr>
          <w:ilvl w:val="0"/>
          <w:numId w:val="1"/>
        </w:numPr>
        <w:spacing w:after="60"/>
      </w:pPr>
      <w:r>
        <w:t xml:space="preserve">Compliance Gate status is explicitly stated as Clear, Open, or Blocked — not silent, not implied.</w:t>
      </w:r>
    </w:p>
    <w:p>
      <w:pPr>
        <w:pStyle w:val="ListParagraph"/>
        <w:numPr>
          <w:ilvl w:val="0"/>
          <w:numId w:val="1"/>
        </w:numPr>
        <w:spacing w:after="60"/>
      </w:pPr>
      <w:r>
        <w:t xml:space="preserve">If Open or Blocked: the required sign-off party is named (client legal, works council, DPO, etc.).</w:t>
      </w:r>
    </w:p>
    <w:p>
      <w:pPr>
        <w:pStyle w:val="ListParagraph"/>
        <w:numPr>
          <w:ilvl w:val="0"/>
          <w:numId w:val="1"/>
        </w:numPr>
        <w:spacing w:after="60"/>
      </w:pPr>
      <w:r>
        <w:t xml:space="preserve">If EU personal data, or employee-facing use with a monitoring/performance-tracking angle (German Betriebsrat co-determination under §87(1) Nr. 6 BetrVG), or an EU AI Act risk angle is involved, this is called out explicitly rather than assumed away.</w:t>
      </w:r>
    </w:p>
    <w:p>
      <w:pPr>
        <w:pStyle w:val="Heading1"/>
        <w:spacing w:after="120" w:before="280"/>
      </w:pPr>
      <w:r>
        <w:t xml:space="preserve">4. Boundary checks</w:t>
      </w:r>
    </w:p>
    <w:p>
      <w:pPr>
        <w:spacing w:after="120"/>
      </w:pPr>
      <w:r>
        <w:t xml:space="preserve">Confirms the spec stayed in its lane — describing what to build, not how, and not slipping into optimization territory.</w:t>
      </w:r>
    </w:p>
    <w:p>
      <w:pPr>
        <w:spacing w:after="140"/>
      </w:pPr>
      <w:r>
        <w:rPr>
          <w:b/>
          <w:bCs/>
          <w:i/>
          <w:iCs/>
        </w:rPr>
        <w:t xml:space="preserve">How to verify: </w:t>
      </w:r>
      <w:r>
        <w:rPr>
          <w:i/>
          <w:iCs/>
        </w:rPr>
        <w:t xml:space="preserve">Scan the Conversation Flow section for a literal Cognigy node name (e.g. "HTTP Request Node") or CognigyScript mapping syntax (e.g. {{context.value}}). If either appears, the spec has overstepped into build-agent territory — flag it, don't just note it.</w:t>
      </w:r>
    </w:p>
    <w:p>
      <w:pPr>
        <w:pStyle w:val="ListParagraph"/>
        <w:numPr>
          <w:ilvl w:val="0"/>
          <w:numId w:val="1"/>
        </w:numPr>
        <w:spacing w:after="60"/>
      </w:pPr>
      <w:r>
        <w:t xml:space="preserve">Conversation Flow names systems and data fields, in prose — not exact Cognigy node types.</w:t>
      </w:r>
    </w:p>
    <w:p>
      <w:pPr>
        <w:pStyle w:val="ListParagraph"/>
        <w:numPr>
          <w:ilvl w:val="0"/>
          <w:numId w:val="1"/>
        </w:numPr>
        <w:spacing w:after="60"/>
      </w:pPr>
      <w:r>
        <w:t xml:space="preserve">No CognigyScript or field-level mapping syntax appears anywhere in the document.</w:t>
      </w:r>
    </w:p>
    <w:p>
      <w:pPr>
        <w:pStyle w:val="ListParagraph"/>
        <w:numPr>
          <w:ilvl w:val="0"/>
          <w:numId w:val="1"/>
        </w:numPr>
        <w:spacing w:after="60"/>
      </w:pPr>
      <w:r>
        <w:t xml:space="preserve">No premature optimization language (NLU-call minimization, sub-flow restructuring for efficiency's sake) — unless it is a functional necessity tied to volume (pillar 9), in which case it is flagged as such, not as an optimization.</w:t>
      </w:r>
    </w:p>
    <w:p>
      <w:pPr>
        <w:pStyle w:val="ListParagraph"/>
        <w:numPr>
          <w:ilvl w:val="0"/>
          <w:numId w:val="1"/>
        </w:numPr>
        <w:spacing w:after="60"/>
      </w:pPr>
      <w:r>
        <w:t xml:space="preserve">Every custom/HTTP API integration lists known details (endpoint, method, auth type) or is carried into Open Questions rather than guessed at.</w:t>
      </w:r>
    </w:p>
    <w:p>
      <w:pPr>
        <w:pStyle w:val="ListParagraph"/>
        <w:numPr>
          <w:ilvl w:val="0"/>
          <w:numId w:val="1"/>
        </w:numPr>
        <w:spacing w:after="60"/>
      </w:pPr>
      <w:r>
        <w:t xml:space="preserve">The Generative AI / Agentic Strategy section names which conversation stretches use which paradigm and why, but doesn't specify exact Tool/Function schemas or a system-prompt's literal wording — that implementation detail is build-agent's job.</w:t>
      </w:r>
    </w:p>
    <w:p>
      <w:pPr>
        <w:pStyle w:val="Heading1"/>
        <w:spacing w:after="120" w:before="280"/>
      </w:pPr>
      <w:r>
        <w:t xml:space="preserve">5. Data Contract &amp; Sample Payload check</w:t>
      </w:r>
    </w:p>
    <w:p>
      <w:pPr>
        <w:spacing w:after="120"/>
      </w:pPr>
      <w:r>
        <w:t xml:space="preserve">This is where build-agent guessing most often sneaks in — not through missing nodes, but through an unstated data shape. A field name in prose ("order details") is not the same as knowing it's a nested object with typed fields.</w:t>
      </w:r>
    </w:p>
    <w:p>
      <w:pPr>
        <w:spacing w:after="140"/>
      </w:pPr>
      <w:r>
        <w:rPr>
          <w:b/>
          <w:bCs/>
          <w:i/>
          <w:iCs/>
        </w:rPr>
        <w:t xml:space="preserve">How to verify: </w:t>
      </w:r>
      <w:r>
        <w:rPr>
          <w:i/>
          <w:iCs/>
        </w:rPr>
        <w:t xml:space="preserve">For every entity that isn't a flat, single-value field (nested objects, arrays, repeating groups), confirm the Data Contract section states its type and nesting shape — not just its name. For every custom HTTP call, confirm an actual sample JSON payload (request and response) is attached, or that its absence is listed as a blocking item in Open Questions.</w:t>
      </w:r>
    </w:p>
    <w:p>
      <w:pPr>
        <w:pStyle w:val="ListParagraph"/>
        <w:numPr>
          <w:ilvl w:val="0"/>
          <w:numId w:val="1"/>
        </w:numPr>
        <w:spacing w:after="60"/>
      </w:pPr>
      <w:r>
        <w:t xml:space="preserve">Every non-trivial entity (nested object, array, repeating group) has a stated data type and structure, not just a field name.</w:t>
      </w:r>
    </w:p>
    <w:p>
      <w:pPr>
        <w:pStyle w:val="ListParagraph"/>
        <w:numPr>
          <w:ilvl w:val="0"/>
          <w:numId w:val="1"/>
        </w:numPr>
        <w:spacing w:after="60"/>
      </w:pPr>
      <w:r>
        <w:t xml:space="preserve">Every custom HTTP integration has a real sample JSON payload attached for both request and response — or its absence is a named blocker in Open Questions, not a silent gap.</w:t>
      </w:r>
    </w:p>
    <w:p>
      <w:pPr>
        <w:pStyle w:val="Heading1"/>
        <w:spacing w:after="120" w:before="280"/>
      </w:pPr>
      <w:r>
        <w:t xml:space="preserve">6. Open Questions gate</w:t>
      </w:r>
    </w:p>
    <w:p>
      <w:pPr>
        <w:spacing w:after="140"/>
      </w:pPr>
      <w:r>
        <w:rPr>
          <w:b/>
          <w:bCs/>
          <w:i/>
          <w:iCs/>
        </w:rPr>
        <w:t xml:space="preserve">How to verify: </w:t>
      </w:r>
      <w:r>
        <w:rPr>
          <w:i/>
          <w:iCs/>
        </w:rPr>
        <w:t xml:space="preserve">Walk through the Conversation Flow step by step, on paper or with a second person. The moment you'd have to invent a detail to make a step work, stop — that's an undocumented open question. Add it to the list before proceeding, don't quietly fill the gap yourself.</w:t>
      </w:r>
    </w:p>
    <w:p>
      <w:pPr>
        <w:pStyle w:val="ListParagraph"/>
        <w:numPr>
          <w:ilvl w:val="0"/>
          <w:numId w:val="1"/>
        </w:numPr>
        <w:spacing w:after="60"/>
      </w:pPr>
      <w:r>
        <w:t xml:space="preserve">Open Questions lists every unresolved item from the whole document — no silent assumptions anywhere else in the spec.</w:t>
      </w:r>
    </w:p>
    <w:p>
      <w:pPr>
        <w:pStyle w:val="ListParagraph"/>
        <w:numPr>
          <w:ilvl w:val="0"/>
          <w:numId w:val="1"/>
        </w:numPr>
        <w:spacing w:after="60"/>
      </w:pPr>
      <w:r>
        <w:t xml:space="preserve">Each open question is either resolved before proceeding, or explicitly accepted as non-blocking for a first build pass, with the acceptance recorded.</w:t>
      </w:r>
    </w:p>
    <w:p>
      <w:pPr>
        <w:pStyle w:val="Heading1"/>
        <w:spacing w:after="120" w:before="280"/>
      </w:pPr>
      <w:r>
        <w:t xml:space="preserve">7. Revision Mode check — elevated check</w:t>
      </w:r>
    </w:p>
    <w:p>
      <w:pPr>
        <w:spacing w:after="120"/>
      </w:pPr>
      <w:r>
        <w:t xml:space="preserve">Applies whenever this spec.md extends an existing flow — an existing spec.md was provided as a baseline, or no spec.md existed but a live flow already did. This gets its own gate because a revision that silently rewrites the whole document is indistinguishable from one that quietly dropped something, and build-agent has no way to tell the difference without being told explicitly what changed.</w:t>
      </w:r>
    </w:p>
    <w:p>
      <w:pPr>
        <w:spacing w:after="140"/>
      </w:pPr>
      <w:r>
        <w:rPr>
          <w:b/>
          <w:bCs/>
          <w:i/>
          <w:iCs/>
        </w:rPr>
        <w:t xml:space="preserve">How to verify: </w:t>
      </w:r>
      <w:r>
        <w:rPr>
          <w:i/>
          <w:iCs/>
        </w:rPr>
        <w:t xml:space="preserve">Confirm spec.md opens with a Revision Notes preamble naming its baseline (an existing spec.md, or a live flow reconstructed with no prior spec) and listing exactly which of the fifteen sections changed. Spot-check at least two sections NOT on that list against the prior baseline (the earlier spec.md, or what cognigy_get_flow shows) and confirm they read as unchanged, not quietly rewritten. Confirm the Compliance Gate section was explicitly re-evaluated against the new requirement specifically, not left at its prior status purely by default. If the baseline was a live flow with no spec.md, confirm the reconstructed sections stick to what's structurally observable and that anything else (business rationale, PII classification, persona intent) came from a discovery question, not an inference from a node label.</w:t>
      </w:r>
    </w:p>
    <w:p>
      <w:pPr>
        <w:pStyle w:val="ListParagraph"/>
        <w:numPr>
          <w:ilvl w:val="0"/>
          <w:numId w:val="1"/>
        </w:numPr>
        <w:spacing w:after="60"/>
      </w:pPr>
      <w:r>
        <w:t xml:space="preserve">A Revision Notes preamble is present, naming the baseline and listing exactly which sections changed.</w:t>
      </w:r>
    </w:p>
    <w:p>
      <w:pPr>
        <w:pStyle w:val="ListParagraph"/>
        <w:numPr>
          <w:ilvl w:val="0"/>
          <w:numId w:val="1"/>
        </w:numPr>
        <w:spacing w:after="60"/>
      </w:pPr>
      <w:r>
        <w:t xml:space="preserve">At least two unlisted sections were spot-checked against the prior baseline and confirmed unchanged — not silently rewritten.</w:t>
      </w:r>
    </w:p>
    <w:p>
      <w:pPr>
        <w:pStyle w:val="ListParagraph"/>
        <w:numPr>
          <w:ilvl w:val="0"/>
          <w:numId w:val="1"/>
        </w:numPr>
        <w:spacing w:after="60"/>
      </w:pPr>
      <w:r>
        <w:t xml:space="preserve">The Compliance Gate was explicitly re-evaluated against the new requirement, not left at its prior status by default.</w:t>
      </w:r>
    </w:p>
    <w:p>
      <w:pPr>
        <w:pStyle w:val="ListParagraph"/>
        <w:numPr>
          <w:ilvl w:val="0"/>
          <w:numId w:val="1"/>
        </w:numPr>
        <w:spacing w:after="60"/>
      </w:pPr>
      <w:r>
        <w:t xml:space="preserve">If reconstructed from a live flow with no spec.md, business rationale, compliance posture, and PII classification came from discovery questions, not inferred from node labels or structure.</w:t>
      </w:r>
    </w:p>
    <w:p>
      <w:pPr>
        <w:pStyle w:val="ListParagraph"/>
        <w:numPr>
          <w:ilvl w:val="0"/>
          <w:numId w:val="1"/>
        </w:numPr>
        <w:spacing w:after="60"/>
      </w:pPr>
      <w:r>
        <w:t xml:space="preserve">If this spec.md is not a revision (a genuinely new flow), this section is marked Not Applicable rather than forced.</w:t>
      </w:r>
    </w:p>
    <w:p>
      <w:pPr>
        <w:pStyle w:val="Heading1"/>
        <w:spacing w:after="120" w:before="280"/>
      </w:pPr>
      <w:r>
        <w:t xml:space="preserve">8. Sign-off</w:t>
      </w:r>
    </w:p>
    <w:p>
      <w:pPr>
        <w:spacing w:after="120"/>
      </w:pPr>
      <w:r>
        <w:t xml:space="preserve">Record the decision. "Return to discovery" is a valid and expected outcome — it means this checklist did its job.</w:t>
      </w:r>
    </w:p>
    <w:p>
      <w:pPr>
        <w:spacing w:after="10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c>
          <w:tcPr>
            <w:tcW w:type="dxa" w:w="2400"/>
            <w:tcMar>
              <w:top w:type="dxa" w:w="80"/>
              <w:left w:type="dxa" w:w="100"/>
              <w:bottom w:type="dxa" w:w="80"/>
              <w:right w:type="dxa" w:w="100"/>
            </w:tcMar>
          </w:tcPr>
          <w:p>
            <w:r>
              <w:rPr>
                <w:b/>
                <w:bCs/>
              </w:rPr>
              <w:t xml:space="preserve">Reviewed by</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Date</w:t>
            </w:r>
          </w:p>
        </w:tc>
        <w:tc>
          <w:tcPr>
            <w:tcW w:type="dxa" w:w="7500"/>
            <w:tcMar>
              <w:top w:type="dxa" w:w="80"/>
              <w:left w:type="dxa" w:w="100"/>
              <w:bottom w:type="dxa" w:w="80"/>
              <w:right w:type="dxa" w:w="100"/>
            </w:tcMar>
          </w:tcPr>
          <w:p>
            <w:r>
              <w:rPr>
                <w:b w:val="false"/>
                <w:bCs w:val="false"/>
              </w:rPr>
              <w:t xml:space="preserve"/>
            </w:r>
          </w:p>
        </w:tc>
      </w:tr>
      <w:tr>
        <w:tc>
          <w:tcPr>
            <w:tcW w:type="dxa" w:w="2400"/>
            <w:tcMar>
              <w:top w:type="dxa" w:w="80"/>
              <w:left w:type="dxa" w:w="100"/>
              <w:bottom w:type="dxa" w:w="80"/>
              <w:right w:type="dxa" w:w="100"/>
            </w:tcMar>
          </w:tcPr>
          <w:p>
            <w:r>
              <w:rPr>
                <w:b/>
                <w:bCs/>
              </w:rPr>
              <w:t xml:space="preserve">Decision</w:t>
            </w:r>
          </w:p>
        </w:tc>
        <w:tc>
          <w:tcPr>
            <w:tcW w:type="dxa" w:w="7500"/>
            <w:tcMar>
              <w:top w:type="dxa" w:w="80"/>
              <w:left w:type="dxa" w:w="100"/>
              <w:bottom w:type="dxa" w:w="80"/>
              <w:right w:type="dxa" w:w="100"/>
            </w:tcMar>
          </w:tcPr>
          <w:p>
            <w:r>
              <w:rPr>
                <w:b w:val="false"/>
                <w:bCs w:val="false"/>
              </w:rPr>
              <w:t xml:space="preserve">Proceed to build  /  Return to discovery</w:t>
            </w:r>
          </w:p>
        </w:tc>
      </w:tr>
      <w:tr>
        <w:tc>
          <w:tcPr>
            <w:tcW w:type="dxa" w:w="2400"/>
            <w:tcMar>
              <w:top w:type="dxa" w:w="80"/>
              <w:left w:type="dxa" w:w="100"/>
              <w:bottom w:type="dxa" w:w="80"/>
              <w:right w:type="dxa" w:w="100"/>
            </w:tcMar>
          </w:tcPr>
          <w:p>
            <w:r>
              <w:rPr>
                <w:b/>
                <w:bCs/>
              </w:rPr>
              <w:t xml:space="preserve">Notes</w:t>
            </w:r>
          </w:p>
        </w:tc>
        <w:tc>
          <w:tcPr>
            <w:tcW w:type="dxa" w:w="7500"/>
            <w:tcMar>
              <w:top w:type="dxa" w:w="80"/>
              <w:left w:type="dxa" w:w="100"/>
              <w:bottom w:type="dxa" w:w="80"/>
              <w:right w:type="dxa" w:w="100"/>
            </w:tcMar>
          </w:tcPr>
          <w:p>
            <w:r>
              <w:rPr>
                <w:b w:val="false"/>
                <w:bCs w:val="false"/>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2026-09-03T13:46:59.820Z</dcterms:created>
  <dcterms:modified xsi:type="dcterms:W3CDTF">2026-09-03T13:46:59.821Z</dcterms:modified>
</cp:coreProperties>
</file>

<file path=docProps/custom.xml><?xml version="1.0" encoding="utf-8"?>
<Properties xmlns="http://schemas.openxmlformats.org/officeDocument/2006/custom-properties" xmlns:vt="http://schemas.openxmlformats.org/officeDocument/2006/docPropsVTypes"/>
</file>