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spacing w:after="0" w:before="240" w:lineRule="auto"/>
        <w:rPr>
          <w:rFonts w:ascii="Calibri" w:cs="Calibri" w:eastAsia="Calibri" w:hAnsi="Calibri"/>
          <w:color w:val="2f5496"/>
          <w:sz w:val="32"/>
          <w:szCs w:val="32"/>
        </w:rPr>
      </w:pPr>
      <w:bookmarkStart w:colFirst="0" w:colLast="0" w:name="_heading=h.gjdgxs" w:id="0"/>
      <w:bookmarkEnd w:id="0"/>
      <w:r w:rsidDel="00000000" w:rsidR="00000000" w:rsidRPr="00000000">
        <w:rPr>
          <w:rFonts w:ascii="Calibri" w:cs="Calibri" w:eastAsia="Calibri" w:hAnsi="Calibri"/>
          <w:color w:val="2f5496"/>
          <w:sz w:val="32"/>
          <w:szCs w:val="32"/>
        </w:rPr>
        <mc:AlternateContent>
          <mc:Choice Requires="wpg">
            <w:drawing>
              <wp:anchor allowOverlap="1" behindDoc="0" distB="0" distT="0" distL="114300" distR="114300" hidden="0" layoutInCell="1" locked="0" relativeHeight="0" simplePos="0">
                <wp:simplePos x="0" y="0"/>
                <wp:positionH relativeFrom="page">
                  <wp:align>right</wp:align>
                </wp:positionH>
                <wp:positionV relativeFrom="page">
                  <wp:align>top</wp:align>
                </wp:positionV>
                <wp:extent cx="7768742" cy="1215391"/>
                <wp:effectExtent b="0" l="0" r="0" t="0"/>
                <wp:wrapNone/>
                <wp:docPr id="150" name=""/>
                <a:graphic>
                  <a:graphicData uri="http://schemas.microsoft.com/office/word/2010/wordprocessingGroup">
                    <wpg:wgp>
                      <wpg:cNvGrpSpPr/>
                      <wpg:grpSpPr>
                        <a:xfrm>
                          <a:off x="1461629" y="3172305"/>
                          <a:ext cx="7768742" cy="1215391"/>
                          <a:chOff x="1461629" y="3172305"/>
                          <a:chExt cx="7768742" cy="1215391"/>
                        </a:xfrm>
                      </wpg:grpSpPr>
                      <wpg:grpSp>
                        <wpg:cNvGrpSpPr/>
                        <wpg:grpSpPr>
                          <a:xfrm>
                            <a:off x="1461629" y="3172305"/>
                            <a:ext cx="7768742" cy="1215391"/>
                            <a:chOff x="0" y="-1"/>
                            <a:chExt cx="7315200" cy="1216153"/>
                          </a:xfrm>
                        </wpg:grpSpPr>
                        <wps:wsp>
                          <wps:cNvSpPr/>
                          <wps:cNvPr id="3" name="Shape 3"/>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rgbClr val="4472C4"/>
                            </a:solidFill>
                            <a:ln>
                              <a:noFill/>
                            </a:ln>
                          </wps:spPr>
                          <wps:bodyPr anchorCtr="0" anchor="ctr" bIns="91425" lIns="91425" spcFirstLastPara="1" rIns="91425" wrap="square" tIns="91425">
                            <a:noAutofit/>
                          </wps:bodyPr>
                        </wps:wsp>
                        <wps:wsp>
                          <wps:cNvSpPr/>
                          <wps:cNvPr id="5" name="Shape 5"/>
                          <wps:spPr>
                            <a:xfrm>
                              <a:off x="0" y="0"/>
                              <a:ext cx="7315200" cy="1216152"/>
                            </a:xfrm>
                            <a:prstGeom prst="rect">
                              <a:avLst/>
                            </a:prstGeom>
                            <a:blipFill rotWithShape="1">
                              <a:blip r:embed="rId7">
                                <a:alphaModFix/>
                              </a:blip>
                              <a:stretch>
                                <a:fillRect b="0" l="0" r="-7573"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align>right</wp:align>
                </wp:positionH>
                <wp:positionV relativeFrom="page">
                  <wp:align>top</wp:align>
                </wp:positionV>
                <wp:extent cx="7768742" cy="1215391"/>
                <wp:effectExtent b="0" l="0" r="0" t="0"/>
                <wp:wrapNone/>
                <wp:docPr id="150" name="image12.png"/>
                <a:graphic>
                  <a:graphicData uri="http://schemas.openxmlformats.org/drawingml/2006/picture">
                    <pic:pic>
                      <pic:nvPicPr>
                        <pic:cNvPr id="0" name="image12.png"/>
                        <pic:cNvPicPr preferRelativeResize="0"/>
                      </pic:nvPicPr>
                      <pic:blipFill>
                        <a:blip r:embed="rId8"/>
                        <a:srcRect/>
                        <a:stretch>
                          <a:fillRect/>
                        </a:stretch>
                      </pic:blipFill>
                      <pic:spPr>
                        <a:xfrm>
                          <a:off x="0" y="0"/>
                          <a:ext cx="7768742" cy="1215391"/>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keepNext w:val="1"/>
        <w:keepLines w:val="1"/>
        <w:spacing w:after="0" w:before="240" w:lineRule="auto"/>
        <w:rPr>
          <w:rFonts w:ascii="Calibri" w:cs="Calibri" w:eastAsia="Calibri" w:hAnsi="Calibri"/>
          <w:color w:val="2f5496"/>
          <w:sz w:val="72"/>
          <w:szCs w:val="72"/>
        </w:rPr>
      </w:pPr>
      <w:r w:rsidDel="00000000" w:rsidR="00000000" w:rsidRPr="00000000">
        <w:rPr>
          <w:rtl w:val="0"/>
        </w:rPr>
      </w:r>
    </w:p>
    <w:p w:rsidR="00000000" w:rsidDel="00000000" w:rsidP="00000000" w:rsidRDefault="00000000" w:rsidRPr="00000000" w14:paraId="00000003">
      <w:pPr>
        <w:keepNext w:val="1"/>
        <w:keepLines w:val="1"/>
        <w:spacing w:after="0" w:before="240" w:lineRule="auto"/>
        <w:rPr>
          <w:rFonts w:ascii="Calibri" w:cs="Calibri" w:eastAsia="Calibri" w:hAnsi="Calibri"/>
          <w:color w:val="2f5496"/>
          <w:sz w:val="72"/>
          <w:szCs w:val="72"/>
        </w:rPr>
      </w:pPr>
      <w:r w:rsidDel="00000000" w:rsidR="00000000" w:rsidRPr="00000000">
        <w:rPr>
          <w:rtl w:val="0"/>
        </w:rPr>
      </w:r>
    </w:p>
    <w:p w:rsidR="00000000" w:rsidDel="00000000" w:rsidP="00000000" w:rsidRDefault="00000000" w:rsidRPr="00000000" w14:paraId="00000004">
      <w:pPr>
        <w:keepNext w:val="1"/>
        <w:keepLines w:val="1"/>
        <w:spacing w:after="0" w:before="240" w:lineRule="auto"/>
        <w:rPr>
          <w:rFonts w:ascii="Calibri" w:cs="Calibri" w:eastAsia="Calibri" w:hAnsi="Calibri"/>
          <w:color w:val="2f5496"/>
          <w:sz w:val="72"/>
          <w:szCs w:val="72"/>
        </w:rPr>
      </w:pPr>
      <w:r w:rsidDel="00000000" w:rsidR="00000000" w:rsidRPr="00000000">
        <w:rPr>
          <w:rtl w:val="0"/>
        </w:rPr>
      </w:r>
    </w:p>
    <w:p w:rsidR="00000000" w:rsidDel="00000000" w:rsidP="00000000" w:rsidRDefault="00000000" w:rsidRPr="00000000" w14:paraId="00000005">
      <w:pPr>
        <w:keepNext w:val="1"/>
        <w:keepLines w:val="1"/>
        <w:spacing w:after="0" w:before="240" w:lineRule="auto"/>
        <w:rPr>
          <w:sz w:val="48"/>
          <w:szCs w:val="48"/>
        </w:rPr>
      </w:pPr>
      <w:bookmarkStart w:colFirst="0" w:colLast="0" w:name="_heading=h.30j0zll" w:id="1"/>
      <w:bookmarkEnd w:id="1"/>
      <w:r w:rsidDel="00000000" w:rsidR="00000000" w:rsidRPr="00000000">
        <w:rPr>
          <w:rFonts w:ascii="Calibri" w:cs="Calibri" w:eastAsia="Calibri" w:hAnsi="Calibri"/>
          <w:color w:val="2f5496"/>
          <w:sz w:val="72"/>
          <w:szCs w:val="72"/>
          <w:rtl w:val="0"/>
        </w:rPr>
        <w:t xml:space="preserve">Hisse Fiyatı-Google Trend Analizi</w:t>
      </w:r>
      <w:r w:rsidDel="00000000" w:rsidR="00000000" w:rsidRPr="00000000">
        <w:rPr>
          <w:rtl w:val="0"/>
        </w:rPr>
      </w:r>
    </w:p>
    <w:p w:rsidR="00000000" w:rsidDel="00000000" w:rsidP="00000000" w:rsidRDefault="00000000" w:rsidRPr="00000000" w14:paraId="00000006">
      <w:pPr>
        <w:keepNext w:val="1"/>
        <w:keepLines w:val="1"/>
        <w:spacing w:after="0" w:before="240" w:lineRule="auto"/>
        <w:rPr>
          <w:rFonts w:ascii="Calibri" w:cs="Calibri" w:eastAsia="Calibri" w:hAnsi="Calibri"/>
          <w:color w:val="2f5496"/>
          <w:sz w:val="72"/>
          <w:szCs w:val="72"/>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right"/>
        <w:rPr>
          <w:sz w:val="36"/>
          <w:szCs w:val="36"/>
        </w:rPr>
      </w:pPr>
      <w:r w:rsidDel="00000000" w:rsidR="00000000" w:rsidRPr="00000000">
        <w:rPr>
          <w:sz w:val="36"/>
          <w:szCs w:val="36"/>
          <w:rtl w:val="0"/>
        </w:rPr>
        <w:t xml:space="preserve">Deniz Kenan KILIÇ</w:t>
      </w:r>
    </w:p>
    <w:p w:rsidR="00000000" w:rsidDel="00000000" w:rsidP="00000000" w:rsidRDefault="00000000" w:rsidRPr="00000000" w14:paraId="00000010">
      <w:pPr>
        <w:jc w:val="right"/>
        <w:rPr/>
      </w:pPr>
      <w:r w:rsidDel="00000000" w:rsidR="00000000" w:rsidRPr="00000000">
        <w:rPr>
          <w:rtl w:val="0"/>
        </w:rPr>
        <w:t xml:space="preserve">10.02.2017</w:t>
      </w:r>
    </w:p>
    <w:p w:rsidR="00000000" w:rsidDel="00000000" w:rsidP="00000000" w:rsidRDefault="00000000" w:rsidRPr="00000000" w14:paraId="00000011">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432" w:right="0" w:hanging="432"/>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Hisse Fiyatı-Google Trend Analizi</w:t>
              <w:tab/>
              <w:t xml:space="preserve">1</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GİRİŞ</w:t>
              <w:tab/>
              <w:t xml:space="preserve">3</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ANADOLU EFES</w:t>
              <w:tab/>
              <w:t xml:space="preserve">3</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ASELSAN</w:t>
              <w:tab/>
              <w:t xml:space="preserve">8</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SONUÇ</w:t>
              <w:tab/>
              <w:t xml:space="preserve">11</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 1 Anadolu Efes Hisse Fiyatları</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pStyle w:val="Heading1"/>
            <w:ind w:left="432" w:hanging="432"/>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1 Anadolu Efes Hisse Fiyatları</w:t>
              <w:tab/>
              <w:t xml:space="preserve">4</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2 Anadolu Efes'e ait Google Trend Puanları</w:t>
              <w:tab/>
              <w:t xml:space="preserve">4</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3 Anadolu Efes Hisse Fiyatının ilk Farkı, ilk Farkın Logaritması ve ilk Farkın Karekökü</w:t>
              <w:tab/>
              <w:t xml:space="preserve">5</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4 Anadolu Efes'e ait ACF ve PACF</w:t>
              <w:tab/>
              <w:t xml:space="preserve">5</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5 Hisse Fiyatları Birinci Farkı ve Trend Puanları Arası Lineer Regresyon</w:t>
              <w:tab/>
              <w:t xml:space="preserve">6</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6 Anadolu Efes'in Hisse Kapanış Fiyatlarının Mevsimsel, Eğilimsel ve Kalan Kısımları</w:t>
              <w:tab/>
              <w:t xml:space="preserve">7</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7 Anadolu Efes Trend Puanları Zaman Serisinin Mevsimsel, Eğilimsel ve Kalan Kısımları</w:t>
              <w:tab/>
              <w:t xml:space="preserve">7</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8 Aselsan Google Trend Puanları</w:t>
              <w:tab/>
              <w:t xml:space="preserve">8</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9 Aselsan Haftalık Hisse Senedi Kapanış Fiyatları</w:t>
              <w:tab/>
              <w:t xml:space="preserve">9</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10 Aselsan Hisse Fiyatının ilk Farkı, ilk Farkın Logaritması ve ilk Farkın Karekökü</w:t>
              <w:tab/>
              <w:t xml:space="preserve">9</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11 Aselsan'ın Hisse Kapanış Fiyatlarının Mevsimsel, Eğilimsel ve Kalan Kısımları</w:t>
              <w:tab/>
              <w:t xml:space="preserve">10</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12 Aselsan Trend Puanları Zaman Serisinin Mevsimsel, Eğilimsel ve Kalan Kısımları</w:t>
              <w:tab/>
              <w:t xml:space="preserve">11</w:t>
            </w:r>
          </w:hyperlink>
          <w:r w:rsidDel="00000000" w:rsidR="00000000" w:rsidRPr="00000000">
            <w:rPr>
              <w:rtl w:val="0"/>
            </w:rPr>
          </w:r>
        </w:p>
        <w:p w:rsidR="00000000" w:rsidDel="00000000" w:rsidP="00000000" w:rsidRDefault="00000000" w:rsidRPr="00000000" w14:paraId="00000029">
          <w:pPr>
            <w:pStyle w:val="Heading1"/>
            <w:ind w:left="432" w:hanging="43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numPr>
          <w:ilvl w:val="0"/>
          <w:numId w:val="1"/>
        </w:numPr>
        <w:ind w:left="432" w:hanging="432"/>
        <w:rPr/>
      </w:pPr>
      <w:bookmarkStart w:colFirst="0" w:colLast="0" w:name="_heading=h.1fob9te" w:id="2"/>
      <w:bookmarkEnd w:id="2"/>
      <w:r w:rsidDel="00000000" w:rsidR="00000000" w:rsidRPr="00000000">
        <w:rPr>
          <w:rtl w:val="0"/>
        </w:rPr>
        <w:t xml:space="preserve">GİRİŞ</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bookmarkStart w:colFirst="0" w:colLast="0" w:name="_heading=h.3znysh7" w:id="3"/>
      <w:bookmarkEnd w:id="3"/>
      <w:r w:rsidDel="00000000" w:rsidR="00000000" w:rsidRPr="00000000">
        <w:rPr>
          <w:rtl w:val="0"/>
        </w:rPr>
        <w:t xml:space="preserve">BIST100’den seçilen iki firmanın hisse fiyatlarının, zaman içerisinde Google Trend’deki popülerlikleri ile alakalı olup olmadığı analiz edilmeye çalışılmıştır. Rapor, ASELSAN ve ANADOLU EFES firmalarının analizini içermektedir. Firmalara ait hisse fiyatları Yahoo Finance sitesinden çekilmiştir. (</w:t>
      </w:r>
      <w:hyperlink r:id="rId9">
        <w:r w:rsidDel="00000000" w:rsidR="00000000" w:rsidRPr="00000000">
          <w:rPr>
            <w:color w:val="0563c1"/>
            <w:u w:val="single"/>
            <w:rtl w:val="0"/>
          </w:rPr>
          <w:t xml:space="preserve">https://finance.yahoo.com</w:t>
        </w:r>
      </w:hyperlink>
      <w:r w:rsidDel="00000000" w:rsidR="00000000" w:rsidRPr="00000000">
        <w:rPr>
          <w:rtl w:val="0"/>
        </w:rPr>
        <w:t xml:space="preserve">) Google Trend verileri ise sırasıyla “ASELSAN” ve “ANADOLU EFES” kelimelerine göre çekilmiştir. (</w:t>
      </w:r>
      <w:hyperlink r:id="rId10">
        <w:r w:rsidDel="00000000" w:rsidR="00000000" w:rsidRPr="00000000">
          <w:rPr>
            <w:color w:val="0563c1"/>
            <w:u w:val="single"/>
            <w:rtl w:val="0"/>
          </w:rPr>
          <w:t xml:space="preserve">https://www.google.com/trends/</w:t>
        </w:r>
      </w:hyperlink>
      <w:r w:rsidDel="00000000" w:rsidR="00000000" w:rsidRPr="00000000">
        <w:rPr>
          <w:rtl w:val="0"/>
        </w:rPr>
        <w:t xml:space="preserve">) Direk hisse isimlerine göre aratmalarda Google Trend verileri yetersiz olabilmektedir. Analizlerde R programı kullanılmıştır.</w:t>
      </w:r>
    </w:p>
    <w:p w:rsidR="00000000" w:rsidDel="00000000" w:rsidP="00000000" w:rsidRDefault="00000000" w:rsidRPr="00000000" w14:paraId="00000037">
      <w:pPr>
        <w:pStyle w:val="Heading1"/>
        <w:numPr>
          <w:ilvl w:val="0"/>
          <w:numId w:val="1"/>
        </w:numPr>
        <w:ind w:left="432" w:hanging="432"/>
        <w:rPr/>
      </w:pPr>
      <w:bookmarkStart w:colFirst="0" w:colLast="0" w:name="_heading=h.2et92p0" w:id="4"/>
      <w:bookmarkEnd w:id="4"/>
      <w:r w:rsidDel="00000000" w:rsidR="00000000" w:rsidRPr="00000000">
        <w:rPr>
          <w:rtl w:val="0"/>
        </w:rPr>
        <w:t xml:space="preserve">ANADOLU EFES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ANADOLU EFES firmasına ait hisse fiyatları “5 Eylül 2011” ve “29 Ağustos 2016” tarihleri arasında haftalık olarak çekilmiştir. Toplamda 7 sütun ve 261 satıra sahip verinin yapısı Tablo 1’deki gibidir. Analizlerde kapanış fiyatları kullanılmıştır.</w:t>
      </w:r>
    </w:p>
    <w:p w:rsidR="00000000" w:rsidDel="00000000" w:rsidP="00000000" w:rsidRDefault="00000000" w:rsidRPr="00000000" w14:paraId="0000003A">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tyjcwt" w:id="5"/>
      <w:bookmarkEnd w:id="5"/>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Table 1 Anadolu Efes Hisse Fiyatları</w:t>
      </w:r>
    </w:p>
    <w:tbl>
      <w:tblPr>
        <w:tblStyle w:val="Table1"/>
        <w:tblW w:w="7215.000000000001" w:type="dxa"/>
        <w:jc w:val="left"/>
        <w:tblInd w:w="0.0" w:type="dxa"/>
        <w:tblLayout w:type="fixed"/>
        <w:tblLook w:val="0400"/>
      </w:tblPr>
      <w:tblGrid>
        <w:gridCol w:w="751"/>
        <w:gridCol w:w="487"/>
        <w:gridCol w:w="910"/>
        <w:gridCol w:w="758"/>
        <w:gridCol w:w="758"/>
        <w:gridCol w:w="758"/>
        <w:gridCol w:w="889"/>
        <w:gridCol w:w="167"/>
        <w:gridCol w:w="782"/>
        <w:gridCol w:w="955"/>
        <w:tblGridChange w:id="0">
          <w:tblGrid>
            <w:gridCol w:w="751"/>
            <w:gridCol w:w="487"/>
            <w:gridCol w:w="910"/>
            <w:gridCol w:w="758"/>
            <w:gridCol w:w="758"/>
            <w:gridCol w:w="758"/>
            <w:gridCol w:w="889"/>
            <w:gridCol w:w="167"/>
            <w:gridCol w:w="782"/>
            <w:gridCol w:w="955"/>
          </w:tblGrid>
        </w:tblGridChange>
      </w:tblGrid>
      <w:tr>
        <w:tc>
          <w:tcPr>
            <w:gridSpan w:val="2"/>
            <w:tcBorders>
              <w:bottom w:color="cfd4d8" w:space="0" w:sz="6" w:val="single"/>
              <w:right w:color="cfd4d8" w:space="0" w:sz="6" w:val="single"/>
            </w:tcBorders>
            <w:shd w:fill="f7f8f9" w:val="clear"/>
            <w:tcMar>
              <w:top w:w="75.0" w:type="dxa"/>
              <w:left w:w="75.0" w:type="dxa"/>
              <w:bottom w:w="75.0" w:type="dxa"/>
              <w:right w:w="75.0" w:type="dxa"/>
            </w:tcMar>
            <w:vAlign w:val="center"/>
          </w:tcPr>
          <w:p w:rsidR="00000000" w:rsidDel="00000000" w:rsidP="00000000" w:rsidRDefault="00000000" w:rsidRPr="00000000" w14:paraId="0000003B">
            <w:pPr>
              <w:rPr>
                <w:b w:val="1"/>
              </w:rPr>
            </w:pPr>
            <w:r w:rsidDel="00000000" w:rsidR="00000000" w:rsidRPr="00000000">
              <w:rPr>
                <w:b w:val="1"/>
                <w:rtl w:val="0"/>
              </w:rPr>
              <w:t xml:space="preserve">Date</w:t>
            </w:r>
          </w:p>
        </w:tc>
        <w:tc>
          <w:tcPr>
            <w:tcBorders>
              <w:bottom w:color="cfd4d8" w:space="0" w:sz="6" w:val="single"/>
              <w:right w:color="cfd4d8" w:space="0" w:sz="6" w:val="single"/>
            </w:tcBorders>
            <w:shd w:fill="f7f8f9" w:val="clear"/>
            <w:tcMar>
              <w:top w:w="75.0" w:type="dxa"/>
              <w:left w:w="75.0" w:type="dxa"/>
              <w:bottom w:w="75.0" w:type="dxa"/>
              <w:right w:w="75.0" w:type="dxa"/>
            </w:tcMar>
            <w:vAlign w:val="center"/>
          </w:tcPr>
          <w:p w:rsidR="00000000" w:rsidDel="00000000" w:rsidP="00000000" w:rsidRDefault="00000000" w:rsidRPr="00000000" w14:paraId="0000003D">
            <w:pPr>
              <w:rPr>
                <w:b w:val="1"/>
              </w:rPr>
            </w:pPr>
            <w:r w:rsidDel="00000000" w:rsidR="00000000" w:rsidRPr="00000000">
              <w:rPr>
                <w:b w:val="1"/>
                <w:rtl w:val="0"/>
              </w:rPr>
              <w:t xml:space="preserve">Open</w:t>
            </w:r>
          </w:p>
        </w:tc>
        <w:tc>
          <w:tcPr>
            <w:tcBorders>
              <w:bottom w:color="cfd4d8" w:space="0" w:sz="6" w:val="single"/>
              <w:right w:color="cfd4d8" w:space="0" w:sz="6" w:val="single"/>
            </w:tcBorders>
            <w:shd w:fill="f7f8f9" w:val="clear"/>
            <w:tcMar>
              <w:top w:w="75.0" w:type="dxa"/>
              <w:left w:w="75.0" w:type="dxa"/>
              <w:bottom w:w="75.0" w:type="dxa"/>
              <w:right w:w="75.0" w:type="dxa"/>
            </w:tcMar>
            <w:vAlign w:val="center"/>
          </w:tcPr>
          <w:p w:rsidR="00000000" w:rsidDel="00000000" w:rsidP="00000000" w:rsidRDefault="00000000" w:rsidRPr="00000000" w14:paraId="0000003E">
            <w:pPr>
              <w:rPr>
                <w:b w:val="1"/>
              </w:rPr>
            </w:pPr>
            <w:r w:rsidDel="00000000" w:rsidR="00000000" w:rsidRPr="00000000">
              <w:rPr>
                <w:b w:val="1"/>
                <w:rtl w:val="0"/>
              </w:rPr>
              <w:t xml:space="preserve">High</w:t>
            </w:r>
          </w:p>
        </w:tc>
        <w:tc>
          <w:tcPr>
            <w:tcBorders>
              <w:bottom w:color="cfd4d8" w:space="0" w:sz="6" w:val="single"/>
              <w:right w:color="cfd4d8" w:space="0" w:sz="6" w:val="single"/>
            </w:tcBorders>
            <w:shd w:fill="f7f8f9" w:val="clear"/>
            <w:tcMar>
              <w:top w:w="75.0" w:type="dxa"/>
              <w:left w:w="75.0" w:type="dxa"/>
              <w:bottom w:w="75.0" w:type="dxa"/>
              <w:right w:w="75.0" w:type="dxa"/>
            </w:tcMar>
            <w:vAlign w:val="center"/>
          </w:tcPr>
          <w:p w:rsidR="00000000" w:rsidDel="00000000" w:rsidP="00000000" w:rsidRDefault="00000000" w:rsidRPr="00000000" w14:paraId="0000003F">
            <w:pPr>
              <w:rPr>
                <w:b w:val="1"/>
              </w:rPr>
            </w:pPr>
            <w:r w:rsidDel="00000000" w:rsidR="00000000" w:rsidRPr="00000000">
              <w:rPr>
                <w:b w:val="1"/>
                <w:rtl w:val="0"/>
              </w:rPr>
              <w:t xml:space="preserve">Low</w:t>
            </w:r>
          </w:p>
        </w:tc>
        <w:tc>
          <w:tcPr>
            <w:tcBorders>
              <w:bottom w:color="cfd4d8" w:space="0" w:sz="6" w:val="single"/>
              <w:right w:color="cfd4d8" w:space="0" w:sz="6" w:val="single"/>
            </w:tcBorders>
            <w:shd w:fill="f7f8f9" w:val="clear"/>
            <w:tcMar>
              <w:top w:w="75.0" w:type="dxa"/>
              <w:left w:w="75.0" w:type="dxa"/>
              <w:bottom w:w="75.0" w:type="dxa"/>
              <w:right w:w="75.0" w:type="dxa"/>
            </w:tcMar>
            <w:vAlign w:val="center"/>
          </w:tcPr>
          <w:p w:rsidR="00000000" w:rsidDel="00000000" w:rsidP="00000000" w:rsidRDefault="00000000" w:rsidRPr="00000000" w14:paraId="00000040">
            <w:pPr>
              <w:rPr>
                <w:b w:val="1"/>
              </w:rPr>
            </w:pPr>
            <w:r w:rsidDel="00000000" w:rsidR="00000000" w:rsidRPr="00000000">
              <w:rPr>
                <w:b w:val="1"/>
                <w:rtl w:val="0"/>
              </w:rPr>
              <w:t xml:space="preserve">Close</w:t>
            </w:r>
          </w:p>
        </w:tc>
        <w:tc>
          <w:tcPr>
            <w:gridSpan w:val="2"/>
            <w:tcBorders>
              <w:bottom w:color="cfd4d8" w:space="0" w:sz="6" w:val="single"/>
              <w:right w:color="cfd4d8" w:space="0" w:sz="6" w:val="single"/>
            </w:tcBorders>
            <w:shd w:fill="f7f8f9" w:val="clear"/>
            <w:tcMar>
              <w:top w:w="75.0" w:type="dxa"/>
              <w:left w:w="75.0" w:type="dxa"/>
              <w:bottom w:w="75.0" w:type="dxa"/>
              <w:right w:w="75.0" w:type="dxa"/>
            </w:tcMar>
            <w:vAlign w:val="center"/>
          </w:tcPr>
          <w:p w:rsidR="00000000" w:rsidDel="00000000" w:rsidP="00000000" w:rsidRDefault="00000000" w:rsidRPr="00000000" w14:paraId="00000041">
            <w:pPr>
              <w:rPr>
                <w:b w:val="1"/>
              </w:rPr>
            </w:pPr>
            <w:r w:rsidDel="00000000" w:rsidR="00000000" w:rsidRPr="00000000">
              <w:rPr>
                <w:b w:val="1"/>
                <w:rtl w:val="0"/>
              </w:rPr>
              <w:t xml:space="preserve">Volume</w:t>
            </w:r>
          </w:p>
        </w:tc>
        <w:tc>
          <w:tcPr>
            <w:gridSpan w:val="2"/>
            <w:tcBorders>
              <w:bottom w:color="cfd4d8" w:space="0" w:sz="6" w:val="single"/>
              <w:right w:color="cfd4d8" w:space="0" w:sz="6" w:val="single"/>
            </w:tcBorders>
            <w:shd w:fill="f7f8f9" w:val="clear"/>
            <w:tcMar>
              <w:top w:w="75.0" w:type="dxa"/>
              <w:left w:w="75.0" w:type="dxa"/>
              <w:bottom w:w="75.0" w:type="dxa"/>
              <w:right w:w="75.0" w:type="dxa"/>
            </w:tcMar>
            <w:vAlign w:val="center"/>
          </w:tcPr>
          <w:p w:rsidR="00000000" w:rsidDel="00000000" w:rsidP="00000000" w:rsidRDefault="00000000" w:rsidRPr="00000000" w14:paraId="00000043">
            <w:pPr>
              <w:rPr>
                <w:b w:val="1"/>
              </w:rPr>
            </w:pPr>
            <w:r w:rsidDel="00000000" w:rsidR="00000000" w:rsidRPr="00000000">
              <w:rPr>
                <w:b w:val="1"/>
                <w:rtl w:val="0"/>
              </w:rPr>
              <w:t xml:space="preserve">Adj.Close</w:t>
            </w:r>
          </w:p>
        </w:tc>
      </w:tr>
      <w:tr>
        <w:tc>
          <w:tcPr>
            <w:tcBorders>
              <w:top w:color="000000" w:space="0" w:sz="0" w:val="nil"/>
              <w:bottom w:color="cfd4d8" w:space="0" w:sz="4" w:val="single"/>
              <w:right w:color="cfd4d8" w:space="0" w:sz="6" w:val="single"/>
            </w:tcBorders>
            <w:shd w:fill="f7f8f9" w:val="clear"/>
            <w:tcMar>
              <w:top w:w="0.0" w:type="dxa"/>
              <w:left w:w="75.0" w:type="dxa"/>
              <w:bottom w:w="0.0" w:type="dxa"/>
              <w:right w:w="75.0" w:type="dxa"/>
            </w:tcMar>
            <w:vAlign w:val="center"/>
          </w:tcPr>
          <w:p w:rsidR="00000000" w:rsidDel="00000000" w:rsidP="00000000" w:rsidRDefault="00000000" w:rsidRPr="00000000" w14:paraId="00000045">
            <w:pPr>
              <w:rPr/>
            </w:pPr>
            <w:r w:rsidDel="00000000" w:rsidR="00000000" w:rsidRPr="00000000">
              <w:rPr>
                <w:rtl w:val="0"/>
              </w:rPr>
            </w:r>
          </w:p>
        </w:tc>
        <w:tc>
          <w:tcPr>
            <w:gridSpan w:val="2"/>
            <w:tcBorders>
              <w:top w:color="000000" w:space="0" w:sz="0" w:val="nil"/>
              <w:bottom w:color="cfd4d8" w:space="0" w:sz="4" w:val="single"/>
              <w:right w:color="cfd4d8" w:space="0" w:sz="6" w:val="single"/>
            </w:tcBorders>
            <w:shd w:fill="f7f8f9" w:val="clear"/>
            <w:tcMar>
              <w:top w:w="0.0" w:type="dxa"/>
              <w:left w:w="75.0" w:type="dxa"/>
              <w:bottom w:w="0.0" w:type="dxa"/>
              <w:right w:w="75.0" w:type="dxa"/>
            </w:tcMar>
            <w:vAlign w:val="center"/>
          </w:tcPr>
          <w:p w:rsidR="00000000" w:rsidDel="00000000" w:rsidP="00000000" w:rsidRDefault="00000000" w:rsidRPr="00000000" w14:paraId="00000046">
            <w:pPr>
              <w:rPr/>
            </w:pPr>
            <w:r w:rsidDel="00000000" w:rsidR="00000000" w:rsidRPr="00000000">
              <w:rPr>
                <w:rtl w:val="0"/>
              </w:rPr>
            </w:r>
          </w:p>
        </w:tc>
        <w:tc>
          <w:tcPr>
            <w:tcBorders>
              <w:top w:color="000000" w:space="0" w:sz="0" w:val="nil"/>
              <w:bottom w:color="cfd4d8" w:space="0" w:sz="4" w:val="single"/>
              <w:right w:color="cfd4d8" w:space="0" w:sz="6" w:val="single"/>
            </w:tcBorders>
            <w:shd w:fill="f7f8f9" w:val="clear"/>
            <w:tcMar>
              <w:top w:w="0.0" w:type="dxa"/>
              <w:left w:w="75.0" w:type="dxa"/>
              <w:bottom w:w="0.0" w:type="dxa"/>
              <w:right w:w="75.0" w:type="dxa"/>
            </w:tcMar>
            <w:vAlign w:val="center"/>
          </w:tcPr>
          <w:p w:rsidR="00000000" w:rsidDel="00000000" w:rsidP="00000000" w:rsidRDefault="00000000" w:rsidRPr="00000000" w14:paraId="00000048">
            <w:pPr>
              <w:rPr/>
            </w:pPr>
            <w:r w:rsidDel="00000000" w:rsidR="00000000" w:rsidRPr="00000000">
              <w:rPr>
                <w:rtl w:val="0"/>
              </w:rPr>
            </w:r>
          </w:p>
        </w:tc>
        <w:tc>
          <w:tcPr>
            <w:tcBorders>
              <w:top w:color="000000" w:space="0" w:sz="0" w:val="nil"/>
              <w:bottom w:color="cfd4d8" w:space="0" w:sz="4" w:val="single"/>
              <w:right w:color="cfd4d8" w:space="0" w:sz="6" w:val="single"/>
            </w:tcBorders>
            <w:shd w:fill="f7f8f9" w:val="clear"/>
            <w:tcMar>
              <w:top w:w="0.0" w:type="dxa"/>
              <w:left w:w="75.0" w:type="dxa"/>
              <w:bottom w:w="0.0" w:type="dxa"/>
              <w:right w:w="75.0" w:type="dxa"/>
            </w:tcMar>
            <w:vAlign w:val="center"/>
          </w:tcPr>
          <w:p w:rsidR="00000000" w:rsidDel="00000000" w:rsidP="00000000" w:rsidRDefault="00000000" w:rsidRPr="00000000" w14:paraId="00000049">
            <w:pPr>
              <w:rPr/>
            </w:pPr>
            <w:r w:rsidDel="00000000" w:rsidR="00000000" w:rsidRPr="00000000">
              <w:rPr>
                <w:rtl w:val="0"/>
              </w:rPr>
            </w:r>
          </w:p>
        </w:tc>
        <w:tc>
          <w:tcPr>
            <w:tcBorders>
              <w:top w:color="000000" w:space="0" w:sz="0" w:val="nil"/>
              <w:bottom w:color="cfd4d8" w:space="0" w:sz="4" w:val="single"/>
              <w:right w:color="cfd4d8" w:space="0" w:sz="6" w:val="single"/>
            </w:tcBorders>
            <w:shd w:fill="f7f8f9" w:val="clear"/>
            <w:tcMar>
              <w:top w:w="0.0" w:type="dxa"/>
              <w:left w:w="75.0" w:type="dxa"/>
              <w:bottom w:w="0.0" w:type="dxa"/>
              <w:right w:w="75.0" w:type="dxa"/>
            </w:tcMar>
            <w:vAlign w:val="center"/>
          </w:tcPr>
          <w:p w:rsidR="00000000" w:rsidDel="00000000" w:rsidP="00000000" w:rsidRDefault="00000000" w:rsidRPr="00000000" w14:paraId="0000004A">
            <w:pPr>
              <w:rPr/>
            </w:pPr>
            <w:r w:rsidDel="00000000" w:rsidR="00000000" w:rsidRPr="00000000">
              <w:rPr>
                <w:rtl w:val="0"/>
              </w:rPr>
            </w:r>
          </w:p>
        </w:tc>
        <w:tc>
          <w:tcPr>
            <w:tcBorders>
              <w:top w:color="000000" w:space="0" w:sz="0" w:val="nil"/>
              <w:bottom w:color="cfd4d8" w:space="0" w:sz="4" w:val="single"/>
              <w:right w:color="cfd4d8" w:space="0" w:sz="6" w:val="single"/>
            </w:tcBorders>
            <w:shd w:fill="f7f8f9" w:val="clear"/>
            <w:tcMar>
              <w:top w:w="0.0" w:type="dxa"/>
              <w:left w:w="75.0" w:type="dxa"/>
              <w:bottom w:w="0.0" w:type="dxa"/>
              <w:right w:w="75.0" w:type="dxa"/>
            </w:tcMar>
            <w:vAlign w:val="center"/>
          </w:tcPr>
          <w:p w:rsidR="00000000" w:rsidDel="00000000" w:rsidP="00000000" w:rsidRDefault="00000000" w:rsidRPr="00000000" w14:paraId="0000004B">
            <w:pPr>
              <w:rPr/>
            </w:pPr>
            <w:r w:rsidDel="00000000" w:rsidR="00000000" w:rsidRPr="00000000">
              <w:rPr>
                <w:rtl w:val="0"/>
              </w:rPr>
            </w:r>
          </w:p>
        </w:tc>
        <w:tc>
          <w:tcPr>
            <w:gridSpan w:val="2"/>
            <w:tcBorders>
              <w:top w:color="000000" w:space="0" w:sz="0" w:val="nil"/>
              <w:bottom w:color="cfd4d8" w:space="0" w:sz="4" w:val="single"/>
              <w:right w:color="cfd4d8" w:space="0" w:sz="6" w:val="single"/>
            </w:tcBorders>
            <w:shd w:fill="f7f8f9" w:val="clear"/>
            <w:tcMar>
              <w:top w:w="0.0" w:type="dxa"/>
              <w:left w:w="75.0" w:type="dxa"/>
              <w:bottom w:w="0.0" w:type="dxa"/>
              <w:right w:w="75.0" w:type="dxa"/>
            </w:tcMar>
            <w:vAlign w:val="center"/>
          </w:tcPr>
          <w:p w:rsidR="00000000" w:rsidDel="00000000" w:rsidP="00000000" w:rsidRDefault="00000000" w:rsidRPr="00000000" w14:paraId="0000004C">
            <w:pPr>
              <w:rPr/>
            </w:pPr>
            <w:r w:rsidDel="00000000" w:rsidR="00000000" w:rsidRPr="00000000">
              <w:rPr>
                <w:rtl w:val="0"/>
              </w:rPr>
            </w:r>
          </w:p>
        </w:tc>
        <w:tc>
          <w:tcPr>
            <w:tcBorders>
              <w:top w:color="000000" w:space="0" w:sz="0" w:val="nil"/>
              <w:bottom w:color="cfd4d8" w:space="0" w:sz="4" w:val="single"/>
              <w:right w:color="cfd4d8" w:space="0" w:sz="6" w:val="single"/>
            </w:tcBorders>
            <w:shd w:fill="f7f8f9" w:val="clear"/>
            <w:tcMar>
              <w:top w:w="0.0" w:type="dxa"/>
              <w:left w:w="75.0" w:type="dxa"/>
              <w:bottom w:w="0.0" w:type="dxa"/>
              <w:right w:w="75.0" w:type="dxa"/>
            </w:tcMar>
            <w:vAlign w:val="center"/>
          </w:tcPr>
          <w:p w:rsidR="00000000" w:rsidDel="00000000" w:rsidP="00000000" w:rsidRDefault="00000000" w:rsidRPr="00000000" w14:paraId="0000004E">
            <w:pPr>
              <w:rPr/>
            </w:pPr>
            <w:r w:rsidDel="00000000" w:rsidR="00000000" w:rsidRPr="00000000">
              <w:rPr>
                <w:rtl w:val="0"/>
              </w:rPr>
            </w:r>
          </w:p>
        </w:tc>
      </w:tr>
      <w:tr>
        <w:trPr>
          <w:trHeight w:val="345" w:hRule="atLeast"/>
        </w:trPr>
        <w:tc>
          <w:tcPr>
            <w:tcBorders>
              <w:bottom w:color="cfd4d8" w:space="0" w:sz="6" w:val="single"/>
              <w:right w:color="cfd4d8" w:space="0" w:sz="6" w:val="single"/>
            </w:tcBorders>
            <w:shd w:fill="f7f8f9" w:val="clear"/>
            <w:tcMar>
              <w:top w:w="60.0" w:type="dxa"/>
              <w:left w:w="75.0" w:type="dxa"/>
              <w:bottom w:w="60.0" w:type="dxa"/>
              <w:right w:w="75.0" w:type="dxa"/>
            </w:tcMar>
            <w:vAlign w:val="center"/>
          </w:tcPr>
          <w:p w:rsidR="00000000" w:rsidDel="00000000" w:rsidP="00000000" w:rsidRDefault="00000000" w:rsidRPr="00000000" w14:paraId="0000004F">
            <w:pPr>
              <w:rPr>
                <w:b w:val="1"/>
              </w:rPr>
            </w:pPr>
            <w:r w:rsidDel="00000000" w:rsidR="00000000" w:rsidRPr="00000000">
              <w:rPr>
                <w:b w:val="1"/>
                <w:rtl w:val="0"/>
              </w:rPr>
              <w:t xml:space="preserve">1</w:t>
            </w:r>
          </w:p>
        </w:tc>
        <w:tc>
          <w:tcPr>
            <w:gridSpan w:val="2"/>
            <w:tcBorders>
              <w:bottom w:color="cfd4d8" w:space="0" w:sz="6" w:val="single"/>
              <w:right w:color="cfd4d8" w:space="0" w:sz="6" w:val="single"/>
            </w:tcBorders>
            <w:shd w:fill="ffffff" w:val="clear"/>
            <w:tcMar>
              <w:top w:w="60.0" w:type="dxa"/>
              <w:left w:w="75.0" w:type="dxa"/>
              <w:bottom w:w="60.0" w:type="dxa"/>
              <w:right w:w="75.0" w:type="dxa"/>
            </w:tcMar>
            <w:vAlign w:val="center"/>
          </w:tcPr>
          <w:p w:rsidR="00000000" w:rsidDel="00000000" w:rsidP="00000000" w:rsidRDefault="00000000" w:rsidRPr="00000000" w14:paraId="00000050">
            <w:pPr>
              <w:rPr/>
            </w:pPr>
            <w:r w:rsidDel="00000000" w:rsidR="00000000" w:rsidRPr="00000000">
              <w:rPr>
                <w:rtl w:val="0"/>
              </w:rPr>
              <w:t xml:space="preserve">9/5/2011</w:t>
            </w:r>
          </w:p>
        </w:tc>
        <w:tc>
          <w:tcPr>
            <w:tcBorders>
              <w:bottom w:color="cfd4d8" w:space="0" w:sz="6" w:val="single"/>
              <w:right w:color="cfd4d8" w:space="0" w:sz="6" w:val="single"/>
            </w:tcBorders>
            <w:shd w:fill="ffffff" w:val="clear"/>
            <w:tcMar>
              <w:top w:w="60.0" w:type="dxa"/>
              <w:left w:w="75.0" w:type="dxa"/>
              <w:bottom w:w="60.0" w:type="dxa"/>
              <w:right w:w="75.0" w:type="dxa"/>
            </w:tcMar>
            <w:vAlign w:val="center"/>
          </w:tcPr>
          <w:p w:rsidR="00000000" w:rsidDel="00000000" w:rsidP="00000000" w:rsidRDefault="00000000" w:rsidRPr="00000000" w14:paraId="00000052">
            <w:pPr>
              <w:rPr/>
            </w:pPr>
            <w:r w:rsidDel="00000000" w:rsidR="00000000" w:rsidRPr="00000000">
              <w:rPr>
                <w:rtl w:val="0"/>
              </w:rPr>
              <w:t xml:space="preserve">19.50</w:t>
            </w:r>
          </w:p>
        </w:tc>
        <w:tc>
          <w:tcPr>
            <w:tcBorders>
              <w:bottom w:color="cfd4d8" w:space="0" w:sz="6" w:val="single"/>
              <w:right w:color="cfd4d8" w:space="0" w:sz="6" w:val="single"/>
            </w:tcBorders>
            <w:shd w:fill="ffffff" w:val="clear"/>
            <w:tcMar>
              <w:top w:w="60.0" w:type="dxa"/>
              <w:left w:w="75.0" w:type="dxa"/>
              <w:bottom w:w="60.0" w:type="dxa"/>
              <w:right w:w="75.0" w:type="dxa"/>
            </w:tcMar>
            <w:vAlign w:val="center"/>
          </w:tcPr>
          <w:p w:rsidR="00000000" w:rsidDel="00000000" w:rsidP="00000000" w:rsidRDefault="00000000" w:rsidRPr="00000000" w14:paraId="00000053">
            <w:pPr>
              <w:rPr/>
            </w:pPr>
            <w:r w:rsidDel="00000000" w:rsidR="00000000" w:rsidRPr="00000000">
              <w:rPr>
                <w:rtl w:val="0"/>
              </w:rPr>
              <w:t xml:space="preserve">20.10</w:t>
            </w:r>
          </w:p>
        </w:tc>
        <w:tc>
          <w:tcPr>
            <w:tcBorders>
              <w:bottom w:color="cfd4d8" w:space="0" w:sz="6" w:val="single"/>
              <w:right w:color="cfd4d8" w:space="0" w:sz="6" w:val="single"/>
            </w:tcBorders>
            <w:shd w:fill="ffffff" w:val="clear"/>
            <w:tcMar>
              <w:top w:w="60.0" w:type="dxa"/>
              <w:left w:w="75.0" w:type="dxa"/>
              <w:bottom w:w="60.0" w:type="dxa"/>
              <w:right w:w="75.0" w:type="dxa"/>
            </w:tcMar>
            <w:vAlign w:val="center"/>
          </w:tcPr>
          <w:p w:rsidR="00000000" w:rsidDel="00000000" w:rsidP="00000000" w:rsidRDefault="00000000" w:rsidRPr="00000000" w14:paraId="00000054">
            <w:pPr>
              <w:rPr/>
            </w:pPr>
            <w:r w:rsidDel="00000000" w:rsidR="00000000" w:rsidRPr="00000000">
              <w:rPr>
                <w:rtl w:val="0"/>
              </w:rPr>
              <w:t xml:space="preserve">19.00</w:t>
            </w:r>
          </w:p>
        </w:tc>
        <w:tc>
          <w:tcPr>
            <w:tcBorders>
              <w:bottom w:color="cfd4d8" w:space="0" w:sz="6" w:val="single"/>
              <w:right w:color="cfd4d8" w:space="0" w:sz="6" w:val="single"/>
            </w:tcBorders>
            <w:shd w:fill="ffffff" w:val="clear"/>
            <w:tcMar>
              <w:top w:w="60.0" w:type="dxa"/>
              <w:left w:w="75.0" w:type="dxa"/>
              <w:bottom w:w="60.0" w:type="dxa"/>
              <w:right w:w="75.0" w:type="dxa"/>
            </w:tcMar>
            <w:vAlign w:val="center"/>
          </w:tcPr>
          <w:p w:rsidR="00000000" w:rsidDel="00000000" w:rsidP="00000000" w:rsidRDefault="00000000" w:rsidRPr="00000000" w14:paraId="00000055">
            <w:pPr>
              <w:rPr/>
            </w:pPr>
            <w:r w:rsidDel="00000000" w:rsidR="00000000" w:rsidRPr="00000000">
              <w:rPr>
                <w:rtl w:val="0"/>
              </w:rPr>
              <w:t xml:space="preserve">19.85</w:t>
            </w:r>
          </w:p>
        </w:tc>
        <w:tc>
          <w:tcPr>
            <w:gridSpan w:val="2"/>
            <w:tcBorders>
              <w:bottom w:color="cfd4d8" w:space="0" w:sz="6" w:val="single"/>
              <w:right w:color="cfd4d8" w:space="0" w:sz="6" w:val="single"/>
            </w:tcBorders>
            <w:shd w:fill="ffffff" w:val="clear"/>
            <w:tcMar>
              <w:top w:w="60.0" w:type="dxa"/>
              <w:left w:w="75.0" w:type="dxa"/>
              <w:bottom w:w="60.0" w:type="dxa"/>
              <w:right w:w="75.0" w:type="dxa"/>
            </w:tcMar>
            <w:vAlign w:val="center"/>
          </w:tcPr>
          <w:p w:rsidR="00000000" w:rsidDel="00000000" w:rsidP="00000000" w:rsidRDefault="00000000" w:rsidRPr="00000000" w14:paraId="00000056">
            <w:pPr>
              <w:rPr/>
            </w:pPr>
            <w:r w:rsidDel="00000000" w:rsidR="00000000" w:rsidRPr="00000000">
              <w:rPr>
                <w:rtl w:val="0"/>
              </w:rPr>
              <w:t xml:space="preserve">144100</w:t>
            </w:r>
          </w:p>
        </w:tc>
        <w:tc>
          <w:tcPr>
            <w:tcBorders>
              <w:bottom w:color="cfd4d8" w:space="0" w:sz="6" w:val="single"/>
              <w:right w:color="cfd4d8" w:space="0" w:sz="6" w:val="single"/>
            </w:tcBorders>
            <w:shd w:fill="ffffff" w:val="clear"/>
            <w:tcMar>
              <w:top w:w="60.0" w:type="dxa"/>
              <w:left w:w="75.0" w:type="dxa"/>
              <w:bottom w:w="60.0" w:type="dxa"/>
              <w:right w:w="75.0" w:type="dxa"/>
            </w:tcMar>
            <w:vAlign w:val="center"/>
          </w:tcPr>
          <w:p w:rsidR="00000000" w:rsidDel="00000000" w:rsidP="00000000" w:rsidRDefault="00000000" w:rsidRPr="00000000" w14:paraId="00000058">
            <w:pPr>
              <w:rPr/>
            </w:pPr>
            <w:r w:rsidDel="00000000" w:rsidR="00000000" w:rsidRPr="00000000">
              <w:rPr>
                <w:rtl w:val="0"/>
              </w:rPr>
              <w:t xml:space="preserve">18.53</w:t>
            </w:r>
          </w:p>
        </w:tc>
      </w:tr>
      <w:tr>
        <w:trPr>
          <w:trHeight w:val="345" w:hRule="atLeast"/>
        </w:trPr>
        <w:tc>
          <w:tcPr>
            <w:tcBorders>
              <w:bottom w:color="cfd4d8" w:space="0" w:sz="6" w:val="single"/>
              <w:right w:color="cfd4d8" w:space="0" w:sz="6" w:val="single"/>
            </w:tcBorders>
            <w:shd w:fill="f7f8f9" w:val="clear"/>
            <w:tcMar>
              <w:top w:w="60.0" w:type="dxa"/>
              <w:left w:w="75.0" w:type="dxa"/>
              <w:bottom w:w="60.0" w:type="dxa"/>
              <w:right w:w="75.0" w:type="dxa"/>
            </w:tcMar>
            <w:vAlign w:val="center"/>
          </w:tcPr>
          <w:p w:rsidR="00000000" w:rsidDel="00000000" w:rsidP="00000000" w:rsidRDefault="00000000" w:rsidRPr="00000000" w14:paraId="00000059">
            <w:pPr>
              <w:rPr>
                <w:b w:val="1"/>
              </w:rPr>
            </w:pPr>
            <w:r w:rsidDel="00000000" w:rsidR="00000000" w:rsidRPr="00000000">
              <w:rPr>
                <w:b w:val="1"/>
                <w:rtl w:val="0"/>
              </w:rPr>
              <w:t xml:space="preserve">2</w:t>
            </w:r>
          </w:p>
        </w:tc>
        <w:tc>
          <w:tcPr>
            <w:gridSpan w:val="2"/>
            <w:tcBorders>
              <w:bottom w:color="cfd4d8" w:space="0" w:sz="6" w:val="single"/>
              <w:right w:color="cfd4d8" w:space="0" w:sz="6" w:val="single"/>
            </w:tcBorders>
            <w:shd w:fill="fdfdfd" w:val="clear"/>
            <w:tcMar>
              <w:top w:w="60.0" w:type="dxa"/>
              <w:left w:w="75.0" w:type="dxa"/>
              <w:bottom w:w="60.0" w:type="dxa"/>
              <w:right w:w="75.0" w:type="dxa"/>
            </w:tcMar>
            <w:vAlign w:val="center"/>
          </w:tcPr>
          <w:p w:rsidR="00000000" w:rsidDel="00000000" w:rsidP="00000000" w:rsidRDefault="00000000" w:rsidRPr="00000000" w14:paraId="0000005A">
            <w:pPr>
              <w:rPr/>
            </w:pPr>
            <w:r w:rsidDel="00000000" w:rsidR="00000000" w:rsidRPr="00000000">
              <w:rPr>
                <w:rtl w:val="0"/>
              </w:rPr>
              <w:t xml:space="preserve">9/12/2011</w:t>
            </w:r>
          </w:p>
        </w:tc>
        <w:tc>
          <w:tcPr>
            <w:tcBorders>
              <w:bottom w:color="cfd4d8" w:space="0" w:sz="6" w:val="single"/>
              <w:right w:color="cfd4d8" w:space="0" w:sz="6" w:val="single"/>
            </w:tcBorders>
            <w:shd w:fill="fdfdfd" w:val="clear"/>
            <w:tcMar>
              <w:top w:w="60.0" w:type="dxa"/>
              <w:left w:w="75.0" w:type="dxa"/>
              <w:bottom w:w="60.0" w:type="dxa"/>
              <w:right w:w="75.0" w:type="dxa"/>
            </w:tcMar>
            <w:vAlign w:val="center"/>
          </w:tcPr>
          <w:p w:rsidR="00000000" w:rsidDel="00000000" w:rsidP="00000000" w:rsidRDefault="00000000" w:rsidRPr="00000000" w14:paraId="0000005C">
            <w:pPr>
              <w:rPr/>
            </w:pPr>
            <w:r w:rsidDel="00000000" w:rsidR="00000000" w:rsidRPr="00000000">
              <w:rPr>
                <w:rtl w:val="0"/>
              </w:rPr>
              <w:t xml:space="preserve">19.75</w:t>
            </w:r>
          </w:p>
        </w:tc>
        <w:tc>
          <w:tcPr>
            <w:tcBorders>
              <w:bottom w:color="cfd4d8" w:space="0" w:sz="6" w:val="single"/>
              <w:right w:color="cfd4d8" w:space="0" w:sz="6" w:val="single"/>
            </w:tcBorders>
            <w:shd w:fill="fdfdfd" w:val="clear"/>
            <w:tcMar>
              <w:top w:w="60.0" w:type="dxa"/>
              <w:left w:w="75.0" w:type="dxa"/>
              <w:bottom w:w="60.0" w:type="dxa"/>
              <w:right w:w="75.0" w:type="dxa"/>
            </w:tcMar>
            <w:vAlign w:val="center"/>
          </w:tcPr>
          <w:p w:rsidR="00000000" w:rsidDel="00000000" w:rsidP="00000000" w:rsidRDefault="00000000" w:rsidRPr="00000000" w14:paraId="0000005D">
            <w:pPr>
              <w:rPr/>
            </w:pPr>
            <w:r w:rsidDel="00000000" w:rsidR="00000000" w:rsidRPr="00000000">
              <w:rPr>
                <w:rtl w:val="0"/>
              </w:rPr>
              <w:t xml:space="preserve">21.50</w:t>
            </w:r>
          </w:p>
        </w:tc>
        <w:tc>
          <w:tcPr>
            <w:tcBorders>
              <w:bottom w:color="cfd4d8" w:space="0" w:sz="6" w:val="single"/>
              <w:right w:color="cfd4d8" w:space="0" w:sz="6" w:val="single"/>
            </w:tcBorders>
            <w:shd w:fill="fdfdfd" w:val="clear"/>
            <w:tcMar>
              <w:top w:w="60.0" w:type="dxa"/>
              <w:left w:w="75.0" w:type="dxa"/>
              <w:bottom w:w="60.0" w:type="dxa"/>
              <w:right w:w="75.0" w:type="dxa"/>
            </w:tcMar>
            <w:vAlign w:val="center"/>
          </w:tcPr>
          <w:p w:rsidR="00000000" w:rsidDel="00000000" w:rsidP="00000000" w:rsidRDefault="00000000" w:rsidRPr="00000000" w14:paraId="0000005E">
            <w:pPr>
              <w:rPr/>
            </w:pPr>
            <w:r w:rsidDel="00000000" w:rsidR="00000000" w:rsidRPr="00000000">
              <w:rPr>
                <w:rtl w:val="0"/>
              </w:rPr>
              <w:t xml:space="preserve">19.40</w:t>
            </w:r>
          </w:p>
        </w:tc>
        <w:tc>
          <w:tcPr>
            <w:tcBorders>
              <w:bottom w:color="cfd4d8" w:space="0" w:sz="6" w:val="single"/>
              <w:right w:color="cfd4d8" w:space="0" w:sz="6" w:val="single"/>
            </w:tcBorders>
            <w:shd w:fill="fdfdfd" w:val="clear"/>
            <w:tcMar>
              <w:top w:w="60.0" w:type="dxa"/>
              <w:left w:w="75.0" w:type="dxa"/>
              <w:bottom w:w="60.0" w:type="dxa"/>
              <w:right w:w="75.0" w:type="dxa"/>
            </w:tcMar>
            <w:vAlign w:val="center"/>
          </w:tcPr>
          <w:p w:rsidR="00000000" w:rsidDel="00000000" w:rsidP="00000000" w:rsidRDefault="00000000" w:rsidRPr="00000000" w14:paraId="0000005F">
            <w:pPr>
              <w:rPr/>
            </w:pPr>
            <w:r w:rsidDel="00000000" w:rsidR="00000000" w:rsidRPr="00000000">
              <w:rPr>
                <w:rtl w:val="0"/>
              </w:rPr>
              <w:t xml:space="preserve">21.10</w:t>
            </w:r>
          </w:p>
        </w:tc>
        <w:tc>
          <w:tcPr>
            <w:gridSpan w:val="2"/>
            <w:tcBorders>
              <w:bottom w:color="cfd4d8" w:space="0" w:sz="6" w:val="single"/>
              <w:right w:color="cfd4d8" w:space="0" w:sz="6" w:val="single"/>
            </w:tcBorders>
            <w:shd w:fill="fdfdfd" w:val="clear"/>
            <w:tcMar>
              <w:top w:w="60.0" w:type="dxa"/>
              <w:left w:w="75.0" w:type="dxa"/>
              <w:bottom w:w="60.0" w:type="dxa"/>
              <w:right w:w="75.0" w:type="dxa"/>
            </w:tcMar>
            <w:vAlign w:val="center"/>
          </w:tcPr>
          <w:p w:rsidR="00000000" w:rsidDel="00000000" w:rsidP="00000000" w:rsidRDefault="00000000" w:rsidRPr="00000000" w14:paraId="00000060">
            <w:pPr>
              <w:rPr/>
            </w:pPr>
            <w:r w:rsidDel="00000000" w:rsidR="00000000" w:rsidRPr="00000000">
              <w:rPr>
                <w:rtl w:val="0"/>
              </w:rPr>
              <w:t xml:space="preserve">395000</w:t>
            </w:r>
          </w:p>
        </w:tc>
        <w:tc>
          <w:tcPr>
            <w:tcBorders>
              <w:bottom w:color="cfd4d8" w:space="0" w:sz="6" w:val="single"/>
              <w:right w:color="cfd4d8" w:space="0" w:sz="6" w:val="single"/>
            </w:tcBorders>
            <w:shd w:fill="fdfdfd" w:val="clear"/>
            <w:tcMar>
              <w:top w:w="60.0" w:type="dxa"/>
              <w:left w:w="75.0" w:type="dxa"/>
              <w:bottom w:w="60.0" w:type="dxa"/>
              <w:right w:w="75.0" w:type="dxa"/>
            </w:tcMar>
            <w:vAlign w:val="center"/>
          </w:tcPr>
          <w:p w:rsidR="00000000" w:rsidDel="00000000" w:rsidP="00000000" w:rsidRDefault="00000000" w:rsidRPr="00000000" w14:paraId="00000062">
            <w:pPr>
              <w:rPr/>
            </w:pPr>
            <w:r w:rsidDel="00000000" w:rsidR="00000000" w:rsidRPr="00000000">
              <w:rPr>
                <w:rtl w:val="0"/>
              </w:rPr>
              <w:t xml:space="preserve">19.69</w:t>
            </w:r>
          </w:p>
        </w:tc>
      </w:tr>
      <w:tr>
        <w:trPr>
          <w:trHeight w:val="345" w:hRule="atLeast"/>
        </w:trPr>
        <w:tc>
          <w:tcPr>
            <w:tcBorders>
              <w:bottom w:color="cfd4d8" w:space="0" w:sz="6" w:val="single"/>
              <w:right w:color="cfd4d8" w:space="0" w:sz="6" w:val="single"/>
            </w:tcBorders>
            <w:shd w:fill="f7f8f9" w:val="clear"/>
            <w:tcMar>
              <w:top w:w="60.0" w:type="dxa"/>
              <w:left w:w="75.0" w:type="dxa"/>
              <w:bottom w:w="60.0" w:type="dxa"/>
              <w:right w:w="75.0" w:type="dxa"/>
            </w:tcMar>
            <w:vAlign w:val="center"/>
          </w:tcPr>
          <w:p w:rsidR="00000000" w:rsidDel="00000000" w:rsidP="00000000" w:rsidRDefault="00000000" w:rsidRPr="00000000" w14:paraId="00000063">
            <w:pPr>
              <w:rPr>
                <w:b w:val="1"/>
              </w:rPr>
            </w:pPr>
            <w:r w:rsidDel="00000000" w:rsidR="00000000" w:rsidRPr="00000000">
              <w:rPr>
                <w:b w:val="1"/>
                <w:rtl w:val="0"/>
              </w:rPr>
              <w:t xml:space="preserve">3</w:t>
            </w:r>
          </w:p>
        </w:tc>
        <w:tc>
          <w:tcPr>
            <w:gridSpan w:val="2"/>
            <w:tcBorders>
              <w:bottom w:color="cfd4d8" w:space="0" w:sz="6" w:val="single"/>
              <w:right w:color="cfd4d8" w:space="0" w:sz="6" w:val="single"/>
            </w:tcBorders>
            <w:shd w:fill="ffffff" w:val="clear"/>
            <w:tcMar>
              <w:top w:w="60.0" w:type="dxa"/>
              <w:left w:w="75.0" w:type="dxa"/>
              <w:bottom w:w="60.0" w:type="dxa"/>
              <w:right w:w="75.0" w:type="dxa"/>
            </w:tcMar>
            <w:vAlign w:val="center"/>
          </w:tcPr>
          <w:p w:rsidR="00000000" w:rsidDel="00000000" w:rsidP="00000000" w:rsidRDefault="00000000" w:rsidRPr="00000000" w14:paraId="00000064">
            <w:pPr>
              <w:rPr/>
            </w:pPr>
            <w:r w:rsidDel="00000000" w:rsidR="00000000" w:rsidRPr="00000000">
              <w:rPr>
                <w:rtl w:val="0"/>
              </w:rPr>
              <w:t xml:space="preserve">9/19/2011</w:t>
            </w:r>
          </w:p>
        </w:tc>
        <w:tc>
          <w:tcPr>
            <w:tcBorders>
              <w:bottom w:color="cfd4d8" w:space="0" w:sz="6" w:val="single"/>
              <w:right w:color="cfd4d8" w:space="0" w:sz="6" w:val="single"/>
            </w:tcBorders>
            <w:shd w:fill="ffffff" w:val="clear"/>
            <w:tcMar>
              <w:top w:w="60.0" w:type="dxa"/>
              <w:left w:w="75.0" w:type="dxa"/>
              <w:bottom w:w="60.0" w:type="dxa"/>
              <w:right w:w="75.0" w:type="dxa"/>
            </w:tcMar>
            <w:vAlign w:val="center"/>
          </w:tcPr>
          <w:p w:rsidR="00000000" w:rsidDel="00000000" w:rsidP="00000000" w:rsidRDefault="00000000" w:rsidRPr="00000000" w14:paraId="00000066">
            <w:pPr>
              <w:rPr/>
            </w:pPr>
            <w:r w:rsidDel="00000000" w:rsidR="00000000" w:rsidRPr="00000000">
              <w:rPr>
                <w:rtl w:val="0"/>
              </w:rPr>
              <w:t xml:space="preserve">21.25</w:t>
            </w:r>
          </w:p>
        </w:tc>
        <w:tc>
          <w:tcPr>
            <w:tcBorders>
              <w:bottom w:color="cfd4d8" w:space="0" w:sz="6" w:val="single"/>
              <w:right w:color="cfd4d8" w:space="0" w:sz="6" w:val="single"/>
            </w:tcBorders>
            <w:shd w:fill="ffffff" w:val="clear"/>
            <w:tcMar>
              <w:top w:w="60.0" w:type="dxa"/>
              <w:left w:w="75.0" w:type="dxa"/>
              <w:bottom w:w="60.0" w:type="dxa"/>
              <w:right w:w="75.0" w:type="dxa"/>
            </w:tcMar>
            <w:vAlign w:val="center"/>
          </w:tcPr>
          <w:p w:rsidR="00000000" w:rsidDel="00000000" w:rsidP="00000000" w:rsidRDefault="00000000" w:rsidRPr="00000000" w14:paraId="00000067">
            <w:pPr>
              <w:rPr/>
            </w:pPr>
            <w:r w:rsidDel="00000000" w:rsidR="00000000" w:rsidRPr="00000000">
              <w:rPr>
                <w:rtl w:val="0"/>
              </w:rPr>
              <w:t xml:space="preserve">22.90</w:t>
            </w:r>
          </w:p>
        </w:tc>
        <w:tc>
          <w:tcPr>
            <w:tcBorders>
              <w:bottom w:color="cfd4d8" w:space="0" w:sz="6" w:val="single"/>
              <w:right w:color="cfd4d8" w:space="0" w:sz="6" w:val="single"/>
            </w:tcBorders>
            <w:shd w:fill="ffffff" w:val="clear"/>
            <w:tcMar>
              <w:top w:w="60.0" w:type="dxa"/>
              <w:left w:w="75.0" w:type="dxa"/>
              <w:bottom w:w="60.0" w:type="dxa"/>
              <w:right w:w="75.0" w:type="dxa"/>
            </w:tcMar>
            <w:vAlign w:val="center"/>
          </w:tcPr>
          <w:p w:rsidR="00000000" w:rsidDel="00000000" w:rsidP="00000000" w:rsidRDefault="00000000" w:rsidRPr="00000000" w14:paraId="00000068">
            <w:pPr>
              <w:rPr/>
            </w:pPr>
            <w:r w:rsidDel="00000000" w:rsidR="00000000" w:rsidRPr="00000000">
              <w:rPr>
                <w:rtl w:val="0"/>
              </w:rPr>
              <w:t xml:space="preserve">20.75</w:t>
            </w:r>
          </w:p>
        </w:tc>
        <w:tc>
          <w:tcPr>
            <w:tcBorders>
              <w:bottom w:color="cfd4d8" w:space="0" w:sz="6" w:val="single"/>
              <w:right w:color="cfd4d8" w:space="0" w:sz="6" w:val="single"/>
            </w:tcBorders>
            <w:shd w:fill="ffffff" w:val="clear"/>
            <w:tcMar>
              <w:top w:w="60.0" w:type="dxa"/>
              <w:left w:w="75.0" w:type="dxa"/>
              <w:bottom w:w="60.0" w:type="dxa"/>
              <w:right w:w="75.0" w:type="dxa"/>
            </w:tcMar>
            <w:vAlign w:val="center"/>
          </w:tcPr>
          <w:p w:rsidR="00000000" w:rsidDel="00000000" w:rsidP="00000000" w:rsidRDefault="00000000" w:rsidRPr="00000000" w14:paraId="00000069">
            <w:pPr>
              <w:rPr/>
            </w:pPr>
            <w:r w:rsidDel="00000000" w:rsidR="00000000" w:rsidRPr="00000000">
              <w:rPr>
                <w:rtl w:val="0"/>
              </w:rPr>
              <w:t xml:space="preserve">20.80</w:t>
            </w:r>
          </w:p>
        </w:tc>
        <w:tc>
          <w:tcPr>
            <w:gridSpan w:val="2"/>
            <w:tcBorders>
              <w:bottom w:color="cfd4d8" w:space="0" w:sz="6" w:val="single"/>
              <w:right w:color="cfd4d8" w:space="0" w:sz="6" w:val="single"/>
            </w:tcBorders>
            <w:shd w:fill="ffffff" w:val="clear"/>
            <w:tcMar>
              <w:top w:w="60.0" w:type="dxa"/>
              <w:left w:w="75.0" w:type="dxa"/>
              <w:bottom w:w="60.0" w:type="dxa"/>
              <w:right w:w="75.0" w:type="dxa"/>
            </w:tcMar>
            <w:vAlign w:val="center"/>
          </w:tcPr>
          <w:p w:rsidR="00000000" w:rsidDel="00000000" w:rsidP="00000000" w:rsidRDefault="00000000" w:rsidRPr="00000000" w14:paraId="0000006A">
            <w:pPr>
              <w:rPr/>
            </w:pPr>
            <w:r w:rsidDel="00000000" w:rsidR="00000000" w:rsidRPr="00000000">
              <w:rPr>
                <w:rtl w:val="0"/>
              </w:rPr>
              <w:t xml:space="preserve">464900</w:t>
            </w:r>
          </w:p>
        </w:tc>
        <w:tc>
          <w:tcPr>
            <w:tcBorders>
              <w:bottom w:color="cfd4d8" w:space="0" w:sz="6" w:val="single"/>
              <w:right w:color="cfd4d8" w:space="0" w:sz="6" w:val="single"/>
            </w:tcBorders>
            <w:shd w:fill="ffffff" w:val="clear"/>
            <w:tcMar>
              <w:top w:w="60.0" w:type="dxa"/>
              <w:left w:w="75.0" w:type="dxa"/>
              <w:bottom w:w="60.0" w:type="dxa"/>
              <w:right w:w="75.0" w:type="dxa"/>
            </w:tcMar>
            <w:vAlign w:val="center"/>
          </w:tcPr>
          <w:p w:rsidR="00000000" w:rsidDel="00000000" w:rsidP="00000000" w:rsidRDefault="00000000" w:rsidRPr="00000000" w14:paraId="0000006C">
            <w:pPr>
              <w:rPr/>
            </w:pPr>
            <w:r w:rsidDel="00000000" w:rsidR="00000000" w:rsidRPr="00000000">
              <w:rPr>
                <w:rtl w:val="0"/>
              </w:rPr>
              <w:t xml:space="preserve">19.41</w:t>
            </w:r>
          </w:p>
        </w:tc>
      </w:tr>
      <w:tr>
        <w:trPr>
          <w:trHeight w:val="345" w:hRule="atLeast"/>
        </w:trPr>
        <w:tc>
          <w:tcPr>
            <w:tcBorders>
              <w:bottom w:color="cfd4d8" w:space="0" w:sz="6" w:val="single"/>
              <w:right w:color="cfd4d8" w:space="0" w:sz="6" w:val="single"/>
            </w:tcBorders>
            <w:shd w:fill="f7f8f9" w:val="clear"/>
            <w:tcMar>
              <w:top w:w="60.0" w:type="dxa"/>
              <w:left w:w="75.0" w:type="dxa"/>
              <w:bottom w:w="60.0" w:type="dxa"/>
              <w:right w:w="75.0" w:type="dxa"/>
            </w:tcMar>
            <w:vAlign w:val="center"/>
          </w:tcPr>
          <w:p w:rsidR="00000000" w:rsidDel="00000000" w:rsidP="00000000" w:rsidRDefault="00000000" w:rsidRPr="00000000" w14:paraId="0000006D">
            <w:pPr>
              <w:rPr>
                <w:b w:val="1"/>
              </w:rPr>
            </w:pPr>
            <w:r w:rsidDel="00000000" w:rsidR="00000000" w:rsidRPr="00000000">
              <w:rPr>
                <w:b w:val="1"/>
                <w:rtl w:val="0"/>
              </w:rPr>
              <w:t xml:space="preserve">4</w:t>
            </w:r>
          </w:p>
        </w:tc>
        <w:tc>
          <w:tcPr>
            <w:gridSpan w:val="2"/>
            <w:tcBorders>
              <w:bottom w:color="cfd4d8" w:space="0" w:sz="6" w:val="single"/>
              <w:right w:color="cfd4d8" w:space="0" w:sz="6" w:val="single"/>
            </w:tcBorders>
            <w:shd w:fill="fdfdfd" w:val="clear"/>
            <w:tcMar>
              <w:top w:w="60.0" w:type="dxa"/>
              <w:left w:w="75.0" w:type="dxa"/>
              <w:bottom w:w="60.0" w:type="dxa"/>
              <w:right w:w="75.0" w:type="dxa"/>
            </w:tcMar>
            <w:vAlign w:val="center"/>
          </w:tcPr>
          <w:p w:rsidR="00000000" w:rsidDel="00000000" w:rsidP="00000000" w:rsidRDefault="00000000" w:rsidRPr="00000000" w14:paraId="0000006E">
            <w:pPr>
              <w:rPr/>
            </w:pPr>
            <w:r w:rsidDel="00000000" w:rsidR="00000000" w:rsidRPr="00000000">
              <w:rPr>
                <w:rtl w:val="0"/>
              </w:rPr>
              <w:t xml:space="preserve">9/26/2011</w:t>
            </w:r>
          </w:p>
        </w:tc>
        <w:tc>
          <w:tcPr>
            <w:tcBorders>
              <w:bottom w:color="cfd4d8" w:space="0" w:sz="6" w:val="single"/>
              <w:right w:color="cfd4d8" w:space="0" w:sz="6" w:val="single"/>
            </w:tcBorders>
            <w:shd w:fill="fdfdfd" w:val="clear"/>
            <w:tcMar>
              <w:top w:w="60.0" w:type="dxa"/>
              <w:left w:w="75.0" w:type="dxa"/>
              <w:bottom w:w="60.0" w:type="dxa"/>
              <w:right w:w="75.0" w:type="dxa"/>
            </w:tcMar>
            <w:vAlign w:val="center"/>
          </w:tcPr>
          <w:p w:rsidR="00000000" w:rsidDel="00000000" w:rsidP="00000000" w:rsidRDefault="00000000" w:rsidRPr="00000000" w14:paraId="00000070">
            <w:pPr>
              <w:rPr/>
            </w:pPr>
            <w:r w:rsidDel="00000000" w:rsidR="00000000" w:rsidRPr="00000000">
              <w:rPr>
                <w:rtl w:val="0"/>
              </w:rPr>
              <w:t xml:space="preserve">21.60</w:t>
            </w:r>
          </w:p>
        </w:tc>
        <w:tc>
          <w:tcPr>
            <w:tcBorders>
              <w:bottom w:color="cfd4d8" w:space="0" w:sz="6" w:val="single"/>
              <w:right w:color="cfd4d8" w:space="0" w:sz="6" w:val="single"/>
            </w:tcBorders>
            <w:shd w:fill="fdfdfd" w:val="clear"/>
            <w:tcMar>
              <w:top w:w="60.0" w:type="dxa"/>
              <w:left w:w="75.0" w:type="dxa"/>
              <w:bottom w:w="60.0" w:type="dxa"/>
              <w:right w:w="75.0" w:type="dxa"/>
            </w:tcMar>
            <w:vAlign w:val="center"/>
          </w:tcPr>
          <w:p w:rsidR="00000000" w:rsidDel="00000000" w:rsidP="00000000" w:rsidRDefault="00000000" w:rsidRPr="00000000" w14:paraId="00000071">
            <w:pPr>
              <w:rPr/>
            </w:pPr>
            <w:r w:rsidDel="00000000" w:rsidR="00000000" w:rsidRPr="00000000">
              <w:rPr>
                <w:rtl w:val="0"/>
              </w:rPr>
              <w:t xml:space="preserve">21.75</w:t>
            </w:r>
          </w:p>
        </w:tc>
        <w:tc>
          <w:tcPr>
            <w:tcBorders>
              <w:bottom w:color="cfd4d8" w:space="0" w:sz="6" w:val="single"/>
              <w:right w:color="cfd4d8" w:space="0" w:sz="6" w:val="single"/>
            </w:tcBorders>
            <w:shd w:fill="fdfdfd" w:val="clear"/>
            <w:tcMar>
              <w:top w:w="60.0" w:type="dxa"/>
              <w:left w:w="75.0" w:type="dxa"/>
              <w:bottom w:w="60.0" w:type="dxa"/>
              <w:right w:w="75.0" w:type="dxa"/>
            </w:tcMar>
            <w:vAlign w:val="center"/>
          </w:tcPr>
          <w:p w:rsidR="00000000" w:rsidDel="00000000" w:rsidP="00000000" w:rsidRDefault="00000000" w:rsidRPr="00000000" w14:paraId="00000072">
            <w:pPr>
              <w:rPr/>
            </w:pPr>
            <w:r w:rsidDel="00000000" w:rsidR="00000000" w:rsidRPr="00000000">
              <w:rPr>
                <w:rtl w:val="0"/>
              </w:rPr>
              <w:t xml:space="preserve">20.25</w:t>
            </w:r>
          </w:p>
        </w:tc>
        <w:tc>
          <w:tcPr>
            <w:tcBorders>
              <w:bottom w:color="cfd4d8" w:space="0" w:sz="6" w:val="single"/>
              <w:right w:color="cfd4d8" w:space="0" w:sz="6" w:val="single"/>
            </w:tcBorders>
            <w:shd w:fill="fdfdfd" w:val="clear"/>
            <w:tcMar>
              <w:top w:w="60.0" w:type="dxa"/>
              <w:left w:w="75.0" w:type="dxa"/>
              <w:bottom w:w="60.0" w:type="dxa"/>
              <w:right w:w="75.0" w:type="dxa"/>
            </w:tcMar>
            <w:vAlign w:val="center"/>
          </w:tcPr>
          <w:p w:rsidR="00000000" w:rsidDel="00000000" w:rsidP="00000000" w:rsidRDefault="00000000" w:rsidRPr="00000000" w14:paraId="00000073">
            <w:pPr>
              <w:rPr/>
            </w:pPr>
            <w:r w:rsidDel="00000000" w:rsidR="00000000" w:rsidRPr="00000000">
              <w:rPr>
                <w:rtl w:val="0"/>
              </w:rPr>
              <w:t xml:space="preserve">21.15</w:t>
            </w:r>
          </w:p>
        </w:tc>
        <w:tc>
          <w:tcPr>
            <w:gridSpan w:val="2"/>
            <w:tcBorders>
              <w:bottom w:color="cfd4d8" w:space="0" w:sz="6" w:val="single"/>
              <w:right w:color="cfd4d8" w:space="0" w:sz="6" w:val="single"/>
            </w:tcBorders>
            <w:shd w:fill="fdfdfd" w:val="clear"/>
            <w:tcMar>
              <w:top w:w="60.0" w:type="dxa"/>
              <w:left w:w="75.0" w:type="dxa"/>
              <w:bottom w:w="60.0" w:type="dxa"/>
              <w:right w:w="75.0" w:type="dxa"/>
            </w:tcMar>
            <w:vAlign w:val="center"/>
          </w:tcPr>
          <w:p w:rsidR="00000000" w:rsidDel="00000000" w:rsidP="00000000" w:rsidRDefault="00000000" w:rsidRPr="00000000" w14:paraId="00000074">
            <w:pPr>
              <w:rPr/>
            </w:pPr>
            <w:r w:rsidDel="00000000" w:rsidR="00000000" w:rsidRPr="00000000">
              <w:rPr>
                <w:rtl w:val="0"/>
              </w:rPr>
              <w:t xml:space="preserve">375200</w:t>
            </w:r>
          </w:p>
        </w:tc>
        <w:tc>
          <w:tcPr>
            <w:tcBorders>
              <w:bottom w:color="cfd4d8" w:space="0" w:sz="6" w:val="single"/>
              <w:right w:color="cfd4d8" w:space="0" w:sz="6" w:val="single"/>
            </w:tcBorders>
            <w:shd w:fill="fdfdfd" w:val="clear"/>
            <w:tcMar>
              <w:top w:w="60.0" w:type="dxa"/>
              <w:left w:w="75.0" w:type="dxa"/>
              <w:bottom w:w="60.0" w:type="dxa"/>
              <w:right w:w="75.0" w:type="dxa"/>
            </w:tcMar>
            <w:vAlign w:val="center"/>
          </w:tcPr>
          <w:p w:rsidR="00000000" w:rsidDel="00000000" w:rsidP="00000000" w:rsidRDefault="00000000" w:rsidRPr="00000000" w14:paraId="00000076">
            <w:pPr>
              <w:rPr/>
            </w:pPr>
            <w:r w:rsidDel="00000000" w:rsidR="00000000" w:rsidRPr="00000000">
              <w:rPr>
                <w:rtl w:val="0"/>
              </w:rPr>
              <w:t xml:space="preserve">19.74</w:t>
            </w:r>
          </w:p>
        </w:tc>
      </w:tr>
      <w:tr>
        <w:trPr>
          <w:trHeight w:val="345" w:hRule="atLeast"/>
        </w:trPr>
        <w:tc>
          <w:tcPr>
            <w:tcBorders>
              <w:bottom w:color="cfd4d8" w:space="0" w:sz="6" w:val="single"/>
              <w:right w:color="cfd4d8" w:space="0" w:sz="6" w:val="single"/>
            </w:tcBorders>
            <w:shd w:fill="f7f8f9" w:val="clear"/>
            <w:tcMar>
              <w:top w:w="60.0" w:type="dxa"/>
              <w:left w:w="75.0" w:type="dxa"/>
              <w:bottom w:w="60.0" w:type="dxa"/>
              <w:right w:w="75.0" w:type="dxa"/>
            </w:tcMar>
            <w:vAlign w:val="center"/>
          </w:tcPr>
          <w:p w:rsidR="00000000" w:rsidDel="00000000" w:rsidP="00000000" w:rsidRDefault="00000000" w:rsidRPr="00000000" w14:paraId="00000077">
            <w:pPr>
              <w:rPr>
                <w:b w:val="1"/>
              </w:rPr>
            </w:pPr>
            <w:r w:rsidDel="00000000" w:rsidR="00000000" w:rsidRPr="00000000">
              <w:rPr>
                <w:b w:val="1"/>
                <w:rtl w:val="0"/>
              </w:rPr>
              <w:t xml:space="preserve">5</w:t>
            </w:r>
          </w:p>
        </w:tc>
        <w:tc>
          <w:tcPr>
            <w:gridSpan w:val="2"/>
            <w:tcBorders>
              <w:bottom w:color="cfd4d8" w:space="0" w:sz="6" w:val="single"/>
              <w:right w:color="cfd4d8" w:space="0" w:sz="6" w:val="single"/>
            </w:tcBorders>
            <w:shd w:fill="ffffff" w:val="clear"/>
            <w:tcMar>
              <w:top w:w="60.0" w:type="dxa"/>
              <w:left w:w="75.0" w:type="dxa"/>
              <w:bottom w:w="60.0" w:type="dxa"/>
              <w:right w:w="75.0" w:type="dxa"/>
            </w:tcMar>
            <w:vAlign w:val="center"/>
          </w:tcPr>
          <w:p w:rsidR="00000000" w:rsidDel="00000000" w:rsidP="00000000" w:rsidRDefault="00000000" w:rsidRPr="00000000" w14:paraId="00000078">
            <w:pPr>
              <w:rPr/>
            </w:pPr>
            <w:r w:rsidDel="00000000" w:rsidR="00000000" w:rsidRPr="00000000">
              <w:rPr>
                <w:rtl w:val="0"/>
              </w:rPr>
              <w:t xml:space="preserve">10/3/2011</w:t>
            </w:r>
          </w:p>
        </w:tc>
        <w:tc>
          <w:tcPr>
            <w:tcBorders>
              <w:bottom w:color="cfd4d8" w:space="0" w:sz="6" w:val="single"/>
              <w:right w:color="cfd4d8" w:space="0" w:sz="6" w:val="single"/>
            </w:tcBorders>
            <w:shd w:fill="ffffff" w:val="clear"/>
            <w:tcMar>
              <w:top w:w="60.0" w:type="dxa"/>
              <w:left w:w="75.0" w:type="dxa"/>
              <w:bottom w:w="60.0" w:type="dxa"/>
              <w:right w:w="75.0" w:type="dxa"/>
            </w:tcMar>
            <w:vAlign w:val="center"/>
          </w:tcPr>
          <w:p w:rsidR="00000000" w:rsidDel="00000000" w:rsidP="00000000" w:rsidRDefault="00000000" w:rsidRPr="00000000" w14:paraId="0000007A">
            <w:pPr>
              <w:rPr/>
            </w:pPr>
            <w:r w:rsidDel="00000000" w:rsidR="00000000" w:rsidRPr="00000000">
              <w:rPr>
                <w:rtl w:val="0"/>
              </w:rPr>
              <w:t xml:space="preserve">21.50</w:t>
            </w:r>
          </w:p>
        </w:tc>
        <w:tc>
          <w:tcPr>
            <w:tcBorders>
              <w:bottom w:color="cfd4d8" w:space="0" w:sz="6" w:val="single"/>
              <w:right w:color="cfd4d8" w:space="0" w:sz="6" w:val="single"/>
            </w:tcBorders>
            <w:shd w:fill="ffffff" w:val="clear"/>
            <w:tcMar>
              <w:top w:w="60.0" w:type="dxa"/>
              <w:left w:w="75.0" w:type="dxa"/>
              <w:bottom w:w="60.0" w:type="dxa"/>
              <w:right w:w="75.0" w:type="dxa"/>
            </w:tcMar>
            <w:vAlign w:val="center"/>
          </w:tcPr>
          <w:p w:rsidR="00000000" w:rsidDel="00000000" w:rsidP="00000000" w:rsidRDefault="00000000" w:rsidRPr="00000000" w14:paraId="0000007B">
            <w:pPr>
              <w:rPr/>
            </w:pPr>
            <w:r w:rsidDel="00000000" w:rsidR="00000000" w:rsidRPr="00000000">
              <w:rPr>
                <w:rtl w:val="0"/>
              </w:rPr>
              <w:t xml:space="preserve">21.75</w:t>
            </w:r>
          </w:p>
        </w:tc>
        <w:tc>
          <w:tcPr>
            <w:tcBorders>
              <w:bottom w:color="cfd4d8" w:space="0" w:sz="6" w:val="single"/>
              <w:right w:color="cfd4d8" w:space="0" w:sz="6" w:val="single"/>
            </w:tcBorders>
            <w:shd w:fill="ffffff" w:val="clear"/>
            <w:tcMar>
              <w:top w:w="60.0" w:type="dxa"/>
              <w:left w:w="75.0" w:type="dxa"/>
              <w:bottom w:w="60.0" w:type="dxa"/>
              <w:right w:w="75.0" w:type="dxa"/>
            </w:tcMar>
            <w:vAlign w:val="center"/>
          </w:tcPr>
          <w:p w:rsidR="00000000" w:rsidDel="00000000" w:rsidP="00000000" w:rsidRDefault="00000000" w:rsidRPr="00000000" w14:paraId="0000007C">
            <w:pPr>
              <w:rPr/>
            </w:pPr>
            <w:r w:rsidDel="00000000" w:rsidR="00000000" w:rsidRPr="00000000">
              <w:rPr>
                <w:rtl w:val="0"/>
              </w:rPr>
              <w:t xml:space="preserve">20.60</w:t>
            </w:r>
          </w:p>
        </w:tc>
        <w:tc>
          <w:tcPr>
            <w:tcBorders>
              <w:bottom w:color="cfd4d8" w:space="0" w:sz="6" w:val="single"/>
              <w:right w:color="cfd4d8" w:space="0" w:sz="6" w:val="single"/>
            </w:tcBorders>
            <w:shd w:fill="ffffff" w:val="clear"/>
            <w:tcMar>
              <w:top w:w="60.0" w:type="dxa"/>
              <w:left w:w="75.0" w:type="dxa"/>
              <w:bottom w:w="60.0" w:type="dxa"/>
              <w:right w:w="75.0" w:type="dxa"/>
            </w:tcMar>
            <w:vAlign w:val="center"/>
          </w:tcPr>
          <w:p w:rsidR="00000000" w:rsidDel="00000000" w:rsidP="00000000" w:rsidRDefault="00000000" w:rsidRPr="00000000" w14:paraId="0000007D">
            <w:pPr>
              <w:rPr/>
            </w:pPr>
            <w:r w:rsidDel="00000000" w:rsidR="00000000" w:rsidRPr="00000000">
              <w:rPr>
                <w:rtl w:val="0"/>
              </w:rPr>
              <w:t xml:space="preserve">20.75</w:t>
            </w:r>
          </w:p>
        </w:tc>
        <w:tc>
          <w:tcPr>
            <w:gridSpan w:val="2"/>
            <w:tcBorders>
              <w:bottom w:color="cfd4d8" w:space="0" w:sz="6" w:val="single"/>
              <w:right w:color="cfd4d8" w:space="0" w:sz="6" w:val="single"/>
            </w:tcBorders>
            <w:shd w:fill="ffffff" w:val="clear"/>
            <w:tcMar>
              <w:top w:w="60.0" w:type="dxa"/>
              <w:left w:w="75.0" w:type="dxa"/>
              <w:bottom w:w="60.0" w:type="dxa"/>
              <w:right w:w="75.0" w:type="dxa"/>
            </w:tcMar>
            <w:vAlign w:val="center"/>
          </w:tcPr>
          <w:p w:rsidR="00000000" w:rsidDel="00000000" w:rsidP="00000000" w:rsidRDefault="00000000" w:rsidRPr="00000000" w14:paraId="0000007E">
            <w:pPr>
              <w:rPr/>
            </w:pPr>
            <w:r w:rsidDel="00000000" w:rsidR="00000000" w:rsidRPr="00000000">
              <w:rPr>
                <w:rtl w:val="0"/>
              </w:rPr>
              <w:t xml:space="preserve">327600</w:t>
            </w:r>
          </w:p>
        </w:tc>
        <w:tc>
          <w:tcPr>
            <w:tcBorders>
              <w:bottom w:color="cfd4d8" w:space="0" w:sz="6" w:val="single"/>
              <w:right w:color="cfd4d8" w:space="0" w:sz="6" w:val="single"/>
            </w:tcBorders>
            <w:shd w:fill="ffffff" w:val="clear"/>
            <w:tcMar>
              <w:top w:w="60.0" w:type="dxa"/>
              <w:left w:w="75.0" w:type="dxa"/>
              <w:bottom w:w="60.0" w:type="dxa"/>
              <w:right w:w="75.0" w:type="dxa"/>
            </w:tcMar>
            <w:vAlign w:val="center"/>
          </w:tcPr>
          <w:p w:rsidR="00000000" w:rsidDel="00000000" w:rsidP="00000000" w:rsidRDefault="00000000" w:rsidRPr="00000000" w14:paraId="00000080">
            <w:pPr>
              <w:rPr/>
            </w:pPr>
            <w:r w:rsidDel="00000000" w:rsidR="00000000" w:rsidRPr="00000000">
              <w:rPr>
                <w:rtl w:val="0"/>
              </w:rPr>
              <w:t xml:space="preserve">19.37</w:t>
            </w:r>
          </w:p>
        </w:tc>
      </w:tr>
      <w:tr>
        <w:trPr>
          <w:trHeight w:val="345" w:hRule="atLeast"/>
        </w:trPr>
        <w:tc>
          <w:tcPr>
            <w:tcBorders>
              <w:bottom w:color="cfd4d8" w:space="0" w:sz="6" w:val="single"/>
              <w:right w:color="cfd4d8" w:space="0" w:sz="6" w:val="single"/>
            </w:tcBorders>
            <w:shd w:fill="f7f8f9" w:val="clear"/>
            <w:tcMar>
              <w:top w:w="60.0" w:type="dxa"/>
              <w:left w:w="75.0" w:type="dxa"/>
              <w:bottom w:w="60.0" w:type="dxa"/>
              <w:right w:w="75.0" w:type="dxa"/>
            </w:tcMar>
            <w:vAlign w:val="center"/>
          </w:tcPr>
          <w:p w:rsidR="00000000" w:rsidDel="00000000" w:rsidP="00000000" w:rsidRDefault="00000000" w:rsidRPr="00000000" w14:paraId="00000081">
            <w:pPr>
              <w:rPr>
                <w:b w:val="1"/>
              </w:rPr>
            </w:pPr>
            <w:r w:rsidDel="00000000" w:rsidR="00000000" w:rsidRPr="00000000">
              <w:rPr>
                <w:b w:val="1"/>
                <w:rtl w:val="0"/>
              </w:rPr>
              <w:t xml:space="preserve">6</w:t>
            </w:r>
          </w:p>
        </w:tc>
        <w:tc>
          <w:tcPr>
            <w:gridSpan w:val="2"/>
            <w:tcBorders>
              <w:bottom w:color="cfd4d8" w:space="0" w:sz="6" w:val="single"/>
              <w:right w:color="cfd4d8" w:space="0" w:sz="6" w:val="single"/>
            </w:tcBorders>
            <w:shd w:fill="fdfdfd" w:val="clear"/>
            <w:tcMar>
              <w:top w:w="60.0" w:type="dxa"/>
              <w:left w:w="75.0" w:type="dxa"/>
              <w:bottom w:w="60.0" w:type="dxa"/>
              <w:right w:w="75.0" w:type="dxa"/>
            </w:tcMar>
            <w:vAlign w:val="center"/>
          </w:tcPr>
          <w:p w:rsidR="00000000" w:rsidDel="00000000" w:rsidP="00000000" w:rsidRDefault="00000000" w:rsidRPr="00000000" w14:paraId="00000082">
            <w:pPr>
              <w:rPr/>
            </w:pPr>
            <w:r w:rsidDel="00000000" w:rsidR="00000000" w:rsidRPr="00000000">
              <w:rPr>
                <w:rtl w:val="0"/>
              </w:rPr>
              <w:t xml:space="preserve">10/10/2011</w:t>
            </w:r>
          </w:p>
        </w:tc>
        <w:tc>
          <w:tcPr>
            <w:tcBorders>
              <w:bottom w:color="cfd4d8" w:space="0" w:sz="6" w:val="single"/>
              <w:right w:color="cfd4d8" w:space="0" w:sz="6" w:val="single"/>
            </w:tcBorders>
            <w:shd w:fill="fdfdfd" w:val="clear"/>
            <w:tcMar>
              <w:top w:w="60.0" w:type="dxa"/>
              <w:left w:w="75.0" w:type="dxa"/>
              <w:bottom w:w="60.0" w:type="dxa"/>
              <w:right w:w="75.0" w:type="dxa"/>
            </w:tcMar>
            <w:vAlign w:val="center"/>
          </w:tcPr>
          <w:p w:rsidR="00000000" w:rsidDel="00000000" w:rsidP="00000000" w:rsidRDefault="00000000" w:rsidRPr="00000000" w14:paraId="00000084">
            <w:pPr>
              <w:rPr/>
            </w:pPr>
            <w:r w:rsidDel="00000000" w:rsidR="00000000" w:rsidRPr="00000000">
              <w:rPr>
                <w:rtl w:val="0"/>
              </w:rPr>
              <w:t xml:space="preserve">20.80</w:t>
            </w:r>
          </w:p>
        </w:tc>
        <w:tc>
          <w:tcPr>
            <w:tcBorders>
              <w:bottom w:color="cfd4d8" w:space="0" w:sz="6" w:val="single"/>
              <w:right w:color="cfd4d8" w:space="0" w:sz="6" w:val="single"/>
            </w:tcBorders>
            <w:shd w:fill="fdfdfd" w:val="clear"/>
            <w:tcMar>
              <w:top w:w="60.0" w:type="dxa"/>
              <w:left w:w="75.0" w:type="dxa"/>
              <w:bottom w:w="60.0" w:type="dxa"/>
              <w:right w:w="75.0" w:type="dxa"/>
            </w:tcMar>
            <w:vAlign w:val="center"/>
          </w:tcPr>
          <w:p w:rsidR="00000000" w:rsidDel="00000000" w:rsidP="00000000" w:rsidRDefault="00000000" w:rsidRPr="00000000" w14:paraId="00000085">
            <w:pPr>
              <w:rPr/>
            </w:pPr>
            <w:r w:rsidDel="00000000" w:rsidR="00000000" w:rsidRPr="00000000">
              <w:rPr>
                <w:rtl w:val="0"/>
              </w:rPr>
              <w:t xml:space="preserve">21.00</w:t>
            </w:r>
          </w:p>
        </w:tc>
        <w:tc>
          <w:tcPr>
            <w:tcBorders>
              <w:bottom w:color="cfd4d8" w:space="0" w:sz="6" w:val="single"/>
              <w:right w:color="cfd4d8" w:space="0" w:sz="6" w:val="single"/>
            </w:tcBorders>
            <w:shd w:fill="fdfdfd" w:val="clear"/>
            <w:tcMar>
              <w:top w:w="60.0" w:type="dxa"/>
              <w:left w:w="75.0" w:type="dxa"/>
              <w:bottom w:w="60.0" w:type="dxa"/>
              <w:right w:w="75.0" w:type="dxa"/>
            </w:tcMar>
            <w:vAlign w:val="center"/>
          </w:tcPr>
          <w:p w:rsidR="00000000" w:rsidDel="00000000" w:rsidP="00000000" w:rsidRDefault="00000000" w:rsidRPr="00000000" w14:paraId="00000086">
            <w:pPr>
              <w:rPr/>
            </w:pPr>
            <w:r w:rsidDel="00000000" w:rsidR="00000000" w:rsidRPr="00000000">
              <w:rPr>
                <w:rtl w:val="0"/>
              </w:rPr>
              <w:t xml:space="preserve">19.75</w:t>
            </w:r>
          </w:p>
        </w:tc>
        <w:tc>
          <w:tcPr>
            <w:tcBorders>
              <w:bottom w:color="cfd4d8" w:space="0" w:sz="6" w:val="single"/>
              <w:right w:color="cfd4d8" w:space="0" w:sz="6" w:val="single"/>
            </w:tcBorders>
            <w:shd w:fill="fdfdfd" w:val="clear"/>
            <w:tcMar>
              <w:top w:w="60.0" w:type="dxa"/>
              <w:left w:w="75.0" w:type="dxa"/>
              <w:bottom w:w="60.0" w:type="dxa"/>
              <w:right w:w="75.0" w:type="dxa"/>
            </w:tcMar>
            <w:vAlign w:val="center"/>
          </w:tcPr>
          <w:p w:rsidR="00000000" w:rsidDel="00000000" w:rsidP="00000000" w:rsidRDefault="00000000" w:rsidRPr="00000000" w14:paraId="00000087">
            <w:pPr>
              <w:rPr/>
            </w:pPr>
            <w:r w:rsidDel="00000000" w:rsidR="00000000" w:rsidRPr="00000000">
              <w:rPr>
                <w:rtl w:val="0"/>
              </w:rPr>
              <w:t xml:space="preserve">20.20</w:t>
            </w:r>
          </w:p>
        </w:tc>
        <w:tc>
          <w:tcPr>
            <w:gridSpan w:val="2"/>
            <w:tcBorders>
              <w:bottom w:color="cfd4d8" w:space="0" w:sz="6" w:val="single"/>
              <w:right w:color="cfd4d8" w:space="0" w:sz="6" w:val="single"/>
            </w:tcBorders>
            <w:shd w:fill="fdfdfd" w:val="clear"/>
            <w:tcMar>
              <w:top w:w="60.0" w:type="dxa"/>
              <w:left w:w="75.0" w:type="dxa"/>
              <w:bottom w:w="60.0" w:type="dxa"/>
              <w:right w:w="75.0" w:type="dxa"/>
            </w:tcMar>
            <w:vAlign w:val="center"/>
          </w:tcPr>
          <w:p w:rsidR="00000000" w:rsidDel="00000000" w:rsidP="00000000" w:rsidRDefault="00000000" w:rsidRPr="00000000" w14:paraId="00000088">
            <w:pPr>
              <w:rPr/>
            </w:pPr>
            <w:r w:rsidDel="00000000" w:rsidR="00000000" w:rsidRPr="00000000">
              <w:rPr>
                <w:rtl w:val="0"/>
              </w:rPr>
              <w:t xml:space="preserve">316300</w:t>
            </w:r>
          </w:p>
        </w:tc>
        <w:tc>
          <w:tcPr>
            <w:tcBorders>
              <w:bottom w:color="cfd4d8" w:space="0" w:sz="6" w:val="single"/>
              <w:right w:color="cfd4d8" w:space="0" w:sz="6" w:val="single"/>
            </w:tcBorders>
            <w:shd w:fill="fdfdfd" w:val="clear"/>
            <w:tcMar>
              <w:top w:w="60.0" w:type="dxa"/>
              <w:left w:w="75.0" w:type="dxa"/>
              <w:bottom w:w="60.0" w:type="dxa"/>
              <w:right w:w="75.0" w:type="dxa"/>
            </w:tcMar>
            <w:vAlign w:val="center"/>
          </w:tcPr>
          <w:p w:rsidR="00000000" w:rsidDel="00000000" w:rsidP="00000000" w:rsidRDefault="00000000" w:rsidRPr="00000000" w14:paraId="0000008A">
            <w:pPr>
              <w:rPr/>
            </w:pPr>
            <w:r w:rsidDel="00000000" w:rsidR="00000000" w:rsidRPr="00000000">
              <w:rPr>
                <w:rtl w:val="0"/>
              </w:rPr>
              <w:t xml:space="preserve">18.85</w:t>
            </w:r>
          </w:p>
        </w:tc>
      </w:tr>
      <w:tr>
        <w:trPr>
          <w:trHeight w:val="345" w:hRule="atLeast"/>
        </w:trPr>
        <w:tc>
          <w:tcPr>
            <w:tcBorders>
              <w:bottom w:color="cfd4d8" w:space="0" w:sz="6" w:val="single"/>
              <w:right w:color="cfd4d8" w:space="0" w:sz="6" w:val="single"/>
            </w:tcBorders>
            <w:shd w:fill="f7f8f9" w:val="clear"/>
            <w:tcMar>
              <w:top w:w="60.0" w:type="dxa"/>
              <w:left w:w="75.0" w:type="dxa"/>
              <w:bottom w:w="60.0" w:type="dxa"/>
              <w:right w:w="75.0" w:type="dxa"/>
            </w:tcMar>
            <w:vAlign w:val="center"/>
          </w:tcPr>
          <w:p w:rsidR="00000000" w:rsidDel="00000000" w:rsidP="00000000" w:rsidRDefault="00000000" w:rsidRPr="00000000" w14:paraId="0000008B">
            <w:pPr>
              <w:rPr>
                <w:b w:val="1"/>
              </w:rPr>
            </w:pPr>
            <w:r w:rsidDel="00000000" w:rsidR="00000000" w:rsidRPr="00000000">
              <w:rPr>
                <w:b w:val="1"/>
                <w:rtl w:val="0"/>
              </w:rPr>
              <w:t xml:space="preserve">7</w:t>
            </w:r>
          </w:p>
        </w:tc>
        <w:tc>
          <w:tcPr>
            <w:gridSpan w:val="2"/>
            <w:tcBorders>
              <w:bottom w:color="cfd4d8" w:space="0" w:sz="6" w:val="single"/>
              <w:right w:color="cfd4d8" w:space="0" w:sz="6" w:val="single"/>
            </w:tcBorders>
            <w:shd w:fill="ffffff" w:val="clear"/>
            <w:tcMar>
              <w:top w:w="60.0" w:type="dxa"/>
              <w:left w:w="75.0" w:type="dxa"/>
              <w:bottom w:w="60.0" w:type="dxa"/>
              <w:right w:w="75.0" w:type="dxa"/>
            </w:tcMar>
            <w:vAlign w:val="center"/>
          </w:tcPr>
          <w:p w:rsidR="00000000" w:rsidDel="00000000" w:rsidP="00000000" w:rsidRDefault="00000000" w:rsidRPr="00000000" w14:paraId="0000008C">
            <w:pPr>
              <w:rPr/>
            </w:pPr>
            <w:r w:rsidDel="00000000" w:rsidR="00000000" w:rsidRPr="00000000">
              <w:rPr>
                <w:rtl w:val="0"/>
              </w:rPr>
              <w:t xml:space="preserve">10/17/2011</w:t>
            </w:r>
          </w:p>
        </w:tc>
        <w:tc>
          <w:tcPr>
            <w:tcBorders>
              <w:bottom w:color="cfd4d8" w:space="0" w:sz="6" w:val="single"/>
              <w:right w:color="cfd4d8" w:space="0" w:sz="6" w:val="single"/>
            </w:tcBorders>
            <w:shd w:fill="ffffff" w:val="clear"/>
            <w:tcMar>
              <w:top w:w="60.0" w:type="dxa"/>
              <w:left w:w="75.0" w:type="dxa"/>
              <w:bottom w:w="60.0" w:type="dxa"/>
              <w:right w:w="75.0" w:type="dxa"/>
            </w:tcMar>
            <w:vAlign w:val="center"/>
          </w:tcPr>
          <w:p w:rsidR="00000000" w:rsidDel="00000000" w:rsidP="00000000" w:rsidRDefault="00000000" w:rsidRPr="00000000" w14:paraId="0000008E">
            <w:pPr>
              <w:rPr/>
            </w:pPr>
            <w:r w:rsidDel="00000000" w:rsidR="00000000" w:rsidRPr="00000000">
              <w:rPr>
                <w:rtl w:val="0"/>
              </w:rPr>
              <w:t xml:space="preserve">20.25</w:t>
            </w:r>
          </w:p>
        </w:tc>
        <w:tc>
          <w:tcPr>
            <w:tcBorders>
              <w:bottom w:color="cfd4d8" w:space="0" w:sz="6" w:val="single"/>
              <w:right w:color="cfd4d8" w:space="0" w:sz="6" w:val="single"/>
            </w:tcBorders>
            <w:shd w:fill="ffffff" w:val="clear"/>
            <w:tcMar>
              <w:top w:w="60.0" w:type="dxa"/>
              <w:left w:w="75.0" w:type="dxa"/>
              <w:bottom w:w="60.0" w:type="dxa"/>
              <w:right w:w="75.0" w:type="dxa"/>
            </w:tcMar>
            <w:vAlign w:val="center"/>
          </w:tcPr>
          <w:p w:rsidR="00000000" w:rsidDel="00000000" w:rsidP="00000000" w:rsidRDefault="00000000" w:rsidRPr="00000000" w14:paraId="0000008F">
            <w:pPr>
              <w:rPr/>
            </w:pPr>
            <w:r w:rsidDel="00000000" w:rsidR="00000000" w:rsidRPr="00000000">
              <w:rPr>
                <w:rtl w:val="0"/>
              </w:rPr>
              <w:t xml:space="preserve">22.60</w:t>
            </w:r>
          </w:p>
        </w:tc>
        <w:tc>
          <w:tcPr>
            <w:tcBorders>
              <w:bottom w:color="cfd4d8" w:space="0" w:sz="6" w:val="single"/>
              <w:right w:color="cfd4d8" w:space="0" w:sz="6" w:val="single"/>
            </w:tcBorders>
            <w:shd w:fill="ffffff" w:val="clear"/>
            <w:tcMar>
              <w:top w:w="60.0" w:type="dxa"/>
              <w:left w:w="75.0" w:type="dxa"/>
              <w:bottom w:w="60.0" w:type="dxa"/>
              <w:right w:w="75.0" w:type="dxa"/>
            </w:tcMar>
            <w:vAlign w:val="center"/>
          </w:tcPr>
          <w:p w:rsidR="00000000" w:rsidDel="00000000" w:rsidP="00000000" w:rsidRDefault="00000000" w:rsidRPr="00000000" w14:paraId="00000090">
            <w:pPr>
              <w:rPr/>
            </w:pPr>
            <w:r w:rsidDel="00000000" w:rsidR="00000000" w:rsidRPr="00000000">
              <w:rPr>
                <w:rtl w:val="0"/>
              </w:rPr>
              <w:t xml:space="preserve">20.25</w:t>
            </w:r>
          </w:p>
        </w:tc>
        <w:tc>
          <w:tcPr>
            <w:tcBorders>
              <w:bottom w:color="cfd4d8" w:space="0" w:sz="6" w:val="single"/>
              <w:right w:color="cfd4d8" w:space="0" w:sz="6" w:val="single"/>
            </w:tcBorders>
            <w:shd w:fill="ffffff" w:val="clear"/>
            <w:tcMar>
              <w:top w:w="60.0" w:type="dxa"/>
              <w:left w:w="75.0" w:type="dxa"/>
              <w:bottom w:w="60.0" w:type="dxa"/>
              <w:right w:w="75.0" w:type="dxa"/>
            </w:tcMar>
            <w:vAlign w:val="center"/>
          </w:tcPr>
          <w:p w:rsidR="00000000" w:rsidDel="00000000" w:rsidP="00000000" w:rsidRDefault="00000000" w:rsidRPr="00000000" w14:paraId="00000091">
            <w:pPr>
              <w:rPr/>
            </w:pPr>
            <w:r w:rsidDel="00000000" w:rsidR="00000000" w:rsidRPr="00000000">
              <w:rPr>
                <w:rtl w:val="0"/>
              </w:rPr>
              <w:t xml:space="preserve">22.00</w:t>
            </w:r>
          </w:p>
        </w:tc>
        <w:tc>
          <w:tcPr>
            <w:gridSpan w:val="2"/>
            <w:tcBorders>
              <w:bottom w:color="cfd4d8" w:space="0" w:sz="6" w:val="single"/>
              <w:right w:color="cfd4d8" w:space="0" w:sz="6" w:val="single"/>
            </w:tcBorders>
            <w:shd w:fill="ffffff" w:val="clear"/>
            <w:tcMar>
              <w:top w:w="60.0" w:type="dxa"/>
              <w:left w:w="75.0" w:type="dxa"/>
              <w:bottom w:w="60.0" w:type="dxa"/>
              <w:right w:w="75.0" w:type="dxa"/>
            </w:tcMar>
            <w:vAlign w:val="center"/>
          </w:tcPr>
          <w:p w:rsidR="00000000" w:rsidDel="00000000" w:rsidP="00000000" w:rsidRDefault="00000000" w:rsidRPr="00000000" w14:paraId="00000092">
            <w:pPr>
              <w:rPr/>
            </w:pPr>
            <w:r w:rsidDel="00000000" w:rsidR="00000000" w:rsidRPr="00000000">
              <w:rPr>
                <w:rtl w:val="0"/>
              </w:rPr>
              <w:t xml:space="preserve">595300</w:t>
            </w:r>
          </w:p>
        </w:tc>
        <w:tc>
          <w:tcPr>
            <w:tcBorders>
              <w:bottom w:color="cfd4d8" w:space="0" w:sz="6" w:val="single"/>
              <w:right w:color="cfd4d8" w:space="0" w:sz="6" w:val="single"/>
            </w:tcBorders>
            <w:shd w:fill="ffffff" w:val="clear"/>
            <w:tcMar>
              <w:top w:w="60.0" w:type="dxa"/>
              <w:left w:w="75.0" w:type="dxa"/>
              <w:bottom w:w="60.0" w:type="dxa"/>
              <w:right w:w="75.0" w:type="dxa"/>
            </w:tcMar>
            <w:vAlign w:val="center"/>
          </w:tcPr>
          <w:p w:rsidR="00000000" w:rsidDel="00000000" w:rsidP="00000000" w:rsidRDefault="00000000" w:rsidRPr="00000000" w14:paraId="00000094">
            <w:pPr>
              <w:rPr/>
            </w:pPr>
            <w:r w:rsidDel="00000000" w:rsidR="00000000" w:rsidRPr="00000000">
              <w:rPr>
                <w:rtl w:val="0"/>
              </w:rPr>
              <w:t xml:space="preserve">20.53</w:t>
            </w:r>
          </w:p>
        </w:tc>
      </w:tr>
      <w:tr>
        <w:trPr>
          <w:trHeight w:val="345" w:hRule="atLeast"/>
        </w:trPr>
        <w:tc>
          <w:tcPr>
            <w:tcBorders>
              <w:bottom w:color="cfd4d8" w:space="0" w:sz="6" w:val="single"/>
              <w:right w:color="cfd4d8" w:space="0" w:sz="6" w:val="single"/>
            </w:tcBorders>
            <w:shd w:fill="f7f8f9" w:val="clear"/>
            <w:tcMar>
              <w:top w:w="60.0" w:type="dxa"/>
              <w:left w:w="75.0" w:type="dxa"/>
              <w:bottom w:w="60.0" w:type="dxa"/>
              <w:right w:w="75.0" w:type="dxa"/>
            </w:tcMar>
            <w:vAlign w:val="center"/>
          </w:tcPr>
          <w:p w:rsidR="00000000" w:rsidDel="00000000" w:rsidP="00000000" w:rsidRDefault="00000000" w:rsidRPr="00000000" w14:paraId="00000095">
            <w:pPr>
              <w:rPr>
                <w:b w:val="1"/>
              </w:rPr>
            </w:pPr>
            <w:r w:rsidDel="00000000" w:rsidR="00000000" w:rsidRPr="00000000">
              <w:rPr>
                <w:b w:val="1"/>
                <w:rtl w:val="0"/>
              </w:rPr>
              <w:t xml:space="preserve">8</w:t>
            </w:r>
          </w:p>
        </w:tc>
        <w:tc>
          <w:tcPr>
            <w:gridSpan w:val="2"/>
            <w:tcBorders>
              <w:bottom w:color="cfd4d8" w:space="0" w:sz="6" w:val="single"/>
              <w:right w:color="cfd4d8" w:space="0" w:sz="6" w:val="single"/>
            </w:tcBorders>
            <w:shd w:fill="fdfdfd" w:val="clear"/>
            <w:tcMar>
              <w:top w:w="60.0" w:type="dxa"/>
              <w:left w:w="75.0" w:type="dxa"/>
              <w:bottom w:w="60.0" w:type="dxa"/>
              <w:right w:w="75.0" w:type="dxa"/>
            </w:tcMar>
            <w:vAlign w:val="center"/>
          </w:tcPr>
          <w:p w:rsidR="00000000" w:rsidDel="00000000" w:rsidP="00000000" w:rsidRDefault="00000000" w:rsidRPr="00000000" w14:paraId="00000096">
            <w:pPr>
              <w:rPr/>
            </w:pPr>
            <w:r w:rsidDel="00000000" w:rsidR="00000000" w:rsidRPr="00000000">
              <w:rPr>
                <w:rtl w:val="0"/>
              </w:rPr>
              <w:t xml:space="preserve">10/24/2011</w:t>
            </w:r>
          </w:p>
        </w:tc>
        <w:tc>
          <w:tcPr>
            <w:tcBorders>
              <w:bottom w:color="cfd4d8" w:space="0" w:sz="6" w:val="single"/>
              <w:right w:color="cfd4d8" w:space="0" w:sz="6" w:val="single"/>
            </w:tcBorders>
            <w:shd w:fill="fdfdfd" w:val="clear"/>
            <w:tcMar>
              <w:top w:w="60.0" w:type="dxa"/>
              <w:left w:w="75.0" w:type="dxa"/>
              <w:bottom w:w="60.0" w:type="dxa"/>
              <w:right w:w="75.0" w:type="dxa"/>
            </w:tcMar>
            <w:vAlign w:val="center"/>
          </w:tcPr>
          <w:p w:rsidR="00000000" w:rsidDel="00000000" w:rsidP="00000000" w:rsidRDefault="00000000" w:rsidRPr="00000000" w14:paraId="00000098">
            <w:pPr>
              <w:rPr/>
            </w:pPr>
            <w:r w:rsidDel="00000000" w:rsidR="00000000" w:rsidRPr="00000000">
              <w:rPr>
                <w:rtl w:val="0"/>
              </w:rPr>
              <w:t xml:space="preserve">21.85</w:t>
            </w:r>
          </w:p>
        </w:tc>
        <w:tc>
          <w:tcPr>
            <w:tcBorders>
              <w:bottom w:color="cfd4d8" w:space="0" w:sz="6" w:val="single"/>
              <w:right w:color="cfd4d8" w:space="0" w:sz="6" w:val="single"/>
            </w:tcBorders>
            <w:shd w:fill="fdfdfd" w:val="clear"/>
            <w:tcMar>
              <w:top w:w="60.0" w:type="dxa"/>
              <w:left w:w="75.0" w:type="dxa"/>
              <w:bottom w:w="60.0" w:type="dxa"/>
              <w:right w:w="75.0" w:type="dxa"/>
            </w:tcMar>
            <w:vAlign w:val="center"/>
          </w:tcPr>
          <w:p w:rsidR="00000000" w:rsidDel="00000000" w:rsidP="00000000" w:rsidRDefault="00000000" w:rsidRPr="00000000" w14:paraId="00000099">
            <w:pPr>
              <w:rPr/>
            </w:pPr>
            <w:r w:rsidDel="00000000" w:rsidR="00000000" w:rsidRPr="00000000">
              <w:rPr>
                <w:rtl w:val="0"/>
              </w:rPr>
              <w:t xml:space="preserve">22.10</w:t>
            </w:r>
          </w:p>
        </w:tc>
        <w:tc>
          <w:tcPr>
            <w:tcBorders>
              <w:bottom w:color="cfd4d8" w:space="0" w:sz="6" w:val="single"/>
              <w:right w:color="cfd4d8" w:space="0" w:sz="6" w:val="single"/>
            </w:tcBorders>
            <w:shd w:fill="fdfdfd" w:val="clear"/>
            <w:tcMar>
              <w:top w:w="60.0" w:type="dxa"/>
              <w:left w:w="75.0" w:type="dxa"/>
              <w:bottom w:w="60.0" w:type="dxa"/>
              <w:right w:w="75.0" w:type="dxa"/>
            </w:tcMar>
            <w:vAlign w:val="center"/>
          </w:tcPr>
          <w:p w:rsidR="00000000" w:rsidDel="00000000" w:rsidP="00000000" w:rsidRDefault="00000000" w:rsidRPr="00000000" w14:paraId="0000009A">
            <w:pPr>
              <w:rPr/>
            </w:pPr>
            <w:r w:rsidDel="00000000" w:rsidR="00000000" w:rsidRPr="00000000">
              <w:rPr>
                <w:rtl w:val="0"/>
              </w:rPr>
              <w:t xml:space="preserve">20.85</w:t>
            </w:r>
          </w:p>
        </w:tc>
        <w:tc>
          <w:tcPr>
            <w:tcBorders>
              <w:bottom w:color="cfd4d8" w:space="0" w:sz="6" w:val="single"/>
              <w:right w:color="cfd4d8" w:space="0" w:sz="6" w:val="single"/>
            </w:tcBorders>
            <w:shd w:fill="fdfdfd" w:val="clear"/>
            <w:tcMar>
              <w:top w:w="60.0" w:type="dxa"/>
              <w:left w:w="75.0" w:type="dxa"/>
              <w:bottom w:w="60.0" w:type="dxa"/>
              <w:right w:w="75.0" w:type="dxa"/>
            </w:tcMar>
            <w:vAlign w:val="center"/>
          </w:tcPr>
          <w:p w:rsidR="00000000" w:rsidDel="00000000" w:rsidP="00000000" w:rsidRDefault="00000000" w:rsidRPr="00000000" w14:paraId="0000009B">
            <w:pPr>
              <w:rPr/>
            </w:pPr>
            <w:r w:rsidDel="00000000" w:rsidR="00000000" w:rsidRPr="00000000">
              <w:rPr>
                <w:rtl w:val="0"/>
              </w:rPr>
              <w:t xml:space="preserve">21.00</w:t>
            </w:r>
          </w:p>
        </w:tc>
        <w:tc>
          <w:tcPr>
            <w:gridSpan w:val="2"/>
            <w:tcBorders>
              <w:bottom w:color="cfd4d8" w:space="0" w:sz="6" w:val="single"/>
              <w:right w:color="cfd4d8" w:space="0" w:sz="6" w:val="single"/>
            </w:tcBorders>
            <w:shd w:fill="fdfdfd" w:val="clear"/>
            <w:tcMar>
              <w:top w:w="60.0" w:type="dxa"/>
              <w:left w:w="75.0" w:type="dxa"/>
              <w:bottom w:w="60.0" w:type="dxa"/>
              <w:right w:w="75.0" w:type="dxa"/>
            </w:tcMar>
            <w:vAlign w:val="center"/>
          </w:tcPr>
          <w:p w:rsidR="00000000" w:rsidDel="00000000" w:rsidP="00000000" w:rsidRDefault="00000000" w:rsidRPr="00000000" w14:paraId="0000009C">
            <w:pPr>
              <w:rPr/>
            </w:pPr>
            <w:r w:rsidDel="00000000" w:rsidR="00000000" w:rsidRPr="00000000">
              <w:rPr>
                <w:rtl w:val="0"/>
              </w:rPr>
              <w:t xml:space="preserve">228900</w:t>
            </w:r>
          </w:p>
        </w:tc>
        <w:tc>
          <w:tcPr>
            <w:tcBorders>
              <w:bottom w:color="cfd4d8" w:space="0" w:sz="6" w:val="single"/>
              <w:right w:color="cfd4d8" w:space="0" w:sz="6" w:val="single"/>
            </w:tcBorders>
            <w:shd w:fill="fdfdfd" w:val="clear"/>
            <w:tcMar>
              <w:top w:w="60.0" w:type="dxa"/>
              <w:left w:w="75.0" w:type="dxa"/>
              <w:bottom w:w="60.0" w:type="dxa"/>
              <w:right w:w="75.0" w:type="dxa"/>
            </w:tcMar>
            <w:vAlign w:val="center"/>
          </w:tcPr>
          <w:p w:rsidR="00000000" w:rsidDel="00000000" w:rsidP="00000000" w:rsidRDefault="00000000" w:rsidRPr="00000000" w14:paraId="0000009E">
            <w:pPr>
              <w:rPr/>
            </w:pPr>
            <w:r w:rsidDel="00000000" w:rsidR="00000000" w:rsidRPr="00000000">
              <w:rPr>
                <w:rtl w:val="0"/>
              </w:rPr>
              <w:t xml:space="preserve">19.60</w:t>
            </w:r>
          </w:p>
        </w:tc>
      </w:tr>
      <w:tr>
        <w:trPr>
          <w:trHeight w:val="345" w:hRule="atLeast"/>
        </w:trPr>
        <w:tc>
          <w:tcPr>
            <w:tcBorders>
              <w:bottom w:color="cfd4d8" w:space="0" w:sz="6" w:val="single"/>
              <w:right w:color="cfd4d8" w:space="0" w:sz="6" w:val="single"/>
            </w:tcBorders>
            <w:shd w:fill="f7f8f9" w:val="clear"/>
            <w:tcMar>
              <w:top w:w="60.0" w:type="dxa"/>
              <w:left w:w="75.0" w:type="dxa"/>
              <w:bottom w:w="60.0" w:type="dxa"/>
              <w:right w:w="75.0" w:type="dxa"/>
            </w:tcMar>
            <w:vAlign w:val="center"/>
          </w:tcPr>
          <w:p w:rsidR="00000000" w:rsidDel="00000000" w:rsidP="00000000" w:rsidRDefault="00000000" w:rsidRPr="00000000" w14:paraId="0000009F">
            <w:pPr>
              <w:rPr>
                <w:b w:val="1"/>
              </w:rPr>
            </w:pPr>
            <w:r w:rsidDel="00000000" w:rsidR="00000000" w:rsidRPr="00000000">
              <w:rPr>
                <w:b w:val="1"/>
                <w:rtl w:val="0"/>
              </w:rPr>
              <w:t xml:space="preserve">9</w:t>
            </w:r>
          </w:p>
        </w:tc>
        <w:tc>
          <w:tcPr>
            <w:gridSpan w:val="2"/>
            <w:tcBorders>
              <w:bottom w:color="cfd4d8" w:space="0" w:sz="6" w:val="single"/>
              <w:right w:color="cfd4d8" w:space="0" w:sz="6" w:val="single"/>
            </w:tcBorders>
            <w:shd w:fill="ffffff" w:val="clear"/>
            <w:tcMar>
              <w:top w:w="60.0" w:type="dxa"/>
              <w:left w:w="75.0" w:type="dxa"/>
              <w:bottom w:w="60.0" w:type="dxa"/>
              <w:right w:w="75.0" w:type="dxa"/>
            </w:tcMar>
            <w:vAlign w:val="center"/>
          </w:tcPr>
          <w:p w:rsidR="00000000" w:rsidDel="00000000" w:rsidP="00000000" w:rsidRDefault="00000000" w:rsidRPr="00000000" w14:paraId="000000A0">
            <w:pPr>
              <w:rPr/>
            </w:pPr>
            <w:r w:rsidDel="00000000" w:rsidR="00000000" w:rsidRPr="00000000">
              <w:rPr>
                <w:rtl w:val="0"/>
              </w:rPr>
              <w:t xml:space="preserve">10/31/2011</w:t>
            </w:r>
          </w:p>
        </w:tc>
        <w:tc>
          <w:tcPr>
            <w:tcBorders>
              <w:bottom w:color="cfd4d8" w:space="0" w:sz="6" w:val="single"/>
              <w:right w:color="cfd4d8" w:space="0" w:sz="6" w:val="single"/>
            </w:tcBorders>
            <w:shd w:fill="ffffff" w:val="clear"/>
            <w:tcMar>
              <w:top w:w="60.0" w:type="dxa"/>
              <w:left w:w="75.0" w:type="dxa"/>
              <w:bottom w:w="60.0" w:type="dxa"/>
              <w:right w:w="75.0" w:type="dxa"/>
            </w:tcMar>
            <w:vAlign w:val="center"/>
          </w:tcPr>
          <w:p w:rsidR="00000000" w:rsidDel="00000000" w:rsidP="00000000" w:rsidRDefault="00000000" w:rsidRPr="00000000" w14:paraId="000000A2">
            <w:pPr>
              <w:rPr/>
            </w:pPr>
            <w:r w:rsidDel="00000000" w:rsidR="00000000" w:rsidRPr="00000000">
              <w:rPr>
                <w:rtl w:val="0"/>
              </w:rPr>
              <w:t xml:space="preserve">21.10</w:t>
            </w:r>
          </w:p>
        </w:tc>
        <w:tc>
          <w:tcPr>
            <w:tcBorders>
              <w:bottom w:color="cfd4d8" w:space="0" w:sz="6" w:val="single"/>
              <w:right w:color="cfd4d8" w:space="0" w:sz="6" w:val="single"/>
            </w:tcBorders>
            <w:shd w:fill="ffffff" w:val="clear"/>
            <w:tcMar>
              <w:top w:w="60.0" w:type="dxa"/>
              <w:left w:w="75.0" w:type="dxa"/>
              <w:bottom w:w="60.0" w:type="dxa"/>
              <w:right w:w="75.0" w:type="dxa"/>
            </w:tcMar>
            <w:vAlign w:val="center"/>
          </w:tcPr>
          <w:p w:rsidR="00000000" w:rsidDel="00000000" w:rsidP="00000000" w:rsidRDefault="00000000" w:rsidRPr="00000000" w14:paraId="000000A3">
            <w:pPr>
              <w:rPr/>
            </w:pPr>
            <w:r w:rsidDel="00000000" w:rsidR="00000000" w:rsidRPr="00000000">
              <w:rPr>
                <w:rtl w:val="0"/>
              </w:rPr>
              <w:t xml:space="preserve">22.65</w:t>
            </w:r>
          </w:p>
        </w:tc>
        <w:tc>
          <w:tcPr>
            <w:tcBorders>
              <w:bottom w:color="cfd4d8" w:space="0" w:sz="6" w:val="single"/>
              <w:right w:color="cfd4d8" w:space="0" w:sz="6" w:val="single"/>
            </w:tcBorders>
            <w:shd w:fill="ffffff" w:val="clear"/>
            <w:tcMar>
              <w:top w:w="60.0" w:type="dxa"/>
              <w:left w:w="75.0" w:type="dxa"/>
              <w:bottom w:w="60.0" w:type="dxa"/>
              <w:right w:w="75.0" w:type="dxa"/>
            </w:tcMar>
            <w:vAlign w:val="center"/>
          </w:tcPr>
          <w:p w:rsidR="00000000" w:rsidDel="00000000" w:rsidP="00000000" w:rsidRDefault="00000000" w:rsidRPr="00000000" w14:paraId="000000A4">
            <w:pPr>
              <w:rPr/>
            </w:pPr>
            <w:r w:rsidDel="00000000" w:rsidR="00000000" w:rsidRPr="00000000">
              <w:rPr>
                <w:rtl w:val="0"/>
              </w:rPr>
              <w:t xml:space="preserve">21.00</w:t>
            </w:r>
          </w:p>
        </w:tc>
        <w:tc>
          <w:tcPr>
            <w:tcBorders>
              <w:bottom w:color="cfd4d8" w:space="0" w:sz="6" w:val="single"/>
              <w:right w:color="cfd4d8" w:space="0" w:sz="6" w:val="single"/>
            </w:tcBorders>
            <w:shd w:fill="ffffff" w:val="clear"/>
            <w:tcMar>
              <w:top w:w="60.0" w:type="dxa"/>
              <w:left w:w="75.0" w:type="dxa"/>
              <w:bottom w:w="60.0" w:type="dxa"/>
              <w:right w:w="75.0" w:type="dxa"/>
            </w:tcMar>
            <w:vAlign w:val="center"/>
          </w:tcPr>
          <w:p w:rsidR="00000000" w:rsidDel="00000000" w:rsidP="00000000" w:rsidRDefault="00000000" w:rsidRPr="00000000" w14:paraId="000000A5">
            <w:pPr>
              <w:rPr/>
            </w:pPr>
            <w:r w:rsidDel="00000000" w:rsidR="00000000" w:rsidRPr="00000000">
              <w:rPr>
                <w:rtl w:val="0"/>
              </w:rPr>
              <w:t xml:space="preserve">21.20</w:t>
            </w:r>
          </w:p>
        </w:tc>
        <w:tc>
          <w:tcPr>
            <w:gridSpan w:val="2"/>
            <w:tcBorders>
              <w:bottom w:color="cfd4d8" w:space="0" w:sz="6" w:val="single"/>
              <w:right w:color="cfd4d8" w:space="0" w:sz="6" w:val="single"/>
            </w:tcBorders>
            <w:shd w:fill="ffffff" w:val="clear"/>
            <w:tcMar>
              <w:top w:w="60.0" w:type="dxa"/>
              <w:left w:w="75.0" w:type="dxa"/>
              <w:bottom w:w="60.0" w:type="dxa"/>
              <w:right w:w="75.0" w:type="dxa"/>
            </w:tcMar>
            <w:vAlign w:val="center"/>
          </w:tcPr>
          <w:p w:rsidR="00000000" w:rsidDel="00000000" w:rsidP="00000000" w:rsidRDefault="00000000" w:rsidRPr="00000000" w14:paraId="000000A6">
            <w:pPr>
              <w:rPr/>
            </w:pPr>
            <w:r w:rsidDel="00000000" w:rsidR="00000000" w:rsidRPr="00000000">
              <w:rPr>
                <w:rtl w:val="0"/>
              </w:rPr>
              <w:t xml:space="preserve">314600</w:t>
            </w:r>
          </w:p>
        </w:tc>
        <w:tc>
          <w:tcPr>
            <w:tcBorders>
              <w:bottom w:color="cfd4d8" w:space="0" w:sz="6" w:val="single"/>
              <w:right w:color="cfd4d8" w:space="0" w:sz="6" w:val="single"/>
            </w:tcBorders>
            <w:shd w:fill="ffffff" w:val="clear"/>
            <w:tcMar>
              <w:top w:w="60.0" w:type="dxa"/>
              <w:left w:w="75.0" w:type="dxa"/>
              <w:bottom w:w="60.0" w:type="dxa"/>
              <w:right w:w="75.0" w:type="dxa"/>
            </w:tcMar>
            <w:vAlign w:val="center"/>
          </w:tcPr>
          <w:p w:rsidR="00000000" w:rsidDel="00000000" w:rsidP="00000000" w:rsidRDefault="00000000" w:rsidRPr="00000000" w14:paraId="000000A8">
            <w:pPr>
              <w:rPr/>
            </w:pPr>
            <w:r w:rsidDel="00000000" w:rsidR="00000000" w:rsidRPr="00000000">
              <w:rPr>
                <w:rtl w:val="0"/>
              </w:rPr>
              <w:t xml:space="preserve">19.79</w:t>
            </w:r>
          </w:p>
        </w:tc>
      </w:tr>
      <w:tr>
        <w:trPr>
          <w:trHeight w:val="345" w:hRule="atLeast"/>
        </w:trPr>
        <w:tc>
          <w:tcPr>
            <w:tcBorders>
              <w:bottom w:color="cfd4d8" w:space="0" w:sz="6" w:val="single"/>
              <w:right w:color="cfd4d8" w:space="0" w:sz="6" w:val="single"/>
            </w:tcBorders>
            <w:shd w:fill="f7f8f9" w:val="clear"/>
            <w:tcMar>
              <w:top w:w="60.0" w:type="dxa"/>
              <w:left w:w="75.0" w:type="dxa"/>
              <w:bottom w:w="60.0" w:type="dxa"/>
              <w:right w:w="75.0" w:type="dxa"/>
            </w:tcMar>
            <w:vAlign w:val="center"/>
          </w:tcPr>
          <w:p w:rsidR="00000000" w:rsidDel="00000000" w:rsidP="00000000" w:rsidRDefault="00000000" w:rsidRPr="00000000" w14:paraId="000000A9">
            <w:pPr>
              <w:rPr>
                <w:b w:val="1"/>
              </w:rPr>
            </w:pPr>
            <w:r w:rsidDel="00000000" w:rsidR="00000000" w:rsidRPr="00000000">
              <w:rPr>
                <w:b w:val="1"/>
                <w:rtl w:val="0"/>
              </w:rPr>
              <w:t xml:space="preserve">10</w:t>
            </w:r>
          </w:p>
        </w:tc>
        <w:tc>
          <w:tcPr>
            <w:gridSpan w:val="2"/>
            <w:tcBorders>
              <w:bottom w:color="cfd4d8" w:space="0" w:sz="6" w:val="single"/>
              <w:right w:color="cfd4d8" w:space="0" w:sz="6" w:val="single"/>
            </w:tcBorders>
            <w:shd w:fill="fdfdfd" w:val="clear"/>
            <w:tcMar>
              <w:top w:w="60.0" w:type="dxa"/>
              <w:left w:w="75.0" w:type="dxa"/>
              <w:bottom w:w="60.0" w:type="dxa"/>
              <w:right w:w="75.0" w:type="dxa"/>
            </w:tcMar>
            <w:vAlign w:val="center"/>
          </w:tcPr>
          <w:p w:rsidR="00000000" w:rsidDel="00000000" w:rsidP="00000000" w:rsidRDefault="00000000" w:rsidRPr="00000000" w14:paraId="000000AA">
            <w:pPr>
              <w:rPr/>
            </w:pPr>
            <w:r w:rsidDel="00000000" w:rsidR="00000000" w:rsidRPr="00000000">
              <w:rPr>
                <w:rtl w:val="0"/>
              </w:rPr>
              <w:t xml:space="preserve">11/10/2011</w:t>
            </w:r>
          </w:p>
        </w:tc>
        <w:tc>
          <w:tcPr>
            <w:tcBorders>
              <w:bottom w:color="cfd4d8" w:space="0" w:sz="6" w:val="single"/>
              <w:right w:color="cfd4d8" w:space="0" w:sz="6" w:val="single"/>
            </w:tcBorders>
            <w:shd w:fill="fdfdfd" w:val="clear"/>
            <w:tcMar>
              <w:top w:w="60.0" w:type="dxa"/>
              <w:left w:w="75.0" w:type="dxa"/>
              <w:bottom w:w="60.0" w:type="dxa"/>
              <w:right w:w="75.0" w:type="dxa"/>
            </w:tcMar>
            <w:vAlign w:val="center"/>
          </w:tcPr>
          <w:p w:rsidR="00000000" w:rsidDel="00000000" w:rsidP="00000000" w:rsidRDefault="00000000" w:rsidRPr="00000000" w14:paraId="000000AC">
            <w:pPr>
              <w:rPr/>
            </w:pPr>
            <w:r w:rsidDel="00000000" w:rsidR="00000000" w:rsidRPr="00000000">
              <w:rPr>
                <w:rtl w:val="0"/>
              </w:rPr>
              <w:t xml:space="preserve">21.10</w:t>
            </w:r>
          </w:p>
        </w:tc>
        <w:tc>
          <w:tcPr>
            <w:tcBorders>
              <w:bottom w:color="cfd4d8" w:space="0" w:sz="6" w:val="single"/>
              <w:right w:color="cfd4d8" w:space="0" w:sz="6" w:val="single"/>
            </w:tcBorders>
            <w:shd w:fill="fdfdfd" w:val="clear"/>
            <w:tcMar>
              <w:top w:w="60.0" w:type="dxa"/>
              <w:left w:w="75.0" w:type="dxa"/>
              <w:bottom w:w="60.0" w:type="dxa"/>
              <w:right w:w="75.0" w:type="dxa"/>
            </w:tcMar>
            <w:vAlign w:val="center"/>
          </w:tcPr>
          <w:p w:rsidR="00000000" w:rsidDel="00000000" w:rsidP="00000000" w:rsidRDefault="00000000" w:rsidRPr="00000000" w14:paraId="000000AD">
            <w:pPr>
              <w:rPr/>
            </w:pPr>
            <w:r w:rsidDel="00000000" w:rsidR="00000000" w:rsidRPr="00000000">
              <w:rPr>
                <w:rtl w:val="0"/>
              </w:rPr>
              <w:t xml:space="preserve">21.45</w:t>
            </w:r>
          </w:p>
        </w:tc>
        <w:tc>
          <w:tcPr>
            <w:tcBorders>
              <w:bottom w:color="cfd4d8" w:space="0" w:sz="6" w:val="single"/>
              <w:right w:color="cfd4d8" w:space="0" w:sz="6" w:val="single"/>
            </w:tcBorders>
            <w:shd w:fill="fdfdfd" w:val="clear"/>
            <w:tcMar>
              <w:top w:w="60.0" w:type="dxa"/>
              <w:left w:w="75.0" w:type="dxa"/>
              <w:bottom w:w="60.0" w:type="dxa"/>
              <w:right w:w="75.0" w:type="dxa"/>
            </w:tcMar>
            <w:vAlign w:val="center"/>
          </w:tcPr>
          <w:p w:rsidR="00000000" w:rsidDel="00000000" w:rsidP="00000000" w:rsidRDefault="00000000" w:rsidRPr="00000000" w14:paraId="000000AE">
            <w:pPr>
              <w:rPr/>
            </w:pPr>
            <w:r w:rsidDel="00000000" w:rsidR="00000000" w:rsidRPr="00000000">
              <w:rPr>
                <w:rtl w:val="0"/>
              </w:rPr>
              <w:t xml:space="preserve">20.80</w:t>
            </w:r>
          </w:p>
        </w:tc>
        <w:tc>
          <w:tcPr>
            <w:tcBorders>
              <w:bottom w:color="cfd4d8" w:space="0" w:sz="6" w:val="single"/>
              <w:right w:color="cfd4d8" w:space="0" w:sz="6" w:val="single"/>
            </w:tcBorders>
            <w:shd w:fill="fdfdfd" w:val="clear"/>
            <w:tcMar>
              <w:top w:w="60.0" w:type="dxa"/>
              <w:left w:w="75.0" w:type="dxa"/>
              <w:bottom w:w="60.0" w:type="dxa"/>
              <w:right w:w="75.0" w:type="dxa"/>
            </w:tcMar>
            <w:vAlign w:val="center"/>
          </w:tcPr>
          <w:p w:rsidR="00000000" w:rsidDel="00000000" w:rsidP="00000000" w:rsidRDefault="00000000" w:rsidRPr="00000000" w14:paraId="000000AF">
            <w:pPr>
              <w:rPr/>
            </w:pPr>
            <w:r w:rsidDel="00000000" w:rsidR="00000000" w:rsidRPr="00000000">
              <w:rPr>
                <w:rtl w:val="0"/>
              </w:rPr>
              <w:t xml:space="preserve">21.20</w:t>
            </w:r>
          </w:p>
        </w:tc>
        <w:tc>
          <w:tcPr>
            <w:gridSpan w:val="2"/>
            <w:tcBorders>
              <w:bottom w:color="cfd4d8" w:space="0" w:sz="6" w:val="single"/>
              <w:right w:color="cfd4d8" w:space="0" w:sz="6" w:val="single"/>
            </w:tcBorders>
            <w:shd w:fill="fdfdfd" w:val="clear"/>
            <w:tcMar>
              <w:top w:w="60.0" w:type="dxa"/>
              <w:left w:w="75.0" w:type="dxa"/>
              <w:bottom w:w="60.0" w:type="dxa"/>
              <w:right w:w="75.0" w:type="dxa"/>
            </w:tcMar>
            <w:vAlign w:val="center"/>
          </w:tcPr>
          <w:p w:rsidR="00000000" w:rsidDel="00000000" w:rsidP="00000000" w:rsidRDefault="00000000" w:rsidRPr="00000000" w14:paraId="000000B0">
            <w:pPr>
              <w:rPr/>
            </w:pPr>
            <w:r w:rsidDel="00000000" w:rsidR="00000000" w:rsidRPr="00000000">
              <w:rPr>
                <w:rtl w:val="0"/>
              </w:rPr>
              <w:t xml:space="preserve">327100</w:t>
            </w:r>
          </w:p>
        </w:tc>
        <w:tc>
          <w:tcPr>
            <w:tcBorders>
              <w:bottom w:color="cfd4d8" w:space="0" w:sz="6" w:val="single"/>
              <w:right w:color="cfd4d8" w:space="0" w:sz="6" w:val="single"/>
            </w:tcBorders>
            <w:shd w:fill="fdfdfd" w:val="clear"/>
            <w:tcMar>
              <w:top w:w="60.0" w:type="dxa"/>
              <w:left w:w="75.0" w:type="dxa"/>
              <w:bottom w:w="60.0" w:type="dxa"/>
              <w:right w:w="75.0" w:type="dxa"/>
            </w:tcMar>
            <w:vAlign w:val="center"/>
          </w:tcPr>
          <w:p w:rsidR="00000000" w:rsidDel="00000000" w:rsidP="00000000" w:rsidRDefault="00000000" w:rsidRPr="00000000" w14:paraId="000000B2">
            <w:pPr>
              <w:rPr/>
            </w:pPr>
            <w:r w:rsidDel="00000000" w:rsidR="00000000" w:rsidRPr="00000000">
              <w:rPr>
                <w:rtl w:val="0"/>
              </w:rPr>
              <w:t xml:space="preserve">19.79</w:t>
            </w:r>
          </w:p>
        </w:tc>
      </w:tr>
    </w:tbl>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“Anadolu Efes” kelime çiftine ait Google Trend verileri ise “7 Ağustos 2011” ve “4 Eylül 2016” tarihleri arasında çekilmiştir. Trend puanı 0-100 arasında bir değer almaktadır. (100 puan en popüler olduğu yerdir.)</w:t>
      </w:r>
    </w:p>
    <w:p w:rsidR="00000000" w:rsidDel="00000000" w:rsidP="00000000" w:rsidRDefault="00000000" w:rsidRPr="00000000" w14:paraId="000000B5">
      <w:pPr>
        <w:rPr/>
      </w:pPr>
      <w:r w:rsidDel="00000000" w:rsidR="00000000" w:rsidRPr="00000000">
        <w:rPr>
          <w:rtl w:val="0"/>
        </w:rPr>
        <w:t xml:space="preserve">Hisseye ait fiyatlar ve trend puanları sırasıyla Figure 1 ve Figure 2’de verilmiştir. Fiyattaki dalgalanmayı daha az hale getirebilmek için, verinin ilk farkına, ilk farkın logartimasına ve ilk farkın kareköküne bakıldığında dalgalanmanın daha kararlı olduğu görülmüştür. (Bkz. Figure 3)</w:t>
      </w:r>
    </w:p>
    <w:p w:rsidR="00000000" w:rsidDel="00000000" w:rsidP="00000000" w:rsidRDefault="00000000" w:rsidRPr="00000000" w14:paraId="000000B6">
      <w:pPr>
        <w:keepNext w:val="1"/>
        <w:jc w:val="center"/>
        <w:rPr/>
      </w:pPr>
      <w:r w:rsidDel="00000000" w:rsidR="00000000" w:rsidRPr="00000000">
        <w:rPr/>
        <w:drawing>
          <wp:inline distB="0" distT="0" distL="0" distR="0">
            <wp:extent cx="4636110" cy="2937194"/>
            <wp:effectExtent b="0" l="0" r="0" t="0"/>
            <wp:docPr id="15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636110" cy="2937194"/>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3dy6vkm" w:id="6"/>
      <w:bookmarkEnd w:id="6"/>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1 Anadolu Efes Hisse Fiyatları</w:t>
      </w:r>
    </w:p>
    <w:p w:rsidR="00000000" w:rsidDel="00000000" w:rsidP="00000000" w:rsidRDefault="00000000" w:rsidRPr="00000000" w14:paraId="000000B8">
      <w:pPr>
        <w:keepNext w:val="1"/>
        <w:jc w:val="center"/>
        <w:rPr/>
      </w:pPr>
      <w:r w:rsidDel="00000000" w:rsidR="00000000" w:rsidRPr="00000000">
        <w:rPr/>
        <w:drawing>
          <wp:inline distB="0" distT="0" distL="0" distR="0">
            <wp:extent cx="4407951" cy="2792645"/>
            <wp:effectExtent b="0" l="0" r="0" t="0"/>
            <wp:docPr id="15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407951" cy="2792645"/>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1t3h5sf" w:id="7"/>
      <w:bookmarkEnd w:id="7"/>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2 Anadolu Efes'e ait Google Trend Puanları</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keepNext w:val="1"/>
        <w:jc w:val="center"/>
        <w:rPr/>
      </w:pPr>
      <w:r w:rsidDel="00000000" w:rsidR="00000000" w:rsidRPr="00000000">
        <w:rPr/>
        <w:drawing>
          <wp:inline distB="0" distT="0" distL="0" distR="0">
            <wp:extent cx="5131990" cy="3251357"/>
            <wp:effectExtent b="0" l="0" r="0" t="0"/>
            <wp:docPr id="15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131990" cy="3251357"/>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4d34og8" w:id="8"/>
      <w:bookmarkEnd w:id="8"/>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3 Anadolu Efes Hisse Fiyatının ilk Farkı, ilk Farkın Logaritması ve ilk Farkın Karekökü</w:t>
      </w:r>
    </w:p>
    <w:p w:rsidR="00000000" w:rsidDel="00000000" w:rsidP="00000000" w:rsidRDefault="00000000" w:rsidRPr="00000000" w14:paraId="000000BD">
      <w:pPr>
        <w:rPr/>
      </w:pPr>
      <w:r w:rsidDel="00000000" w:rsidR="00000000" w:rsidRPr="00000000">
        <w:rPr>
          <w:rtl w:val="0"/>
        </w:rPr>
        <w:t xml:space="preserve">Figure 4’te hisse fiyatlarının ilk farklarının kareköklerine ait otokorelasyon fonksiyonu ve kısmi otokorelasyon fonksiyonu gözükmektedir. Hisse senedinde otoregresif ya da hareketli ortlama hareketi yok sayılabilir. Bu aşamada hisse senedi rasgele yürüyüş (random walk) izlemektedir.</w:t>
      </w:r>
    </w:p>
    <w:p w:rsidR="00000000" w:rsidDel="00000000" w:rsidP="00000000" w:rsidRDefault="00000000" w:rsidRPr="00000000" w14:paraId="000000BE">
      <w:pPr>
        <w:keepNext w:val="1"/>
        <w:jc w:val="center"/>
        <w:rPr/>
      </w:pPr>
      <w:r w:rsidDel="00000000" w:rsidR="00000000" w:rsidRPr="00000000">
        <w:rPr/>
        <w:drawing>
          <wp:inline distB="0" distT="0" distL="0" distR="0">
            <wp:extent cx="5338515" cy="3382200"/>
            <wp:effectExtent b="0" l="0" r="0" t="0"/>
            <wp:docPr id="15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338515" cy="33822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2s8eyo1" w:id="9"/>
      <w:bookmarkEnd w:id="9"/>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4 Anadolu Efes'e ait ACF ve PACF</w:t>
      </w:r>
    </w:p>
    <w:p w:rsidR="00000000" w:rsidDel="00000000" w:rsidP="00000000" w:rsidRDefault="00000000" w:rsidRPr="00000000" w14:paraId="000000C0">
      <w:pPr>
        <w:rPr/>
      </w:pPr>
      <w:r w:rsidDel="00000000" w:rsidR="00000000" w:rsidRPr="00000000">
        <w:rPr>
          <w:rtl w:val="0"/>
        </w:rPr>
        <w:t xml:space="preserve">Aynı tarihlerde örtüşen hisse fiyatlarının ve trend puanlarının dönüşleri (return) hesaplanarak, elde edilen koralasyon 0.05299521 olarak hesaplanmıştır. Aynı tarihlerde örtüşen kapanış fiyatları ve trend puanlarına ait koralasyon katsayısı 0.0395428 olarak hesaplanmıştır. Trend puanlarını 1 ay geriden ele alarak, kapanış fiyatlarıyla koralasyonuna baktığımızda ise 0.09348268 sayısını elde etmekteyiz. Görüldüğü gibi koralasyon değerleri oldukça düşüktür. Daha sonrasında kapanış fiyatlarının birinci farkı ile trend puanları arasında lineer regresyon uygulandığında modelin R karesi düşük gözükmektedir. Kısaca koralasyon düşük ve modelin açıklama oranı da düşüktür. Figure 5’te uygulanan lineer regresyonun çizimi verilmektedir.</w:t>
      </w:r>
    </w:p>
    <w:p w:rsidR="00000000" w:rsidDel="00000000" w:rsidP="00000000" w:rsidRDefault="00000000" w:rsidRPr="00000000" w14:paraId="000000C1">
      <w:pPr>
        <w:shd w:fill="0f0f0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ffffff"/>
          <w:sz w:val="20"/>
          <w:szCs w:val="20"/>
        </w:rPr>
      </w:pPr>
      <w:r w:rsidDel="00000000" w:rsidR="00000000" w:rsidRPr="00000000">
        <w:rPr>
          <w:rFonts w:ascii="Droid Sans Mono" w:cs="Droid Sans Mono" w:eastAsia="Droid Sans Mono" w:hAnsi="Droid Sans Mono"/>
          <w:color w:val="ffffff"/>
          <w:sz w:val="20"/>
          <w:szCs w:val="20"/>
          <w:rtl w:val="0"/>
        </w:rPr>
        <w:t xml:space="preserve">Call:</w:t>
      </w:r>
    </w:p>
    <w:p w:rsidR="00000000" w:rsidDel="00000000" w:rsidP="00000000" w:rsidRDefault="00000000" w:rsidRPr="00000000" w14:paraId="000000C2">
      <w:pPr>
        <w:shd w:fill="0f0f0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ffffff"/>
          <w:sz w:val="20"/>
          <w:szCs w:val="20"/>
        </w:rPr>
      </w:pPr>
      <w:r w:rsidDel="00000000" w:rsidR="00000000" w:rsidRPr="00000000">
        <w:rPr>
          <w:rFonts w:ascii="Droid Sans Mono" w:cs="Droid Sans Mono" w:eastAsia="Droid Sans Mono" w:hAnsi="Droid Sans Mono"/>
          <w:color w:val="ffffff"/>
          <w:sz w:val="20"/>
          <w:szCs w:val="20"/>
          <w:rtl w:val="0"/>
        </w:rPr>
        <w:t xml:space="preserve">lm(formula = d1[1:260] ~ trend$Anadolu.Efes[6:265], data = d_2)</w:t>
      </w:r>
    </w:p>
    <w:p w:rsidR="00000000" w:rsidDel="00000000" w:rsidP="00000000" w:rsidRDefault="00000000" w:rsidRPr="00000000" w14:paraId="000000C3">
      <w:pPr>
        <w:shd w:fill="0f0f0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ffffff"/>
          <w:sz w:val="20"/>
          <w:szCs w:val="20"/>
        </w:rPr>
      </w:pPr>
      <w:r w:rsidDel="00000000" w:rsidR="00000000" w:rsidRPr="00000000">
        <w:rPr>
          <w:rtl w:val="0"/>
        </w:rPr>
      </w:r>
    </w:p>
    <w:p w:rsidR="00000000" w:rsidDel="00000000" w:rsidP="00000000" w:rsidRDefault="00000000" w:rsidRPr="00000000" w14:paraId="000000C4">
      <w:pPr>
        <w:shd w:fill="0f0f0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ffffff"/>
          <w:sz w:val="20"/>
          <w:szCs w:val="20"/>
        </w:rPr>
      </w:pPr>
      <w:r w:rsidDel="00000000" w:rsidR="00000000" w:rsidRPr="00000000">
        <w:rPr>
          <w:rFonts w:ascii="Droid Sans Mono" w:cs="Droid Sans Mono" w:eastAsia="Droid Sans Mono" w:hAnsi="Droid Sans Mono"/>
          <w:color w:val="ffffff"/>
          <w:sz w:val="20"/>
          <w:szCs w:val="20"/>
          <w:rtl w:val="0"/>
        </w:rPr>
        <w:t xml:space="preserve">Residuals:</w:t>
      </w:r>
    </w:p>
    <w:p w:rsidR="00000000" w:rsidDel="00000000" w:rsidP="00000000" w:rsidRDefault="00000000" w:rsidRPr="00000000" w14:paraId="000000C5">
      <w:pPr>
        <w:shd w:fill="0f0f0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ffffff"/>
          <w:sz w:val="20"/>
          <w:szCs w:val="20"/>
        </w:rPr>
      </w:pPr>
      <w:r w:rsidDel="00000000" w:rsidR="00000000" w:rsidRPr="00000000">
        <w:rPr>
          <w:rFonts w:ascii="Droid Sans Mono" w:cs="Droid Sans Mono" w:eastAsia="Droid Sans Mono" w:hAnsi="Droid Sans Mono"/>
          <w:color w:val="ffffff"/>
          <w:sz w:val="20"/>
          <w:szCs w:val="20"/>
          <w:rtl w:val="0"/>
        </w:rPr>
        <w:t xml:space="preserve">    Min      1Q  Median      3Q     Max </w:t>
      </w:r>
    </w:p>
    <w:p w:rsidR="00000000" w:rsidDel="00000000" w:rsidP="00000000" w:rsidRDefault="00000000" w:rsidRPr="00000000" w14:paraId="000000C6">
      <w:pPr>
        <w:shd w:fill="0f0f0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ffffff"/>
          <w:sz w:val="20"/>
          <w:szCs w:val="20"/>
        </w:rPr>
      </w:pPr>
      <w:r w:rsidDel="00000000" w:rsidR="00000000" w:rsidRPr="00000000">
        <w:rPr>
          <w:rFonts w:ascii="Droid Sans Mono" w:cs="Droid Sans Mono" w:eastAsia="Droid Sans Mono" w:hAnsi="Droid Sans Mono"/>
          <w:color w:val="ffffff"/>
          <w:sz w:val="20"/>
          <w:szCs w:val="20"/>
          <w:rtl w:val="0"/>
        </w:rPr>
        <w:t xml:space="preserve">-3.0478 -0.5085  0.0727  0.5182  4.6659 </w:t>
      </w:r>
    </w:p>
    <w:p w:rsidR="00000000" w:rsidDel="00000000" w:rsidP="00000000" w:rsidRDefault="00000000" w:rsidRPr="00000000" w14:paraId="000000C7">
      <w:pPr>
        <w:shd w:fill="0f0f0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ffffff"/>
          <w:sz w:val="20"/>
          <w:szCs w:val="20"/>
        </w:rPr>
      </w:pPr>
      <w:r w:rsidDel="00000000" w:rsidR="00000000" w:rsidRPr="00000000">
        <w:rPr>
          <w:rtl w:val="0"/>
        </w:rPr>
      </w:r>
    </w:p>
    <w:p w:rsidR="00000000" w:rsidDel="00000000" w:rsidP="00000000" w:rsidRDefault="00000000" w:rsidRPr="00000000" w14:paraId="000000C8">
      <w:pPr>
        <w:shd w:fill="0f0f0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ffffff"/>
          <w:sz w:val="20"/>
          <w:szCs w:val="20"/>
        </w:rPr>
      </w:pPr>
      <w:r w:rsidDel="00000000" w:rsidR="00000000" w:rsidRPr="00000000">
        <w:rPr>
          <w:rFonts w:ascii="Droid Sans Mono" w:cs="Droid Sans Mono" w:eastAsia="Droid Sans Mono" w:hAnsi="Droid Sans Mono"/>
          <w:color w:val="ffffff"/>
          <w:sz w:val="20"/>
          <w:szCs w:val="20"/>
          <w:rtl w:val="0"/>
        </w:rPr>
        <w:t xml:space="preserve">Coefficients:</w:t>
      </w:r>
    </w:p>
    <w:p w:rsidR="00000000" w:rsidDel="00000000" w:rsidP="00000000" w:rsidRDefault="00000000" w:rsidRPr="00000000" w14:paraId="000000C9">
      <w:pPr>
        <w:shd w:fill="0f0f0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ffffff"/>
          <w:sz w:val="20"/>
          <w:szCs w:val="20"/>
        </w:rPr>
      </w:pPr>
      <w:r w:rsidDel="00000000" w:rsidR="00000000" w:rsidRPr="00000000">
        <w:rPr>
          <w:rFonts w:ascii="Droid Sans Mono" w:cs="Droid Sans Mono" w:eastAsia="Droid Sans Mono" w:hAnsi="Droid Sans Mono"/>
          <w:color w:val="ffffff"/>
          <w:sz w:val="20"/>
          <w:szCs w:val="20"/>
          <w:rtl w:val="0"/>
        </w:rPr>
        <w:t xml:space="preserve">                           Estimate Std. Error t value Pr(&gt;|t|)  </w:t>
      </w:r>
    </w:p>
    <w:p w:rsidR="00000000" w:rsidDel="00000000" w:rsidP="00000000" w:rsidRDefault="00000000" w:rsidRPr="00000000" w14:paraId="000000CA">
      <w:pPr>
        <w:shd w:fill="0f0f0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ffffff"/>
          <w:sz w:val="20"/>
          <w:szCs w:val="20"/>
        </w:rPr>
      </w:pPr>
      <w:r w:rsidDel="00000000" w:rsidR="00000000" w:rsidRPr="00000000">
        <w:rPr>
          <w:rFonts w:ascii="Droid Sans Mono" w:cs="Droid Sans Mono" w:eastAsia="Droid Sans Mono" w:hAnsi="Droid Sans Mono"/>
          <w:color w:val="ffffff"/>
          <w:sz w:val="20"/>
          <w:szCs w:val="20"/>
          <w:rtl w:val="0"/>
        </w:rPr>
        <w:t xml:space="preserve">(Intercept)               -0.093112   0.079850  -1.166   0.2447  </w:t>
      </w:r>
    </w:p>
    <w:p w:rsidR="00000000" w:rsidDel="00000000" w:rsidP="00000000" w:rsidRDefault="00000000" w:rsidRPr="00000000" w14:paraId="000000CB">
      <w:pPr>
        <w:shd w:fill="0f0f0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ffffff"/>
          <w:sz w:val="20"/>
          <w:szCs w:val="20"/>
        </w:rPr>
      </w:pPr>
      <w:r w:rsidDel="00000000" w:rsidR="00000000" w:rsidRPr="00000000">
        <w:rPr>
          <w:rFonts w:ascii="Droid Sans Mono" w:cs="Droid Sans Mono" w:eastAsia="Droid Sans Mono" w:hAnsi="Droid Sans Mono"/>
          <w:color w:val="ffffff"/>
          <w:sz w:val="20"/>
          <w:szCs w:val="20"/>
          <w:rtl w:val="0"/>
        </w:rPr>
        <w:t xml:space="preserve">trend$Anadolu.Efes[6:265]  0.013627   0.007418   1.837   0.0674 .</w:t>
      </w:r>
    </w:p>
    <w:p w:rsidR="00000000" w:rsidDel="00000000" w:rsidP="00000000" w:rsidRDefault="00000000" w:rsidRPr="00000000" w14:paraId="000000CC">
      <w:pPr>
        <w:shd w:fill="0f0f0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ffffff"/>
          <w:sz w:val="20"/>
          <w:szCs w:val="20"/>
        </w:rPr>
      </w:pPr>
      <w:r w:rsidDel="00000000" w:rsidR="00000000" w:rsidRPr="00000000">
        <w:rPr>
          <w:rFonts w:ascii="Droid Sans Mono" w:cs="Droid Sans Mono" w:eastAsia="Droid Sans Mono" w:hAnsi="Droid Sans Mono"/>
          <w:color w:val="ffffff"/>
          <w:sz w:val="20"/>
          <w:szCs w:val="20"/>
          <w:rtl w:val="0"/>
        </w:rPr>
        <w:t xml:space="preserve">---</w:t>
      </w:r>
    </w:p>
    <w:p w:rsidR="00000000" w:rsidDel="00000000" w:rsidP="00000000" w:rsidRDefault="00000000" w:rsidRPr="00000000" w14:paraId="000000CD">
      <w:pPr>
        <w:shd w:fill="0f0f0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ffffff"/>
          <w:sz w:val="20"/>
          <w:szCs w:val="20"/>
        </w:rPr>
      </w:pPr>
      <w:r w:rsidDel="00000000" w:rsidR="00000000" w:rsidRPr="00000000">
        <w:rPr>
          <w:rFonts w:ascii="Droid Sans Mono" w:cs="Droid Sans Mono" w:eastAsia="Droid Sans Mono" w:hAnsi="Droid Sans Mono"/>
          <w:color w:val="ffffff"/>
          <w:sz w:val="20"/>
          <w:szCs w:val="20"/>
          <w:rtl w:val="0"/>
        </w:rPr>
        <w:t xml:space="preserve">Signif. codes:  0 ‘***’ 0.001 ‘**’ 0.01 ‘*’ 0.05 ‘.’ 0.1 ‘ ’ 1</w:t>
      </w:r>
    </w:p>
    <w:p w:rsidR="00000000" w:rsidDel="00000000" w:rsidP="00000000" w:rsidRDefault="00000000" w:rsidRPr="00000000" w14:paraId="000000CE">
      <w:pPr>
        <w:shd w:fill="0f0f0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ffffff"/>
          <w:sz w:val="20"/>
          <w:szCs w:val="20"/>
        </w:rPr>
      </w:pPr>
      <w:r w:rsidDel="00000000" w:rsidR="00000000" w:rsidRPr="00000000">
        <w:rPr>
          <w:rtl w:val="0"/>
        </w:rPr>
      </w:r>
    </w:p>
    <w:p w:rsidR="00000000" w:rsidDel="00000000" w:rsidP="00000000" w:rsidRDefault="00000000" w:rsidRPr="00000000" w14:paraId="000000CF">
      <w:pPr>
        <w:shd w:fill="0f0f0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ffffff"/>
          <w:sz w:val="20"/>
          <w:szCs w:val="20"/>
        </w:rPr>
      </w:pPr>
      <w:r w:rsidDel="00000000" w:rsidR="00000000" w:rsidRPr="00000000">
        <w:rPr>
          <w:rFonts w:ascii="Droid Sans Mono" w:cs="Droid Sans Mono" w:eastAsia="Droid Sans Mono" w:hAnsi="Droid Sans Mono"/>
          <w:color w:val="ffffff"/>
          <w:sz w:val="20"/>
          <w:szCs w:val="20"/>
          <w:rtl w:val="0"/>
        </w:rPr>
        <w:t xml:space="preserve">Residual standard error: 1.024 on 258 degrees of freedom</w:t>
      </w:r>
    </w:p>
    <w:p w:rsidR="00000000" w:rsidDel="00000000" w:rsidP="00000000" w:rsidRDefault="00000000" w:rsidRPr="00000000" w14:paraId="000000D0">
      <w:pPr>
        <w:shd w:fill="0f0f0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ffffff"/>
          <w:sz w:val="20"/>
          <w:szCs w:val="20"/>
        </w:rPr>
      </w:pPr>
      <w:r w:rsidDel="00000000" w:rsidR="00000000" w:rsidRPr="00000000">
        <w:rPr>
          <w:rFonts w:ascii="Droid Sans Mono" w:cs="Droid Sans Mono" w:eastAsia="Droid Sans Mono" w:hAnsi="Droid Sans Mono"/>
          <w:color w:val="ffffff"/>
          <w:sz w:val="20"/>
          <w:szCs w:val="20"/>
          <w:rtl w:val="0"/>
        </w:rPr>
        <w:t xml:space="preserve">Multiple R-squared:  0.01291,</w:t>
        <w:tab/>
        <w:t xml:space="preserve">Adjusted R-squared:  0.009085 </w:t>
      </w:r>
    </w:p>
    <w:p w:rsidR="00000000" w:rsidDel="00000000" w:rsidP="00000000" w:rsidRDefault="00000000" w:rsidRPr="00000000" w14:paraId="000000D1">
      <w:pPr>
        <w:shd w:fill="0f0f0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ffffff"/>
          <w:sz w:val="20"/>
          <w:szCs w:val="20"/>
        </w:rPr>
      </w:pPr>
      <w:r w:rsidDel="00000000" w:rsidR="00000000" w:rsidRPr="00000000">
        <w:rPr>
          <w:rFonts w:ascii="Droid Sans Mono" w:cs="Droid Sans Mono" w:eastAsia="Droid Sans Mono" w:hAnsi="Droid Sans Mono"/>
          <w:color w:val="ffffff"/>
          <w:sz w:val="20"/>
          <w:szCs w:val="20"/>
          <w:rtl w:val="0"/>
        </w:rPr>
        <w:t xml:space="preserve">F-statistic: 3.375 on 1 and 258 DF,  p-value: 0.06736</w:t>
      </w:r>
    </w:p>
    <w:p w:rsidR="00000000" w:rsidDel="00000000" w:rsidP="00000000" w:rsidRDefault="00000000" w:rsidRPr="00000000" w14:paraId="000000D2">
      <w:pPr>
        <w:keepNext w:val="1"/>
        <w:jc w:val="center"/>
        <w:rPr/>
      </w:pPr>
      <w:r w:rsidDel="00000000" w:rsidR="00000000" w:rsidRPr="00000000">
        <w:rPr/>
        <w:drawing>
          <wp:inline distB="0" distT="0" distL="0" distR="0">
            <wp:extent cx="5943600" cy="3765550"/>
            <wp:effectExtent b="0" l="0" r="0" t="0"/>
            <wp:docPr id="154"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376555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17dp8vu" w:id="10"/>
      <w:bookmarkEnd w:id="10"/>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5 Hisse Fiyatları Birinci Farkı ve Trend Puanları Arası Lineer Regresyon</w:t>
      </w:r>
    </w:p>
    <w:p w:rsidR="00000000" w:rsidDel="00000000" w:rsidP="00000000" w:rsidRDefault="00000000" w:rsidRPr="00000000" w14:paraId="000000D4">
      <w:pPr>
        <w:rPr/>
      </w:pPr>
      <w:r w:rsidDel="00000000" w:rsidR="00000000" w:rsidRPr="00000000">
        <w:rPr>
          <w:rtl w:val="0"/>
        </w:rPr>
        <w:t xml:space="preserve">Figure 6’da Anadolu Efes’in hisse kapanış fiyatlarının mevsimsel, eğilimsel ve kalan kısımları gözükmektedir. Figure 7’de de Anadolu Efes’in Google Trend puanlarının mevsimsel, eğilimsel ve kalan kısımları gözükmektedir.</w:t>
      </w:r>
    </w:p>
    <w:p w:rsidR="00000000" w:rsidDel="00000000" w:rsidP="00000000" w:rsidRDefault="00000000" w:rsidRPr="00000000" w14:paraId="000000D5">
      <w:pPr>
        <w:keepNext w:val="1"/>
        <w:jc w:val="center"/>
        <w:rPr/>
      </w:pPr>
      <w:r w:rsidDel="00000000" w:rsidR="00000000" w:rsidRPr="00000000">
        <w:rPr/>
        <w:drawing>
          <wp:inline distB="0" distT="0" distL="0" distR="0">
            <wp:extent cx="4820082" cy="3053748"/>
            <wp:effectExtent b="0" l="0" r="0" t="0"/>
            <wp:docPr id="157"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4820082" cy="3053748"/>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3rdcrjn" w:id="11"/>
      <w:bookmarkEnd w:id="11"/>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6 Anadolu Efes'in Hisse Kapanış Fiyatlarının Mevsimsel, Eğilimsel ve Kalan Kısımları</w:t>
      </w:r>
    </w:p>
    <w:p w:rsidR="00000000" w:rsidDel="00000000" w:rsidP="00000000" w:rsidRDefault="00000000" w:rsidRPr="00000000" w14:paraId="000000D7">
      <w:pPr>
        <w:keepNext w:val="1"/>
        <w:jc w:val="center"/>
        <w:rPr/>
      </w:pPr>
      <w:r w:rsidDel="00000000" w:rsidR="00000000" w:rsidRPr="00000000">
        <w:rPr/>
        <w:drawing>
          <wp:inline distB="0" distT="0" distL="0" distR="0">
            <wp:extent cx="5154073" cy="3265348"/>
            <wp:effectExtent b="0" l="0" r="0" t="0"/>
            <wp:docPr id="15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154073" cy="3265348"/>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26in1rg" w:id="12"/>
      <w:bookmarkEnd w:id="12"/>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7 Anadolu Efes Trend Puanları Zaman Serisinin Mevsimsel, Eğilimsel ve Kalan Kısımları</w:t>
      </w:r>
    </w:p>
    <w:p w:rsidR="00000000" w:rsidDel="00000000" w:rsidP="00000000" w:rsidRDefault="00000000" w:rsidRPr="00000000" w14:paraId="000000D9">
      <w:pPr>
        <w:rPr/>
      </w:pPr>
      <w:r w:rsidDel="00000000" w:rsidR="00000000" w:rsidRPr="00000000">
        <w:rPr>
          <w:rtl w:val="0"/>
        </w:rPr>
        <w:t xml:space="preserve">Figure 6’da ve Figure 7’de mevsimsel ve eğilimsel kısımlar bazı bölümlerde benzerlik gösterse de genel olarak yanıltıcı olabilmektedir. Örneğin trend puanlarının yükseliş yaptığı noktaları ele alalım. (5 Şubat 2012 - 23p, 27 Mayıs 2012 - 19p, 3 Haziran 2012 - 26p, 17 Şubat 2013 - 100p, 24 Şubat 2013 - 56p, 14 Nisan 2013 - 26p, 21 Nisan 2013 - 29p, 19 Nisan 2015 - 35p, 29 Mayıs 2016 - 24p, 5 Haziran 2016 - 49p) Bu tarihlere baktığımızda, iki ay sonrası tarihler için büyük bir kısım hisse kapanış fiyatlarının da artış gösterdiğini görüyoruz. Ancak bu artışların orantısının bazı kısımlarda beklenenden çok düşük olması direk ilişki olmadığını gösterebilmektedir. Trend puanlarının peak yaptığı noktaları ele aldığımızda, hisse fiyatları için (genel olarak görülen 1-2 ay sonrası) büyük bir pozitif ya da negatif sıçrayış beklemekteyiz. Şu aşamada pozitif ya da negatif olduğunu, bu raporda duygu analizi yapmadığımız için söyleyemeyiz. Ancak beklediğimiz gibi her peak yapışta, fiyatlarda büyük sıçrayışlar görmemekteyiz.</w:t>
      </w:r>
    </w:p>
    <w:p w:rsidR="00000000" w:rsidDel="00000000" w:rsidP="00000000" w:rsidRDefault="00000000" w:rsidRPr="00000000" w14:paraId="000000DA">
      <w:pPr>
        <w:pStyle w:val="Heading1"/>
        <w:numPr>
          <w:ilvl w:val="0"/>
          <w:numId w:val="1"/>
        </w:numPr>
        <w:ind w:left="432" w:hanging="432"/>
        <w:rPr/>
      </w:pPr>
      <w:bookmarkStart w:colFirst="0" w:colLast="0" w:name="_heading=h.lnxbz9" w:id="13"/>
      <w:bookmarkEnd w:id="13"/>
      <w:r w:rsidDel="00000000" w:rsidR="00000000" w:rsidRPr="00000000">
        <w:rPr>
          <w:rtl w:val="0"/>
        </w:rPr>
        <w:t xml:space="preserve">ASELSAN</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Aselsan firmasına ait verilerin kaynakları ve yapıları Anadolu Efes ile aynıdır. Firmanın hisse bilgileri “2 Eylül 2011” ve “29 Ağustos 2016” tarihleri arasında alınmıştır. Google Trend puanları ise “7 Ağustos 2011” ve “28 Ağustos 2016” tarihleri arasında alınmıştır. Figure 8’de ve Figure 9’da sırasıyla Aselsan Google Trend puanları ve hisse senedi kapanış fiyatları gözükmektedir.</w:t>
      </w:r>
    </w:p>
    <w:p w:rsidR="00000000" w:rsidDel="00000000" w:rsidP="00000000" w:rsidRDefault="00000000" w:rsidRPr="00000000" w14:paraId="000000DD">
      <w:pPr>
        <w:rPr/>
      </w:pPr>
      <w:r w:rsidDel="00000000" w:rsidR="00000000" w:rsidRPr="00000000">
        <w:rPr>
          <w:rtl w:val="0"/>
        </w:rPr>
        <w:t xml:space="preserve">Figure 10’da hisse senedinin kapanış fiyatlarının il farkı, ilk farkın logaritması ve ilk farkın karekökö çizdirilmiştir. Görüldüğpü üzere iki nokta haricinde volatilite daha durgun hale getirilebilmektedir. İki noktadaki ani değişmin sebebi “bedelsiz sermaye artırımıdır”. Yani kısaca firma hisse hacmini iki katına çıkarıp fiyatlarını da yarıya indirmiştir. O sebepten bu noktalardaki sıçrayışlar dalgalanma olarak görülmemelidir.</w:t>
      </w:r>
    </w:p>
    <w:p w:rsidR="00000000" w:rsidDel="00000000" w:rsidP="00000000" w:rsidRDefault="00000000" w:rsidRPr="00000000" w14:paraId="000000DE">
      <w:pPr>
        <w:keepNext w:val="1"/>
        <w:jc w:val="center"/>
        <w:rPr/>
      </w:pPr>
      <w:r w:rsidDel="00000000" w:rsidR="00000000" w:rsidRPr="00000000">
        <w:rPr/>
        <w:drawing>
          <wp:inline distB="0" distT="0" distL="0" distR="0">
            <wp:extent cx="4542926" cy="2878157"/>
            <wp:effectExtent b="0" l="0" r="0" t="0"/>
            <wp:docPr id="159"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4542926" cy="2878157"/>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35nkun2" w:id="14"/>
      <w:bookmarkEnd w:id="14"/>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8 Aselsan Google Trend Puanları</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tabs>
          <w:tab w:val="left" w:pos="8164"/>
        </w:tabs>
        <w:rPr/>
      </w:pPr>
      <w:r w:rsidDel="00000000" w:rsidR="00000000" w:rsidRPr="00000000">
        <w:rPr>
          <w:rtl w:val="0"/>
        </w:rPr>
        <w:tab/>
      </w:r>
    </w:p>
    <w:p w:rsidR="00000000" w:rsidDel="00000000" w:rsidP="00000000" w:rsidRDefault="00000000" w:rsidRPr="00000000" w14:paraId="000000E2">
      <w:pPr>
        <w:keepNext w:val="1"/>
        <w:tabs>
          <w:tab w:val="left" w:pos="8164"/>
        </w:tabs>
        <w:jc w:val="center"/>
        <w:rPr/>
      </w:pPr>
      <w:r w:rsidDel="00000000" w:rsidR="00000000" w:rsidRPr="00000000">
        <w:rPr/>
        <w:drawing>
          <wp:inline distB="0" distT="0" distL="0" distR="0">
            <wp:extent cx="4376760" cy="2772884"/>
            <wp:effectExtent b="0" l="0" r="0" t="0"/>
            <wp:docPr id="158"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4376760" cy="2772884"/>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1ksv4uv" w:id="15"/>
      <w:bookmarkEnd w:id="15"/>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9 Aselsan Haftalık Hisse Senedi Kapanış Fiyatları</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keepNext w:val="1"/>
        <w:jc w:val="center"/>
        <w:rPr/>
      </w:pPr>
      <w:r w:rsidDel="00000000" w:rsidR="00000000" w:rsidRPr="00000000">
        <w:rPr/>
        <w:drawing>
          <wp:inline distB="0" distT="0" distL="0" distR="0">
            <wp:extent cx="4720488" cy="2990651"/>
            <wp:effectExtent b="0" l="0" r="0" t="0"/>
            <wp:docPr id="162"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4720488" cy="2990651"/>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44sinio" w:id="16"/>
      <w:bookmarkEnd w:id="16"/>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10 Aselsan Hisse Fiyatının ilk Farkı, ilk Farkın Logaritması ve ilk Farkın Karekökü</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Figure 11’de hisse senedinin kapanış fiyatlarının birinci farkının kareköklerine ait otokorelasyon fonksiyonu ve kısmi otokorelasyon fonksiyonuna baktığımızda yine rasgele yürüyüşe (random walk) uygun bir veri diyebiliriz.</w:t>
      </w:r>
    </w:p>
    <w:p w:rsidR="00000000" w:rsidDel="00000000" w:rsidP="00000000" w:rsidRDefault="00000000" w:rsidRPr="00000000" w14:paraId="000000E9">
      <w:pPr>
        <w:rPr/>
      </w:pPr>
      <w:r w:rsidDel="00000000" w:rsidR="00000000" w:rsidRPr="00000000">
        <w:rPr>
          <w:rtl w:val="0"/>
        </w:rPr>
        <w:t xml:space="preserve">Aynı tarihlerde örtüşen hisse fiyatlarının ve trend puanlarının dönüşleri (return) hesaplanarak, elde edilen koralasyon 0.010783 olarak hesaplanmıştır. Aynı tarihlerde örtüşen kapanış fiyatları ve trend puanlarına ait koralasyon katsayısı 0.09618776 olarak hesaplanmıştır. Trend puanlarını 1 ay geriden ele alarak, kapanış fiyatlarıyla koralasyonuna baktığımızda ise 0.1242058 sayısını elde etmekteyiz. Görüldüğü gibi koralasyon değerleri yine düşüktür. Hisse fiyatları ve trend puanları arasına gecikme (lag) girdiğinde korelasyon yine artmaktadır.</w:t>
      </w:r>
    </w:p>
    <w:p w:rsidR="00000000" w:rsidDel="00000000" w:rsidP="00000000" w:rsidRDefault="00000000" w:rsidRPr="00000000" w14:paraId="000000EA">
      <w:pPr>
        <w:rPr/>
      </w:pPr>
      <w:r w:rsidDel="00000000" w:rsidR="00000000" w:rsidRPr="00000000">
        <w:rPr>
          <w:rtl w:val="0"/>
        </w:rPr>
        <w:t xml:space="preserve">Daha sonrasında hisse fiyatı kapanış fiyatları ve trend puanları arasında lineer regresyon uygulandığında aşağıdaki özet sonuç elde edilmektedir.  R kare değeri oldukça düşüktür. Tek başına bu model anlamsızdır.</w:t>
      </w:r>
    </w:p>
    <w:p w:rsidR="00000000" w:rsidDel="00000000" w:rsidP="00000000" w:rsidRDefault="00000000" w:rsidRPr="00000000" w14:paraId="000000EB">
      <w:pPr>
        <w:shd w:fill="0f0f0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ffffff"/>
          <w:sz w:val="20"/>
          <w:szCs w:val="20"/>
        </w:rPr>
      </w:pPr>
      <w:r w:rsidDel="00000000" w:rsidR="00000000" w:rsidRPr="00000000">
        <w:rPr>
          <w:rFonts w:ascii="Droid Sans Mono" w:cs="Droid Sans Mono" w:eastAsia="Droid Sans Mono" w:hAnsi="Droid Sans Mono"/>
          <w:color w:val="ffffff"/>
          <w:sz w:val="20"/>
          <w:szCs w:val="20"/>
          <w:rtl w:val="0"/>
        </w:rPr>
        <w:t xml:space="preserve">Call:</w:t>
      </w:r>
    </w:p>
    <w:p w:rsidR="00000000" w:rsidDel="00000000" w:rsidP="00000000" w:rsidRDefault="00000000" w:rsidRPr="00000000" w14:paraId="000000EC">
      <w:pPr>
        <w:shd w:fill="0f0f0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ffffff"/>
          <w:sz w:val="20"/>
          <w:szCs w:val="20"/>
        </w:rPr>
      </w:pPr>
      <w:r w:rsidDel="00000000" w:rsidR="00000000" w:rsidRPr="00000000">
        <w:rPr>
          <w:rFonts w:ascii="Droid Sans Mono" w:cs="Droid Sans Mono" w:eastAsia="Droid Sans Mono" w:hAnsi="Droid Sans Mono"/>
          <w:color w:val="ffffff"/>
          <w:sz w:val="20"/>
          <w:szCs w:val="20"/>
          <w:rtl w:val="0"/>
        </w:rPr>
        <w:t xml:space="preserve">lm(formula = a[1:261] ~ trend$ASELSAN[5:265], data = d_3)</w:t>
      </w:r>
    </w:p>
    <w:p w:rsidR="00000000" w:rsidDel="00000000" w:rsidP="00000000" w:rsidRDefault="00000000" w:rsidRPr="00000000" w14:paraId="000000ED">
      <w:pPr>
        <w:shd w:fill="0f0f0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ffffff"/>
          <w:sz w:val="20"/>
          <w:szCs w:val="20"/>
        </w:rPr>
      </w:pPr>
      <w:r w:rsidDel="00000000" w:rsidR="00000000" w:rsidRPr="00000000">
        <w:rPr>
          <w:rtl w:val="0"/>
        </w:rPr>
      </w:r>
    </w:p>
    <w:p w:rsidR="00000000" w:rsidDel="00000000" w:rsidP="00000000" w:rsidRDefault="00000000" w:rsidRPr="00000000" w14:paraId="000000EE">
      <w:pPr>
        <w:shd w:fill="0f0f0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ffffff"/>
          <w:sz w:val="20"/>
          <w:szCs w:val="20"/>
        </w:rPr>
      </w:pPr>
      <w:r w:rsidDel="00000000" w:rsidR="00000000" w:rsidRPr="00000000">
        <w:rPr>
          <w:rFonts w:ascii="Droid Sans Mono" w:cs="Droid Sans Mono" w:eastAsia="Droid Sans Mono" w:hAnsi="Droid Sans Mono"/>
          <w:color w:val="ffffff"/>
          <w:sz w:val="20"/>
          <w:szCs w:val="20"/>
          <w:rtl w:val="0"/>
        </w:rPr>
        <w:t xml:space="preserve">Residuals:</w:t>
      </w:r>
    </w:p>
    <w:p w:rsidR="00000000" w:rsidDel="00000000" w:rsidP="00000000" w:rsidRDefault="00000000" w:rsidRPr="00000000" w14:paraId="000000EF">
      <w:pPr>
        <w:shd w:fill="0f0f0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ffffff"/>
          <w:sz w:val="20"/>
          <w:szCs w:val="20"/>
        </w:rPr>
      </w:pPr>
      <w:r w:rsidDel="00000000" w:rsidR="00000000" w:rsidRPr="00000000">
        <w:rPr>
          <w:rFonts w:ascii="Droid Sans Mono" w:cs="Droid Sans Mono" w:eastAsia="Droid Sans Mono" w:hAnsi="Droid Sans Mono"/>
          <w:color w:val="ffffff"/>
          <w:sz w:val="20"/>
          <w:szCs w:val="20"/>
          <w:rtl w:val="0"/>
        </w:rPr>
        <w:t xml:space="preserve">   Min     1Q Median     3Q    Max </w:t>
      </w:r>
    </w:p>
    <w:p w:rsidR="00000000" w:rsidDel="00000000" w:rsidP="00000000" w:rsidRDefault="00000000" w:rsidRPr="00000000" w14:paraId="000000F0">
      <w:pPr>
        <w:shd w:fill="0f0f0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ffffff"/>
          <w:sz w:val="20"/>
          <w:szCs w:val="20"/>
        </w:rPr>
      </w:pPr>
      <w:r w:rsidDel="00000000" w:rsidR="00000000" w:rsidRPr="00000000">
        <w:rPr>
          <w:rFonts w:ascii="Droid Sans Mono" w:cs="Droid Sans Mono" w:eastAsia="Droid Sans Mono" w:hAnsi="Droid Sans Mono"/>
          <w:color w:val="ffffff"/>
          <w:sz w:val="20"/>
          <w:szCs w:val="20"/>
          <w:rtl w:val="0"/>
        </w:rPr>
        <w:t xml:space="preserve">-4.803 -2.179 -1.059  1.509  9.292 </w:t>
      </w:r>
    </w:p>
    <w:p w:rsidR="00000000" w:rsidDel="00000000" w:rsidP="00000000" w:rsidRDefault="00000000" w:rsidRPr="00000000" w14:paraId="000000F1">
      <w:pPr>
        <w:shd w:fill="0f0f0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ffffff"/>
          <w:sz w:val="20"/>
          <w:szCs w:val="20"/>
        </w:rPr>
      </w:pPr>
      <w:r w:rsidDel="00000000" w:rsidR="00000000" w:rsidRPr="00000000">
        <w:rPr>
          <w:rtl w:val="0"/>
        </w:rPr>
      </w:r>
    </w:p>
    <w:p w:rsidR="00000000" w:rsidDel="00000000" w:rsidP="00000000" w:rsidRDefault="00000000" w:rsidRPr="00000000" w14:paraId="000000F2">
      <w:pPr>
        <w:shd w:fill="0f0f0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ffffff"/>
          <w:sz w:val="20"/>
          <w:szCs w:val="20"/>
        </w:rPr>
      </w:pPr>
      <w:r w:rsidDel="00000000" w:rsidR="00000000" w:rsidRPr="00000000">
        <w:rPr>
          <w:rFonts w:ascii="Droid Sans Mono" w:cs="Droid Sans Mono" w:eastAsia="Droid Sans Mono" w:hAnsi="Droid Sans Mono"/>
          <w:color w:val="ffffff"/>
          <w:sz w:val="20"/>
          <w:szCs w:val="20"/>
          <w:rtl w:val="0"/>
        </w:rPr>
        <w:t xml:space="preserve">Coefficients:</w:t>
      </w:r>
    </w:p>
    <w:p w:rsidR="00000000" w:rsidDel="00000000" w:rsidP="00000000" w:rsidRDefault="00000000" w:rsidRPr="00000000" w14:paraId="000000F3">
      <w:pPr>
        <w:shd w:fill="0f0f0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ffffff"/>
          <w:sz w:val="20"/>
          <w:szCs w:val="20"/>
        </w:rPr>
      </w:pPr>
      <w:r w:rsidDel="00000000" w:rsidR="00000000" w:rsidRPr="00000000">
        <w:rPr>
          <w:rFonts w:ascii="Droid Sans Mono" w:cs="Droid Sans Mono" w:eastAsia="Droid Sans Mono" w:hAnsi="Droid Sans Mono"/>
          <w:color w:val="ffffff"/>
          <w:sz w:val="20"/>
          <w:szCs w:val="20"/>
          <w:rtl w:val="0"/>
        </w:rPr>
        <w:t xml:space="preserve">                     Estimate Std. Error t value Pr(&gt;|t|)    </w:t>
      </w:r>
    </w:p>
    <w:p w:rsidR="00000000" w:rsidDel="00000000" w:rsidP="00000000" w:rsidRDefault="00000000" w:rsidRPr="00000000" w14:paraId="000000F4">
      <w:pPr>
        <w:shd w:fill="0f0f0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ffffff"/>
          <w:sz w:val="20"/>
          <w:szCs w:val="20"/>
        </w:rPr>
      </w:pPr>
      <w:r w:rsidDel="00000000" w:rsidR="00000000" w:rsidRPr="00000000">
        <w:rPr>
          <w:rFonts w:ascii="Droid Sans Mono" w:cs="Droid Sans Mono" w:eastAsia="Droid Sans Mono" w:hAnsi="Droid Sans Mono"/>
          <w:color w:val="ffffff"/>
          <w:sz w:val="20"/>
          <w:szCs w:val="20"/>
          <w:rtl w:val="0"/>
        </w:rPr>
        <w:t xml:space="preserve">(Intercept)          10.22393    0.38702  26.417   &lt;2e-16 ***</w:t>
      </w:r>
    </w:p>
    <w:p w:rsidR="00000000" w:rsidDel="00000000" w:rsidP="00000000" w:rsidRDefault="00000000" w:rsidRPr="00000000" w14:paraId="000000F5">
      <w:pPr>
        <w:shd w:fill="0f0f0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ffffff"/>
          <w:sz w:val="20"/>
          <w:szCs w:val="20"/>
        </w:rPr>
      </w:pPr>
      <w:r w:rsidDel="00000000" w:rsidR="00000000" w:rsidRPr="00000000">
        <w:rPr>
          <w:rFonts w:ascii="Droid Sans Mono" w:cs="Droid Sans Mono" w:eastAsia="Droid Sans Mono" w:hAnsi="Droid Sans Mono"/>
          <w:color w:val="ffffff"/>
          <w:sz w:val="20"/>
          <w:szCs w:val="20"/>
          <w:rtl w:val="0"/>
        </w:rPr>
        <w:t xml:space="preserve">trend$ASELSAN[5:265]  0.04170    0.02681   1.555    0.121    </w:t>
      </w:r>
    </w:p>
    <w:p w:rsidR="00000000" w:rsidDel="00000000" w:rsidP="00000000" w:rsidRDefault="00000000" w:rsidRPr="00000000" w14:paraId="000000F6">
      <w:pPr>
        <w:shd w:fill="0f0f0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ffffff"/>
          <w:sz w:val="20"/>
          <w:szCs w:val="20"/>
        </w:rPr>
      </w:pPr>
      <w:r w:rsidDel="00000000" w:rsidR="00000000" w:rsidRPr="00000000">
        <w:rPr>
          <w:rFonts w:ascii="Droid Sans Mono" w:cs="Droid Sans Mono" w:eastAsia="Droid Sans Mono" w:hAnsi="Droid Sans Mono"/>
          <w:color w:val="ffffff"/>
          <w:sz w:val="20"/>
          <w:szCs w:val="20"/>
          <w:rtl w:val="0"/>
        </w:rPr>
        <w:t xml:space="preserve">---</w:t>
      </w:r>
    </w:p>
    <w:p w:rsidR="00000000" w:rsidDel="00000000" w:rsidP="00000000" w:rsidRDefault="00000000" w:rsidRPr="00000000" w14:paraId="000000F7">
      <w:pPr>
        <w:shd w:fill="0f0f0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ffffff"/>
          <w:sz w:val="20"/>
          <w:szCs w:val="20"/>
        </w:rPr>
      </w:pPr>
      <w:r w:rsidDel="00000000" w:rsidR="00000000" w:rsidRPr="00000000">
        <w:rPr>
          <w:rFonts w:ascii="Droid Sans Mono" w:cs="Droid Sans Mono" w:eastAsia="Droid Sans Mono" w:hAnsi="Droid Sans Mono"/>
          <w:color w:val="ffffff"/>
          <w:sz w:val="20"/>
          <w:szCs w:val="20"/>
          <w:rtl w:val="0"/>
        </w:rPr>
        <w:t xml:space="preserve">Signif. codes:  0 ‘***’ 0.001 ‘**’ 0.01 ‘*’ 0.05 ‘.’ 0.1 ‘ ’ 1</w:t>
      </w:r>
    </w:p>
    <w:p w:rsidR="00000000" w:rsidDel="00000000" w:rsidP="00000000" w:rsidRDefault="00000000" w:rsidRPr="00000000" w14:paraId="000000F8">
      <w:pPr>
        <w:shd w:fill="0f0f0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ffffff"/>
          <w:sz w:val="20"/>
          <w:szCs w:val="20"/>
        </w:rPr>
      </w:pPr>
      <w:r w:rsidDel="00000000" w:rsidR="00000000" w:rsidRPr="00000000">
        <w:rPr>
          <w:rtl w:val="0"/>
        </w:rPr>
      </w:r>
    </w:p>
    <w:p w:rsidR="00000000" w:rsidDel="00000000" w:rsidP="00000000" w:rsidRDefault="00000000" w:rsidRPr="00000000" w14:paraId="000000F9">
      <w:pPr>
        <w:shd w:fill="0f0f0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ffffff"/>
          <w:sz w:val="20"/>
          <w:szCs w:val="20"/>
        </w:rPr>
      </w:pPr>
      <w:r w:rsidDel="00000000" w:rsidR="00000000" w:rsidRPr="00000000">
        <w:rPr>
          <w:rFonts w:ascii="Droid Sans Mono" w:cs="Droid Sans Mono" w:eastAsia="Droid Sans Mono" w:hAnsi="Droid Sans Mono"/>
          <w:color w:val="ffffff"/>
          <w:sz w:val="20"/>
          <w:szCs w:val="20"/>
          <w:rtl w:val="0"/>
        </w:rPr>
        <w:t xml:space="preserve">Residual standard error: 3.252 on 259 degrees of freedom</w:t>
      </w:r>
    </w:p>
    <w:p w:rsidR="00000000" w:rsidDel="00000000" w:rsidP="00000000" w:rsidRDefault="00000000" w:rsidRPr="00000000" w14:paraId="000000FA">
      <w:pPr>
        <w:shd w:fill="0f0f0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ffffff"/>
          <w:sz w:val="20"/>
          <w:szCs w:val="20"/>
        </w:rPr>
      </w:pPr>
      <w:r w:rsidDel="00000000" w:rsidR="00000000" w:rsidRPr="00000000">
        <w:rPr>
          <w:rFonts w:ascii="Droid Sans Mono" w:cs="Droid Sans Mono" w:eastAsia="Droid Sans Mono" w:hAnsi="Droid Sans Mono"/>
          <w:color w:val="ffffff"/>
          <w:sz w:val="20"/>
          <w:szCs w:val="20"/>
          <w:rtl w:val="0"/>
        </w:rPr>
        <w:t xml:space="preserve">Multiple R-squared:  0.009252,</w:t>
        <w:tab/>
        <w:t xml:space="preserve">Adjusted R-squared:  0.005427 </w:t>
      </w:r>
    </w:p>
    <w:p w:rsidR="00000000" w:rsidDel="00000000" w:rsidP="00000000" w:rsidRDefault="00000000" w:rsidRPr="00000000" w14:paraId="000000FB">
      <w:pPr>
        <w:shd w:fill="0f0f0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ffffff"/>
          <w:sz w:val="20"/>
          <w:szCs w:val="20"/>
        </w:rPr>
      </w:pPr>
      <w:r w:rsidDel="00000000" w:rsidR="00000000" w:rsidRPr="00000000">
        <w:rPr>
          <w:rFonts w:ascii="Droid Sans Mono" w:cs="Droid Sans Mono" w:eastAsia="Droid Sans Mono" w:hAnsi="Droid Sans Mono"/>
          <w:color w:val="ffffff"/>
          <w:sz w:val="20"/>
          <w:szCs w:val="20"/>
          <w:rtl w:val="0"/>
        </w:rPr>
        <w:t xml:space="preserve">F-statistic: 2.419 on 1 and 259 DF,  p-value: 0.1211</w:t>
      </w:r>
    </w:p>
    <w:p w:rsidR="00000000" w:rsidDel="00000000" w:rsidP="00000000" w:rsidRDefault="00000000" w:rsidRPr="00000000" w14:paraId="000000FC">
      <w:pPr>
        <w:shd w:fill="0f0f0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Droid Sans Mono" w:cs="Droid Sans Mono" w:eastAsia="Droid Sans Mono" w:hAnsi="Droid Sans Mono"/>
          <w:color w:val="ffffff"/>
          <w:sz w:val="20"/>
          <w:szCs w:val="20"/>
        </w:rPr>
      </w:pPr>
      <w:r w:rsidDel="00000000" w:rsidR="00000000" w:rsidRPr="00000000">
        <w:rPr>
          <w:rtl w:val="0"/>
        </w:rPr>
      </w:r>
    </w:p>
    <w:p w:rsidR="00000000" w:rsidDel="00000000" w:rsidP="00000000" w:rsidRDefault="00000000" w:rsidRPr="00000000" w14:paraId="000000FD">
      <w:pPr>
        <w:keepNext w:val="1"/>
        <w:jc w:val="center"/>
        <w:rPr/>
      </w:pPr>
      <w:r w:rsidDel="00000000" w:rsidR="00000000" w:rsidRPr="00000000">
        <w:rPr/>
        <w:drawing>
          <wp:inline distB="0" distT="0" distL="0" distR="0">
            <wp:extent cx="5573863" cy="3531304"/>
            <wp:effectExtent b="0" l="0" r="0" t="0"/>
            <wp:docPr id="160"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573863" cy="3531304"/>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2jxsxqh" w:id="17"/>
      <w:bookmarkEnd w:id="17"/>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11 Aselsan'ın Hisse Kapanış Fiyatlarının Mevsimsel, Eğilimsel ve Kalan Kısımları</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keepNext w:val="1"/>
        <w:jc w:val="center"/>
        <w:rPr/>
      </w:pPr>
      <w:r w:rsidDel="00000000" w:rsidR="00000000" w:rsidRPr="00000000">
        <w:rPr/>
        <w:drawing>
          <wp:inline distB="0" distT="0" distL="0" distR="0">
            <wp:extent cx="5224043" cy="3309677"/>
            <wp:effectExtent b="0" l="0" r="0" t="0"/>
            <wp:docPr id="161"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224043" cy="3309677"/>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z337ya" w:id="18"/>
      <w:bookmarkEnd w:id="18"/>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12 Aselsan Trend Puanları Zaman Serisinin Mevsimsel, Eğilimsel ve Kalan Kısımları</w:t>
      </w:r>
    </w:p>
    <w:p w:rsidR="00000000" w:rsidDel="00000000" w:rsidP="00000000" w:rsidRDefault="00000000" w:rsidRPr="00000000" w14:paraId="00000102">
      <w:pPr>
        <w:rPr/>
      </w:pPr>
      <w:r w:rsidDel="00000000" w:rsidR="00000000" w:rsidRPr="00000000">
        <w:rPr>
          <w:rtl w:val="0"/>
        </w:rPr>
        <w:t xml:space="preserve">Figure 11’de ve Figure 12’de görüldüğü gibi mevsimsel ve eğilimsel kısımlarda baz noktalarda benzerlikler olsa da genel olarak bir koralasyondan bahsedemeyiz. Trend puanlarının yükseliş yaptığı noktaları ele alalım. (27 Mayıs 2012 - 100p, 3 Haziran 2012 - 61p, 11 Ocak 2015 - 59p, 29 Kasım 2015 - 25p, 21 Şubat 2016 - 35p) Bu tarihlere baktığımızda, iki ay sonrası tarihler için büyük bir kısım hisse kapanış fiyatlarının da artış gösterdiğini görüyoruz. Ancak bu artışların orantısının bazı kısımlarda beklenenden çok düşük olması direk ilişki olmadığını gösterebilmektedir. Beklediğimiz büyüklükte sıçramalar gözlemleyememekteyiz.</w:t>
      </w:r>
    </w:p>
    <w:p w:rsidR="00000000" w:rsidDel="00000000" w:rsidP="00000000" w:rsidRDefault="00000000" w:rsidRPr="00000000" w14:paraId="00000103">
      <w:pPr>
        <w:pStyle w:val="Heading1"/>
        <w:numPr>
          <w:ilvl w:val="0"/>
          <w:numId w:val="1"/>
        </w:numPr>
        <w:ind w:left="432" w:hanging="432"/>
        <w:rPr/>
      </w:pPr>
      <w:bookmarkStart w:colFirst="0" w:colLast="0" w:name="_heading=h.3j2qqm3" w:id="19"/>
      <w:bookmarkEnd w:id="19"/>
      <w:r w:rsidDel="00000000" w:rsidR="00000000" w:rsidRPr="00000000">
        <w:rPr>
          <w:rtl w:val="0"/>
        </w:rPr>
        <w:t xml:space="preserve">SONUÇ</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Bu analizler sonucunda hisse fiyatları hakkında, sadece Google Trend puanları incelenerek bir şey söylenemeyeceği anlaşılmaktadır. Anadolu Efes için trend puanının 100 puan olduğu tarihlerdeki ilgili sorgular Efes’in bir reklamı ile alakalıdır. Aselsan’ın trend puanının 100 puan olduğu tarihlerde ise ilgili sorgular ise Aselsan’ın 51% kısmının İsrail’li bir firmaya satılıp satılmadığı ile alakalıdır. </w:t>
      </w:r>
    </w:p>
    <w:p w:rsidR="00000000" w:rsidDel="00000000" w:rsidP="00000000" w:rsidRDefault="00000000" w:rsidRPr="00000000" w14:paraId="00000106">
      <w:pPr>
        <w:rPr/>
      </w:pPr>
      <w:r w:rsidDel="00000000" w:rsidR="00000000" w:rsidRPr="00000000">
        <w:rPr>
          <w:rtl w:val="0"/>
        </w:rPr>
        <w:t xml:space="preserve">Puanların yüksek olduğu kısımlarda duygu analizi yapılabilir. (Örneğin hisselerin 100 puan aldıkları kısımlarda haber niteliği olan Aselsan’dır ancak haberin doğruluğu da sorgulanmalıdır) Bu analize göre eğer nötrden uzak isek ona göre koralasyon analizi yapılabilir ve iki veri arasında linner olmayan bir model denenebilir. Çünkü lineer regresyon modeli iki analizde de kötü sonuçlar vermiştir. </w:t>
      </w:r>
    </w:p>
    <w:p w:rsidR="00000000" w:rsidDel="00000000" w:rsidP="00000000" w:rsidRDefault="00000000" w:rsidRPr="00000000" w14:paraId="00000107">
      <w:pPr>
        <w:rPr/>
      </w:pPr>
      <w:r w:rsidDel="00000000" w:rsidR="00000000" w:rsidRPr="00000000">
        <w:rPr>
          <w:rtl w:val="0"/>
        </w:rPr>
        <w:t xml:space="preserve">Duygu analizini sadece trend puanına bağlı ilgili sorgular için değil, ayrıca belirli aralıklarla belirlenen güvenilir haber kaynaklarına da uygulamak gerekebilir. Zaten Google Trend’de bir hisse senedi için analiz yapılırken hissenin kısa adı kullanılır ise elde edilen sonuçlar eksik kalmaktadır. Genel olarak hem firma adı hem de ilgili sorgular kullanılabilir.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Droid Sans Mon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tr-T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ind w:left="576" w:hanging="576"/>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ind w:left="720" w:hanging="720"/>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417988"/>
    <w:pPr>
      <w:keepNext w:val="1"/>
      <w:keepLines w:val="1"/>
      <w:numPr>
        <w:numId w:val="1"/>
      </w:numPr>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semiHidden w:val="1"/>
    <w:unhideWhenUsed w:val="1"/>
    <w:qFormat w:val="1"/>
    <w:rsid w:val="00BC7CFD"/>
    <w:pPr>
      <w:keepNext w:val="1"/>
      <w:keepLines w:val="1"/>
      <w:numPr>
        <w:ilvl w:val="1"/>
        <w:numId w:val="1"/>
      </w:numPr>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semiHidden w:val="1"/>
    <w:unhideWhenUsed w:val="1"/>
    <w:qFormat w:val="1"/>
    <w:rsid w:val="00BC7CFD"/>
    <w:pPr>
      <w:keepNext w:val="1"/>
      <w:keepLines w:val="1"/>
      <w:numPr>
        <w:ilvl w:val="2"/>
        <w:numId w:val="1"/>
      </w:numPr>
      <w:spacing w:after="0" w:before="40"/>
      <w:outlineLvl w:val="2"/>
    </w:pPr>
    <w:rPr>
      <w:rFonts w:asciiTheme="majorHAnsi" w:cstheme="majorBidi" w:eastAsiaTheme="majorEastAsia" w:hAnsiTheme="majorHAnsi"/>
      <w:color w:val="1f3763" w:themeColor="accent1" w:themeShade="00007F"/>
      <w:sz w:val="24"/>
      <w:szCs w:val="24"/>
    </w:rPr>
  </w:style>
  <w:style w:type="paragraph" w:styleId="Heading4">
    <w:name w:val="heading 4"/>
    <w:basedOn w:val="Normal"/>
    <w:next w:val="Normal"/>
    <w:link w:val="Heading4Char"/>
    <w:uiPriority w:val="9"/>
    <w:semiHidden w:val="1"/>
    <w:unhideWhenUsed w:val="1"/>
    <w:qFormat w:val="1"/>
    <w:rsid w:val="00BC7CFD"/>
    <w:pPr>
      <w:keepNext w:val="1"/>
      <w:keepLines w:val="1"/>
      <w:numPr>
        <w:ilvl w:val="3"/>
        <w:numId w:val="1"/>
      </w:numPr>
      <w:spacing w:after="0" w:before="40"/>
      <w:outlineLvl w:val="3"/>
    </w:pPr>
    <w:rPr>
      <w:rFonts w:asciiTheme="majorHAnsi" w:cstheme="majorBidi" w:eastAsiaTheme="majorEastAsia" w:hAnsiTheme="majorHAnsi"/>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BC7CFD"/>
    <w:pPr>
      <w:keepNext w:val="1"/>
      <w:keepLines w:val="1"/>
      <w:numPr>
        <w:ilvl w:val="4"/>
        <w:numId w:val="1"/>
      </w:numPr>
      <w:spacing w:after="0" w:before="40"/>
      <w:outlineLvl w:val="4"/>
    </w:pPr>
    <w:rPr>
      <w:rFonts w:asciiTheme="majorHAnsi" w:cstheme="majorBidi" w:eastAsiaTheme="majorEastAsia" w:hAnsiTheme="majorHAnsi"/>
      <w:color w:val="2f5496" w:themeColor="accent1" w:themeShade="0000BF"/>
    </w:rPr>
  </w:style>
  <w:style w:type="paragraph" w:styleId="Heading6">
    <w:name w:val="heading 6"/>
    <w:basedOn w:val="Normal"/>
    <w:next w:val="Normal"/>
    <w:link w:val="Heading6Char"/>
    <w:uiPriority w:val="9"/>
    <w:semiHidden w:val="1"/>
    <w:unhideWhenUsed w:val="1"/>
    <w:qFormat w:val="1"/>
    <w:rsid w:val="00BC7CFD"/>
    <w:pPr>
      <w:keepNext w:val="1"/>
      <w:keepLines w:val="1"/>
      <w:numPr>
        <w:ilvl w:val="5"/>
        <w:numId w:val="1"/>
      </w:numPr>
      <w:spacing w:after="0" w:before="40"/>
      <w:outlineLvl w:val="5"/>
    </w:pPr>
    <w:rPr>
      <w:rFonts w:asciiTheme="majorHAnsi" w:cstheme="majorBidi" w:eastAsiaTheme="majorEastAsia" w:hAnsiTheme="majorHAnsi"/>
      <w:color w:val="1f3763" w:themeColor="accent1" w:themeShade="00007F"/>
    </w:rPr>
  </w:style>
  <w:style w:type="paragraph" w:styleId="Heading7">
    <w:name w:val="heading 7"/>
    <w:basedOn w:val="Normal"/>
    <w:next w:val="Normal"/>
    <w:link w:val="Heading7Char"/>
    <w:uiPriority w:val="9"/>
    <w:semiHidden w:val="1"/>
    <w:unhideWhenUsed w:val="1"/>
    <w:qFormat w:val="1"/>
    <w:rsid w:val="00BC7CFD"/>
    <w:pPr>
      <w:keepNext w:val="1"/>
      <w:keepLines w:val="1"/>
      <w:numPr>
        <w:ilvl w:val="6"/>
        <w:numId w:val="1"/>
      </w:numPr>
      <w:spacing w:after="0" w:before="40"/>
      <w:outlineLvl w:val="6"/>
    </w:pPr>
    <w:rPr>
      <w:rFonts w:asciiTheme="majorHAnsi" w:cstheme="majorBidi" w:eastAsiaTheme="majorEastAsia" w:hAnsiTheme="majorHAnsi"/>
      <w:i w:val="1"/>
      <w:iCs w:val="1"/>
      <w:color w:val="1f3763" w:themeColor="accent1" w:themeShade="00007F"/>
    </w:rPr>
  </w:style>
  <w:style w:type="paragraph" w:styleId="Heading8">
    <w:name w:val="heading 8"/>
    <w:basedOn w:val="Normal"/>
    <w:next w:val="Normal"/>
    <w:link w:val="Heading8Char"/>
    <w:uiPriority w:val="9"/>
    <w:semiHidden w:val="1"/>
    <w:unhideWhenUsed w:val="1"/>
    <w:qFormat w:val="1"/>
    <w:rsid w:val="00BC7CFD"/>
    <w:pPr>
      <w:keepNext w:val="1"/>
      <w:keepLines w:val="1"/>
      <w:numPr>
        <w:ilvl w:val="7"/>
        <w:numId w:val="1"/>
      </w:numPr>
      <w:spacing w:after="0"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BC7CFD"/>
    <w:pPr>
      <w:keepNext w:val="1"/>
      <w:keepLines w:val="1"/>
      <w:numPr>
        <w:ilvl w:val="8"/>
        <w:numId w:val="1"/>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17988"/>
    <w:rPr>
      <w:rFonts w:asciiTheme="majorHAnsi" w:cstheme="majorBidi" w:eastAsiaTheme="majorEastAsia" w:hAnsiTheme="majorHAnsi"/>
      <w:color w:val="2f5496" w:themeColor="accent1" w:themeShade="0000BF"/>
      <w:sz w:val="32"/>
      <w:szCs w:val="32"/>
    </w:rPr>
  </w:style>
  <w:style w:type="character" w:styleId="Hyperlink">
    <w:name w:val="Hyperlink"/>
    <w:basedOn w:val="DefaultParagraphFont"/>
    <w:uiPriority w:val="99"/>
    <w:unhideWhenUsed w:val="1"/>
    <w:rsid w:val="00BC7CFD"/>
    <w:rPr>
      <w:color w:val="0563c1" w:themeColor="hyperlink"/>
      <w:u w:val="single"/>
    </w:rPr>
  </w:style>
  <w:style w:type="character" w:styleId="Mention">
    <w:name w:val="Mention"/>
    <w:basedOn w:val="DefaultParagraphFont"/>
    <w:uiPriority w:val="99"/>
    <w:semiHidden w:val="1"/>
    <w:unhideWhenUsed w:val="1"/>
    <w:rsid w:val="00BC7CFD"/>
    <w:rPr>
      <w:color w:val="2b579a"/>
      <w:shd w:color="auto" w:fill="e6e6e6" w:val="clear"/>
    </w:rPr>
  </w:style>
  <w:style w:type="character" w:styleId="Heading2Char" w:customStyle="1">
    <w:name w:val="Heading 2 Char"/>
    <w:basedOn w:val="DefaultParagraphFont"/>
    <w:link w:val="Heading2"/>
    <w:uiPriority w:val="9"/>
    <w:semiHidden w:val="1"/>
    <w:rsid w:val="00BC7CFD"/>
    <w:rPr>
      <w:rFonts w:asciiTheme="majorHAnsi" w:cstheme="majorBidi" w:eastAsiaTheme="majorEastAsia" w:hAnsiTheme="majorHAnsi"/>
      <w:color w:val="2f5496" w:themeColor="accent1" w:themeShade="0000BF"/>
      <w:sz w:val="26"/>
      <w:szCs w:val="26"/>
    </w:rPr>
  </w:style>
  <w:style w:type="character" w:styleId="Heading3Char" w:customStyle="1">
    <w:name w:val="Heading 3 Char"/>
    <w:basedOn w:val="DefaultParagraphFont"/>
    <w:link w:val="Heading3"/>
    <w:uiPriority w:val="9"/>
    <w:semiHidden w:val="1"/>
    <w:rsid w:val="00BC7CFD"/>
    <w:rPr>
      <w:rFonts w:asciiTheme="majorHAnsi" w:cstheme="majorBidi" w:eastAsiaTheme="majorEastAsia" w:hAnsiTheme="majorHAnsi"/>
      <w:color w:val="1f3763" w:themeColor="accent1" w:themeShade="00007F"/>
      <w:sz w:val="24"/>
      <w:szCs w:val="24"/>
    </w:rPr>
  </w:style>
  <w:style w:type="character" w:styleId="Heading4Char" w:customStyle="1">
    <w:name w:val="Heading 4 Char"/>
    <w:basedOn w:val="DefaultParagraphFont"/>
    <w:link w:val="Heading4"/>
    <w:uiPriority w:val="9"/>
    <w:semiHidden w:val="1"/>
    <w:rsid w:val="00BC7CFD"/>
    <w:rPr>
      <w:rFonts w:asciiTheme="majorHAnsi" w:cstheme="majorBidi" w:eastAsiaTheme="majorEastAsia" w:hAnsiTheme="majorHAnsi"/>
      <w:i w:val="1"/>
      <w:iCs w:val="1"/>
      <w:color w:val="2f5496" w:themeColor="accent1" w:themeShade="0000BF"/>
    </w:rPr>
  </w:style>
  <w:style w:type="character" w:styleId="Heading5Char" w:customStyle="1">
    <w:name w:val="Heading 5 Char"/>
    <w:basedOn w:val="DefaultParagraphFont"/>
    <w:link w:val="Heading5"/>
    <w:uiPriority w:val="9"/>
    <w:semiHidden w:val="1"/>
    <w:rsid w:val="00BC7CFD"/>
    <w:rPr>
      <w:rFonts w:asciiTheme="majorHAnsi" w:cstheme="majorBidi" w:eastAsiaTheme="majorEastAsia" w:hAnsiTheme="majorHAnsi"/>
      <w:color w:val="2f5496" w:themeColor="accent1" w:themeShade="0000BF"/>
    </w:rPr>
  </w:style>
  <w:style w:type="character" w:styleId="Heading6Char" w:customStyle="1">
    <w:name w:val="Heading 6 Char"/>
    <w:basedOn w:val="DefaultParagraphFont"/>
    <w:link w:val="Heading6"/>
    <w:uiPriority w:val="9"/>
    <w:semiHidden w:val="1"/>
    <w:rsid w:val="00BC7CFD"/>
    <w:rPr>
      <w:rFonts w:asciiTheme="majorHAnsi" w:cstheme="majorBidi" w:eastAsiaTheme="majorEastAsia" w:hAnsiTheme="majorHAnsi"/>
      <w:color w:val="1f3763" w:themeColor="accent1" w:themeShade="00007F"/>
    </w:rPr>
  </w:style>
  <w:style w:type="character" w:styleId="Heading7Char" w:customStyle="1">
    <w:name w:val="Heading 7 Char"/>
    <w:basedOn w:val="DefaultParagraphFont"/>
    <w:link w:val="Heading7"/>
    <w:uiPriority w:val="9"/>
    <w:semiHidden w:val="1"/>
    <w:rsid w:val="00BC7CFD"/>
    <w:rPr>
      <w:rFonts w:asciiTheme="majorHAnsi" w:cstheme="majorBidi" w:eastAsiaTheme="majorEastAsia" w:hAnsiTheme="majorHAnsi"/>
      <w:i w:val="1"/>
      <w:iCs w:val="1"/>
      <w:color w:val="1f3763" w:themeColor="accent1" w:themeShade="00007F"/>
    </w:rPr>
  </w:style>
  <w:style w:type="character" w:styleId="Heading8Char" w:customStyle="1">
    <w:name w:val="Heading 8 Char"/>
    <w:basedOn w:val="DefaultParagraphFont"/>
    <w:link w:val="Heading8"/>
    <w:uiPriority w:val="9"/>
    <w:semiHidden w:val="1"/>
    <w:rsid w:val="00BC7CFD"/>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BC7CFD"/>
    <w:rPr>
      <w:rFonts w:asciiTheme="majorHAnsi" w:cstheme="majorBidi" w:eastAsiaTheme="majorEastAsia" w:hAnsiTheme="majorHAnsi"/>
      <w:i w:val="1"/>
      <w:iCs w:val="1"/>
      <w:color w:val="272727" w:themeColor="text1" w:themeTint="0000D8"/>
      <w:sz w:val="21"/>
      <w:szCs w:val="21"/>
    </w:rPr>
  </w:style>
  <w:style w:type="paragraph" w:styleId="Caption">
    <w:name w:val="caption"/>
    <w:basedOn w:val="Normal"/>
    <w:next w:val="Normal"/>
    <w:uiPriority w:val="35"/>
    <w:unhideWhenUsed w:val="1"/>
    <w:qFormat w:val="1"/>
    <w:rsid w:val="001A17D2"/>
    <w:pPr>
      <w:spacing w:after="200" w:line="240" w:lineRule="auto"/>
    </w:pPr>
    <w:rPr>
      <w:i w:val="1"/>
      <w:iCs w:val="1"/>
      <w:color w:val="44546a" w:themeColor="text2"/>
      <w:sz w:val="18"/>
      <w:szCs w:val="18"/>
    </w:rPr>
  </w:style>
  <w:style w:type="paragraph" w:styleId="TOCHeading">
    <w:name w:val="TOC Heading"/>
    <w:basedOn w:val="Heading1"/>
    <w:next w:val="Normal"/>
    <w:uiPriority w:val="39"/>
    <w:unhideWhenUsed w:val="1"/>
    <w:qFormat w:val="1"/>
    <w:rsid w:val="001A17D2"/>
    <w:pPr>
      <w:numPr>
        <w:numId w:val="0"/>
      </w:numPr>
      <w:outlineLvl w:val="9"/>
    </w:pPr>
  </w:style>
  <w:style w:type="paragraph" w:styleId="TOC1">
    <w:name w:val="toc 1"/>
    <w:basedOn w:val="Normal"/>
    <w:next w:val="Normal"/>
    <w:autoRedefine w:val="1"/>
    <w:uiPriority w:val="39"/>
    <w:unhideWhenUsed w:val="1"/>
    <w:rsid w:val="001A17D2"/>
    <w:pPr>
      <w:spacing w:after="100"/>
    </w:pPr>
  </w:style>
  <w:style w:type="paragraph" w:styleId="TableofFigures">
    <w:name w:val="table of figures"/>
    <w:basedOn w:val="Normal"/>
    <w:next w:val="Normal"/>
    <w:uiPriority w:val="99"/>
    <w:unhideWhenUsed w:val="1"/>
    <w:rsid w:val="001A17D2"/>
    <w:pPr>
      <w:spacing w:after="0"/>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8.png"/><Relationship Id="rId22" Type="http://schemas.openxmlformats.org/officeDocument/2006/relationships/image" Target="media/image7.png"/><Relationship Id="rId10" Type="http://schemas.openxmlformats.org/officeDocument/2006/relationships/hyperlink" Target="https://www.google.com/trends/" TargetMode="External"/><Relationship Id="rId21"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inance.yahoo.com" TargetMode="External"/><Relationship Id="rId15" Type="http://schemas.openxmlformats.org/officeDocument/2006/relationships/image" Target="media/image9.png"/><Relationship Id="rId14" Type="http://schemas.openxmlformats.org/officeDocument/2006/relationships/image" Target="media/image4.png"/><Relationship Id="rId17" Type="http://schemas.openxmlformats.org/officeDocument/2006/relationships/image" Target="media/image6.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customXml" Target="../customXML/item1.xml"/><Relationship Id="rId18" Type="http://schemas.openxmlformats.org/officeDocument/2006/relationships/image" Target="media/image11.png"/><Relationship Id="rId7" Type="http://schemas.openxmlformats.org/officeDocument/2006/relationships/image" Target="media/image14.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9zt+Sc5dGeczQC7ZPpKZMj/E7A==">AMUW2mV9Btl+RDVjhC3Kt55CQ+2YGoU0BYPd89Ioj0bMlTb6ZWS4Voe3Il8S+ZSaB/W7aS/G76kzYw1bGILJ09AfiQbMy2GPd3jZSqeCzTIBHfZlILixVfdRnSR2r3/QHBQgZb/Ml8sNeGdlWJzmUF9z1JKNWHM6HqhnyVEv8eC4XL/jPx2ci6wBChCpsN0/zdE2DsBpJ1EKu+wxxi72yIPwlYcymAYiQxEfUH3dPEXWx3CgFTGvTUayfKd/qogtAnp4KZWCU5sOwlc2uB1pcLOpVp39lr+Py2Kh78VHx2vjxIzDqWnfUg5NYHSaMYVMbwOOXgWDI4iSTqne8ERLgvFvlWiurrubG/ZQHEwFMvrLqkC6MCDL6w7CNa/1v4899H6wxtYFZL93ZSJB6m+IefK7NvnoBKEu6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2017-02-10T09:06:00Z</dcterms:created>
  <dc:creator>Deniz Kılıç</dc:creator>
</cp:coreProperties>
</file>