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600"/>
        <w:jc w:val="center"/>
      </w:pPr>
      <w:r>
        <w:rPr>
          <w:b/>
          <w:bCs/>
          <w:sz w:val="30"/>
          <w:szCs w:val="30"/>
        </w:rPr>
        <w:t xml:space="preserve">İSTANBUL TECHNICAL UNIVERSITY</w:t>
      </w:r>
    </w:p>
    <w:p>
      <w:pPr>
        <w:spacing w:after="0"/>
        <w:jc w:val="center"/>
      </w:pPr>
      <w:r>
        <w:rPr>
          <w:sz w:val="24"/>
          <w:szCs w:val="24"/>
        </w:rPr>
        <w:t xml:space="preserve">Faculty of Management — Department of Management Engineering</w:t>
      </w:r>
    </w:p>
    <w:p>
      <w:pPr>
        <w:spacing w:after="600"/>
        <w:jc w:val="center"/>
      </w:pPr>
      <w:r>
        <w:rPr>
          <w:sz w:val="24"/>
          <w:szCs w:val="24"/>
        </w:rPr>
        <w:t xml:space="preserve">ISL 343E — Management Information Systems · 2025–2026 Spring</w:t>
      </w:r>
    </w:p>
    <w:p>
      <w:pPr>
        <w:spacing w:after="100"/>
        <w:jc w:val="center"/>
      </w:pPr>
      <w:r>
        <w:rPr>
          <w:b/>
          <w:bCs/>
          <w:color w:val="1D4ED8"/>
          <w:sz w:val="28"/>
          <w:szCs w:val="28"/>
        </w:rPr>
        <w:t xml:space="preserve">TERM PROJECT — FINAL REPORT</w:t>
      </w:r>
    </w:p>
    <w:p>
      <w:pPr>
        <w:spacing w:after="60" w:before="200"/>
        <w:jc w:val="center"/>
      </w:pPr>
      <w:r>
        <w:rPr>
          <w:b/>
          <w:bCs/>
          <w:sz w:val="44"/>
          <w:szCs w:val="44"/>
        </w:rPr>
        <w:t xml:space="preserve">CarbonConsulting</w:t>
      </w:r>
    </w:p>
    <w:p>
      <w:pPr>
        <w:spacing w:after="500"/>
        <w:jc w:val="center"/>
      </w:pPr>
      <w:r>
        <w:rPr>
          <w:i/>
          <w:iCs/>
          <w:sz w:val="26"/>
          <w:szCs w:val="26"/>
        </w:rPr>
        <w:t xml:space="preserve">A CBAM Compliance and Carbon Certificate Management System</w:t>
      </w:r>
    </w:p>
    <w:p>
      <w:pPr>
        <w:spacing w:after="40"/>
        <w:jc w:val="center"/>
      </w:pPr>
      <w:r>
        <w:rPr>
          <w:sz w:val="24"/>
          <w:szCs w:val="24"/>
        </w:rPr>
        <w:t xml:space="preserve">Course Instructor: Doç. Dr. Nihan Yıldırım</w:t>
      </w:r>
    </w:p>
    <w:p>
      <w:pPr>
        <w:spacing w:after="220"/>
        <w:jc w:val="center"/>
      </w:pPr>
      <w:r>
        <w:rPr>
          <w:color w:val="1D4ED8"/>
          <w:sz w:val="22"/>
          <w:szCs w:val="22"/>
        </w:rPr>
        <w:t xml:space="preserve">Live Application: https://carbonconsulting-msi.web.app</w:t>
      </w:r>
    </w:p>
    <w:p>
      <w:pPr>
        <w:spacing w:after="40"/>
        <w:jc w:val="center"/>
      </w:pPr>
      <w:r>
        <w:rPr>
          <w:b/>
          <w:bCs/>
          <w:sz w:val="22"/>
          <w:szCs w:val="22"/>
        </w:rPr>
        <w:t xml:space="preserve">Prepared by:</w:t>
      </w:r>
    </w:p>
    <w:p>
      <w:pPr>
        <w:spacing w:after="20"/>
        <w:jc w:val="center"/>
      </w:pPr>
      <w:r>
        <w:rPr>
          <w:sz w:val="24"/>
          <w:szCs w:val="24"/>
        </w:rPr>
        <w:t xml:space="preserve">Deniz Sevindi — 070190412</w:t>
      </w:r>
    </w:p>
    <w:p>
      <w:pPr>
        <w:spacing w:before="400"/>
        <w:jc w:val="center"/>
      </w:pPr>
      <w:r>
        <w:rPr>
          <w:sz w:val="22"/>
          <w:szCs w:val="22"/>
        </w:rPr>
        <w:t xml:space="preserve">June 2026 — Istanbul</w:t>
      </w:r>
    </w:p>
    <w:p>
      <w:r>
        <w:br w:type="page"/>
      </w:r>
    </w:p>
    <w:p>
      <w:pPr>
        <w:sectPr>
          <w:pgSz w:w="11906" w:h="16838" w:orient="portrait"/>
          <w:pgMar w:top="1440" w:right="1440" w:bottom="1440" w:left="1440" w:header="708" w:footer="708" w:gutter="0"/>
          <w:pgNumType/>
          <w:docGrid w:linePitch="360"/>
        </w:sectPr>
      </w:pPr>
    </w:p>
    <w:p>
      <w:pPr>
        <w:spacing w:after="160"/>
      </w:pPr>
      <w:r>
        <w:rPr>
          <w:b/>
          <w:bCs/>
          <w:sz w:val="28"/>
          <w:szCs w:val="28"/>
        </w:rP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160" w:before="280"/>
      </w:pPr>
      <w:r>
        <w:t xml:space="preserve">Abstract / Management Summary</w:t>
      </w:r>
    </w:p>
    <w:p>
      <w:pPr>
        <w:spacing w:after="140" w:before="0" w:line="276"/>
        <w:jc w:val="both"/>
      </w:pPr>
      <w:r>
        <w:t xml:space="preserve">The European Union’s Carbon Border Adjustment Mechanism (CBAM) entered its definitive period on 1 January 2026, requiring importers of carbon-intensive goods to surrender CBAM certificates priced against the EU Emissions Trading System (EU ETS). For Türkiye — whose exports of steel, cement, aluminium, fertilizer and electricity are heavily oriented toward the EU — this creates an urgent need to quantify embedded emissions and the resulting certificate cost. This project analyses the as-is, largely manual process by which Turkish exporters estimate their CBAM obligation and designs an information system, CarbonConsulting, to automate it. The methodology follows the classic system analysis and design cycle: problem identification and benchmarking of existing tools, analysis of the current process and data structures (context diagram, process flowcharts, entity-relationship modelling, use-case modelling and a gap analysis), and a full system design (process hierarchy, database design, application and interface design, an output and testing plan, and implementation recommendations). A working prototype was built and deployed to a public URL, with sector-specific emission factors, a dynamic calculation engine, and live certificate prices served from a cloud database. The main finding is that a lightweight, sector-specific web tool removes the inconsistency, error risk and certificate-price staleness of the manual process, producing an auditable Scope 1+2 emission figure, a certificate requirement and two procurement cost scenarios in seconds. We recommend a phased roll-out with the database and role model fully implemented, and integration with official CBAM reporting formats.</w:t>
      </w:r>
    </w:p>
    <w:p>
      <w:r>
        <w:br w:type="page"/>
      </w:r>
    </w:p>
    <w:p>
      <w:pPr>
        <w:pStyle w:val="Heading1"/>
        <w:spacing w:after="160" w:before="280"/>
      </w:pPr>
      <w:r>
        <w:t xml:space="preserve">1. Preliminary Study</w:t>
      </w:r>
    </w:p>
    <w:p>
      <w:pPr>
        <w:pStyle w:val="Heading2"/>
        <w:spacing w:after="120" w:before="220"/>
      </w:pPr>
      <w:r>
        <w:t xml:space="preserve">1.1 Description of the Company / Sector</w:t>
      </w:r>
    </w:p>
    <w:p>
      <w:pPr>
        <w:spacing w:after="140" w:before="0" w:line="276"/>
        <w:jc w:val="both"/>
      </w:pPr>
      <w:r>
        <w:t xml:space="preserve">The system addresses the Turkish export-oriented heavy industry, specifically the five sectors covered by the EU CBAM: iron &amp; steel, cement, aluminium, fertilizers and electricity. These sectors are strategically important for Türkiye:</w:t>
      </w:r>
    </w:p>
    <w:p>
      <w:pPr>
        <w:pStyle w:val="ListParagraph"/>
        <w:numPr>
          <w:ilvl w:val="0"/>
          <w:numId w:val="2"/>
        </w:numPr>
        <w:spacing w:after="60" w:line="276"/>
      </w:pPr>
      <w:r>
        <w:t xml:space="preserve">Iron &amp; Steel: Türkiye is Europe’s largest and the world’s 7th largest crude-steel producer (≈38.1 Mt/year); around 41.7% of steel exports go to the EU, making the sector the single most CBAM-exposed industry.</w:t>
      </w:r>
    </w:p>
    <w:p>
      <w:pPr>
        <w:pStyle w:val="ListParagraph"/>
        <w:numPr>
          <w:ilvl w:val="0"/>
          <w:numId w:val="2"/>
        </w:numPr>
        <w:spacing w:after="60" w:line="276"/>
      </w:pPr>
      <w:r>
        <w:t xml:space="preserve">Cement: ≈82 Mt/year, the largest producer in Europe; clinker calcination accounts for ≈60% of process emissions that cannot be reduced by energy efficiency alone.</w:t>
      </w:r>
    </w:p>
    <w:p>
      <w:pPr>
        <w:pStyle w:val="ListParagraph"/>
        <w:numPr>
          <w:ilvl w:val="0"/>
          <w:numId w:val="2"/>
        </w:numPr>
        <w:spacing w:after="60" w:line="276"/>
      </w:pPr>
      <w:r>
        <w:t xml:space="preserve">Aluminium: a 5.6 billion USD export sector; primary production is extremely electricity-intensive (&gt;60% Scope 2).</w:t>
      </w:r>
    </w:p>
    <w:p>
      <w:pPr>
        <w:pStyle w:val="ListParagraph"/>
        <w:numPr>
          <w:ilvl w:val="0"/>
          <w:numId w:val="2"/>
        </w:numPr>
        <w:spacing w:after="60" w:line="276"/>
      </w:pPr>
      <w:r>
        <w:t xml:space="preserve">Fertilizer: nitric-acid N₂O (GWP 265) is the dominant emission driver; tertiary abatement can cut it up to 12-fold.</w:t>
      </w:r>
    </w:p>
    <w:p>
      <w:pPr>
        <w:pStyle w:val="ListParagraph"/>
        <w:numPr>
          <w:ilvl w:val="0"/>
          <w:numId w:val="2"/>
        </w:numPr>
        <w:spacing w:after="60" w:line="276"/>
      </w:pPr>
      <w:r>
        <w:t xml:space="preserve">Electricity: the Turkish grid factor fell to ≈400 gCO₂/kWh in 2024 versus an EU-27 average of ≈250 gCO₂/kWh.</w:t>
      </w:r>
    </w:p>
    <w:p>
      <w:pPr>
        <w:spacing w:after="140" w:before="0" w:line="276"/>
        <w:jc w:val="both"/>
      </w:pPr>
      <w:r>
        <w:t xml:space="preserve">The "organisation" modelled by the system is therefore a representative Turkish exporting manufacturer in one of these sectors, together with a consulting/operator role (CarbonConsulting) that maintains the reference data and serves the calculation as a service.</w:t>
      </w:r>
    </w:p>
    <w:p>
      <w:pPr>
        <w:pStyle w:val="Heading2"/>
        <w:spacing w:after="120" w:before="220"/>
      </w:pPr>
      <w:r>
        <w:t xml:space="preserve">1.2 Project Definition and Background</w:t>
      </w:r>
    </w:p>
    <w:p>
      <w:pPr>
        <w:spacing w:after="140" w:before="0" w:line="276"/>
        <w:jc w:val="both"/>
      </w:pPr>
      <w:r>
        <w:t xml:space="preserve">Problem. With CBAM now in force, every EU shipment carries an implicit carbon cost equal to the embedded emissions of the goods multiplied by the weekly-average EUA price. Turkish exporters currently estimate this obligation manually: production data is gathered in spreadsheets, emission factors are looked up across scattered standards (Worldsteel, GNR, IAI, Fertilizers Europe, IEA), the calculation is done by hand in Excel, and certificate prices are searched on the web. The process is slow, inconsistent between staff, error-prone (e.g. double-counting scrap-based emission reductions), and the certificate price is often stale by the time the report is complete. There is no reusable record and no comparison of procurement scenarios.</w:t>
      </w:r>
    </w:p>
    <w:p>
      <w:pPr>
        <w:spacing w:after="140" w:before="0" w:line="276"/>
        <w:jc w:val="both"/>
      </w:pPr>
      <w:r>
        <w:t xml:space="preserve">Aim and objectives. The aim is to design — and demonstrate with a working prototype — an information system that turns this manual, error-prone estimation into a fast, consistent, auditable and data-driven calculation. The objectives are: (i) to centralise sector-specific emission factors; (ii) to compute Scope 1+2 emissions from a small set of production inputs; (iii) to derive the CBAM certificate requirement from the EU export ratio; (iv) to retrieve live certificate prices and present procurement cost scenarios; and (v) to provide an interface and a database design suitable for hand-over and future implementation.</w:t>
      </w:r>
    </w:p>
    <w:p>
      <w:pPr>
        <w:pStyle w:val="Heading2"/>
        <w:spacing w:after="120" w:before="220"/>
      </w:pPr>
      <w:r>
        <w:t xml:space="preserve">1.3 Existing Systems — Benchmark</w:t>
      </w:r>
    </w:p>
    <w:p>
      <w:pPr>
        <w:spacing w:after="140" w:before="0" w:line="276"/>
        <w:jc w:val="both"/>
      </w:pPr>
      <w:r>
        <w:t xml:space="preserve">A brief survey of available solutions was conducted. They fall into four groups: enterprise carbon-accounting suites, generic free calculators, the official EU reporting registry, and the manual spreadsheet/consultant approach. None combines CBAM-specificity, Turkish sector factors, live certificate pricing, cost-scenario comparison and low cost.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50"/>
        <w:gridCol w:w="1500"/>
        <w:gridCol w:w="1550"/>
        <w:gridCol w:w="1300"/>
        <w:gridCol w:w="2926"/>
      </w:tblGrid>
      <w:tr>
        <w:trPr>
          <w:tblHeader/>
        </w:trPr>
        <w:tc>
          <w:tcPr>
            <w:tcW w:type="dxa" w:w="1750"/>
            <w:tcBorders>
              <w:top w:val="single" w:color="BBBBBB" w:sz="1"/>
              <w:left w:val="single" w:color="BBBBBB" w:sz="1"/>
              <w:bottom w:val="single" w:color="BBBBBB" w:sz="1"/>
              <w:right w:val="single" w:color="BBBBBB" w:sz="1"/>
            </w:tcBorders>
            <w:shd w:fill="1E293B" w:color="auto" w:val="clear"/>
            <w:tcMar>
              <w:top w:type="dxa" w:w="60"/>
              <w:left w:type="dxa" w:w="110"/>
              <w:bottom w:type="dxa" w:w="60"/>
              <w:right w:type="dxa" w:w="110"/>
            </w:tcMar>
            <w:vAlign w:val="center"/>
          </w:tcPr>
          <w:p>
            <w:pPr>
              <w:spacing w:after="0" w:line="252"/>
              <w:jc w:val="left"/>
            </w:pPr>
            <w:r>
              <w:rPr>
                <w:b/>
                <w:bCs/>
                <w:color w:val="FFFFFF"/>
                <w:sz w:val="20"/>
                <w:szCs w:val="20"/>
              </w:rPr>
              <w:t xml:space="preserve">Solution</w:t>
            </w:r>
          </w:p>
        </w:tc>
        <w:tc>
          <w:tcPr>
            <w:tcW w:type="dxa" w:w="1500"/>
            <w:tcBorders>
              <w:top w:val="single" w:color="BBBBBB" w:sz="1"/>
              <w:left w:val="single" w:color="BBBBBB" w:sz="1"/>
              <w:bottom w:val="single" w:color="BBBBBB" w:sz="1"/>
              <w:right w:val="single" w:color="BBBBBB" w:sz="1"/>
            </w:tcBorders>
            <w:shd w:fill="1E293B" w:color="auto" w:val="clear"/>
            <w:tcMar>
              <w:top w:type="dxa" w:w="60"/>
              <w:left w:type="dxa" w:w="110"/>
              <w:bottom w:type="dxa" w:w="60"/>
              <w:right w:type="dxa" w:w="110"/>
            </w:tcMar>
            <w:vAlign w:val="center"/>
          </w:tcPr>
          <w:p>
            <w:pPr>
              <w:spacing w:after="0" w:line="252"/>
              <w:jc w:val="left"/>
            </w:pPr>
            <w:r>
              <w:rPr>
                <w:b/>
                <w:bCs/>
                <w:color w:val="FFFFFF"/>
                <w:sz w:val="20"/>
                <w:szCs w:val="20"/>
              </w:rPr>
              <w:t xml:space="preserve">Provider</w:t>
            </w:r>
          </w:p>
        </w:tc>
        <w:tc>
          <w:tcPr>
            <w:tcW w:type="dxa" w:w="1550"/>
            <w:tcBorders>
              <w:top w:val="single" w:color="BBBBBB" w:sz="1"/>
              <w:left w:val="single" w:color="BBBBBB" w:sz="1"/>
              <w:bottom w:val="single" w:color="BBBBBB" w:sz="1"/>
              <w:right w:val="single" w:color="BBBBBB" w:sz="1"/>
            </w:tcBorders>
            <w:shd w:fill="1E293B" w:color="auto" w:val="clear"/>
            <w:tcMar>
              <w:top w:type="dxa" w:w="60"/>
              <w:left w:type="dxa" w:w="110"/>
              <w:bottom w:type="dxa" w:w="60"/>
              <w:right w:type="dxa" w:w="110"/>
            </w:tcMar>
            <w:vAlign w:val="center"/>
          </w:tcPr>
          <w:p>
            <w:pPr>
              <w:spacing w:after="0" w:line="252"/>
              <w:jc w:val="left"/>
            </w:pPr>
            <w:r>
              <w:rPr>
                <w:b/>
                <w:bCs/>
                <w:color w:val="FFFFFF"/>
                <w:sz w:val="20"/>
                <w:szCs w:val="20"/>
              </w:rPr>
              <w:t xml:space="preserve">Type</w:t>
            </w:r>
          </w:p>
        </w:tc>
        <w:tc>
          <w:tcPr>
            <w:tcW w:type="dxa" w:w="1300"/>
            <w:tcBorders>
              <w:top w:val="single" w:color="BBBBBB" w:sz="1"/>
              <w:left w:val="single" w:color="BBBBBB" w:sz="1"/>
              <w:bottom w:val="single" w:color="BBBBBB" w:sz="1"/>
              <w:right w:val="single" w:color="BBBBBB" w:sz="1"/>
            </w:tcBorders>
            <w:shd w:fill="1E293B" w:color="auto" w:val="clear"/>
            <w:tcMar>
              <w:top w:type="dxa" w:w="60"/>
              <w:left w:type="dxa" w:w="110"/>
              <w:bottom w:type="dxa" w:w="60"/>
              <w:right w:type="dxa" w:w="110"/>
            </w:tcMar>
            <w:vAlign w:val="center"/>
          </w:tcPr>
          <w:p>
            <w:pPr>
              <w:spacing w:after="0" w:line="252"/>
              <w:jc w:val="left"/>
            </w:pPr>
            <w:r>
              <w:rPr>
                <w:b/>
                <w:bCs/>
                <w:color w:val="FFFFFF"/>
                <w:sz w:val="20"/>
                <w:szCs w:val="20"/>
              </w:rPr>
              <w:t xml:space="preserve">Cost</w:t>
            </w:r>
          </w:p>
        </w:tc>
        <w:tc>
          <w:tcPr>
            <w:tcW w:type="dxa" w:w="2926"/>
            <w:tcBorders>
              <w:top w:val="single" w:color="BBBBBB" w:sz="1"/>
              <w:left w:val="single" w:color="BBBBBB" w:sz="1"/>
              <w:bottom w:val="single" w:color="BBBBBB" w:sz="1"/>
              <w:right w:val="single" w:color="BBBBBB" w:sz="1"/>
            </w:tcBorders>
            <w:shd w:fill="1E293B" w:color="auto" w:val="clear"/>
            <w:tcMar>
              <w:top w:type="dxa" w:w="60"/>
              <w:left w:type="dxa" w:w="110"/>
              <w:bottom w:type="dxa" w:w="60"/>
              <w:right w:type="dxa" w:w="110"/>
            </w:tcMar>
            <w:vAlign w:val="center"/>
          </w:tcPr>
          <w:p>
            <w:pPr>
              <w:spacing w:after="0" w:line="252"/>
              <w:jc w:val="left"/>
            </w:pPr>
            <w:r>
              <w:rPr>
                <w:b/>
                <w:bCs/>
                <w:color w:val="FFFFFF"/>
                <w:sz w:val="20"/>
                <w:szCs w:val="20"/>
              </w:rPr>
              <w:t xml:space="preserve">Main limitation</w:t>
            </w:r>
          </w:p>
        </w:tc>
      </w:tr>
      <w:tr>
        <w:trPr>
          <w:tblHeader w:val="false"/>
        </w:trPr>
        <w:tc>
          <w:tcPr>
            <w:tcW w:type="dxa" w:w="175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jc w:val="left"/>
            </w:pPr>
            <w:r>
              <w:rPr>
                <w:b w:val="false"/>
                <w:bCs w:val="false"/>
                <w:color w:val="000000"/>
                <w:sz w:val="20"/>
                <w:szCs w:val="20"/>
              </w:rPr>
              <w:t xml:space="preserve">SAP Green Ledger / CBAM</w:t>
            </w:r>
          </w:p>
        </w:tc>
        <w:tc>
          <w:tcPr>
            <w:tcW w:type="dxa" w:w="15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jc w:val="left"/>
            </w:pPr>
            <w:r>
              <w:rPr>
                <w:b w:val="false"/>
                <w:bCs w:val="false"/>
                <w:color w:val="000000"/>
                <w:sz w:val="20"/>
                <w:szCs w:val="20"/>
              </w:rPr>
              <w:t xml:space="preserve">SAP</w:t>
            </w:r>
          </w:p>
        </w:tc>
        <w:tc>
          <w:tcPr>
            <w:tcW w:type="dxa" w:w="155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jc w:val="left"/>
            </w:pPr>
            <w:r>
              <w:rPr>
                <w:b w:val="false"/>
                <w:bCs w:val="false"/>
                <w:color w:val="000000"/>
                <w:sz w:val="20"/>
                <w:szCs w:val="20"/>
              </w:rPr>
              <w:t xml:space="preserve">Enterprise SaaS</w:t>
            </w:r>
          </w:p>
        </w:tc>
        <w:tc>
          <w:tcPr>
            <w:tcW w:type="dxa" w:w="13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jc w:val="left"/>
            </w:pPr>
            <w:r>
              <w:rPr>
                <w:b w:val="false"/>
                <w:bCs w:val="false"/>
                <w:color w:val="000000"/>
                <w:sz w:val="20"/>
                <w:szCs w:val="20"/>
              </w:rPr>
              <w:t xml:space="preserve">Very high (€100k+)</w:t>
            </w:r>
          </w:p>
        </w:tc>
        <w:tc>
          <w:tcPr>
            <w:tcW w:type="dxa" w:w="2926"/>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jc w:val="left"/>
            </w:pPr>
            <w:r>
              <w:rPr>
                <w:b w:val="false"/>
                <w:bCs w:val="false"/>
                <w:color w:val="000000"/>
                <w:sz w:val="20"/>
                <w:szCs w:val="20"/>
              </w:rPr>
              <w:t xml:space="preserve">Requires SAP ERP; oversized for SMEs</w:t>
            </w:r>
          </w:p>
        </w:tc>
      </w:tr>
      <w:tr>
        <w:trPr>
          <w:tblHeader w:val="false"/>
        </w:trPr>
        <w:tc>
          <w:tcPr>
            <w:tcW w:type="dxa" w:w="175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jc w:val="left"/>
            </w:pPr>
            <w:r>
              <w:rPr>
                <w:b w:val="false"/>
                <w:bCs w:val="false"/>
                <w:color w:val="000000"/>
                <w:sz w:val="20"/>
                <w:szCs w:val="20"/>
              </w:rPr>
              <w:t xml:space="preserve">Persefoni / Watershed</w:t>
            </w:r>
          </w:p>
        </w:tc>
        <w:tc>
          <w:tcPr>
            <w:tcW w:type="dxa" w:w="15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jc w:val="left"/>
            </w:pPr>
            <w:r>
              <w:rPr>
                <w:b w:val="false"/>
                <w:bCs w:val="false"/>
                <w:color w:val="000000"/>
                <w:sz w:val="20"/>
                <w:szCs w:val="20"/>
              </w:rPr>
              <w:t xml:space="preserve">US vendors</w:t>
            </w:r>
          </w:p>
        </w:tc>
        <w:tc>
          <w:tcPr>
            <w:tcW w:type="dxa" w:w="155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jc w:val="left"/>
            </w:pPr>
            <w:r>
              <w:rPr>
                <w:b w:val="false"/>
                <w:bCs w:val="false"/>
                <w:color w:val="000000"/>
                <w:sz w:val="20"/>
                <w:szCs w:val="20"/>
              </w:rPr>
              <w:t xml:space="preserve">ESG/carbon SaaS</w:t>
            </w:r>
          </w:p>
        </w:tc>
        <w:tc>
          <w:tcPr>
            <w:tcW w:type="dxa" w:w="13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jc w:val="left"/>
            </w:pPr>
            <w:r>
              <w:rPr>
                <w:b w:val="false"/>
                <w:bCs w:val="false"/>
                <w:color w:val="000000"/>
                <w:sz w:val="20"/>
                <w:szCs w:val="20"/>
              </w:rPr>
              <w:t xml:space="preserve">High subscription</w:t>
            </w:r>
          </w:p>
        </w:tc>
        <w:tc>
          <w:tcPr>
            <w:tcW w:type="dxa" w:w="2926"/>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jc w:val="left"/>
            </w:pPr>
            <w:r>
              <w:rPr>
                <w:b w:val="false"/>
                <w:bCs w:val="false"/>
                <w:color w:val="000000"/>
                <w:sz w:val="20"/>
                <w:szCs w:val="20"/>
              </w:rPr>
              <w:t xml:space="preserve">Generic accounting, not CBAM-cert/cost specific</w:t>
            </w:r>
          </w:p>
        </w:tc>
      </w:tr>
      <w:tr>
        <w:trPr>
          <w:tblHeader w:val="false"/>
        </w:trPr>
        <w:tc>
          <w:tcPr>
            <w:tcW w:type="dxa" w:w="175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jc w:val="left"/>
            </w:pPr>
            <w:r>
              <w:rPr>
                <w:b w:val="false"/>
                <w:bCs w:val="false"/>
                <w:color w:val="000000"/>
                <w:sz w:val="20"/>
                <w:szCs w:val="20"/>
              </w:rPr>
              <w:t xml:space="preserve">CarbonChain</w:t>
            </w:r>
          </w:p>
        </w:tc>
        <w:tc>
          <w:tcPr>
            <w:tcW w:type="dxa" w:w="15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jc w:val="left"/>
            </w:pPr>
            <w:r>
              <w:rPr>
                <w:b w:val="false"/>
                <w:bCs w:val="false"/>
                <w:color w:val="000000"/>
                <w:sz w:val="20"/>
                <w:szCs w:val="20"/>
              </w:rPr>
              <w:t xml:space="preserve">CarbonChain</w:t>
            </w:r>
          </w:p>
        </w:tc>
        <w:tc>
          <w:tcPr>
            <w:tcW w:type="dxa" w:w="155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jc w:val="left"/>
            </w:pPr>
            <w:r>
              <w:rPr>
                <w:b w:val="false"/>
                <w:bCs w:val="false"/>
                <w:color w:val="000000"/>
                <w:sz w:val="20"/>
                <w:szCs w:val="20"/>
              </w:rPr>
              <w:t xml:space="preserve">Supply-chain SaaS</w:t>
            </w:r>
          </w:p>
        </w:tc>
        <w:tc>
          <w:tcPr>
            <w:tcW w:type="dxa" w:w="13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jc w:val="left"/>
            </w:pPr>
            <w:r>
              <w:rPr>
                <w:b w:val="false"/>
                <w:bCs w:val="false"/>
                <w:color w:val="000000"/>
                <w:sz w:val="20"/>
                <w:szCs w:val="20"/>
              </w:rPr>
              <w:t xml:space="preserve">Subscription</w:t>
            </w:r>
          </w:p>
        </w:tc>
        <w:tc>
          <w:tcPr>
            <w:tcW w:type="dxa" w:w="2926"/>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jc w:val="left"/>
            </w:pPr>
            <w:r>
              <w:rPr>
                <w:b w:val="false"/>
                <w:bCs w:val="false"/>
                <w:color w:val="000000"/>
                <w:sz w:val="20"/>
                <w:szCs w:val="20"/>
              </w:rPr>
              <w:t xml:space="preserve">Not tuned to Turkish sector routes</w:t>
            </w:r>
          </w:p>
        </w:tc>
      </w:tr>
      <w:tr>
        <w:trPr>
          <w:tblHeader w:val="false"/>
        </w:trPr>
        <w:tc>
          <w:tcPr>
            <w:tcW w:type="dxa" w:w="175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jc w:val="left"/>
            </w:pPr>
            <w:r>
              <w:rPr>
                <w:b w:val="false"/>
                <w:bCs w:val="false"/>
                <w:color w:val="000000"/>
                <w:sz w:val="20"/>
                <w:szCs w:val="20"/>
              </w:rPr>
              <w:t xml:space="preserve">GHG Türkiye Calculator</w:t>
            </w:r>
          </w:p>
        </w:tc>
        <w:tc>
          <w:tcPr>
            <w:tcW w:type="dxa" w:w="15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jc w:val="left"/>
            </w:pPr>
            <w:r>
              <w:rPr>
                <w:b w:val="false"/>
                <w:bCs w:val="false"/>
                <w:color w:val="000000"/>
                <w:sz w:val="20"/>
                <w:szCs w:val="20"/>
              </w:rPr>
              <w:t xml:space="preserve">ghg-turkiye.com</w:t>
            </w:r>
          </w:p>
        </w:tc>
        <w:tc>
          <w:tcPr>
            <w:tcW w:type="dxa" w:w="155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jc w:val="left"/>
            </w:pPr>
            <w:r>
              <w:rPr>
                <w:b w:val="false"/>
                <w:bCs w:val="false"/>
                <w:color w:val="000000"/>
                <w:sz w:val="20"/>
                <w:szCs w:val="20"/>
              </w:rPr>
              <w:t xml:space="preserve">Free web calculator</w:t>
            </w:r>
          </w:p>
        </w:tc>
        <w:tc>
          <w:tcPr>
            <w:tcW w:type="dxa" w:w="13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jc w:val="left"/>
            </w:pPr>
            <w:r>
              <w:rPr>
                <w:b w:val="false"/>
                <w:bCs w:val="false"/>
                <w:color w:val="000000"/>
                <w:sz w:val="20"/>
                <w:szCs w:val="20"/>
              </w:rPr>
              <w:t xml:space="preserve">Free</w:t>
            </w:r>
          </w:p>
        </w:tc>
        <w:tc>
          <w:tcPr>
            <w:tcW w:type="dxa" w:w="2926"/>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jc w:val="left"/>
            </w:pPr>
            <w:r>
              <w:rPr>
                <w:b w:val="false"/>
                <w:bCs w:val="false"/>
                <w:color w:val="000000"/>
                <w:sz w:val="20"/>
                <w:szCs w:val="20"/>
              </w:rPr>
              <w:t xml:space="preserve">Generic GHG; no CBAM cert need or live price</w:t>
            </w:r>
          </w:p>
        </w:tc>
      </w:tr>
      <w:tr>
        <w:trPr>
          <w:tblHeader w:val="false"/>
        </w:trPr>
        <w:tc>
          <w:tcPr>
            <w:tcW w:type="dxa" w:w="175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jc w:val="left"/>
            </w:pPr>
            <w:r>
              <w:rPr>
                <w:b w:val="false"/>
                <w:bCs w:val="false"/>
                <w:color w:val="000000"/>
                <w:sz w:val="20"/>
                <w:szCs w:val="20"/>
              </w:rPr>
              <w:t xml:space="preserve">EU CBAM Transitional Registry</w:t>
            </w:r>
          </w:p>
        </w:tc>
        <w:tc>
          <w:tcPr>
            <w:tcW w:type="dxa" w:w="15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jc w:val="left"/>
            </w:pPr>
            <w:r>
              <w:rPr>
                <w:b w:val="false"/>
                <w:bCs w:val="false"/>
                <w:color w:val="000000"/>
                <w:sz w:val="20"/>
                <w:szCs w:val="20"/>
              </w:rPr>
              <w:t xml:space="preserve">European Commission</w:t>
            </w:r>
          </w:p>
        </w:tc>
        <w:tc>
          <w:tcPr>
            <w:tcW w:type="dxa" w:w="155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jc w:val="left"/>
            </w:pPr>
            <w:r>
              <w:rPr>
                <w:b w:val="false"/>
                <w:bCs w:val="false"/>
                <w:color w:val="000000"/>
                <w:sz w:val="20"/>
                <w:szCs w:val="20"/>
              </w:rPr>
              <w:t xml:space="preserve">Reporting portal</w:t>
            </w:r>
          </w:p>
        </w:tc>
        <w:tc>
          <w:tcPr>
            <w:tcW w:type="dxa" w:w="13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jc w:val="left"/>
            </w:pPr>
            <w:r>
              <w:rPr>
                <w:b w:val="false"/>
                <w:bCs w:val="false"/>
                <w:color w:val="000000"/>
                <w:sz w:val="20"/>
                <w:szCs w:val="20"/>
              </w:rPr>
              <w:t xml:space="preserve">Free (mandatory)</w:t>
            </w:r>
          </w:p>
        </w:tc>
        <w:tc>
          <w:tcPr>
            <w:tcW w:type="dxa" w:w="2926"/>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jc w:val="left"/>
            </w:pPr>
            <w:r>
              <w:rPr>
                <w:b w:val="false"/>
                <w:bCs w:val="false"/>
                <w:color w:val="000000"/>
                <w:sz w:val="20"/>
                <w:szCs w:val="20"/>
              </w:rPr>
              <w:t xml:space="preserve">Reporting only; not a calculator or cost tool</w:t>
            </w:r>
          </w:p>
        </w:tc>
      </w:tr>
      <w:tr>
        <w:trPr>
          <w:tblHeader w:val="false"/>
        </w:trPr>
        <w:tc>
          <w:tcPr>
            <w:tcW w:type="dxa" w:w="175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jc w:val="left"/>
            </w:pPr>
            <w:r>
              <w:rPr>
                <w:b w:val="false"/>
                <w:bCs w:val="false"/>
                <w:color w:val="000000"/>
                <w:sz w:val="20"/>
                <w:szCs w:val="20"/>
              </w:rPr>
              <w:t xml:space="preserve">Excel + external consultant</w:t>
            </w:r>
          </w:p>
        </w:tc>
        <w:tc>
          <w:tcPr>
            <w:tcW w:type="dxa" w:w="15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jc w:val="left"/>
            </w:pPr>
            <w:r>
              <w:rPr>
                <w:b w:val="false"/>
                <w:bCs w:val="false"/>
                <w:color w:val="000000"/>
                <w:sz w:val="20"/>
                <w:szCs w:val="20"/>
              </w:rPr>
              <w:t xml:space="preserve">In-house / advisory</w:t>
            </w:r>
          </w:p>
        </w:tc>
        <w:tc>
          <w:tcPr>
            <w:tcW w:type="dxa" w:w="155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jc w:val="left"/>
            </w:pPr>
            <w:r>
              <w:rPr>
                <w:b w:val="false"/>
                <w:bCs w:val="false"/>
                <w:color w:val="000000"/>
                <w:sz w:val="20"/>
                <w:szCs w:val="20"/>
              </w:rPr>
              <w:t xml:space="preserve">Manual</w:t>
            </w:r>
          </w:p>
        </w:tc>
        <w:tc>
          <w:tcPr>
            <w:tcW w:type="dxa" w:w="13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jc w:val="left"/>
            </w:pPr>
            <w:r>
              <w:rPr>
                <w:b w:val="false"/>
                <w:bCs w:val="false"/>
                <w:color w:val="000000"/>
                <w:sz w:val="20"/>
                <w:szCs w:val="20"/>
              </w:rPr>
              <w:t xml:space="preserve">Low–medium</w:t>
            </w:r>
          </w:p>
        </w:tc>
        <w:tc>
          <w:tcPr>
            <w:tcW w:type="dxa" w:w="2926"/>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jc w:val="left"/>
            </w:pPr>
            <w:r>
              <w:rPr>
                <w:b w:val="false"/>
                <w:bCs w:val="false"/>
                <w:color w:val="000000"/>
                <w:sz w:val="20"/>
                <w:szCs w:val="20"/>
              </w:rPr>
              <w:t xml:space="preserve">Error-prone, slow, no live data, no record</w:t>
            </w:r>
          </w:p>
        </w:tc>
      </w:tr>
    </w:tbl>
    <w:p>
      <w:pPr>
        <w:spacing w:after="180" w:before="60"/>
        <w:jc w:val="center"/>
      </w:pPr>
      <w:r>
        <w:rPr>
          <w:i/>
          <w:iCs/>
          <w:color w:val="555555"/>
          <w:sz w:val="20"/>
          <w:szCs w:val="20"/>
        </w:rPr>
        <w:t xml:space="preserve">Table 1. Benchmark of existing CBAM/carbon estimation solutions.</w:t>
      </w:r>
    </w:p>
    <w:p>
      <w:pPr>
        <w:spacing w:after="140" w:before="0" w:line="276"/>
        <w:jc w:val="both"/>
      </w:pPr>
      <w:r>
        <w:t xml:space="preserve">Common features across tools: an emission factor library and an emissions total. Differentiating features missing from most: CBAM-specific certificate-need logic, Turkish sector-route factors, live EUA/VCM pricing, side-by-side procurement cost scenarios, and free public access. CarbonConsulting targets exactly this gap.</w:t>
      </w:r>
    </w:p>
    <w:p>
      <w:pPr>
        <w:pStyle w:val="Heading2"/>
        <w:spacing w:after="120" w:before="220"/>
      </w:pPr>
      <w:r>
        <w:t xml:space="preserve">1.4 Environmental and Implementation Requirements</w:t>
      </w:r>
    </w:p>
    <w:p>
      <w:pPr>
        <w:spacing w:after="140" w:before="0" w:line="276"/>
        <w:jc w:val="both"/>
      </w:pPr>
      <w:r>
        <w:t xml:space="preserve">Environmental (infrastructure) requirements: a modern web browser on the client side; static web hosting (the prototype uses Firebase Hosting); a cloud database with a public read API (the prototype uses Supabase/PostgreSQL); and outbound HTTPS to data sources for certificate prices. No installation, ERP or on-premise server is required.</w:t>
      </w:r>
    </w:p>
    <w:p>
      <w:pPr>
        <w:spacing w:after="140" w:before="0" w:line="276"/>
        <w:jc w:val="both"/>
      </w:pPr>
      <w:r>
        <w:t xml:space="preserve">Implementation requirements: front-end web development (HTML/CSS/JavaScript); database design and administration; curation of sector emission factors from authoritative standards; and a small operations role to keep certificate prices and factors up to date. The skills are modest and the stack is free-tier, which is appropriate for the social/SME context of the project.</w:t>
      </w:r>
    </w:p>
    <w:p>
      <w:r>
        <w:br w:type="page"/>
      </w:r>
    </w:p>
    <w:p>
      <w:pPr>
        <w:pStyle w:val="Heading1"/>
        <w:spacing w:after="160" w:before="280"/>
      </w:pPr>
      <w:r>
        <w:t xml:space="preserve">2. System Analysis</w:t>
      </w:r>
    </w:p>
    <w:p>
      <w:pPr>
        <w:pStyle w:val="Heading2"/>
        <w:spacing w:after="120" w:before="220"/>
      </w:pPr>
      <w:r>
        <w:t xml:space="preserve">2.1 Sub &amp; Supra Systems — Context Diagram</w:t>
      </w:r>
    </w:p>
    <w:p>
      <w:pPr>
        <w:spacing w:after="140" w:before="0" w:line="276"/>
        <w:jc w:val="both"/>
      </w:pPr>
      <w:r>
        <w:t xml:space="preserve">The system boundary contains a single top-level process, the CarbonConsulting System (process 0). Its supra-systems (external entities) are: the Exporter Company User and the System Administrator (human actors), the Emission Factor Standards bodies (Worldsteel, IEA, GNR, IAI, Fertilizers Europe) that supply benchmark factors, and the Certificate Price Sources (Ember Climate, ICAP, and the Supabase live store) that supply prices. The context (level-0 DFD) diagram below shows the data flows crossing the boundary.</w:t>
      </w:r>
    </w:p>
    <w:p>
      <w:pPr>
        <w:spacing w:after="40" w:before="120"/>
        <w:jc w:val="center"/>
      </w:pPr>
      <w:r>
        <w:drawing>
          <wp:inline distT="0" distB="0" distL="0" distR="0">
            <wp:extent cx="5524500" cy="3648075"/>
            <wp:effectExtent t="0" r="0" b="0" l="0"/>
            <wp:docPr id="1" name="context.png" descr="Figure 1. Context Diagram (Level-0 DFD) of the CarbonConsulting system." title="Figure 1. Context Diagram (Level-0 DFD) of the CarbonConsulting syst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524500" cy="3648075"/>
                    </a:xfrm>
                    <a:prstGeom prst="rect">
                      <a:avLst/>
                    </a:prstGeom>
                  </pic:spPr>
                </pic:pic>
              </a:graphicData>
            </a:graphic>
          </wp:inline>
        </w:drawing>
      </w:r>
    </w:p>
    <w:p>
      <w:pPr>
        <w:spacing w:after="180"/>
        <w:jc w:val="center"/>
      </w:pPr>
      <w:r>
        <w:rPr>
          <w:i/>
          <w:iCs/>
          <w:color w:val="555555"/>
          <w:sz w:val="20"/>
          <w:szCs w:val="20"/>
        </w:rPr>
        <w:t xml:space="preserve">Figure 1. Context Diagram (Level-0 DFD) of the CarbonConsulting system.</w:t>
      </w:r>
    </w:p>
    <w:p>
      <w:pPr>
        <w:pStyle w:val="Heading2"/>
        <w:spacing w:after="120" w:before="220"/>
      </w:pPr>
      <w:r>
        <w:t xml:space="preserve">2.2 Process Analysis of the Existing (AS-IS) System</w:t>
      </w:r>
    </w:p>
    <w:p>
      <w:pPr>
        <w:spacing w:after="140" w:before="0" w:line="276"/>
        <w:jc w:val="both"/>
      </w:pPr>
      <w:r>
        <w:t xml:space="preserve">The current process is manual and iterative. When an EU export order arrives, staff gather production data from spreadsheets and plant records, search for emission factors across multiple standards, calculate emissions by hand in Excel, look up certificate prices through manual web search, and judge whether the result is accurate and consistent. When it is not — which is frequent — an external consultant is engaged and the loop repeats. Only then is a compliance report compiled manually. The flowchart below maps this process and the pain points that motivate the new system.</w:t>
      </w:r>
    </w:p>
    <w:p>
      <w:pPr>
        <w:spacing w:after="40" w:before="120"/>
        <w:jc w:val="center"/>
      </w:pPr>
      <w:r>
        <w:drawing>
          <wp:inline distT="0" distB="0" distL="0" distR="0">
            <wp:extent cx="4476750" cy="4152900"/>
            <wp:effectExtent t="0" r="0" b="0" l="0"/>
            <wp:docPr id="1" name="asis.png" descr="Figure 2. AS-IS process flowchart for manual CBAM obligation estimation, with pain points." title="Figure 2. AS-IS process flowchart for manual CBAM obligation estimation, with pain poi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476750" cy="4152900"/>
                    </a:xfrm>
                    <a:prstGeom prst="rect">
                      <a:avLst/>
                    </a:prstGeom>
                  </pic:spPr>
                </pic:pic>
              </a:graphicData>
            </a:graphic>
          </wp:inline>
        </w:drawing>
      </w:r>
    </w:p>
    <w:p>
      <w:pPr>
        <w:spacing w:after="180"/>
        <w:jc w:val="center"/>
      </w:pPr>
      <w:r>
        <w:rPr>
          <w:i/>
          <w:iCs/>
          <w:color w:val="555555"/>
          <w:sz w:val="20"/>
          <w:szCs w:val="20"/>
        </w:rPr>
        <w:t xml:space="preserve">Figure 2. AS-IS process flowchart for manual CBAM obligation estimation, with pain points.</w:t>
      </w:r>
    </w:p>
    <w:p>
      <w:pPr>
        <w:pStyle w:val="Heading2"/>
        <w:spacing w:after="120" w:before="220"/>
      </w:pPr>
      <w:r>
        <w:t xml:space="preserve">2.3 Data Analysis of the Existing System</w:t>
      </w:r>
    </w:p>
    <w:p>
      <w:pPr>
        <w:spacing w:after="140" w:before="0" w:line="276"/>
        <w:jc w:val="both"/>
      </w:pPr>
      <w:r>
        <w:t xml:space="preserve">In the as-is system there is no integrated database; data lives in loose stores: spreadsheet files of production figures, PDF copies of emission-factor standards, ad-hoc notes of certificate prices, and Word/PDF compliance reports. The conceptual entities implicit in this manual practice — sector, emission factor, company, user, calculation and certificate price — are formalised into the entity-relationship model below, which becomes the basis for the database design in Section 3.3. (No ER diagram can be drawn for the genuine as-is system because no database exists; the model below is the proposed logical data structure derived from the analysis.)</w:t>
      </w:r>
    </w:p>
    <w:p>
      <w:pPr>
        <w:spacing w:after="40" w:before="120"/>
        <w:jc w:val="center"/>
      </w:pPr>
      <w:r>
        <w:drawing>
          <wp:inline distT="0" distB="0" distL="0" distR="0">
            <wp:extent cx="5619750" cy="4010025"/>
            <wp:effectExtent t="0" r="0" b="0" l="0"/>
            <wp:docPr id="1" name="er.png" descr="Figure 3. Entity-Relationship diagram (proposed logical data structure)." title="Figure 3. Entity-Relationship diagram (proposed logical data stru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619750" cy="4010025"/>
                    </a:xfrm>
                    <a:prstGeom prst="rect">
                      <a:avLst/>
                    </a:prstGeom>
                  </pic:spPr>
                </pic:pic>
              </a:graphicData>
            </a:graphic>
          </wp:inline>
        </w:drawing>
      </w:r>
    </w:p>
    <w:p>
      <w:pPr>
        <w:spacing w:after="180"/>
        <w:jc w:val="center"/>
      </w:pPr>
      <w:r>
        <w:rPr>
          <w:i/>
          <w:iCs/>
          <w:color w:val="555555"/>
          <w:sz w:val="20"/>
          <w:szCs w:val="20"/>
        </w:rPr>
        <w:t xml:space="preserve">Figure 3. Entity-Relationship diagram (proposed logical data structure).</w:t>
      </w:r>
    </w:p>
    <w:p>
      <w:pPr>
        <w:spacing w:after="140" w:before="0" w:line="276"/>
        <w:jc w:val="both"/>
      </w:pPr>
      <w:r>
        <w:t xml:space="preserve">Principal entities and relationships: a SECTOR defines many EMISSION_FACTORs and classifies many COMPANYs; a COMPANY employs many USERs and runs many CALCULATIONs; each CALCULATION references the SECTOR it was run for and takes a price snapshot from CERTIFICATE_PRICE. The full attribute-level data dictionary is given in Section 3.3.</w:t>
      </w:r>
    </w:p>
    <w:p>
      <w:pPr>
        <w:pStyle w:val="Heading2"/>
        <w:spacing w:after="120" w:before="220"/>
      </w:pPr>
      <w:r>
        <w:t xml:space="preserve">2.4 Use Case Diagram</w:t>
      </w:r>
    </w:p>
    <w:p>
      <w:pPr>
        <w:spacing w:after="140" w:before="0" w:line="276"/>
        <w:jc w:val="both"/>
      </w:pPr>
      <w:r>
        <w:t xml:space="preserve">Two actors interact with the system. The Exporter Company User performs the core calculation use cases; the System Administrator maintains the reference data and accounts. The «include» relationships show that "Calculate carbon emission" always includes "Select sector" and "Enter production data", and "Export report" «extend»s "View CBAM certificate need".</w:t>
      </w:r>
    </w:p>
    <w:p>
      <w:pPr>
        <w:spacing w:after="40" w:before="120"/>
        <w:jc w:val="center"/>
      </w:pPr>
      <w:r>
        <w:drawing>
          <wp:inline distT="0" distB="0" distL="0" distR="0">
            <wp:extent cx="5143500" cy="4114800"/>
            <wp:effectExtent t="0" r="0" b="0" l="0"/>
            <wp:docPr id="1" name="usecase_en.png" descr="Figure 4. Use Case diagram with two actors and include/extend relationships." title="Figure 4. Use Case diagram with two actors and include/extend relationshi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143500" cy="4114800"/>
                    </a:xfrm>
                    <a:prstGeom prst="rect">
                      <a:avLst/>
                    </a:prstGeom>
                  </pic:spPr>
                </pic:pic>
              </a:graphicData>
            </a:graphic>
          </wp:inline>
        </w:drawing>
      </w:r>
    </w:p>
    <w:p>
      <w:pPr>
        <w:spacing w:after="180"/>
        <w:jc w:val="center"/>
      </w:pPr>
      <w:r>
        <w:rPr>
          <w:i/>
          <w:iCs/>
          <w:color w:val="555555"/>
          <w:sz w:val="20"/>
          <w:szCs w:val="20"/>
        </w:rPr>
        <w:t xml:space="preserve">Figure 4. Use Case diagram with two actors and include/extend relationships.</w:t>
      </w:r>
    </w:p>
    <w:p>
      <w:pPr>
        <w:pStyle w:val="Heading2"/>
        <w:spacing w:after="120" w:before="220"/>
      </w:pPr>
      <w:r>
        <w:t xml:space="preserve">2.5 Information Requirements List (Gap Analysis)</w:t>
      </w:r>
    </w:p>
    <w:p>
      <w:pPr>
        <w:spacing w:after="140" w:before="0" w:line="276"/>
        <w:jc w:val="both"/>
      </w:pPr>
      <w:r>
        <w:t xml:space="preserve">The gap analysis maps each defect of the existing system to a concrete information requirement for the new system.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900"/>
        <w:gridCol w:w="4126"/>
        <w:gridCol w:w="2000"/>
      </w:tblGrid>
      <w:tr>
        <w:trPr>
          <w:tblHeader/>
        </w:trPr>
        <w:tc>
          <w:tcPr>
            <w:tcW w:type="dxa" w:w="2900"/>
            <w:tcBorders>
              <w:top w:val="single" w:color="BBBBBB" w:sz="1"/>
              <w:left w:val="single" w:color="BBBBBB" w:sz="1"/>
              <w:bottom w:val="single" w:color="BBBBBB" w:sz="1"/>
              <w:right w:val="single" w:color="BBBBBB" w:sz="1"/>
            </w:tcBorders>
            <w:shd w:fill="1E293B" w:color="auto" w:val="clear"/>
            <w:tcMar>
              <w:top w:type="dxa" w:w="60"/>
              <w:left w:type="dxa" w:w="110"/>
              <w:bottom w:type="dxa" w:w="60"/>
              <w:right w:type="dxa" w:w="110"/>
            </w:tcMar>
            <w:vAlign w:val="center"/>
          </w:tcPr>
          <w:p>
            <w:pPr>
              <w:spacing w:after="0" w:line="252"/>
              <w:jc w:val="left"/>
            </w:pPr>
            <w:r>
              <w:rPr>
                <w:b/>
                <w:bCs/>
                <w:color w:val="FFFFFF"/>
                <w:sz w:val="20"/>
                <w:szCs w:val="20"/>
              </w:rPr>
              <w:t xml:space="preserve">Defect of existing system</w:t>
            </w:r>
          </w:p>
        </w:tc>
        <w:tc>
          <w:tcPr>
            <w:tcW w:type="dxa" w:w="4126"/>
            <w:tcBorders>
              <w:top w:val="single" w:color="BBBBBB" w:sz="1"/>
              <w:left w:val="single" w:color="BBBBBB" w:sz="1"/>
              <w:bottom w:val="single" w:color="BBBBBB" w:sz="1"/>
              <w:right w:val="single" w:color="BBBBBB" w:sz="1"/>
            </w:tcBorders>
            <w:shd w:fill="1E293B" w:color="auto" w:val="clear"/>
            <w:tcMar>
              <w:top w:type="dxa" w:w="60"/>
              <w:left w:type="dxa" w:w="110"/>
              <w:bottom w:type="dxa" w:w="60"/>
              <w:right w:type="dxa" w:w="110"/>
            </w:tcMar>
            <w:vAlign w:val="center"/>
          </w:tcPr>
          <w:p>
            <w:pPr>
              <w:spacing w:after="0" w:line="252"/>
              <w:jc w:val="left"/>
            </w:pPr>
            <w:r>
              <w:rPr>
                <w:b/>
                <w:bCs/>
                <w:color w:val="FFFFFF"/>
                <w:sz w:val="20"/>
                <w:szCs w:val="20"/>
              </w:rPr>
              <w:t xml:space="preserve">Information requirement for new system</w:t>
            </w:r>
          </w:p>
        </w:tc>
        <w:tc>
          <w:tcPr>
            <w:tcW w:type="dxa" w:w="2000"/>
            <w:tcBorders>
              <w:top w:val="single" w:color="BBBBBB" w:sz="1"/>
              <w:left w:val="single" w:color="BBBBBB" w:sz="1"/>
              <w:bottom w:val="single" w:color="BBBBBB" w:sz="1"/>
              <w:right w:val="single" w:color="BBBBBB" w:sz="1"/>
            </w:tcBorders>
            <w:shd w:fill="1E293B" w:color="auto" w:val="clear"/>
            <w:tcMar>
              <w:top w:type="dxa" w:w="60"/>
              <w:left w:type="dxa" w:w="110"/>
              <w:bottom w:type="dxa" w:w="60"/>
              <w:right w:type="dxa" w:w="110"/>
            </w:tcMar>
            <w:vAlign w:val="center"/>
          </w:tcPr>
          <w:p>
            <w:pPr>
              <w:spacing w:after="0" w:line="252"/>
              <w:jc w:val="left"/>
            </w:pPr>
            <w:r>
              <w:rPr>
                <w:b/>
                <w:bCs/>
                <w:color w:val="FFFFFF"/>
                <w:sz w:val="20"/>
                <w:szCs w:val="20"/>
              </w:rPr>
              <w:t xml:space="preserve">Priority</w:t>
            </w:r>
          </w:p>
        </w:tc>
      </w:tr>
      <w:tr>
        <w:trPr>
          <w:tblHeader w:val="false"/>
        </w:trPr>
        <w:tc>
          <w:tcPr>
            <w:tcW w:type="dxa" w:w="29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jc w:val="left"/>
            </w:pPr>
            <w:r>
              <w:rPr>
                <w:b w:val="false"/>
                <w:bCs w:val="false"/>
                <w:color w:val="000000"/>
                <w:sz w:val="20"/>
                <w:szCs w:val="20"/>
              </w:rPr>
              <w:t xml:space="preserve">Emission factors scattered, inconsistent</w:t>
            </w:r>
          </w:p>
        </w:tc>
        <w:tc>
          <w:tcPr>
            <w:tcW w:type="dxa" w:w="4126"/>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jc w:val="left"/>
            </w:pPr>
            <w:r>
              <w:rPr>
                <w:b w:val="false"/>
                <w:bCs w:val="false"/>
                <w:color w:val="000000"/>
                <w:sz w:val="20"/>
                <w:szCs w:val="20"/>
              </w:rPr>
              <w:t xml:space="preserve">Single curated factor library per sector &amp; route</w:t>
            </w:r>
          </w:p>
        </w:tc>
        <w:tc>
          <w:tcPr>
            <w:tcW w:type="dxa" w:w="20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jc w:val="left"/>
            </w:pPr>
            <w:r>
              <w:rPr>
                <w:b w:val="false"/>
                <w:bCs w:val="false"/>
                <w:color w:val="000000"/>
                <w:sz w:val="20"/>
                <w:szCs w:val="20"/>
              </w:rPr>
              <w:t xml:space="preserve">High</w:t>
            </w:r>
          </w:p>
        </w:tc>
      </w:tr>
      <w:tr>
        <w:trPr>
          <w:tblHeader w:val="false"/>
        </w:trPr>
        <w:tc>
          <w:tcPr>
            <w:tcW w:type="dxa" w:w="29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jc w:val="left"/>
            </w:pPr>
            <w:r>
              <w:rPr>
                <w:b w:val="false"/>
                <w:bCs w:val="false"/>
                <w:color w:val="000000"/>
                <w:sz w:val="20"/>
                <w:szCs w:val="20"/>
              </w:rPr>
              <w:t xml:space="preserve">Manual Excel calculation, high error risk</w:t>
            </w:r>
          </w:p>
        </w:tc>
        <w:tc>
          <w:tcPr>
            <w:tcW w:type="dxa" w:w="4126"/>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jc w:val="left"/>
            </w:pPr>
            <w:r>
              <w:rPr>
                <w:b w:val="false"/>
                <w:bCs w:val="false"/>
                <w:color w:val="000000"/>
                <w:sz w:val="20"/>
                <w:szCs w:val="20"/>
              </w:rPr>
              <w:t xml:space="preserve">Deterministic calculation engine (Scope 1+2)</w:t>
            </w:r>
          </w:p>
        </w:tc>
        <w:tc>
          <w:tcPr>
            <w:tcW w:type="dxa" w:w="20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jc w:val="left"/>
            </w:pPr>
            <w:r>
              <w:rPr>
                <w:b w:val="false"/>
                <w:bCs w:val="false"/>
                <w:color w:val="000000"/>
                <w:sz w:val="20"/>
                <w:szCs w:val="20"/>
              </w:rPr>
              <w:t xml:space="preserve">High</w:t>
            </w:r>
          </w:p>
        </w:tc>
      </w:tr>
      <w:tr>
        <w:trPr>
          <w:tblHeader w:val="false"/>
        </w:trPr>
        <w:tc>
          <w:tcPr>
            <w:tcW w:type="dxa" w:w="29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jc w:val="left"/>
            </w:pPr>
            <w:r>
              <w:rPr>
                <w:b w:val="false"/>
                <w:bCs w:val="false"/>
                <w:color w:val="000000"/>
                <w:sz w:val="20"/>
                <w:szCs w:val="20"/>
              </w:rPr>
              <w:t xml:space="preserve">Scrap/abatement double-counting</w:t>
            </w:r>
          </w:p>
        </w:tc>
        <w:tc>
          <w:tcPr>
            <w:tcW w:type="dxa" w:w="4126"/>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jc w:val="left"/>
            </w:pPr>
            <w:r>
              <w:rPr>
                <w:b w:val="false"/>
                <w:bCs w:val="false"/>
                <w:color w:val="000000"/>
                <w:sz w:val="20"/>
                <w:szCs w:val="20"/>
              </w:rPr>
              <w:t xml:space="preserve">Route-aware adjusters that prevent double discount</w:t>
            </w:r>
          </w:p>
        </w:tc>
        <w:tc>
          <w:tcPr>
            <w:tcW w:type="dxa" w:w="20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jc w:val="left"/>
            </w:pPr>
            <w:r>
              <w:rPr>
                <w:b w:val="false"/>
                <w:bCs w:val="false"/>
                <w:color w:val="000000"/>
                <w:sz w:val="20"/>
                <w:szCs w:val="20"/>
              </w:rPr>
              <w:t xml:space="preserve">High</w:t>
            </w:r>
          </w:p>
        </w:tc>
      </w:tr>
      <w:tr>
        <w:trPr>
          <w:tblHeader w:val="false"/>
        </w:trPr>
        <w:tc>
          <w:tcPr>
            <w:tcW w:type="dxa" w:w="29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jc w:val="left"/>
            </w:pPr>
            <w:r>
              <w:rPr>
                <w:b w:val="false"/>
                <w:bCs w:val="false"/>
                <w:color w:val="000000"/>
                <w:sz w:val="20"/>
                <w:szCs w:val="20"/>
              </w:rPr>
              <w:t xml:space="preserve">Certificate prices stale / manual lookup</w:t>
            </w:r>
          </w:p>
        </w:tc>
        <w:tc>
          <w:tcPr>
            <w:tcW w:type="dxa" w:w="4126"/>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jc w:val="left"/>
            </w:pPr>
            <w:r>
              <w:rPr>
                <w:b w:val="false"/>
                <w:bCs w:val="false"/>
                <w:color w:val="000000"/>
                <w:sz w:val="20"/>
                <w:szCs w:val="20"/>
              </w:rPr>
              <w:t xml:space="preserve">Live price feed from a cloud data source</w:t>
            </w:r>
          </w:p>
        </w:tc>
        <w:tc>
          <w:tcPr>
            <w:tcW w:type="dxa" w:w="20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jc w:val="left"/>
            </w:pPr>
            <w:r>
              <w:rPr>
                <w:b w:val="false"/>
                <w:bCs w:val="false"/>
                <w:color w:val="000000"/>
                <w:sz w:val="20"/>
                <w:szCs w:val="20"/>
              </w:rPr>
              <w:t xml:space="preserve">High</w:t>
            </w:r>
          </w:p>
        </w:tc>
      </w:tr>
      <w:tr>
        <w:trPr>
          <w:tblHeader w:val="false"/>
        </w:trPr>
        <w:tc>
          <w:tcPr>
            <w:tcW w:type="dxa" w:w="29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jc w:val="left"/>
            </w:pPr>
            <w:r>
              <w:rPr>
                <w:b w:val="false"/>
                <w:bCs w:val="false"/>
                <w:color w:val="000000"/>
                <w:sz w:val="20"/>
                <w:szCs w:val="20"/>
              </w:rPr>
              <w:t xml:space="preserve">No certificate-need figure</w:t>
            </w:r>
          </w:p>
        </w:tc>
        <w:tc>
          <w:tcPr>
            <w:tcW w:type="dxa" w:w="4126"/>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jc w:val="left"/>
            </w:pPr>
            <w:r>
              <w:rPr>
                <w:b w:val="false"/>
                <w:bCs w:val="false"/>
                <w:color w:val="000000"/>
                <w:sz w:val="20"/>
                <w:szCs w:val="20"/>
              </w:rPr>
              <w:t xml:space="preserve">Auto certificate need = emission × EU export ratio</w:t>
            </w:r>
          </w:p>
        </w:tc>
        <w:tc>
          <w:tcPr>
            <w:tcW w:type="dxa" w:w="20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jc w:val="left"/>
            </w:pPr>
            <w:r>
              <w:rPr>
                <w:b w:val="false"/>
                <w:bCs w:val="false"/>
                <w:color w:val="000000"/>
                <w:sz w:val="20"/>
                <w:szCs w:val="20"/>
              </w:rPr>
              <w:t xml:space="preserve">High</w:t>
            </w:r>
          </w:p>
        </w:tc>
      </w:tr>
      <w:tr>
        <w:trPr>
          <w:tblHeader w:val="false"/>
        </w:trPr>
        <w:tc>
          <w:tcPr>
            <w:tcW w:type="dxa" w:w="29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jc w:val="left"/>
            </w:pPr>
            <w:r>
              <w:rPr>
                <w:b w:val="false"/>
                <w:bCs w:val="false"/>
                <w:color w:val="000000"/>
                <w:sz w:val="20"/>
                <w:szCs w:val="20"/>
              </w:rPr>
              <w:t xml:space="preserve">No scenario comparison</w:t>
            </w:r>
          </w:p>
        </w:tc>
        <w:tc>
          <w:tcPr>
            <w:tcW w:type="dxa" w:w="4126"/>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jc w:val="left"/>
            </w:pPr>
            <w:r>
              <w:rPr>
                <w:b w:val="false"/>
                <w:bCs w:val="false"/>
                <w:color w:val="000000"/>
                <w:sz w:val="20"/>
                <w:szCs w:val="20"/>
              </w:rPr>
              <w:t xml:space="preserve">Two procurement cost scenarios (EUA, CBAM+VCM)</w:t>
            </w:r>
          </w:p>
        </w:tc>
        <w:tc>
          <w:tcPr>
            <w:tcW w:type="dxa" w:w="20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jc w:val="left"/>
            </w:pPr>
            <w:r>
              <w:rPr>
                <w:b w:val="false"/>
                <w:bCs w:val="false"/>
                <w:color w:val="000000"/>
                <w:sz w:val="20"/>
                <w:szCs w:val="20"/>
              </w:rPr>
              <w:t xml:space="preserve">Medium</w:t>
            </w:r>
          </w:p>
        </w:tc>
      </w:tr>
      <w:tr>
        <w:trPr>
          <w:tblHeader w:val="false"/>
        </w:trPr>
        <w:tc>
          <w:tcPr>
            <w:tcW w:type="dxa" w:w="29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jc w:val="left"/>
            </w:pPr>
            <w:r>
              <w:rPr>
                <w:b w:val="false"/>
                <w:bCs w:val="false"/>
                <w:color w:val="000000"/>
                <w:sz w:val="20"/>
                <w:szCs w:val="20"/>
              </w:rPr>
              <w:t xml:space="preserve">No reusable record</w:t>
            </w:r>
          </w:p>
        </w:tc>
        <w:tc>
          <w:tcPr>
            <w:tcW w:type="dxa" w:w="4126"/>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jc w:val="left"/>
            </w:pPr>
            <w:r>
              <w:rPr>
                <w:b w:val="false"/>
                <w:bCs w:val="false"/>
                <w:color w:val="000000"/>
                <w:sz w:val="20"/>
                <w:szCs w:val="20"/>
              </w:rPr>
              <w:t xml:space="preserve">Persisted calculation history per company</w:t>
            </w:r>
          </w:p>
        </w:tc>
        <w:tc>
          <w:tcPr>
            <w:tcW w:type="dxa" w:w="20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jc w:val="left"/>
            </w:pPr>
            <w:r>
              <w:rPr>
                <w:b w:val="false"/>
                <w:bCs w:val="false"/>
                <w:color w:val="000000"/>
                <w:sz w:val="20"/>
                <w:szCs w:val="20"/>
              </w:rPr>
              <w:t xml:space="preserve">Medium</w:t>
            </w:r>
          </w:p>
        </w:tc>
      </w:tr>
      <w:tr>
        <w:trPr>
          <w:tblHeader w:val="false"/>
        </w:trPr>
        <w:tc>
          <w:tcPr>
            <w:tcW w:type="dxa" w:w="29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jc w:val="left"/>
            </w:pPr>
            <w:r>
              <w:rPr>
                <w:b w:val="false"/>
                <w:bCs w:val="false"/>
                <w:color w:val="000000"/>
                <w:sz w:val="20"/>
                <w:szCs w:val="20"/>
              </w:rPr>
              <w:t xml:space="preserve">No role separation</w:t>
            </w:r>
          </w:p>
        </w:tc>
        <w:tc>
          <w:tcPr>
            <w:tcW w:type="dxa" w:w="4126"/>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jc w:val="left"/>
            </w:pPr>
            <w:r>
              <w:rPr>
                <w:b w:val="false"/>
                <w:bCs w:val="false"/>
                <w:color w:val="000000"/>
                <w:sz w:val="20"/>
                <w:szCs w:val="20"/>
              </w:rPr>
              <w:t xml:space="preserve">User &amp; Administrator roles</w:t>
            </w:r>
          </w:p>
        </w:tc>
        <w:tc>
          <w:tcPr>
            <w:tcW w:type="dxa" w:w="20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jc w:val="left"/>
            </w:pPr>
            <w:r>
              <w:rPr>
                <w:b w:val="false"/>
                <w:bCs w:val="false"/>
                <w:color w:val="000000"/>
                <w:sz w:val="20"/>
                <w:szCs w:val="20"/>
              </w:rPr>
              <w:t xml:space="preserve">Low</w:t>
            </w:r>
          </w:p>
        </w:tc>
      </w:tr>
    </w:tbl>
    <w:p>
      <w:pPr>
        <w:spacing w:after="180" w:before="60"/>
        <w:jc w:val="center"/>
      </w:pPr>
      <w:r>
        <w:rPr>
          <w:i/>
          <w:iCs/>
          <w:color w:val="555555"/>
          <w:sz w:val="20"/>
          <w:szCs w:val="20"/>
        </w:rPr>
        <w:t xml:space="preserve">Table 2. Information requirements list / gap analysis.</w:t>
      </w:r>
    </w:p>
    <w:p>
      <w:pPr>
        <w:pStyle w:val="Heading2"/>
        <w:spacing w:after="120" w:before="220"/>
      </w:pPr>
      <w:r>
        <w:t xml:space="preserve">2.6 Decision for the Solution — Alternatives, Feasibility and MCDM</w:t>
      </w:r>
    </w:p>
    <w:p>
      <w:pPr>
        <w:spacing w:after="140" w:before="0" w:line="276"/>
        <w:jc w:val="both"/>
      </w:pPr>
      <w:r>
        <w:t xml:space="preserve">Four alternatives were considered: (A) purchase an enterprise carbon-accounting SaaS, (B) outsource each estimate to a consultant, (C) build a custom lightweight web application, and (D) continue with manual Excel. A weighted multi-criteria decision matrix (scores 1–5, higher is better) was used to choose between them.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1126"/>
        <w:gridCol w:w="1400"/>
        <w:gridCol w:w="1400"/>
        <w:gridCol w:w="1400"/>
        <w:gridCol w:w="1400"/>
      </w:tblGrid>
      <w:tr>
        <w:trPr>
          <w:tblHeader/>
        </w:trPr>
        <w:tc>
          <w:tcPr>
            <w:tcW w:type="dxa" w:w="2300"/>
            <w:tcBorders>
              <w:top w:val="single" w:color="BBBBBB" w:sz="1"/>
              <w:left w:val="single" w:color="BBBBBB" w:sz="1"/>
              <w:bottom w:val="single" w:color="BBBBBB" w:sz="1"/>
              <w:right w:val="single" w:color="BBBBBB" w:sz="1"/>
            </w:tcBorders>
            <w:shd w:fill="1E293B" w:color="auto" w:val="clear"/>
            <w:tcMar>
              <w:top w:type="dxa" w:w="60"/>
              <w:left w:type="dxa" w:w="110"/>
              <w:bottom w:type="dxa" w:w="60"/>
              <w:right w:type="dxa" w:w="110"/>
            </w:tcMar>
            <w:vAlign w:val="center"/>
          </w:tcPr>
          <w:p>
            <w:pPr>
              <w:spacing w:after="0" w:line="252"/>
              <w:jc w:val="left"/>
            </w:pPr>
            <w:r>
              <w:rPr>
                <w:b/>
                <w:bCs/>
                <w:color w:val="FFFFFF"/>
                <w:sz w:val="20"/>
                <w:szCs w:val="20"/>
              </w:rPr>
              <w:t xml:space="preserve">Criterion (weight)</w:t>
            </w:r>
          </w:p>
        </w:tc>
        <w:tc>
          <w:tcPr>
            <w:tcW w:type="dxa" w:w="1126"/>
            <w:tcBorders>
              <w:top w:val="single" w:color="BBBBBB" w:sz="1"/>
              <w:left w:val="single" w:color="BBBBBB" w:sz="1"/>
              <w:bottom w:val="single" w:color="BBBBBB" w:sz="1"/>
              <w:right w:val="single" w:color="BBBBBB" w:sz="1"/>
            </w:tcBorders>
            <w:shd w:fill="1E293B" w:color="auto" w:val="clear"/>
            <w:tcMar>
              <w:top w:type="dxa" w:w="60"/>
              <w:left w:type="dxa" w:w="110"/>
              <w:bottom w:type="dxa" w:w="60"/>
              <w:right w:type="dxa" w:w="110"/>
            </w:tcMar>
            <w:vAlign w:val="center"/>
          </w:tcPr>
          <w:p>
            <w:pPr>
              <w:spacing w:after="0" w:line="252"/>
              <w:jc w:val="left"/>
            </w:pPr>
            <w:r>
              <w:rPr>
                <w:b/>
                <w:bCs/>
                <w:color w:val="FFFFFF"/>
                <w:sz w:val="20"/>
                <w:szCs w:val="20"/>
              </w:rPr>
              <w:t xml:space="preserve">A SaaS</w:t>
            </w:r>
          </w:p>
        </w:tc>
        <w:tc>
          <w:tcPr>
            <w:tcW w:type="dxa" w:w="1400"/>
            <w:tcBorders>
              <w:top w:val="single" w:color="BBBBBB" w:sz="1"/>
              <w:left w:val="single" w:color="BBBBBB" w:sz="1"/>
              <w:bottom w:val="single" w:color="BBBBBB" w:sz="1"/>
              <w:right w:val="single" w:color="BBBBBB" w:sz="1"/>
            </w:tcBorders>
            <w:shd w:fill="1E293B" w:color="auto" w:val="clear"/>
            <w:tcMar>
              <w:top w:type="dxa" w:w="60"/>
              <w:left w:type="dxa" w:w="110"/>
              <w:bottom w:type="dxa" w:w="60"/>
              <w:right w:type="dxa" w:w="110"/>
            </w:tcMar>
            <w:vAlign w:val="center"/>
          </w:tcPr>
          <w:p>
            <w:pPr>
              <w:spacing w:after="0" w:line="252"/>
              <w:jc w:val="left"/>
            </w:pPr>
            <w:r>
              <w:rPr>
                <w:b/>
                <w:bCs/>
                <w:color w:val="FFFFFF"/>
                <w:sz w:val="20"/>
                <w:szCs w:val="20"/>
              </w:rPr>
              <w:t xml:space="preserve">B Consult</w:t>
            </w:r>
          </w:p>
        </w:tc>
        <w:tc>
          <w:tcPr>
            <w:tcW w:type="dxa" w:w="1400"/>
            <w:tcBorders>
              <w:top w:val="single" w:color="BBBBBB" w:sz="1"/>
              <w:left w:val="single" w:color="BBBBBB" w:sz="1"/>
              <w:bottom w:val="single" w:color="BBBBBB" w:sz="1"/>
              <w:right w:val="single" w:color="BBBBBB" w:sz="1"/>
            </w:tcBorders>
            <w:shd w:fill="1E293B" w:color="auto" w:val="clear"/>
            <w:tcMar>
              <w:top w:type="dxa" w:w="60"/>
              <w:left w:type="dxa" w:w="110"/>
              <w:bottom w:type="dxa" w:w="60"/>
              <w:right w:type="dxa" w:w="110"/>
            </w:tcMar>
            <w:vAlign w:val="center"/>
          </w:tcPr>
          <w:p>
            <w:pPr>
              <w:spacing w:after="0" w:line="252"/>
              <w:jc w:val="left"/>
            </w:pPr>
            <w:r>
              <w:rPr>
                <w:b/>
                <w:bCs/>
                <w:color w:val="FFFFFF"/>
                <w:sz w:val="20"/>
                <w:szCs w:val="20"/>
              </w:rPr>
              <w:t xml:space="preserve">C Web app</w:t>
            </w:r>
          </w:p>
        </w:tc>
        <w:tc>
          <w:tcPr>
            <w:tcW w:type="dxa" w:w="1400"/>
            <w:tcBorders>
              <w:top w:val="single" w:color="BBBBBB" w:sz="1"/>
              <w:left w:val="single" w:color="BBBBBB" w:sz="1"/>
              <w:bottom w:val="single" w:color="BBBBBB" w:sz="1"/>
              <w:right w:val="single" w:color="BBBBBB" w:sz="1"/>
            </w:tcBorders>
            <w:shd w:fill="1E293B" w:color="auto" w:val="clear"/>
            <w:tcMar>
              <w:top w:type="dxa" w:w="60"/>
              <w:left w:type="dxa" w:w="110"/>
              <w:bottom w:type="dxa" w:w="60"/>
              <w:right w:type="dxa" w:w="110"/>
            </w:tcMar>
            <w:vAlign w:val="center"/>
          </w:tcPr>
          <w:p>
            <w:pPr>
              <w:spacing w:after="0" w:line="252"/>
              <w:jc w:val="left"/>
            </w:pPr>
            <w:r>
              <w:rPr>
                <w:b/>
                <w:bCs/>
                <w:color w:val="FFFFFF"/>
                <w:sz w:val="20"/>
                <w:szCs w:val="20"/>
              </w:rPr>
              <w:t xml:space="preserve">D Excel</w:t>
            </w:r>
          </w:p>
        </w:tc>
        <w:tc>
          <w:tcPr>
            <w:tcW w:type="dxa" w:w="1400"/>
            <w:tcBorders>
              <w:top w:val="single" w:color="BBBBBB" w:sz="1"/>
              <w:left w:val="single" w:color="BBBBBB" w:sz="1"/>
              <w:bottom w:val="single" w:color="BBBBBB" w:sz="1"/>
              <w:right w:val="single" w:color="BBBBBB" w:sz="1"/>
            </w:tcBorders>
            <w:shd w:fill="1E293B" w:color="auto" w:val="clear"/>
            <w:tcMar>
              <w:top w:type="dxa" w:w="60"/>
              <w:left w:type="dxa" w:w="110"/>
              <w:bottom w:type="dxa" w:w="60"/>
              <w:right w:type="dxa" w:w="110"/>
            </w:tcMar>
            <w:vAlign w:val="center"/>
          </w:tcPr>
          <w:p>
            <w:pPr>
              <w:spacing w:after="0" w:line="252"/>
              <w:jc w:val="left"/>
            </w:pPr>
            <w:r>
              <w:rPr>
                <w:b/>
                <w:bCs/>
                <w:color w:val="FFFFFF"/>
                <w:sz w:val="20"/>
                <w:szCs w:val="20"/>
              </w:rPr>
              <w:t xml:space="preserve"/>
            </w:r>
          </w:p>
        </w:tc>
      </w:tr>
      <w:tr>
        <w:trPr>
          <w:tblHeader w:val="false"/>
        </w:trPr>
        <w:tc>
          <w:tcPr>
            <w:tcW w:type="dxa" w:w="23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jc w:val="left"/>
            </w:pPr>
            <w:r>
              <w:rPr>
                <w:b w:val="false"/>
                <w:bCs w:val="false"/>
                <w:color w:val="000000"/>
                <w:sz w:val="20"/>
                <w:szCs w:val="20"/>
              </w:rPr>
              <w:t xml:space="preserve">Cost (0.25)</w:t>
            </w:r>
          </w:p>
        </w:tc>
        <w:tc>
          <w:tcPr>
            <w:tcW w:type="dxa" w:w="1126"/>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jc w:val="left"/>
            </w:pPr>
            <w:r>
              <w:rPr>
                <w:b w:val="false"/>
                <w:bCs w:val="false"/>
                <w:color w:val="000000"/>
                <w:sz w:val="20"/>
                <w:szCs w:val="20"/>
              </w:rPr>
              <w:t xml:space="preserve">1</w:t>
            </w:r>
          </w:p>
        </w:tc>
        <w:tc>
          <w:tcPr>
            <w:tcW w:type="dxa" w:w="14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jc w:val="left"/>
            </w:pPr>
            <w:r>
              <w:rPr>
                <w:b w:val="false"/>
                <w:bCs w:val="false"/>
                <w:color w:val="000000"/>
                <w:sz w:val="20"/>
                <w:szCs w:val="20"/>
              </w:rPr>
              <w:t xml:space="preserve">2</w:t>
            </w:r>
          </w:p>
        </w:tc>
        <w:tc>
          <w:tcPr>
            <w:tcW w:type="dxa" w:w="14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jc w:val="left"/>
            </w:pPr>
            <w:r>
              <w:rPr>
                <w:b w:val="false"/>
                <w:bCs w:val="false"/>
                <w:color w:val="000000"/>
                <w:sz w:val="20"/>
                <w:szCs w:val="20"/>
              </w:rPr>
              <w:t xml:space="preserve">5</w:t>
            </w:r>
          </w:p>
        </w:tc>
        <w:tc>
          <w:tcPr>
            <w:tcW w:type="dxa" w:w="14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jc w:val="left"/>
            </w:pPr>
            <w:r>
              <w:rPr>
                <w:b w:val="false"/>
                <w:bCs w:val="false"/>
                <w:color w:val="000000"/>
                <w:sz w:val="20"/>
                <w:szCs w:val="20"/>
              </w:rPr>
              <w:t xml:space="preserve">4</w:t>
            </w:r>
          </w:p>
        </w:tc>
        <w:tc>
          <w:tcPr>
            <w:tcW w:type="dxa" w:w="14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jc w:val="left"/>
            </w:pPr>
            <w:r>
              <w:rPr>
                <w:b w:val="false"/>
                <w:bCs w:val="false"/>
                <w:color w:val="000000"/>
                <w:sz w:val="20"/>
                <w:szCs w:val="20"/>
              </w:rPr>
              <w:t xml:space="preserve"/>
            </w:r>
          </w:p>
        </w:tc>
      </w:tr>
      <w:tr>
        <w:trPr>
          <w:tblHeader w:val="false"/>
        </w:trPr>
        <w:tc>
          <w:tcPr>
            <w:tcW w:type="dxa" w:w="23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jc w:val="left"/>
            </w:pPr>
            <w:r>
              <w:rPr>
                <w:b w:val="false"/>
                <w:bCs w:val="false"/>
                <w:color w:val="000000"/>
                <w:sz w:val="20"/>
                <w:szCs w:val="20"/>
              </w:rPr>
              <w:t xml:space="preserve">Accuracy (0.20)</w:t>
            </w:r>
          </w:p>
        </w:tc>
        <w:tc>
          <w:tcPr>
            <w:tcW w:type="dxa" w:w="1126"/>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jc w:val="left"/>
            </w:pPr>
            <w:r>
              <w:rPr>
                <w:b w:val="false"/>
                <w:bCs w:val="false"/>
                <w:color w:val="000000"/>
                <w:sz w:val="20"/>
                <w:szCs w:val="20"/>
              </w:rPr>
              <w:t xml:space="preserve">5</w:t>
            </w:r>
          </w:p>
        </w:tc>
        <w:tc>
          <w:tcPr>
            <w:tcW w:type="dxa" w:w="14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jc w:val="left"/>
            </w:pPr>
            <w:r>
              <w:rPr>
                <w:b w:val="false"/>
                <w:bCs w:val="false"/>
                <w:color w:val="000000"/>
                <w:sz w:val="20"/>
                <w:szCs w:val="20"/>
              </w:rPr>
              <w:t xml:space="preserve">4</w:t>
            </w:r>
          </w:p>
        </w:tc>
        <w:tc>
          <w:tcPr>
            <w:tcW w:type="dxa" w:w="14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jc w:val="left"/>
            </w:pPr>
            <w:r>
              <w:rPr>
                <w:b w:val="false"/>
                <w:bCs w:val="false"/>
                <w:color w:val="000000"/>
                <w:sz w:val="20"/>
                <w:szCs w:val="20"/>
              </w:rPr>
              <w:t xml:space="preserve">4</w:t>
            </w:r>
          </w:p>
        </w:tc>
        <w:tc>
          <w:tcPr>
            <w:tcW w:type="dxa" w:w="14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jc w:val="left"/>
            </w:pPr>
            <w:r>
              <w:rPr>
                <w:b w:val="false"/>
                <w:bCs w:val="false"/>
                <w:color w:val="000000"/>
                <w:sz w:val="20"/>
                <w:szCs w:val="20"/>
              </w:rPr>
              <w:t xml:space="preserve">2</w:t>
            </w:r>
          </w:p>
        </w:tc>
        <w:tc>
          <w:tcPr>
            <w:tcW w:type="dxa" w:w="14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jc w:val="left"/>
            </w:pPr>
            <w:r>
              <w:rPr>
                <w:b w:val="false"/>
                <w:bCs w:val="false"/>
                <w:color w:val="000000"/>
                <w:sz w:val="20"/>
                <w:szCs w:val="20"/>
              </w:rPr>
              <w:t xml:space="preserve"/>
            </w:r>
          </w:p>
        </w:tc>
      </w:tr>
      <w:tr>
        <w:trPr>
          <w:tblHeader w:val="false"/>
        </w:trPr>
        <w:tc>
          <w:tcPr>
            <w:tcW w:type="dxa" w:w="23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jc w:val="left"/>
            </w:pPr>
            <w:r>
              <w:rPr>
                <w:b w:val="false"/>
                <w:bCs w:val="false"/>
                <w:color w:val="000000"/>
                <w:sz w:val="20"/>
                <w:szCs w:val="20"/>
              </w:rPr>
              <w:t xml:space="preserve">Ease of use (0.15)</w:t>
            </w:r>
          </w:p>
        </w:tc>
        <w:tc>
          <w:tcPr>
            <w:tcW w:type="dxa" w:w="1126"/>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jc w:val="left"/>
            </w:pPr>
            <w:r>
              <w:rPr>
                <w:b w:val="false"/>
                <w:bCs w:val="false"/>
                <w:color w:val="000000"/>
                <w:sz w:val="20"/>
                <w:szCs w:val="20"/>
              </w:rPr>
              <w:t xml:space="preserve">3</w:t>
            </w:r>
          </w:p>
        </w:tc>
        <w:tc>
          <w:tcPr>
            <w:tcW w:type="dxa" w:w="14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jc w:val="left"/>
            </w:pPr>
            <w:r>
              <w:rPr>
                <w:b w:val="false"/>
                <w:bCs w:val="false"/>
                <w:color w:val="000000"/>
                <w:sz w:val="20"/>
                <w:szCs w:val="20"/>
              </w:rPr>
              <w:t xml:space="preserve">4</w:t>
            </w:r>
          </w:p>
        </w:tc>
        <w:tc>
          <w:tcPr>
            <w:tcW w:type="dxa" w:w="14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jc w:val="left"/>
            </w:pPr>
            <w:r>
              <w:rPr>
                <w:b w:val="false"/>
                <w:bCs w:val="false"/>
                <w:color w:val="000000"/>
                <w:sz w:val="20"/>
                <w:szCs w:val="20"/>
              </w:rPr>
              <w:t xml:space="preserve">5</w:t>
            </w:r>
          </w:p>
        </w:tc>
        <w:tc>
          <w:tcPr>
            <w:tcW w:type="dxa" w:w="14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jc w:val="left"/>
            </w:pPr>
            <w:r>
              <w:rPr>
                <w:b w:val="false"/>
                <w:bCs w:val="false"/>
                <w:color w:val="000000"/>
                <w:sz w:val="20"/>
                <w:szCs w:val="20"/>
              </w:rPr>
              <w:t xml:space="preserve">3</w:t>
            </w:r>
          </w:p>
        </w:tc>
        <w:tc>
          <w:tcPr>
            <w:tcW w:type="dxa" w:w="14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jc w:val="left"/>
            </w:pPr>
            <w:r>
              <w:rPr>
                <w:b w:val="false"/>
                <w:bCs w:val="false"/>
                <w:color w:val="000000"/>
                <w:sz w:val="20"/>
                <w:szCs w:val="20"/>
              </w:rPr>
              <w:t xml:space="preserve"/>
            </w:r>
          </w:p>
        </w:tc>
      </w:tr>
      <w:tr>
        <w:trPr>
          <w:tblHeader w:val="false"/>
        </w:trPr>
        <w:tc>
          <w:tcPr>
            <w:tcW w:type="dxa" w:w="23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jc w:val="left"/>
            </w:pPr>
            <w:r>
              <w:rPr>
                <w:b w:val="false"/>
                <w:bCs w:val="false"/>
                <w:color w:val="000000"/>
                <w:sz w:val="20"/>
                <w:szCs w:val="20"/>
              </w:rPr>
              <w:t xml:space="preserve">TR-sector fit (0.20)</w:t>
            </w:r>
          </w:p>
        </w:tc>
        <w:tc>
          <w:tcPr>
            <w:tcW w:type="dxa" w:w="1126"/>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jc w:val="left"/>
            </w:pPr>
            <w:r>
              <w:rPr>
                <w:b w:val="false"/>
                <w:bCs w:val="false"/>
                <w:color w:val="000000"/>
                <w:sz w:val="20"/>
                <w:szCs w:val="20"/>
              </w:rPr>
              <w:t xml:space="preserve">2</w:t>
            </w:r>
          </w:p>
        </w:tc>
        <w:tc>
          <w:tcPr>
            <w:tcW w:type="dxa" w:w="14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jc w:val="left"/>
            </w:pPr>
            <w:r>
              <w:rPr>
                <w:b w:val="false"/>
                <w:bCs w:val="false"/>
                <w:color w:val="000000"/>
                <w:sz w:val="20"/>
                <w:szCs w:val="20"/>
              </w:rPr>
              <w:t xml:space="preserve">4</w:t>
            </w:r>
          </w:p>
        </w:tc>
        <w:tc>
          <w:tcPr>
            <w:tcW w:type="dxa" w:w="14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jc w:val="left"/>
            </w:pPr>
            <w:r>
              <w:rPr>
                <w:b w:val="false"/>
                <w:bCs w:val="false"/>
                <w:color w:val="000000"/>
                <w:sz w:val="20"/>
                <w:szCs w:val="20"/>
              </w:rPr>
              <w:t xml:space="preserve">5</w:t>
            </w:r>
          </w:p>
        </w:tc>
        <w:tc>
          <w:tcPr>
            <w:tcW w:type="dxa" w:w="14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jc w:val="left"/>
            </w:pPr>
            <w:r>
              <w:rPr>
                <w:b w:val="false"/>
                <w:bCs w:val="false"/>
                <w:color w:val="000000"/>
                <w:sz w:val="20"/>
                <w:szCs w:val="20"/>
              </w:rPr>
              <w:t xml:space="preserve">3</w:t>
            </w:r>
          </w:p>
        </w:tc>
        <w:tc>
          <w:tcPr>
            <w:tcW w:type="dxa" w:w="14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jc w:val="left"/>
            </w:pPr>
            <w:r>
              <w:rPr>
                <w:b w:val="false"/>
                <w:bCs w:val="false"/>
                <w:color w:val="000000"/>
                <w:sz w:val="20"/>
                <w:szCs w:val="20"/>
              </w:rPr>
              <w:t xml:space="preserve"/>
            </w:r>
          </w:p>
        </w:tc>
      </w:tr>
      <w:tr>
        <w:trPr>
          <w:tblHeader w:val="false"/>
        </w:trPr>
        <w:tc>
          <w:tcPr>
            <w:tcW w:type="dxa" w:w="23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jc w:val="left"/>
            </w:pPr>
            <w:r>
              <w:rPr>
                <w:b w:val="false"/>
                <w:bCs w:val="false"/>
                <w:color w:val="000000"/>
                <w:sz w:val="20"/>
                <w:szCs w:val="20"/>
              </w:rPr>
              <w:t xml:space="preserve">Maintainability (0.10)</w:t>
            </w:r>
          </w:p>
        </w:tc>
        <w:tc>
          <w:tcPr>
            <w:tcW w:type="dxa" w:w="1126"/>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jc w:val="left"/>
            </w:pPr>
            <w:r>
              <w:rPr>
                <w:b w:val="false"/>
                <w:bCs w:val="false"/>
                <w:color w:val="000000"/>
                <w:sz w:val="20"/>
                <w:szCs w:val="20"/>
              </w:rPr>
              <w:t xml:space="preserve">4</w:t>
            </w:r>
          </w:p>
        </w:tc>
        <w:tc>
          <w:tcPr>
            <w:tcW w:type="dxa" w:w="14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jc w:val="left"/>
            </w:pPr>
            <w:r>
              <w:rPr>
                <w:b w:val="false"/>
                <w:bCs w:val="false"/>
                <w:color w:val="000000"/>
                <w:sz w:val="20"/>
                <w:szCs w:val="20"/>
              </w:rPr>
              <w:t xml:space="preserve">2</w:t>
            </w:r>
          </w:p>
        </w:tc>
        <w:tc>
          <w:tcPr>
            <w:tcW w:type="dxa" w:w="14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jc w:val="left"/>
            </w:pPr>
            <w:r>
              <w:rPr>
                <w:b w:val="false"/>
                <w:bCs w:val="false"/>
                <w:color w:val="000000"/>
                <w:sz w:val="20"/>
                <w:szCs w:val="20"/>
              </w:rPr>
              <w:t xml:space="preserve">4</w:t>
            </w:r>
          </w:p>
        </w:tc>
        <w:tc>
          <w:tcPr>
            <w:tcW w:type="dxa" w:w="14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jc w:val="left"/>
            </w:pPr>
            <w:r>
              <w:rPr>
                <w:b w:val="false"/>
                <w:bCs w:val="false"/>
                <w:color w:val="000000"/>
                <w:sz w:val="20"/>
                <w:szCs w:val="20"/>
              </w:rPr>
              <w:t xml:space="preserve">2</w:t>
            </w:r>
          </w:p>
        </w:tc>
        <w:tc>
          <w:tcPr>
            <w:tcW w:type="dxa" w:w="14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jc w:val="left"/>
            </w:pPr>
            <w:r>
              <w:rPr>
                <w:b w:val="false"/>
                <w:bCs w:val="false"/>
                <w:color w:val="000000"/>
                <w:sz w:val="20"/>
                <w:szCs w:val="20"/>
              </w:rPr>
              <w:t xml:space="preserve"/>
            </w:r>
          </w:p>
        </w:tc>
      </w:tr>
      <w:tr>
        <w:trPr>
          <w:tblHeader w:val="false"/>
        </w:trPr>
        <w:tc>
          <w:tcPr>
            <w:tcW w:type="dxa" w:w="23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jc w:val="left"/>
            </w:pPr>
            <w:r>
              <w:rPr>
                <w:b w:val="false"/>
                <w:bCs w:val="false"/>
                <w:color w:val="000000"/>
                <w:sz w:val="20"/>
                <w:szCs w:val="20"/>
              </w:rPr>
              <w:t xml:space="preserve">Time-to-deploy (0.10)</w:t>
            </w:r>
          </w:p>
        </w:tc>
        <w:tc>
          <w:tcPr>
            <w:tcW w:type="dxa" w:w="1126"/>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jc w:val="left"/>
            </w:pPr>
            <w:r>
              <w:rPr>
                <w:b w:val="false"/>
                <w:bCs w:val="false"/>
                <w:color w:val="000000"/>
                <w:sz w:val="20"/>
                <w:szCs w:val="20"/>
              </w:rPr>
              <w:t xml:space="preserve">2</w:t>
            </w:r>
          </w:p>
        </w:tc>
        <w:tc>
          <w:tcPr>
            <w:tcW w:type="dxa" w:w="14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jc w:val="left"/>
            </w:pPr>
            <w:r>
              <w:rPr>
                <w:b w:val="false"/>
                <w:bCs w:val="false"/>
                <w:color w:val="000000"/>
                <w:sz w:val="20"/>
                <w:szCs w:val="20"/>
              </w:rPr>
              <w:t xml:space="preserve">4</w:t>
            </w:r>
          </w:p>
        </w:tc>
        <w:tc>
          <w:tcPr>
            <w:tcW w:type="dxa" w:w="14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jc w:val="left"/>
            </w:pPr>
            <w:r>
              <w:rPr>
                <w:b w:val="false"/>
                <w:bCs w:val="false"/>
                <w:color w:val="000000"/>
                <w:sz w:val="20"/>
                <w:szCs w:val="20"/>
              </w:rPr>
              <w:t xml:space="preserve">4</w:t>
            </w:r>
          </w:p>
        </w:tc>
        <w:tc>
          <w:tcPr>
            <w:tcW w:type="dxa" w:w="14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jc w:val="left"/>
            </w:pPr>
            <w:r>
              <w:rPr>
                <w:b w:val="false"/>
                <w:bCs w:val="false"/>
                <w:color w:val="000000"/>
                <w:sz w:val="20"/>
                <w:szCs w:val="20"/>
              </w:rPr>
              <w:t xml:space="preserve">5</w:t>
            </w:r>
          </w:p>
        </w:tc>
        <w:tc>
          <w:tcPr>
            <w:tcW w:type="dxa" w:w="14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jc w:val="left"/>
            </w:pPr>
            <w:r>
              <w:rPr>
                <w:b w:val="false"/>
                <w:bCs w:val="false"/>
                <w:color w:val="000000"/>
                <w:sz w:val="20"/>
                <w:szCs w:val="20"/>
              </w:rPr>
              <w:t xml:space="preserve"/>
            </w:r>
          </w:p>
        </w:tc>
      </w:tr>
      <w:tr>
        <w:trPr>
          <w:tblHeader w:val="false"/>
        </w:trPr>
        <w:tc>
          <w:tcPr>
            <w:tcW w:type="dxa" w:w="23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jc w:val="left"/>
            </w:pPr>
            <w:r>
              <w:rPr>
                <w:b w:val="false"/>
                <w:bCs w:val="false"/>
                <w:color w:val="000000"/>
                <w:sz w:val="20"/>
                <w:szCs w:val="20"/>
              </w:rPr>
              <w:t xml:space="preserve">Weighted score</w:t>
            </w:r>
          </w:p>
        </w:tc>
        <w:tc>
          <w:tcPr>
            <w:tcW w:type="dxa" w:w="1126"/>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jc w:val="left"/>
            </w:pPr>
            <w:r>
              <w:rPr>
                <w:b w:val="false"/>
                <w:bCs w:val="false"/>
                <w:color w:val="000000"/>
                <w:sz w:val="20"/>
                <w:szCs w:val="20"/>
              </w:rPr>
              <w:t xml:space="preserve">2.60</w:t>
            </w:r>
          </w:p>
        </w:tc>
        <w:tc>
          <w:tcPr>
            <w:tcW w:type="dxa" w:w="14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jc w:val="left"/>
            </w:pPr>
            <w:r>
              <w:rPr>
                <w:b w:val="false"/>
                <w:bCs w:val="false"/>
                <w:color w:val="000000"/>
                <w:sz w:val="20"/>
                <w:szCs w:val="20"/>
              </w:rPr>
              <w:t xml:space="preserve">3.30</w:t>
            </w:r>
          </w:p>
        </w:tc>
        <w:tc>
          <w:tcPr>
            <w:tcW w:type="dxa" w:w="14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jc w:val="left"/>
            </w:pPr>
            <w:r>
              <w:rPr>
                <w:b w:val="false"/>
                <w:bCs w:val="false"/>
                <w:color w:val="000000"/>
                <w:sz w:val="20"/>
                <w:szCs w:val="20"/>
              </w:rPr>
              <w:t xml:space="preserve">4.55</w:t>
            </w:r>
          </w:p>
        </w:tc>
        <w:tc>
          <w:tcPr>
            <w:tcW w:type="dxa" w:w="14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jc w:val="left"/>
            </w:pPr>
            <w:r>
              <w:rPr>
                <w:b w:val="false"/>
                <w:bCs w:val="false"/>
                <w:color w:val="000000"/>
                <w:sz w:val="20"/>
                <w:szCs w:val="20"/>
              </w:rPr>
              <w:t xml:space="preserve">3.10</w:t>
            </w:r>
          </w:p>
        </w:tc>
        <w:tc>
          <w:tcPr>
            <w:tcW w:type="dxa" w:w="14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jc w:val="left"/>
            </w:pPr>
            <w:r>
              <w:rPr>
                <w:b w:val="false"/>
                <w:bCs w:val="false"/>
                <w:color w:val="000000"/>
                <w:sz w:val="20"/>
                <w:szCs w:val="20"/>
              </w:rPr>
              <w:t xml:space="preserve">← C wins</w:t>
            </w:r>
          </w:p>
        </w:tc>
      </w:tr>
    </w:tbl>
    <w:p>
      <w:pPr>
        <w:spacing w:after="180" w:before="60"/>
        <w:jc w:val="center"/>
      </w:pPr>
      <w:r>
        <w:rPr>
          <w:i/>
          <w:iCs/>
          <w:color w:val="555555"/>
          <w:sz w:val="20"/>
          <w:szCs w:val="20"/>
        </w:rPr>
        <w:t xml:space="preserve">Table 3. Multi-criteria decision matrix (weighted). Alternative C — custom web application — scores highest.</w:t>
      </w:r>
    </w:p>
    <w:p>
      <w:pPr>
        <w:spacing w:after="140" w:before="0" w:line="276"/>
        <w:jc w:val="both"/>
      </w:pPr>
      <w:r>
        <w:t xml:space="preserve">Feasibility. Economic: the chosen solution runs on free hosting and a free-tier database, so capital cost is negligible and the marginal cost per calculation is effectively zero. Technical: the stack (static web front-end, cloud SQL database) is mature, well-documented and within the team’s skills. Operational: the tool requires no installation and fits the existing workflow of export and sustainability staff, lowering adoption risk. The recommended solution is therefore Alternative C, the custom CarbonConsulting web application.</w:t>
      </w:r>
    </w:p>
    <w:p>
      <w:r>
        <w:br w:type="page"/>
      </w:r>
    </w:p>
    <w:p>
      <w:pPr>
        <w:pStyle w:val="Heading1"/>
        <w:spacing w:after="160" w:before="280"/>
      </w:pPr>
      <w:r>
        <w:t xml:space="preserve">3. System Design</w:t>
      </w:r>
    </w:p>
    <w:p>
      <w:pPr>
        <w:pStyle w:val="Heading2"/>
        <w:spacing w:after="120" w:before="220"/>
      </w:pPr>
      <w:r>
        <w:t xml:space="preserve">3.1 Process Hierarchy Chart</w:t>
      </w:r>
    </w:p>
    <w:p>
      <w:pPr>
        <w:spacing w:after="140" w:before="0" w:line="276"/>
        <w:jc w:val="both"/>
      </w:pPr>
      <w:r>
        <w:t xml:space="preserve">The TO-BE system decomposes into five functional areas, each with sub-functions, as shown below.</w:t>
      </w:r>
    </w:p>
    <w:p>
      <w:pPr>
        <w:spacing w:after="40" w:before="120"/>
        <w:jc w:val="center"/>
      </w:pPr>
      <w:r>
        <w:drawing>
          <wp:inline distT="0" distB="0" distL="0" distR="0">
            <wp:extent cx="5619750" cy="3276600"/>
            <wp:effectExtent t="0" r="0" b="0" l="0"/>
            <wp:docPr id="1" name="hierarchy.png" descr="Figure 5. Process hierarchy chart of the TO-BE system." title="Figure 5. Process hierarchy chart of the TO-BE syst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619750" cy="3276600"/>
                    </a:xfrm>
                    <a:prstGeom prst="rect">
                      <a:avLst/>
                    </a:prstGeom>
                  </pic:spPr>
                </pic:pic>
              </a:graphicData>
            </a:graphic>
          </wp:inline>
        </w:drawing>
      </w:r>
    </w:p>
    <w:p>
      <w:pPr>
        <w:spacing w:after="180"/>
        <w:jc w:val="center"/>
      </w:pPr>
      <w:r>
        <w:rPr>
          <w:i/>
          <w:iCs/>
          <w:color w:val="555555"/>
          <w:sz w:val="20"/>
          <w:szCs w:val="20"/>
        </w:rPr>
        <w:t xml:space="preserve">Figure 5. Process hierarchy chart of the TO-BE system.</w:t>
      </w:r>
    </w:p>
    <w:p>
      <w:pPr>
        <w:pStyle w:val="Heading2"/>
        <w:spacing w:after="120" w:before="220"/>
      </w:pPr>
      <w:r>
        <w:t xml:space="preserve">3.2 Physical Design / System Components</w:t>
      </w:r>
    </w:p>
    <w:p>
      <w:pPr>
        <w:spacing w:after="140" w:before="0" w:line="276"/>
        <w:jc w:val="both"/>
      </w:pPr>
      <w:r>
        <w:t xml:space="preserve">The system is a three-tier web application. The presentation tier is a set of static HTML/CSS/JavaScript pages (home, sectors, certificates, calculator, green finance) served from Firebase Hosting. The logic tier is client-side JavaScript: a deterministic calculation engine plus a price-loader module. The data tier is a Supabase (PostgreSQL) database exposing a public read API protected by row-level security. External data sources (emission-factor standards and certificate-price references) feed the data tier. The TO-BE process below shows how these components cooperate during a calculation.</w:t>
      </w:r>
    </w:p>
    <w:p>
      <w:pPr>
        <w:spacing w:after="40" w:before="120"/>
        <w:jc w:val="center"/>
      </w:pPr>
      <w:r>
        <w:drawing>
          <wp:inline distT="0" distB="0" distL="0" distR="0">
            <wp:extent cx="4381500" cy="3848100"/>
            <wp:effectExtent t="0" r="0" b="0" l="0"/>
            <wp:docPr id="1" name="tobe.png" descr="Figure 6. TO-BE process flowchart (swimlane: User / System / Data Sources)." title="Figure 6. TO-BE process flowchart (swimlane: User / System / Data Sou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381500" cy="3848100"/>
                    </a:xfrm>
                    <a:prstGeom prst="rect">
                      <a:avLst/>
                    </a:prstGeom>
                  </pic:spPr>
                </pic:pic>
              </a:graphicData>
            </a:graphic>
          </wp:inline>
        </w:drawing>
      </w:r>
    </w:p>
    <w:p>
      <w:pPr>
        <w:spacing w:after="180"/>
        <w:jc w:val="center"/>
      </w:pPr>
      <w:r>
        <w:rPr>
          <w:i/>
          <w:iCs/>
          <w:color w:val="555555"/>
          <w:sz w:val="20"/>
          <w:szCs w:val="20"/>
        </w:rPr>
        <w:t xml:space="preserve">Figure 6. TO-BE process flowchart (swimlane: User / System / Data Sources).</w:t>
      </w:r>
    </w:p>
    <w:p>
      <w:pPr>
        <w:spacing w:after="140" w:before="0" w:line="276"/>
        <w:jc w:val="both"/>
      </w:pPr>
      <w:r>
        <w:t xml:space="preserve">Core calculation logic. Emission = Production × Emission Factor × Adjuster; the adjuster is route-aware (e.g. for steel it applies a scrap discount only to ore-based routes, never to the already-scrap-based Scrap-EAF route, preventing double counting). Certificate need = Emission × (EU export ratio). Two cost scenarios are produced: Scenario 1 = certificate need × EUA price (the mandatory CBAM cost); Scenario 2 = Scenario 1 + (total emission − certificate need) × VCM price, i.e. mandatory CBAM plus voluntary offsetting of the non-EU residual emission for a net-zero target. VCM credits cannot discharge the CBAM obligation, so they are never substituted into Scenario 1.</w:t>
      </w:r>
    </w:p>
    <w:p>
      <w:pPr>
        <w:pStyle w:val="Heading2"/>
        <w:spacing w:after="120" w:before="220"/>
      </w:pPr>
      <w:r>
        <w:t xml:space="preserve">3.3 Input and Storage — Database Design</w:t>
      </w:r>
    </w:p>
    <w:p>
      <w:pPr>
        <w:spacing w:after="140" w:before="0" w:line="276"/>
        <w:jc w:val="both"/>
      </w:pPr>
      <w:r>
        <w:t xml:space="preserve">The logical data structure (Figure 3) is implemented as six relational tables. In the prototype, the CERTIFICATE_PRICE table is live in Supabase and feeds the calculator; the remaining tables form the designed schema for full implementation. The data dictionary follows.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1700"/>
        <w:gridCol w:w="1300"/>
        <w:gridCol w:w="900"/>
        <w:gridCol w:w="3426"/>
      </w:tblGrid>
      <w:tr>
        <w:trPr>
          <w:tblHeader/>
        </w:trPr>
        <w:tc>
          <w:tcPr>
            <w:tcW w:type="dxa" w:w="1700"/>
            <w:tcBorders>
              <w:top w:val="single" w:color="BBBBBB" w:sz="1"/>
              <w:left w:val="single" w:color="BBBBBB" w:sz="1"/>
              <w:bottom w:val="single" w:color="BBBBBB" w:sz="1"/>
              <w:right w:val="single" w:color="BBBBBB" w:sz="1"/>
            </w:tcBorders>
            <w:shd w:fill="1E293B" w:color="auto" w:val="clear"/>
            <w:tcMar>
              <w:top w:type="dxa" w:w="60"/>
              <w:left w:type="dxa" w:w="110"/>
              <w:bottom w:type="dxa" w:w="60"/>
              <w:right w:type="dxa" w:w="110"/>
            </w:tcMar>
            <w:vAlign w:val="center"/>
          </w:tcPr>
          <w:p>
            <w:pPr>
              <w:spacing w:after="0" w:line="252"/>
              <w:jc w:val="left"/>
            </w:pPr>
            <w:r>
              <w:rPr>
                <w:b/>
                <w:bCs/>
                <w:color w:val="FFFFFF"/>
                <w:sz w:val="20"/>
                <w:szCs w:val="20"/>
              </w:rPr>
              <w:t xml:space="preserve">Table</w:t>
            </w:r>
          </w:p>
        </w:tc>
        <w:tc>
          <w:tcPr>
            <w:tcW w:type="dxa" w:w="1700"/>
            <w:tcBorders>
              <w:top w:val="single" w:color="BBBBBB" w:sz="1"/>
              <w:left w:val="single" w:color="BBBBBB" w:sz="1"/>
              <w:bottom w:val="single" w:color="BBBBBB" w:sz="1"/>
              <w:right w:val="single" w:color="BBBBBB" w:sz="1"/>
            </w:tcBorders>
            <w:shd w:fill="1E293B" w:color="auto" w:val="clear"/>
            <w:tcMar>
              <w:top w:type="dxa" w:w="60"/>
              <w:left w:type="dxa" w:w="110"/>
              <w:bottom w:type="dxa" w:w="60"/>
              <w:right w:type="dxa" w:w="110"/>
            </w:tcMar>
            <w:vAlign w:val="center"/>
          </w:tcPr>
          <w:p>
            <w:pPr>
              <w:spacing w:after="0" w:line="252"/>
              <w:jc w:val="left"/>
            </w:pPr>
            <w:r>
              <w:rPr>
                <w:b/>
                <w:bCs/>
                <w:color w:val="FFFFFF"/>
                <w:sz w:val="20"/>
                <w:szCs w:val="20"/>
              </w:rPr>
              <w:t xml:space="preserve">Field</w:t>
            </w:r>
          </w:p>
        </w:tc>
        <w:tc>
          <w:tcPr>
            <w:tcW w:type="dxa" w:w="1300"/>
            <w:tcBorders>
              <w:top w:val="single" w:color="BBBBBB" w:sz="1"/>
              <w:left w:val="single" w:color="BBBBBB" w:sz="1"/>
              <w:bottom w:val="single" w:color="BBBBBB" w:sz="1"/>
              <w:right w:val="single" w:color="BBBBBB" w:sz="1"/>
            </w:tcBorders>
            <w:shd w:fill="1E293B" w:color="auto" w:val="clear"/>
            <w:tcMar>
              <w:top w:type="dxa" w:w="60"/>
              <w:left w:type="dxa" w:w="110"/>
              <w:bottom w:type="dxa" w:w="60"/>
              <w:right w:type="dxa" w:w="110"/>
            </w:tcMar>
            <w:vAlign w:val="center"/>
          </w:tcPr>
          <w:p>
            <w:pPr>
              <w:spacing w:after="0" w:line="252"/>
              <w:jc w:val="left"/>
            </w:pPr>
            <w:r>
              <w:rPr>
                <w:b/>
                <w:bCs/>
                <w:color w:val="FFFFFF"/>
                <w:sz w:val="20"/>
                <w:szCs w:val="20"/>
              </w:rPr>
              <w:t xml:space="preserve">Type</w:t>
            </w:r>
          </w:p>
        </w:tc>
        <w:tc>
          <w:tcPr>
            <w:tcW w:type="dxa" w:w="900"/>
            <w:tcBorders>
              <w:top w:val="single" w:color="BBBBBB" w:sz="1"/>
              <w:left w:val="single" w:color="BBBBBB" w:sz="1"/>
              <w:bottom w:val="single" w:color="BBBBBB" w:sz="1"/>
              <w:right w:val="single" w:color="BBBBBB" w:sz="1"/>
            </w:tcBorders>
            <w:shd w:fill="1E293B" w:color="auto" w:val="clear"/>
            <w:tcMar>
              <w:top w:type="dxa" w:w="60"/>
              <w:left w:type="dxa" w:w="110"/>
              <w:bottom w:type="dxa" w:w="60"/>
              <w:right w:type="dxa" w:w="110"/>
            </w:tcMar>
            <w:vAlign w:val="center"/>
          </w:tcPr>
          <w:p>
            <w:pPr>
              <w:spacing w:after="0" w:line="252"/>
              <w:jc w:val="left"/>
            </w:pPr>
            <w:r>
              <w:rPr>
                <w:b/>
                <w:bCs/>
                <w:color w:val="FFFFFF"/>
                <w:sz w:val="20"/>
                <w:szCs w:val="20"/>
              </w:rPr>
              <w:t xml:space="preserve">Key</w:t>
            </w:r>
          </w:p>
        </w:tc>
        <w:tc>
          <w:tcPr>
            <w:tcW w:type="dxa" w:w="3426"/>
            <w:tcBorders>
              <w:top w:val="single" w:color="BBBBBB" w:sz="1"/>
              <w:left w:val="single" w:color="BBBBBB" w:sz="1"/>
              <w:bottom w:val="single" w:color="BBBBBB" w:sz="1"/>
              <w:right w:val="single" w:color="BBBBBB" w:sz="1"/>
            </w:tcBorders>
            <w:shd w:fill="1E293B" w:color="auto" w:val="clear"/>
            <w:tcMar>
              <w:top w:type="dxa" w:w="60"/>
              <w:left w:type="dxa" w:w="110"/>
              <w:bottom w:type="dxa" w:w="60"/>
              <w:right w:type="dxa" w:w="110"/>
            </w:tcMar>
            <w:vAlign w:val="center"/>
          </w:tcPr>
          <w:p>
            <w:pPr>
              <w:spacing w:after="0" w:line="252"/>
              <w:jc w:val="left"/>
            </w:pPr>
            <w:r>
              <w:rPr>
                <w:b/>
                <w:bCs/>
                <w:color w:val="FFFFFF"/>
                <w:sz w:val="20"/>
                <w:szCs w:val="20"/>
              </w:rPr>
              <w:t xml:space="preserve">Description</w:t>
            </w:r>
          </w:p>
        </w:tc>
      </w:tr>
      <w:tr>
        <w:trPr>
          <w:tblHeader w:val="false"/>
        </w:trPr>
        <w:tc>
          <w:tcPr>
            <w:tcW w:type="dxa" w:w="17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jc w:val="left"/>
            </w:pPr>
            <w:r>
              <w:rPr>
                <w:b w:val="false"/>
                <w:bCs w:val="false"/>
                <w:color w:val="000000"/>
                <w:sz w:val="20"/>
                <w:szCs w:val="20"/>
              </w:rPr>
              <w:t xml:space="preserve">SECTOR</w:t>
            </w:r>
          </w:p>
        </w:tc>
        <w:tc>
          <w:tcPr>
            <w:tcW w:type="dxa" w:w="17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jc w:val="left"/>
            </w:pPr>
            <w:r>
              <w:rPr>
                <w:b w:val="false"/>
                <w:bCs w:val="false"/>
                <w:color w:val="000000"/>
                <w:sz w:val="20"/>
                <w:szCs w:val="20"/>
              </w:rPr>
              <w:t xml:space="preserve">sector_id</w:t>
            </w:r>
          </w:p>
        </w:tc>
        <w:tc>
          <w:tcPr>
            <w:tcW w:type="dxa" w:w="13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jc w:val="left"/>
            </w:pPr>
            <w:r>
              <w:rPr>
                <w:b w:val="false"/>
                <w:bCs w:val="false"/>
                <w:color w:val="000000"/>
                <w:sz w:val="20"/>
                <w:szCs w:val="20"/>
              </w:rPr>
              <w:t xml:space="preserve">text</w:t>
            </w:r>
          </w:p>
        </w:tc>
        <w:tc>
          <w:tcPr>
            <w:tcW w:type="dxa" w:w="9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jc w:val="left"/>
            </w:pPr>
            <w:r>
              <w:rPr>
                <w:b w:val="false"/>
                <w:bCs w:val="false"/>
                <w:color w:val="000000"/>
                <w:sz w:val="20"/>
                <w:szCs w:val="20"/>
              </w:rPr>
              <w:t xml:space="preserve">PK</w:t>
            </w:r>
          </w:p>
        </w:tc>
        <w:tc>
          <w:tcPr>
            <w:tcW w:type="dxa" w:w="3426"/>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jc w:val="left"/>
            </w:pPr>
            <w:r>
              <w:rPr>
                <w:b w:val="false"/>
                <w:bCs w:val="false"/>
                <w:color w:val="000000"/>
                <w:sz w:val="20"/>
                <w:szCs w:val="20"/>
              </w:rPr>
              <w:t xml:space="preserve">Sector code (e.g. steel)</w:t>
            </w:r>
          </w:p>
        </w:tc>
      </w:tr>
      <w:tr>
        <w:trPr>
          <w:tblHeader w:val="false"/>
        </w:trPr>
        <w:tc>
          <w:tcPr>
            <w:tcW w:type="dxa" w:w="17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jc w:val="left"/>
            </w:pPr>
            <w:r>
              <w:rPr>
                <w:b w:val="false"/>
                <w:bCs w:val="false"/>
                <w:color w:val="000000"/>
                <w:sz w:val="20"/>
                <w:szCs w:val="20"/>
              </w:rPr>
              <w:t xml:space="preserve"/>
            </w:r>
          </w:p>
        </w:tc>
        <w:tc>
          <w:tcPr>
            <w:tcW w:type="dxa" w:w="17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jc w:val="left"/>
            </w:pPr>
            <w:r>
              <w:rPr>
                <w:b w:val="false"/>
                <w:bCs w:val="false"/>
                <w:color w:val="000000"/>
                <w:sz w:val="20"/>
                <w:szCs w:val="20"/>
              </w:rPr>
              <w:t xml:space="preserve">name / standard</w:t>
            </w:r>
          </w:p>
        </w:tc>
        <w:tc>
          <w:tcPr>
            <w:tcW w:type="dxa" w:w="13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jc w:val="left"/>
            </w:pPr>
            <w:r>
              <w:rPr>
                <w:b w:val="false"/>
                <w:bCs w:val="false"/>
                <w:color w:val="000000"/>
                <w:sz w:val="20"/>
                <w:szCs w:val="20"/>
              </w:rPr>
              <w:t xml:space="preserve">text</w:t>
            </w:r>
          </w:p>
        </w:tc>
        <w:tc>
          <w:tcPr>
            <w:tcW w:type="dxa" w:w="9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jc w:val="left"/>
            </w:pPr>
            <w:r>
              <w:rPr>
                <w:b w:val="false"/>
                <w:bCs w:val="false"/>
                <w:color w:val="000000"/>
                <w:sz w:val="20"/>
                <w:szCs w:val="20"/>
              </w:rPr>
              <w:t xml:space="preserve"/>
            </w:r>
          </w:p>
        </w:tc>
        <w:tc>
          <w:tcPr>
            <w:tcW w:type="dxa" w:w="3426"/>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jc w:val="left"/>
            </w:pPr>
            <w:r>
              <w:rPr>
                <w:b w:val="false"/>
                <w:bCs w:val="false"/>
                <w:color w:val="000000"/>
                <w:sz w:val="20"/>
                <w:szCs w:val="20"/>
              </w:rPr>
              <w:t xml:space="preserve">Display name and reference standard</w:t>
            </w:r>
          </w:p>
        </w:tc>
      </w:tr>
      <w:tr>
        <w:trPr>
          <w:tblHeader w:val="false"/>
        </w:trPr>
        <w:tc>
          <w:tcPr>
            <w:tcW w:type="dxa" w:w="17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jc w:val="left"/>
            </w:pPr>
            <w:r>
              <w:rPr>
                <w:b w:val="false"/>
                <w:bCs w:val="false"/>
                <w:color w:val="000000"/>
                <w:sz w:val="20"/>
                <w:szCs w:val="20"/>
              </w:rPr>
              <w:t xml:space="preserve">EMISSION_FACTOR</w:t>
            </w:r>
          </w:p>
        </w:tc>
        <w:tc>
          <w:tcPr>
            <w:tcW w:type="dxa" w:w="17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jc w:val="left"/>
            </w:pPr>
            <w:r>
              <w:rPr>
                <w:b w:val="false"/>
                <w:bCs w:val="false"/>
                <w:color w:val="000000"/>
                <w:sz w:val="20"/>
                <w:szCs w:val="20"/>
              </w:rPr>
              <w:t xml:space="preserve">factor_id</w:t>
            </w:r>
          </w:p>
        </w:tc>
        <w:tc>
          <w:tcPr>
            <w:tcW w:type="dxa" w:w="13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jc w:val="left"/>
            </w:pPr>
            <w:r>
              <w:rPr>
                <w:b w:val="false"/>
                <w:bCs w:val="false"/>
                <w:color w:val="000000"/>
                <w:sz w:val="20"/>
                <w:szCs w:val="20"/>
              </w:rPr>
              <w:t xml:space="preserve">serial</w:t>
            </w:r>
          </w:p>
        </w:tc>
        <w:tc>
          <w:tcPr>
            <w:tcW w:type="dxa" w:w="9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jc w:val="left"/>
            </w:pPr>
            <w:r>
              <w:rPr>
                <w:b w:val="false"/>
                <w:bCs w:val="false"/>
                <w:color w:val="000000"/>
                <w:sz w:val="20"/>
                <w:szCs w:val="20"/>
              </w:rPr>
              <w:t xml:space="preserve">PK</w:t>
            </w:r>
          </w:p>
        </w:tc>
        <w:tc>
          <w:tcPr>
            <w:tcW w:type="dxa" w:w="3426"/>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jc w:val="left"/>
            </w:pPr>
            <w:r>
              <w:rPr>
                <w:b w:val="false"/>
                <w:bCs w:val="false"/>
                <w:color w:val="000000"/>
                <w:sz w:val="20"/>
                <w:szCs w:val="20"/>
              </w:rPr>
              <w:t xml:space="preserve">Factor identifier</w:t>
            </w:r>
          </w:p>
        </w:tc>
      </w:tr>
      <w:tr>
        <w:trPr>
          <w:tblHeader w:val="false"/>
        </w:trPr>
        <w:tc>
          <w:tcPr>
            <w:tcW w:type="dxa" w:w="17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jc w:val="left"/>
            </w:pPr>
            <w:r>
              <w:rPr>
                <w:b w:val="false"/>
                <w:bCs w:val="false"/>
                <w:color w:val="000000"/>
                <w:sz w:val="20"/>
                <w:szCs w:val="20"/>
              </w:rPr>
              <w:t xml:space="preserve"/>
            </w:r>
          </w:p>
        </w:tc>
        <w:tc>
          <w:tcPr>
            <w:tcW w:type="dxa" w:w="17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jc w:val="left"/>
            </w:pPr>
            <w:r>
              <w:rPr>
                <w:b w:val="false"/>
                <w:bCs w:val="false"/>
                <w:color w:val="000000"/>
                <w:sz w:val="20"/>
                <w:szCs w:val="20"/>
              </w:rPr>
              <w:t xml:space="preserve">sector_id</w:t>
            </w:r>
          </w:p>
        </w:tc>
        <w:tc>
          <w:tcPr>
            <w:tcW w:type="dxa" w:w="13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jc w:val="left"/>
            </w:pPr>
            <w:r>
              <w:rPr>
                <w:b w:val="false"/>
                <w:bCs w:val="false"/>
                <w:color w:val="000000"/>
                <w:sz w:val="20"/>
                <w:szCs w:val="20"/>
              </w:rPr>
              <w:t xml:space="preserve">text</w:t>
            </w:r>
          </w:p>
        </w:tc>
        <w:tc>
          <w:tcPr>
            <w:tcW w:type="dxa" w:w="9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jc w:val="left"/>
            </w:pPr>
            <w:r>
              <w:rPr>
                <w:b w:val="false"/>
                <w:bCs w:val="false"/>
                <w:color w:val="000000"/>
                <w:sz w:val="20"/>
                <w:szCs w:val="20"/>
              </w:rPr>
              <w:t xml:space="preserve">FK</w:t>
            </w:r>
          </w:p>
        </w:tc>
        <w:tc>
          <w:tcPr>
            <w:tcW w:type="dxa" w:w="3426"/>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jc w:val="left"/>
            </w:pPr>
            <w:r>
              <w:rPr>
                <w:b w:val="false"/>
                <w:bCs w:val="false"/>
                <w:color w:val="000000"/>
                <w:sz w:val="20"/>
                <w:szCs w:val="20"/>
              </w:rPr>
              <w:t xml:space="preserve">Owning sector</w:t>
            </w:r>
          </w:p>
        </w:tc>
      </w:tr>
      <w:tr>
        <w:trPr>
          <w:tblHeader w:val="false"/>
        </w:trPr>
        <w:tc>
          <w:tcPr>
            <w:tcW w:type="dxa" w:w="17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jc w:val="left"/>
            </w:pPr>
            <w:r>
              <w:rPr>
                <w:b w:val="false"/>
                <w:bCs w:val="false"/>
                <w:color w:val="000000"/>
                <w:sz w:val="20"/>
                <w:szCs w:val="20"/>
              </w:rPr>
              <w:t xml:space="preserve"/>
            </w:r>
          </w:p>
        </w:tc>
        <w:tc>
          <w:tcPr>
            <w:tcW w:type="dxa" w:w="17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jc w:val="left"/>
            </w:pPr>
            <w:r>
              <w:rPr>
                <w:b w:val="false"/>
                <w:bCs w:val="false"/>
                <w:color w:val="000000"/>
                <w:sz w:val="20"/>
                <w:szCs w:val="20"/>
              </w:rPr>
              <w:t xml:space="preserve">route_type / value / unit</w:t>
            </w:r>
          </w:p>
        </w:tc>
        <w:tc>
          <w:tcPr>
            <w:tcW w:type="dxa" w:w="13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jc w:val="left"/>
            </w:pPr>
            <w:r>
              <w:rPr>
                <w:b w:val="false"/>
                <w:bCs w:val="false"/>
                <w:color w:val="000000"/>
                <w:sz w:val="20"/>
                <w:szCs w:val="20"/>
              </w:rPr>
              <w:t xml:space="preserve">mixed</w:t>
            </w:r>
          </w:p>
        </w:tc>
        <w:tc>
          <w:tcPr>
            <w:tcW w:type="dxa" w:w="9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jc w:val="left"/>
            </w:pPr>
            <w:r>
              <w:rPr>
                <w:b w:val="false"/>
                <w:bCs w:val="false"/>
                <w:color w:val="000000"/>
                <w:sz w:val="20"/>
                <w:szCs w:val="20"/>
              </w:rPr>
              <w:t xml:space="preserve"/>
            </w:r>
          </w:p>
        </w:tc>
        <w:tc>
          <w:tcPr>
            <w:tcW w:type="dxa" w:w="3426"/>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jc w:val="left"/>
            </w:pPr>
            <w:r>
              <w:rPr>
                <w:b w:val="false"/>
                <w:bCs w:val="false"/>
                <w:color w:val="000000"/>
                <w:sz w:val="20"/>
                <w:szCs w:val="20"/>
              </w:rPr>
              <w:t xml:space="preserve">Production route, factor value, unit</w:t>
            </w:r>
          </w:p>
        </w:tc>
      </w:tr>
      <w:tr>
        <w:trPr>
          <w:tblHeader w:val="false"/>
        </w:trPr>
        <w:tc>
          <w:tcPr>
            <w:tcW w:type="dxa" w:w="17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jc w:val="left"/>
            </w:pPr>
            <w:r>
              <w:rPr>
                <w:b w:val="false"/>
                <w:bCs w:val="false"/>
                <w:color w:val="000000"/>
                <w:sz w:val="20"/>
                <w:szCs w:val="20"/>
              </w:rPr>
              <w:t xml:space="preserve">COMPANY</w:t>
            </w:r>
          </w:p>
        </w:tc>
        <w:tc>
          <w:tcPr>
            <w:tcW w:type="dxa" w:w="17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jc w:val="left"/>
            </w:pPr>
            <w:r>
              <w:rPr>
                <w:b w:val="false"/>
                <w:bCs w:val="false"/>
                <w:color w:val="000000"/>
                <w:sz w:val="20"/>
                <w:szCs w:val="20"/>
              </w:rPr>
              <w:t xml:space="preserve">company_id</w:t>
            </w:r>
          </w:p>
        </w:tc>
        <w:tc>
          <w:tcPr>
            <w:tcW w:type="dxa" w:w="13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jc w:val="left"/>
            </w:pPr>
            <w:r>
              <w:rPr>
                <w:b w:val="false"/>
                <w:bCs w:val="false"/>
                <w:color w:val="000000"/>
                <w:sz w:val="20"/>
                <w:szCs w:val="20"/>
              </w:rPr>
              <w:t xml:space="preserve">serial</w:t>
            </w:r>
          </w:p>
        </w:tc>
        <w:tc>
          <w:tcPr>
            <w:tcW w:type="dxa" w:w="9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jc w:val="left"/>
            </w:pPr>
            <w:r>
              <w:rPr>
                <w:b w:val="false"/>
                <w:bCs w:val="false"/>
                <w:color w:val="000000"/>
                <w:sz w:val="20"/>
                <w:szCs w:val="20"/>
              </w:rPr>
              <w:t xml:space="preserve">PK</w:t>
            </w:r>
          </w:p>
        </w:tc>
        <w:tc>
          <w:tcPr>
            <w:tcW w:type="dxa" w:w="3426"/>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jc w:val="left"/>
            </w:pPr>
            <w:r>
              <w:rPr>
                <w:b w:val="false"/>
                <w:bCs w:val="false"/>
                <w:color w:val="000000"/>
                <w:sz w:val="20"/>
                <w:szCs w:val="20"/>
              </w:rPr>
              <w:t xml:space="preserve">Exporter company</w:t>
            </w:r>
          </w:p>
        </w:tc>
      </w:tr>
      <w:tr>
        <w:trPr>
          <w:tblHeader w:val="false"/>
        </w:trPr>
        <w:tc>
          <w:tcPr>
            <w:tcW w:type="dxa" w:w="17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jc w:val="left"/>
            </w:pPr>
            <w:r>
              <w:rPr>
                <w:b w:val="false"/>
                <w:bCs w:val="false"/>
                <w:color w:val="000000"/>
                <w:sz w:val="20"/>
                <w:szCs w:val="20"/>
              </w:rPr>
              <w:t xml:space="preserve"/>
            </w:r>
          </w:p>
        </w:tc>
        <w:tc>
          <w:tcPr>
            <w:tcW w:type="dxa" w:w="17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jc w:val="left"/>
            </w:pPr>
            <w:r>
              <w:rPr>
                <w:b w:val="false"/>
                <w:bCs w:val="false"/>
                <w:color w:val="000000"/>
                <w:sz w:val="20"/>
                <w:szCs w:val="20"/>
              </w:rPr>
              <w:t xml:space="preserve">sector_id</w:t>
            </w:r>
          </w:p>
        </w:tc>
        <w:tc>
          <w:tcPr>
            <w:tcW w:type="dxa" w:w="13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jc w:val="left"/>
            </w:pPr>
            <w:r>
              <w:rPr>
                <w:b w:val="false"/>
                <w:bCs w:val="false"/>
                <w:color w:val="000000"/>
                <w:sz w:val="20"/>
                <w:szCs w:val="20"/>
              </w:rPr>
              <w:t xml:space="preserve">text</w:t>
            </w:r>
          </w:p>
        </w:tc>
        <w:tc>
          <w:tcPr>
            <w:tcW w:type="dxa" w:w="9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jc w:val="left"/>
            </w:pPr>
            <w:r>
              <w:rPr>
                <w:b w:val="false"/>
                <w:bCs w:val="false"/>
                <w:color w:val="000000"/>
                <w:sz w:val="20"/>
                <w:szCs w:val="20"/>
              </w:rPr>
              <w:t xml:space="preserve">FK</w:t>
            </w:r>
          </w:p>
        </w:tc>
        <w:tc>
          <w:tcPr>
            <w:tcW w:type="dxa" w:w="3426"/>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jc w:val="left"/>
            </w:pPr>
            <w:r>
              <w:rPr>
                <w:b w:val="false"/>
                <w:bCs w:val="false"/>
                <w:color w:val="000000"/>
                <w:sz w:val="20"/>
                <w:szCs w:val="20"/>
              </w:rPr>
              <w:t xml:space="preserve">Company’s sector</w:t>
            </w:r>
          </w:p>
        </w:tc>
      </w:tr>
      <w:tr>
        <w:trPr>
          <w:tblHeader w:val="false"/>
        </w:trPr>
        <w:tc>
          <w:tcPr>
            <w:tcW w:type="dxa" w:w="17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jc w:val="left"/>
            </w:pPr>
            <w:r>
              <w:rPr>
                <w:b w:val="false"/>
                <w:bCs w:val="false"/>
                <w:color w:val="000000"/>
                <w:sz w:val="20"/>
                <w:szCs w:val="20"/>
              </w:rPr>
              <w:t xml:space="preserve"/>
            </w:r>
          </w:p>
        </w:tc>
        <w:tc>
          <w:tcPr>
            <w:tcW w:type="dxa" w:w="17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jc w:val="left"/>
            </w:pPr>
            <w:r>
              <w:rPr>
                <w:b w:val="false"/>
                <w:bCs w:val="false"/>
                <w:color w:val="000000"/>
                <w:sz w:val="20"/>
                <w:szCs w:val="20"/>
              </w:rPr>
              <w:t xml:space="preserve">name / country / export_ratio</w:t>
            </w:r>
          </w:p>
        </w:tc>
        <w:tc>
          <w:tcPr>
            <w:tcW w:type="dxa" w:w="13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jc w:val="left"/>
            </w:pPr>
            <w:r>
              <w:rPr>
                <w:b w:val="false"/>
                <w:bCs w:val="false"/>
                <w:color w:val="000000"/>
                <w:sz w:val="20"/>
                <w:szCs w:val="20"/>
              </w:rPr>
              <w:t xml:space="preserve">mixed</w:t>
            </w:r>
          </w:p>
        </w:tc>
        <w:tc>
          <w:tcPr>
            <w:tcW w:type="dxa" w:w="9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jc w:val="left"/>
            </w:pPr>
            <w:r>
              <w:rPr>
                <w:b w:val="false"/>
                <w:bCs w:val="false"/>
                <w:color w:val="000000"/>
                <w:sz w:val="20"/>
                <w:szCs w:val="20"/>
              </w:rPr>
              <w:t xml:space="preserve"/>
            </w:r>
          </w:p>
        </w:tc>
        <w:tc>
          <w:tcPr>
            <w:tcW w:type="dxa" w:w="3426"/>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jc w:val="left"/>
            </w:pPr>
            <w:r>
              <w:rPr>
                <w:b w:val="false"/>
                <w:bCs w:val="false"/>
                <w:color w:val="000000"/>
                <w:sz w:val="20"/>
                <w:szCs w:val="20"/>
              </w:rPr>
              <w:t xml:space="preserve">Profile and EU export share</w:t>
            </w:r>
          </w:p>
        </w:tc>
      </w:tr>
      <w:tr>
        <w:trPr>
          <w:tblHeader w:val="false"/>
        </w:trPr>
        <w:tc>
          <w:tcPr>
            <w:tcW w:type="dxa" w:w="17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jc w:val="left"/>
            </w:pPr>
            <w:r>
              <w:rPr>
                <w:b w:val="false"/>
                <w:bCs w:val="false"/>
                <w:color w:val="000000"/>
                <w:sz w:val="20"/>
                <w:szCs w:val="20"/>
              </w:rPr>
              <w:t xml:space="preserve">USER</w:t>
            </w:r>
          </w:p>
        </w:tc>
        <w:tc>
          <w:tcPr>
            <w:tcW w:type="dxa" w:w="17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jc w:val="left"/>
            </w:pPr>
            <w:r>
              <w:rPr>
                <w:b w:val="false"/>
                <w:bCs w:val="false"/>
                <w:color w:val="000000"/>
                <w:sz w:val="20"/>
                <w:szCs w:val="20"/>
              </w:rPr>
              <w:t xml:space="preserve">user_id</w:t>
            </w:r>
          </w:p>
        </w:tc>
        <w:tc>
          <w:tcPr>
            <w:tcW w:type="dxa" w:w="13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jc w:val="left"/>
            </w:pPr>
            <w:r>
              <w:rPr>
                <w:b w:val="false"/>
                <w:bCs w:val="false"/>
                <w:color w:val="000000"/>
                <w:sz w:val="20"/>
                <w:szCs w:val="20"/>
              </w:rPr>
              <w:t xml:space="preserve">serial</w:t>
            </w:r>
          </w:p>
        </w:tc>
        <w:tc>
          <w:tcPr>
            <w:tcW w:type="dxa" w:w="9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jc w:val="left"/>
            </w:pPr>
            <w:r>
              <w:rPr>
                <w:b w:val="false"/>
                <w:bCs w:val="false"/>
                <w:color w:val="000000"/>
                <w:sz w:val="20"/>
                <w:szCs w:val="20"/>
              </w:rPr>
              <w:t xml:space="preserve">PK</w:t>
            </w:r>
          </w:p>
        </w:tc>
        <w:tc>
          <w:tcPr>
            <w:tcW w:type="dxa" w:w="3426"/>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jc w:val="left"/>
            </w:pPr>
            <w:r>
              <w:rPr>
                <w:b w:val="false"/>
                <w:bCs w:val="false"/>
                <w:color w:val="000000"/>
                <w:sz w:val="20"/>
                <w:szCs w:val="20"/>
              </w:rPr>
              <w:t xml:space="preserve">System user</w:t>
            </w:r>
          </w:p>
        </w:tc>
      </w:tr>
      <w:tr>
        <w:trPr>
          <w:tblHeader w:val="false"/>
        </w:trPr>
        <w:tc>
          <w:tcPr>
            <w:tcW w:type="dxa" w:w="17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jc w:val="left"/>
            </w:pPr>
            <w:r>
              <w:rPr>
                <w:b w:val="false"/>
                <w:bCs w:val="false"/>
                <w:color w:val="000000"/>
                <w:sz w:val="20"/>
                <w:szCs w:val="20"/>
              </w:rPr>
              <w:t xml:space="preserve"/>
            </w:r>
          </w:p>
        </w:tc>
        <w:tc>
          <w:tcPr>
            <w:tcW w:type="dxa" w:w="17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jc w:val="left"/>
            </w:pPr>
            <w:r>
              <w:rPr>
                <w:b w:val="false"/>
                <w:bCs w:val="false"/>
                <w:color w:val="000000"/>
                <w:sz w:val="20"/>
                <w:szCs w:val="20"/>
              </w:rPr>
              <w:t xml:space="preserve">company_id</w:t>
            </w:r>
          </w:p>
        </w:tc>
        <w:tc>
          <w:tcPr>
            <w:tcW w:type="dxa" w:w="13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jc w:val="left"/>
            </w:pPr>
            <w:r>
              <w:rPr>
                <w:b w:val="false"/>
                <w:bCs w:val="false"/>
                <w:color w:val="000000"/>
                <w:sz w:val="20"/>
                <w:szCs w:val="20"/>
              </w:rPr>
              <w:t xml:space="preserve">integer</w:t>
            </w:r>
          </w:p>
        </w:tc>
        <w:tc>
          <w:tcPr>
            <w:tcW w:type="dxa" w:w="9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jc w:val="left"/>
            </w:pPr>
            <w:r>
              <w:rPr>
                <w:b w:val="false"/>
                <w:bCs w:val="false"/>
                <w:color w:val="000000"/>
                <w:sz w:val="20"/>
                <w:szCs w:val="20"/>
              </w:rPr>
              <w:t xml:space="preserve">FK</w:t>
            </w:r>
          </w:p>
        </w:tc>
        <w:tc>
          <w:tcPr>
            <w:tcW w:type="dxa" w:w="3426"/>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jc w:val="left"/>
            </w:pPr>
            <w:r>
              <w:rPr>
                <w:b w:val="false"/>
                <w:bCs w:val="false"/>
                <w:color w:val="000000"/>
                <w:sz w:val="20"/>
                <w:szCs w:val="20"/>
              </w:rPr>
              <w:t xml:space="preserve">Employer company</w:t>
            </w:r>
          </w:p>
        </w:tc>
      </w:tr>
      <w:tr>
        <w:trPr>
          <w:tblHeader w:val="false"/>
        </w:trPr>
        <w:tc>
          <w:tcPr>
            <w:tcW w:type="dxa" w:w="17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jc w:val="left"/>
            </w:pPr>
            <w:r>
              <w:rPr>
                <w:b w:val="false"/>
                <w:bCs w:val="false"/>
                <w:color w:val="000000"/>
                <w:sz w:val="20"/>
                <w:szCs w:val="20"/>
              </w:rPr>
              <w:t xml:space="preserve"/>
            </w:r>
          </w:p>
        </w:tc>
        <w:tc>
          <w:tcPr>
            <w:tcW w:type="dxa" w:w="17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jc w:val="left"/>
            </w:pPr>
            <w:r>
              <w:rPr>
                <w:b w:val="false"/>
                <w:bCs w:val="false"/>
                <w:color w:val="000000"/>
                <w:sz w:val="20"/>
                <w:szCs w:val="20"/>
              </w:rPr>
              <w:t xml:space="preserve">role / email</w:t>
            </w:r>
          </w:p>
        </w:tc>
        <w:tc>
          <w:tcPr>
            <w:tcW w:type="dxa" w:w="13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jc w:val="left"/>
            </w:pPr>
            <w:r>
              <w:rPr>
                <w:b w:val="false"/>
                <w:bCs w:val="false"/>
                <w:color w:val="000000"/>
                <w:sz w:val="20"/>
                <w:szCs w:val="20"/>
              </w:rPr>
              <w:t xml:space="preserve">text</w:t>
            </w:r>
          </w:p>
        </w:tc>
        <w:tc>
          <w:tcPr>
            <w:tcW w:type="dxa" w:w="9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jc w:val="left"/>
            </w:pPr>
            <w:r>
              <w:rPr>
                <w:b w:val="false"/>
                <w:bCs w:val="false"/>
                <w:color w:val="000000"/>
                <w:sz w:val="20"/>
                <w:szCs w:val="20"/>
              </w:rPr>
              <w:t xml:space="preserve"/>
            </w:r>
          </w:p>
        </w:tc>
        <w:tc>
          <w:tcPr>
            <w:tcW w:type="dxa" w:w="3426"/>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jc w:val="left"/>
            </w:pPr>
            <w:r>
              <w:rPr>
                <w:b w:val="false"/>
                <w:bCs w:val="false"/>
                <w:color w:val="000000"/>
                <w:sz w:val="20"/>
                <w:szCs w:val="20"/>
              </w:rPr>
              <w:t xml:space="preserve">user | admin; login email</w:t>
            </w:r>
          </w:p>
        </w:tc>
      </w:tr>
      <w:tr>
        <w:trPr>
          <w:tblHeader w:val="false"/>
        </w:trPr>
        <w:tc>
          <w:tcPr>
            <w:tcW w:type="dxa" w:w="17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jc w:val="left"/>
            </w:pPr>
            <w:r>
              <w:rPr>
                <w:b w:val="false"/>
                <w:bCs w:val="false"/>
                <w:color w:val="000000"/>
                <w:sz w:val="20"/>
                <w:szCs w:val="20"/>
              </w:rPr>
              <w:t xml:space="preserve">CALCULATION</w:t>
            </w:r>
          </w:p>
        </w:tc>
        <w:tc>
          <w:tcPr>
            <w:tcW w:type="dxa" w:w="17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jc w:val="left"/>
            </w:pPr>
            <w:r>
              <w:rPr>
                <w:b w:val="false"/>
                <w:bCs w:val="false"/>
                <w:color w:val="000000"/>
                <w:sz w:val="20"/>
                <w:szCs w:val="20"/>
              </w:rPr>
              <w:t xml:space="preserve">calc_id</w:t>
            </w:r>
          </w:p>
        </w:tc>
        <w:tc>
          <w:tcPr>
            <w:tcW w:type="dxa" w:w="13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jc w:val="left"/>
            </w:pPr>
            <w:r>
              <w:rPr>
                <w:b w:val="false"/>
                <w:bCs w:val="false"/>
                <w:color w:val="000000"/>
                <w:sz w:val="20"/>
                <w:szCs w:val="20"/>
              </w:rPr>
              <w:t xml:space="preserve">serial</w:t>
            </w:r>
          </w:p>
        </w:tc>
        <w:tc>
          <w:tcPr>
            <w:tcW w:type="dxa" w:w="9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jc w:val="left"/>
            </w:pPr>
            <w:r>
              <w:rPr>
                <w:b w:val="false"/>
                <w:bCs w:val="false"/>
                <w:color w:val="000000"/>
                <w:sz w:val="20"/>
                <w:szCs w:val="20"/>
              </w:rPr>
              <w:t xml:space="preserve">PK</w:t>
            </w:r>
          </w:p>
        </w:tc>
        <w:tc>
          <w:tcPr>
            <w:tcW w:type="dxa" w:w="3426"/>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jc w:val="left"/>
            </w:pPr>
            <w:r>
              <w:rPr>
                <w:b w:val="false"/>
                <w:bCs w:val="false"/>
                <w:color w:val="000000"/>
                <w:sz w:val="20"/>
                <w:szCs w:val="20"/>
              </w:rPr>
              <w:t xml:space="preserve">Saved calculation</w:t>
            </w:r>
          </w:p>
        </w:tc>
      </w:tr>
      <w:tr>
        <w:trPr>
          <w:tblHeader w:val="false"/>
        </w:trPr>
        <w:tc>
          <w:tcPr>
            <w:tcW w:type="dxa" w:w="17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jc w:val="left"/>
            </w:pPr>
            <w:r>
              <w:rPr>
                <w:b w:val="false"/>
                <w:bCs w:val="false"/>
                <w:color w:val="000000"/>
                <w:sz w:val="20"/>
                <w:szCs w:val="20"/>
              </w:rPr>
              <w:t xml:space="preserve"/>
            </w:r>
          </w:p>
        </w:tc>
        <w:tc>
          <w:tcPr>
            <w:tcW w:type="dxa" w:w="17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jc w:val="left"/>
            </w:pPr>
            <w:r>
              <w:rPr>
                <w:b w:val="false"/>
                <w:bCs w:val="false"/>
                <w:color w:val="000000"/>
                <w:sz w:val="20"/>
                <w:szCs w:val="20"/>
              </w:rPr>
              <w:t xml:space="preserve">company_id / sector_id</w:t>
            </w:r>
          </w:p>
        </w:tc>
        <w:tc>
          <w:tcPr>
            <w:tcW w:type="dxa" w:w="13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jc w:val="left"/>
            </w:pPr>
            <w:r>
              <w:rPr>
                <w:b w:val="false"/>
                <w:bCs w:val="false"/>
                <w:color w:val="000000"/>
                <w:sz w:val="20"/>
                <w:szCs w:val="20"/>
              </w:rPr>
              <w:t xml:space="preserve">mixed</w:t>
            </w:r>
          </w:p>
        </w:tc>
        <w:tc>
          <w:tcPr>
            <w:tcW w:type="dxa" w:w="9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jc w:val="left"/>
            </w:pPr>
            <w:r>
              <w:rPr>
                <w:b w:val="false"/>
                <w:bCs w:val="false"/>
                <w:color w:val="000000"/>
                <w:sz w:val="20"/>
                <w:szCs w:val="20"/>
              </w:rPr>
              <w:t xml:space="preserve">FK</w:t>
            </w:r>
          </w:p>
        </w:tc>
        <w:tc>
          <w:tcPr>
            <w:tcW w:type="dxa" w:w="3426"/>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jc w:val="left"/>
            </w:pPr>
            <w:r>
              <w:rPr>
                <w:b w:val="false"/>
                <w:bCs w:val="false"/>
                <w:color w:val="000000"/>
                <w:sz w:val="20"/>
                <w:szCs w:val="20"/>
              </w:rPr>
              <w:t xml:space="preserve">Owning company and sector</w:t>
            </w:r>
          </w:p>
        </w:tc>
      </w:tr>
      <w:tr>
        <w:trPr>
          <w:tblHeader w:val="false"/>
        </w:trPr>
        <w:tc>
          <w:tcPr>
            <w:tcW w:type="dxa" w:w="17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jc w:val="left"/>
            </w:pPr>
            <w:r>
              <w:rPr>
                <w:b w:val="false"/>
                <w:bCs w:val="false"/>
                <w:color w:val="000000"/>
                <w:sz w:val="20"/>
                <w:szCs w:val="20"/>
              </w:rPr>
              <w:t xml:space="preserve"/>
            </w:r>
          </w:p>
        </w:tc>
        <w:tc>
          <w:tcPr>
            <w:tcW w:type="dxa" w:w="17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jc w:val="left"/>
            </w:pPr>
            <w:r>
              <w:rPr>
                <w:b w:val="false"/>
                <w:bCs w:val="false"/>
                <w:color w:val="000000"/>
                <w:sz w:val="20"/>
                <w:szCs w:val="20"/>
              </w:rPr>
              <w:t xml:space="preserve">production_amount …</w:t>
            </w:r>
          </w:p>
        </w:tc>
        <w:tc>
          <w:tcPr>
            <w:tcW w:type="dxa" w:w="13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jc w:val="left"/>
            </w:pPr>
            <w:r>
              <w:rPr>
                <w:b w:val="false"/>
                <w:bCs w:val="false"/>
                <w:color w:val="000000"/>
                <w:sz w:val="20"/>
                <w:szCs w:val="20"/>
              </w:rPr>
              <w:t xml:space="preserve">numeric</w:t>
            </w:r>
          </w:p>
        </w:tc>
        <w:tc>
          <w:tcPr>
            <w:tcW w:type="dxa" w:w="9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jc w:val="left"/>
            </w:pPr>
            <w:r>
              <w:rPr>
                <w:b w:val="false"/>
                <w:bCs w:val="false"/>
                <w:color w:val="000000"/>
                <w:sz w:val="20"/>
                <w:szCs w:val="20"/>
              </w:rPr>
              <w:t xml:space="preserve"/>
            </w:r>
          </w:p>
        </w:tc>
        <w:tc>
          <w:tcPr>
            <w:tcW w:type="dxa" w:w="3426"/>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jc w:val="left"/>
            </w:pPr>
            <w:r>
              <w:rPr>
                <w:b w:val="false"/>
                <w:bCs w:val="false"/>
                <w:color w:val="000000"/>
                <w:sz w:val="20"/>
                <w:szCs w:val="20"/>
              </w:rPr>
              <w:t xml:space="preserve">Inputs and computed emission/need/cost</w:t>
            </w:r>
          </w:p>
        </w:tc>
      </w:tr>
      <w:tr>
        <w:trPr>
          <w:tblHeader w:val="false"/>
        </w:trPr>
        <w:tc>
          <w:tcPr>
            <w:tcW w:type="dxa" w:w="17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jc w:val="left"/>
            </w:pPr>
            <w:r>
              <w:rPr>
                <w:b w:val="false"/>
                <w:bCs w:val="false"/>
                <w:color w:val="000000"/>
                <w:sz w:val="20"/>
                <w:szCs w:val="20"/>
              </w:rPr>
              <w:t xml:space="preserve">CERTIFICATE_PRICE</w:t>
            </w:r>
          </w:p>
        </w:tc>
        <w:tc>
          <w:tcPr>
            <w:tcW w:type="dxa" w:w="17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jc w:val="left"/>
            </w:pPr>
            <w:r>
              <w:rPr>
                <w:b w:val="false"/>
                <w:bCs w:val="false"/>
                <w:color w:val="000000"/>
                <w:sz w:val="20"/>
                <w:szCs w:val="20"/>
              </w:rPr>
              <w:t xml:space="preserve">cert_id</w:t>
            </w:r>
          </w:p>
        </w:tc>
        <w:tc>
          <w:tcPr>
            <w:tcW w:type="dxa" w:w="13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jc w:val="left"/>
            </w:pPr>
            <w:r>
              <w:rPr>
                <w:b w:val="false"/>
                <w:bCs w:val="false"/>
                <w:color w:val="000000"/>
                <w:sz w:val="20"/>
                <w:szCs w:val="20"/>
              </w:rPr>
              <w:t xml:space="preserve">text</w:t>
            </w:r>
          </w:p>
        </w:tc>
        <w:tc>
          <w:tcPr>
            <w:tcW w:type="dxa" w:w="9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jc w:val="left"/>
            </w:pPr>
            <w:r>
              <w:rPr>
                <w:b w:val="false"/>
                <w:bCs w:val="false"/>
                <w:color w:val="000000"/>
                <w:sz w:val="20"/>
                <w:szCs w:val="20"/>
              </w:rPr>
              <w:t xml:space="preserve">PK</w:t>
            </w:r>
          </w:p>
        </w:tc>
        <w:tc>
          <w:tcPr>
            <w:tcW w:type="dxa" w:w="3426"/>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jc w:val="left"/>
            </w:pPr>
            <w:r>
              <w:rPr>
                <w:b w:val="false"/>
                <w:bCs w:val="false"/>
                <w:color w:val="000000"/>
                <w:sz w:val="20"/>
                <w:szCs w:val="20"/>
              </w:rPr>
              <w:t xml:space="preserve">EUA | VCM | TR-ETS</w:t>
            </w:r>
          </w:p>
        </w:tc>
      </w:tr>
      <w:tr>
        <w:trPr>
          <w:tblHeader w:val="false"/>
        </w:trPr>
        <w:tc>
          <w:tcPr>
            <w:tcW w:type="dxa" w:w="17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jc w:val="left"/>
            </w:pPr>
            <w:r>
              <w:rPr>
                <w:b w:val="false"/>
                <w:bCs w:val="false"/>
                <w:color w:val="000000"/>
                <w:sz w:val="20"/>
                <w:szCs w:val="20"/>
              </w:rPr>
              <w:t xml:space="preserve">(live in prototype)</w:t>
            </w:r>
          </w:p>
        </w:tc>
        <w:tc>
          <w:tcPr>
            <w:tcW w:type="dxa" w:w="17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jc w:val="left"/>
            </w:pPr>
            <w:r>
              <w:rPr>
                <w:b w:val="false"/>
                <w:bCs w:val="false"/>
                <w:color w:val="000000"/>
                <w:sz w:val="20"/>
                <w:szCs w:val="20"/>
              </w:rPr>
              <w:t xml:space="preserve">price / currency / change_pct</w:t>
            </w:r>
          </w:p>
        </w:tc>
        <w:tc>
          <w:tcPr>
            <w:tcW w:type="dxa" w:w="13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jc w:val="left"/>
            </w:pPr>
            <w:r>
              <w:rPr>
                <w:b w:val="false"/>
                <w:bCs w:val="false"/>
                <w:color w:val="000000"/>
                <w:sz w:val="20"/>
                <w:szCs w:val="20"/>
              </w:rPr>
              <w:t xml:space="preserve">numeric</w:t>
            </w:r>
          </w:p>
        </w:tc>
        <w:tc>
          <w:tcPr>
            <w:tcW w:type="dxa" w:w="9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jc w:val="left"/>
            </w:pPr>
            <w:r>
              <w:rPr>
                <w:b w:val="false"/>
                <w:bCs w:val="false"/>
                <w:color w:val="000000"/>
                <w:sz w:val="20"/>
                <w:szCs w:val="20"/>
              </w:rPr>
              <w:t xml:space="preserve"/>
            </w:r>
          </w:p>
        </w:tc>
        <w:tc>
          <w:tcPr>
            <w:tcW w:type="dxa" w:w="3426"/>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jc w:val="left"/>
            </w:pPr>
            <w:r>
              <w:rPr>
                <w:b w:val="false"/>
                <w:bCs w:val="false"/>
                <w:color w:val="000000"/>
                <w:sz w:val="20"/>
                <w:szCs w:val="20"/>
              </w:rPr>
              <w:t xml:space="preserve">Latest price, currency, daily change</w:t>
            </w:r>
          </w:p>
        </w:tc>
      </w:tr>
    </w:tbl>
    <w:p>
      <w:pPr>
        <w:spacing w:after="180" w:before="60"/>
        <w:jc w:val="center"/>
      </w:pPr>
      <w:r>
        <w:rPr>
          <w:i/>
          <w:iCs/>
          <w:color w:val="555555"/>
          <w:sz w:val="20"/>
          <w:szCs w:val="20"/>
        </w:rPr>
        <w:t xml:space="preserve">Table 4. Data dictionary of the CarbonConsulting database.</w:t>
      </w:r>
    </w:p>
    <w:p>
      <w:pPr>
        <w:spacing w:after="140" w:before="0" w:line="276"/>
        <w:jc w:val="both"/>
      </w:pPr>
      <w:r>
        <w:t xml:space="preserve">Live table definition (executed in the prototype): certificate_prices(id text PK, name text, price numeric, currency text, change_pct numeric, unit text, updated_at timestamptz). Row-level security is enabled with a public read policy so the static front-end can read prices safely with a publishable key.</w:t>
      </w:r>
    </w:p>
    <w:p>
      <w:pPr>
        <w:pStyle w:val="Heading2"/>
        <w:spacing w:after="120" w:before="220"/>
      </w:pPr>
      <w:r>
        <w:t xml:space="preserve">3.4 Program / Application Design</w:t>
      </w:r>
    </w:p>
    <w:p>
      <w:pPr>
        <w:spacing w:after="140" w:before="0" w:line="276"/>
        <w:jc w:val="both"/>
      </w:pPr>
      <w:r>
        <w:t xml:space="preserve">The application realises the use cases of Figure 4 as five front-end modules mapped to the process hierarchy: (1) Sector &amp; Data Input, (2) Emission Calculation, (3) Certificate &amp; Cost Analysis, (4) Reporting &amp; Output, and (5) Data Administration. Module 1 renders a sector-specific input form (five distinct field sets). Module 2 runs the deterministic engine. Module 3 derives the certificate need and the two cost scenarios. Module 4 displays results and is the hook for report export. Module 5 is the administrator surface for factors, prices and accounts. A neighbouring/environmental system that must be integrated in full implementation is the official EU CBAM reporting interface (for quarterly XML submission) and an authentication provider for the role model.</w:t>
      </w:r>
    </w:p>
    <w:p>
      <w:pPr>
        <w:pStyle w:val="Heading2"/>
        <w:spacing w:after="120" w:before="220"/>
      </w:pPr>
      <w:r>
        <w:t xml:space="preserve">3.5 Output Design — Screens, Queries and Reports</w:t>
      </w:r>
    </w:p>
    <w:p>
      <w:pPr>
        <w:spacing w:after="140" w:before="0" w:line="276"/>
        <w:jc w:val="both"/>
      </w:pPr>
      <w:r>
        <w:t xml:space="preserve">Input interface. The calculator presents a three-step input: sector selection, sector-specific production data, and EU export ratio, with client-side validation.</w:t>
      </w:r>
    </w:p>
    <w:p>
      <w:pPr>
        <w:spacing w:after="40" w:before="120"/>
        <w:jc w:val="center"/>
      </w:pPr>
      <w:r>
        <w:drawing>
          <wp:inline distT="0" distB="0" distL="0" distR="0">
            <wp:extent cx="5334000" cy="4352925"/>
            <wp:effectExtent t="0" r="0" b="0" l="0"/>
            <wp:docPr id="1" name="input_mockup.png" descr="Figure 7. Input interface — carbon calculation form." title="Figure 7. Input interface — carbon calculation fo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334000" cy="4352925"/>
                    </a:xfrm>
                    <a:prstGeom prst="rect">
                      <a:avLst/>
                    </a:prstGeom>
                  </pic:spPr>
                </pic:pic>
              </a:graphicData>
            </a:graphic>
          </wp:inline>
        </w:drawing>
      </w:r>
    </w:p>
    <w:p>
      <w:pPr>
        <w:spacing w:after="180"/>
        <w:jc w:val="center"/>
      </w:pPr>
      <w:r>
        <w:rPr>
          <w:i/>
          <w:iCs/>
          <w:color w:val="555555"/>
          <w:sz w:val="20"/>
          <w:szCs w:val="20"/>
        </w:rPr>
        <w:t xml:space="preserve">Figure 7. Input interface — carbon calculation form.</w:t>
      </w:r>
    </w:p>
    <w:p>
      <w:pPr>
        <w:spacing w:after="140" w:before="0" w:line="276"/>
        <w:jc w:val="both"/>
      </w:pPr>
      <w:r>
        <w:t xml:space="preserve">Output interface. On submission the result panel shows total emission, the CBAM certificate need, and the two cost scenarios. The worked example uses steel (BF/BOF, 500,000 t, 25% scrap, 35% EU export): Emission = 500,000 × 1.530 × 0.925 = 707,625 tCO₂e; certificate need = 707,625 × 0.35 = 247,669; Scenario 1 = € 20,420,288; Scenario 2 = € 26,511,088.</w:t>
      </w:r>
    </w:p>
    <w:p>
      <w:pPr>
        <w:spacing w:after="40" w:before="120"/>
        <w:jc w:val="center"/>
      </w:pPr>
      <w:r>
        <w:drawing>
          <wp:inline distT="0" distB="0" distL="0" distR="0">
            <wp:extent cx="5334000" cy="4143375"/>
            <wp:effectExtent t="0" r="0" b="0" l="0"/>
            <wp:docPr id="1" name="output_mockup.png" descr="Figure 8. Output interface — result and cost report panel." title="Figure 8. Output interface — result and cost report pan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334000" cy="4143375"/>
                    </a:xfrm>
                    <a:prstGeom prst="rect">
                      <a:avLst/>
                    </a:prstGeom>
                  </pic:spPr>
                </pic:pic>
              </a:graphicData>
            </a:graphic>
          </wp:inline>
        </w:drawing>
      </w:r>
    </w:p>
    <w:p>
      <w:pPr>
        <w:spacing w:after="180"/>
        <w:jc w:val="center"/>
      </w:pPr>
      <w:r>
        <w:rPr>
          <w:i/>
          <w:iCs/>
          <w:color w:val="555555"/>
          <w:sz w:val="20"/>
          <w:szCs w:val="20"/>
        </w:rPr>
        <w:t xml:space="preserve">Figure 8. Output interface — result and cost report panel.</w:t>
      </w:r>
    </w:p>
    <w:p>
      <w:pPr>
        <w:spacing w:after="140" w:before="0" w:line="276"/>
        <w:jc w:val="both"/>
      </w:pPr>
      <w:r>
        <w:t xml:space="preserve">Screen list: Home (live price summary), Sectors (5 sector profiles), Certificates (EU ETS / TR-ETS / VCM with price chart), Calculator (input + result), Green Finance (information). Reports designed for export: CBAM Quarterly (PDF + XML), ISO 14064-1 inventory, CSRD/TSRS and CDP summaries.</w:t>
      </w:r>
    </w:p>
    <w:p>
      <w:pPr>
        <w:spacing w:after="140" w:before="0" w:line="276"/>
        <w:jc w:val="both"/>
      </w:pPr>
      <w:r>
        <w:t xml:space="preserve">Example SQL queries the database supports (Output / query design):</w:t>
      </w:r>
    </w:p>
    <w:p>
      <w:pPr>
        <w:pStyle w:val="ListParagraph"/>
        <w:numPr>
          <w:ilvl w:val="0"/>
          <w:numId w:val="2"/>
        </w:numPr>
        <w:spacing w:after="60" w:line="276"/>
      </w:pPr>
      <w:r>
        <w:t xml:space="preserve">Latest prices: SELECT id, price, currency, change_pct FROM certificate_prices;</w:t>
      </w:r>
    </w:p>
    <w:p>
      <w:pPr>
        <w:pStyle w:val="ListParagraph"/>
        <w:numPr>
          <w:ilvl w:val="0"/>
          <w:numId w:val="2"/>
        </w:numPr>
        <w:spacing w:after="60" w:line="276"/>
      </w:pPr>
      <w:r>
        <w:t xml:space="preserve">Company history: SELECT created_at, emission_total, cost_eua FROM calculation WHERE company_id = $1 ORDER BY created_at DESC;</w:t>
      </w:r>
    </w:p>
    <w:p>
      <w:pPr>
        <w:pStyle w:val="ListParagraph"/>
        <w:numPr>
          <w:ilvl w:val="0"/>
          <w:numId w:val="2"/>
        </w:numPr>
        <w:spacing w:after="60" w:line="276"/>
      </w:pPr>
      <w:r>
        <w:t xml:space="preserve">Top emitters by sector: SELECT sector_id, SUM(emission_total) AS total FROM calculation GROUP BY sector_id ORDER BY total DESC;</w:t>
      </w:r>
    </w:p>
    <w:p>
      <w:pPr>
        <w:pStyle w:val="ListParagraph"/>
        <w:numPr>
          <w:ilvl w:val="0"/>
          <w:numId w:val="2"/>
        </w:numPr>
        <w:spacing w:after="60" w:line="276"/>
      </w:pPr>
      <w:r>
        <w:t xml:space="preserve">Average certificate need per sector: SELECT sector_id, AVG(certificate_need) FROM calculation GROUP BY sector_id;</w:t>
      </w:r>
    </w:p>
    <w:p>
      <w:pPr>
        <w:pStyle w:val="Heading2"/>
        <w:spacing w:after="120" w:before="220"/>
      </w:pPr>
      <w:r>
        <w:t xml:space="preserve">3.6 Test Design / Testing Plan</w:t>
      </w:r>
    </w:p>
    <w:p>
      <w:pPr>
        <w:spacing w:after="140" w:before="0" w:line="276"/>
        <w:jc w:val="both"/>
      </w:pPr>
      <w:r>
        <w:t xml:space="preserve">A test plan combining functional, data-integration and usability tests was defined and partly executed on the prototype. Each calculation case verifies the engine output against a hand-computed expected value.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00"/>
        <w:gridCol w:w="1750"/>
        <w:gridCol w:w="2700"/>
        <w:gridCol w:w="1900"/>
        <w:gridCol w:w="1576"/>
      </w:tblGrid>
      <w:tr>
        <w:trPr>
          <w:tblHeader/>
        </w:trPr>
        <w:tc>
          <w:tcPr>
            <w:tcW w:type="dxa" w:w="1100"/>
            <w:tcBorders>
              <w:top w:val="single" w:color="BBBBBB" w:sz="1"/>
              <w:left w:val="single" w:color="BBBBBB" w:sz="1"/>
              <w:bottom w:val="single" w:color="BBBBBB" w:sz="1"/>
              <w:right w:val="single" w:color="BBBBBB" w:sz="1"/>
            </w:tcBorders>
            <w:shd w:fill="1E293B" w:color="auto" w:val="clear"/>
            <w:tcMar>
              <w:top w:type="dxa" w:w="60"/>
              <w:left w:type="dxa" w:w="110"/>
              <w:bottom w:type="dxa" w:w="60"/>
              <w:right w:type="dxa" w:w="110"/>
            </w:tcMar>
            <w:vAlign w:val="center"/>
          </w:tcPr>
          <w:p>
            <w:pPr>
              <w:spacing w:after="0" w:line="252"/>
              <w:jc w:val="left"/>
            </w:pPr>
            <w:r>
              <w:rPr>
                <w:b/>
                <w:bCs/>
                <w:color w:val="FFFFFF"/>
                <w:sz w:val="20"/>
                <w:szCs w:val="20"/>
              </w:rPr>
              <w:t xml:space="preserve">Test ID</w:t>
            </w:r>
          </w:p>
        </w:tc>
        <w:tc>
          <w:tcPr>
            <w:tcW w:type="dxa" w:w="1750"/>
            <w:tcBorders>
              <w:top w:val="single" w:color="BBBBBB" w:sz="1"/>
              <w:left w:val="single" w:color="BBBBBB" w:sz="1"/>
              <w:bottom w:val="single" w:color="BBBBBB" w:sz="1"/>
              <w:right w:val="single" w:color="BBBBBB" w:sz="1"/>
            </w:tcBorders>
            <w:shd w:fill="1E293B" w:color="auto" w:val="clear"/>
            <w:tcMar>
              <w:top w:type="dxa" w:w="60"/>
              <w:left w:type="dxa" w:w="110"/>
              <w:bottom w:type="dxa" w:w="60"/>
              <w:right w:type="dxa" w:w="110"/>
            </w:tcMar>
            <w:vAlign w:val="center"/>
          </w:tcPr>
          <w:p>
            <w:pPr>
              <w:spacing w:after="0" w:line="252"/>
              <w:jc w:val="left"/>
            </w:pPr>
            <w:r>
              <w:rPr>
                <w:b/>
                <w:bCs/>
                <w:color w:val="FFFFFF"/>
                <w:sz w:val="20"/>
                <w:szCs w:val="20"/>
              </w:rPr>
              <w:t xml:space="preserve">Type</w:t>
            </w:r>
          </w:p>
        </w:tc>
        <w:tc>
          <w:tcPr>
            <w:tcW w:type="dxa" w:w="2700"/>
            <w:tcBorders>
              <w:top w:val="single" w:color="BBBBBB" w:sz="1"/>
              <w:left w:val="single" w:color="BBBBBB" w:sz="1"/>
              <w:bottom w:val="single" w:color="BBBBBB" w:sz="1"/>
              <w:right w:val="single" w:color="BBBBBB" w:sz="1"/>
            </w:tcBorders>
            <w:shd w:fill="1E293B" w:color="auto" w:val="clear"/>
            <w:tcMar>
              <w:top w:type="dxa" w:w="60"/>
              <w:left w:type="dxa" w:w="110"/>
              <w:bottom w:type="dxa" w:w="60"/>
              <w:right w:type="dxa" w:w="110"/>
            </w:tcMar>
            <w:vAlign w:val="center"/>
          </w:tcPr>
          <w:p>
            <w:pPr>
              <w:spacing w:after="0" w:line="252"/>
              <w:jc w:val="left"/>
            </w:pPr>
            <w:r>
              <w:rPr>
                <w:b/>
                <w:bCs/>
                <w:color w:val="FFFFFF"/>
                <w:sz w:val="20"/>
                <w:szCs w:val="20"/>
              </w:rPr>
              <w:t xml:space="preserve">Scenario</w:t>
            </w:r>
          </w:p>
        </w:tc>
        <w:tc>
          <w:tcPr>
            <w:tcW w:type="dxa" w:w="1900"/>
            <w:tcBorders>
              <w:top w:val="single" w:color="BBBBBB" w:sz="1"/>
              <w:left w:val="single" w:color="BBBBBB" w:sz="1"/>
              <w:bottom w:val="single" w:color="BBBBBB" w:sz="1"/>
              <w:right w:val="single" w:color="BBBBBB" w:sz="1"/>
            </w:tcBorders>
            <w:shd w:fill="1E293B" w:color="auto" w:val="clear"/>
            <w:tcMar>
              <w:top w:type="dxa" w:w="60"/>
              <w:left w:type="dxa" w:w="110"/>
              <w:bottom w:type="dxa" w:w="60"/>
              <w:right w:type="dxa" w:w="110"/>
            </w:tcMar>
            <w:vAlign w:val="center"/>
          </w:tcPr>
          <w:p>
            <w:pPr>
              <w:spacing w:after="0" w:line="252"/>
              <w:jc w:val="left"/>
            </w:pPr>
            <w:r>
              <w:rPr>
                <w:b/>
                <w:bCs/>
                <w:color w:val="FFFFFF"/>
                <w:sz w:val="20"/>
                <w:szCs w:val="20"/>
              </w:rPr>
              <w:t xml:space="preserve">Expected</w:t>
            </w:r>
          </w:p>
        </w:tc>
        <w:tc>
          <w:tcPr>
            <w:tcW w:type="dxa" w:w="1576"/>
            <w:tcBorders>
              <w:top w:val="single" w:color="BBBBBB" w:sz="1"/>
              <w:left w:val="single" w:color="BBBBBB" w:sz="1"/>
              <w:bottom w:val="single" w:color="BBBBBB" w:sz="1"/>
              <w:right w:val="single" w:color="BBBBBB" w:sz="1"/>
            </w:tcBorders>
            <w:shd w:fill="1E293B" w:color="auto" w:val="clear"/>
            <w:tcMar>
              <w:top w:type="dxa" w:w="60"/>
              <w:left w:type="dxa" w:w="110"/>
              <w:bottom w:type="dxa" w:w="60"/>
              <w:right w:type="dxa" w:w="110"/>
            </w:tcMar>
            <w:vAlign w:val="center"/>
          </w:tcPr>
          <w:p>
            <w:pPr>
              <w:spacing w:after="0" w:line="252"/>
              <w:jc w:val="left"/>
            </w:pPr>
            <w:r>
              <w:rPr>
                <w:b/>
                <w:bCs/>
                <w:color w:val="FFFFFF"/>
                <w:sz w:val="20"/>
                <w:szCs w:val="20"/>
              </w:rPr>
              <w:t xml:space="preserve">Result</w:t>
            </w:r>
          </w:p>
        </w:tc>
      </w:tr>
      <w:tr>
        <w:trPr>
          <w:tblHeader w:val="false"/>
        </w:trPr>
        <w:tc>
          <w:tcPr>
            <w:tcW w:type="dxa" w:w="11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jc w:val="left"/>
            </w:pPr>
            <w:r>
              <w:rPr>
                <w:b w:val="false"/>
                <w:bCs w:val="false"/>
                <w:color w:val="000000"/>
                <w:sz w:val="20"/>
                <w:szCs w:val="20"/>
              </w:rPr>
              <w:t xml:space="preserve">T-01</w:t>
            </w:r>
          </w:p>
        </w:tc>
        <w:tc>
          <w:tcPr>
            <w:tcW w:type="dxa" w:w="175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jc w:val="left"/>
            </w:pPr>
            <w:r>
              <w:rPr>
                <w:b w:val="false"/>
                <w:bCs w:val="false"/>
                <w:color w:val="000000"/>
                <w:sz w:val="20"/>
                <w:szCs w:val="20"/>
              </w:rPr>
              <w:t xml:space="preserve">Functional</w:t>
            </w:r>
          </w:p>
        </w:tc>
        <w:tc>
          <w:tcPr>
            <w:tcW w:type="dxa" w:w="27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jc w:val="left"/>
            </w:pPr>
            <w:r>
              <w:rPr>
                <w:b w:val="false"/>
                <w:bCs w:val="false"/>
                <w:color w:val="000000"/>
                <w:sz w:val="20"/>
                <w:szCs w:val="20"/>
              </w:rPr>
              <w:t xml:space="preserve">Steel BF/BOF, 100k t, scrap 50%, export 100%</w:t>
            </w:r>
          </w:p>
        </w:tc>
        <w:tc>
          <w:tcPr>
            <w:tcW w:type="dxa" w:w="19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jc w:val="left"/>
            </w:pPr>
            <w:r>
              <w:rPr>
                <w:b w:val="false"/>
                <w:bCs w:val="false"/>
                <w:color w:val="000000"/>
                <w:sz w:val="20"/>
                <w:szCs w:val="20"/>
              </w:rPr>
              <w:t xml:space="preserve">130,050 tCO₂e</w:t>
            </w:r>
          </w:p>
        </w:tc>
        <w:tc>
          <w:tcPr>
            <w:tcW w:type="dxa" w:w="1576"/>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jc w:val="left"/>
            </w:pPr>
            <w:r>
              <w:rPr>
                <w:b w:val="false"/>
                <w:bCs w:val="false"/>
                <w:color w:val="000000"/>
                <w:sz w:val="20"/>
                <w:szCs w:val="20"/>
              </w:rPr>
              <w:t xml:space="preserve">Pass</w:t>
            </w:r>
          </w:p>
        </w:tc>
      </w:tr>
      <w:tr>
        <w:trPr>
          <w:tblHeader w:val="false"/>
        </w:trPr>
        <w:tc>
          <w:tcPr>
            <w:tcW w:type="dxa" w:w="11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jc w:val="left"/>
            </w:pPr>
            <w:r>
              <w:rPr>
                <w:b w:val="false"/>
                <w:bCs w:val="false"/>
                <w:color w:val="000000"/>
                <w:sz w:val="20"/>
                <w:szCs w:val="20"/>
              </w:rPr>
              <w:t xml:space="preserve">T-02</w:t>
            </w:r>
          </w:p>
        </w:tc>
        <w:tc>
          <w:tcPr>
            <w:tcW w:type="dxa" w:w="175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jc w:val="left"/>
            </w:pPr>
            <w:r>
              <w:rPr>
                <w:b w:val="false"/>
                <w:bCs w:val="false"/>
                <w:color w:val="000000"/>
                <w:sz w:val="20"/>
                <w:szCs w:val="20"/>
              </w:rPr>
              <w:t xml:space="preserve">Functional</w:t>
            </w:r>
          </w:p>
        </w:tc>
        <w:tc>
          <w:tcPr>
            <w:tcW w:type="dxa" w:w="27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jc w:val="left"/>
            </w:pPr>
            <w:r>
              <w:rPr>
                <w:b w:val="false"/>
                <w:bCs w:val="false"/>
                <w:color w:val="000000"/>
                <w:sz w:val="20"/>
                <w:szCs w:val="20"/>
              </w:rPr>
              <w:t xml:space="preserve">Steel Scrap-EAF + forced scrap 50% (double-count guard)</w:t>
            </w:r>
          </w:p>
        </w:tc>
        <w:tc>
          <w:tcPr>
            <w:tcW w:type="dxa" w:w="19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jc w:val="left"/>
            </w:pPr>
            <w:r>
              <w:rPr>
                <w:b w:val="false"/>
                <w:bCs w:val="false"/>
                <w:color w:val="000000"/>
                <w:sz w:val="20"/>
                <w:szCs w:val="20"/>
              </w:rPr>
              <w:t xml:space="preserve">37,000 tCO₂e (no extra discount)</w:t>
            </w:r>
          </w:p>
        </w:tc>
        <w:tc>
          <w:tcPr>
            <w:tcW w:type="dxa" w:w="1576"/>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jc w:val="left"/>
            </w:pPr>
            <w:r>
              <w:rPr>
                <w:b w:val="false"/>
                <w:bCs w:val="false"/>
                <w:color w:val="000000"/>
                <w:sz w:val="20"/>
                <w:szCs w:val="20"/>
              </w:rPr>
              <w:t xml:space="preserve">Pass</w:t>
            </w:r>
          </w:p>
        </w:tc>
      </w:tr>
      <w:tr>
        <w:trPr>
          <w:tblHeader w:val="false"/>
        </w:trPr>
        <w:tc>
          <w:tcPr>
            <w:tcW w:type="dxa" w:w="11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jc w:val="left"/>
            </w:pPr>
            <w:r>
              <w:rPr>
                <w:b w:val="false"/>
                <w:bCs w:val="false"/>
                <w:color w:val="000000"/>
                <w:sz w:val="20"/>
                <w:szCs w:val="20"/>
              </w:rPr>
              <w:t xml:space="preserve">T-03</w:t>
            </w:r>
          </w:p>
        </w:tc>
        <w:tc>
          <w:tcPr>
            <w:tcW w:type="dxa" w:w="175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jc w:val="left"/>
            </w:pPr>
            <w:r>
              <w:rPr>
                <w:b w:val="false"/>
                <w:bCs w:val="false"/>
                <w:color w:val="000000"/>
                <w:sz w:val="20"/>
                <w:szCs w:val="20"/>
              </w:rPr>
              <w:t xml:space="preserve">Integration</w:t>
            </w:r>
          </w:p>
        </w:tc>
        <w:tc>
          <w:tcPr>
            <w:tcW w:type="dxa" w:w="27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jc w:val="left"/>
            </w:pPr>
            <w:r>
              <w:rPr>
                <w:b w:val="false"/>
                <w:bCs w:val="false"/>
                <w:color w:val="000000"/>
                <w:sz w:val="20"/>
                <w:szCs w:val="20"/>
              </w:rPr>
              <w:t xml:space="preserve">Live price fetch from Supabase</w:t>
            </w:r>
          </w:p>
        </w:tc>
        <w:tc>
          <w:tcPr>
            <w:tcW w:type="dxa" w:w="19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jc w:val="left"/>
            </w:pPr>
            <w:r>
              <w:rPr>
                <w:b w:val="false"/>
                <w:bCs w:val="false"/>
                <w:color w:val="000000"/>
                <w:sz w:val="20"/>
                <w:szCs w:val="20"/>
              </w:rPr>
              <w:t xml:space="preserve">Prices loaded; TR-ETS row present</w:t>
            </w:r>
          </w:p>
        </w:tc>
        <w:tc>
          <w:tcPr>
            <w:tcW w:type="dxa" w:w="1576"/>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jc w:val="left"/>
            </w:pPr>
            <w:r>
              <w:rPr>
                <w:b w:val="false"/>
                <w:bCs w:val="false"/>
                <w:color w:val="000000"/>
                <w:sz w:val="20"/>
                <w:szCs w:val="20"/>
              </w:rPr>
              <w:t xml:space="preserve">Pass</w:t>
            </w:r>
          </w:p>
        </w:tc>
      </w:tr>
      <w:tr>
        <w:trPr>
          <w:tblHeader w:val="false"/>
        </w:trPr>
        <w:tc>
          <w:tcPr>
            <w:tcW w:type="dxa" w:w="11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jc w:val="left"/>
            </w:pPr>
            <w:r>
              <w:rPr>
                <w:b w:val="false"/>
                <w:bCs w:val="false"/>
                <w:color w:val="000000"/>
                <w:sz w:val="20"/>
                <w:szCs w:val="20"/>
              </w:rPr>
              <w:t xml:space="preserve">T-04</w:t>
            </w:r>
          </w:p>
        </w:tc>
        <w:tc>
          <w:tcPr>
            <w:tcW w:type="dxa" w:w="175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jc w:val="left"/>
            </w:pPr>
            <w:r>
              <w:rPr>
                <w:b w:val="false"/>
                <w:bCs w:val="false"/>
                <w:color w:val="000000"/>
                <w:sz w:val="20"/>
                <w:szCs w:val="20"/>
              </w:rPr>
              <w:t xml:space="preserve">Integration</w:t>
            </w:r>
          </w:p>
        </w:tc>
        <w:tc>
          <w:tcPr>
            <w:tcW w:type="dxa" w:w="27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jc w:val="left"/>
            </w:pPr>
            <w:r>
              <w:rPr>
                <w:b w:val="false"/>
                <w:bCs w:val="false"/>
                <w:color w:val="000000"/>
                <w:sz w:val="20"/>
                <w:szCs w:val="20"/>
              </w:rPr>
              <w:t xml:space="preserve">Engine uses live EUA price (set to 200)</w:t>
            </w:r>
          </w:p>
        </w:tc>
        <w:tc>
          <w:tcPr>
            <w:tcW w:type="dxa" w:w="19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jc w:val="left"/>
            </w:pPr>
            <w:r>
              <w:rPr>
                <w:b w:val="false"/>
                <w:bCs w:val="false"/>
                <w:color w:val="000000"/>
                <w:sz w:val="20"/>
                <w:szCs w:val="20"/>
              </w:rPr>
              <w:t xml:space="preserve">Cost = 37,000 × 200 = € 7,400,000</w:t>
            </w:r>
          </w:p>
        </w:tc>
        <w:tc>
          <w:tcPr>
            <w:tcW w:type="dxa" w:w="1576"/>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jc w:val="left"/>
            </w:pPr>
            <w:r>
              <w:rPr>
                <w:b w:val="false"/>
                <w:bCs w:val="false"/>
                <w:color w:val="000000"/>
                <w:sz w:val="20"/>
                <w:szCs w:val="20"/>
              </w:rPr>
              <w:t xml:space="preserve">Pass</w:t>
            </w:r>
          </w:p>
        </w:tc>
      </w:tr>
      <w:tr>
        <w:trPr>
          <w:tblHeader w:val="false"/>
        </w:trPr>
        <w:tc>
          <w:tcPr>
            <w:tcW w:type="dxa" w:w="11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jc w:val="left"/>
            </w:pPr>
            <w:r>
              <w:rPr>
                <w:b w:val="false"/>
                <w:bCs w:val="false"/>
                <w:color w:val="000000"/>
                <w:sz w:val="20"/>
                <w:szCs w:val="20"/>
              </w:rPr>
              <w:t xml:space="preserve">T-05</w:t>
            </w:r>
          </w:p>
        </w:tc>
        <w:tc>
          <w:tcPr>
            <w:tcW w:type="dxa" w:w="175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jc w:val="left"/>
            </w:pPr>
            <w:r>
              <w:rPr>
                <w:b w:val="false"/>
                <w:bCs w:val="false"/>
                <w:color w:val="000000"/>
                <w:sz w:val="20"/>
                <w:szCs w:val="20"/>
              </w:rPr>
              <w:t xml:space="preserve">Resilience</w:t>
            </w:r>
          </w:p>
        </w:tc>
        <w:tc>
          <w:tcPr>
            <w:tcW w:type="dxa" w:w="27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jc w:val="left"/>
            </w:pPr>
            <w:r>
              <w:rPr>
                <w:b w:val="false"/>
                <w:bCs w:val="false"/>
                <w:color w:val="000000"/>
                <w:sz w:val="20"/>
                <w:szCs w:val="20"/>
              </w:rPr>
              <w:t xml:space="preserve">Data source unavailable</w:t>
            </w:r>
          </w:p>
        </w:tc>
        <w:tc>
          <w:tcPr>
            <w:tcW w:type="dxa" w:w="19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jc w:val="left"/>
            </w:pPr>
            <w:r>
              <w:rPr>
                <w:b w:val="false"/>
                <w:bCs w:val="false"/>
                <w:color w:val="000000"/>
                <w:sz w:val="20"/>
                <w:szCs w:val="20"/>
              </w:rPr>
              <w:t xml:space="preserve">Falls back to static prices; no break</w:t>
            </w:r>
          </w:p>
        </w:tc>
        <w:tc>
          <w:tcPr>
            <w:tcW w:type="dxa" w:w="1576"/>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jc w:val="left"/>
            </w:pPr>
            <w:r>
              <w:rPr>
                <w:b w:val="false"/>
                <w:bCs w:val="false"/>
                <w:color w:val="000000"/>
                <w:sz w:val="20"/>
                <w:szCs w:val="20"/>
              </w:rPr>
              <w:t xml:space="preserve">Pass</w:t>
            </w:r>
          </w:p>
        </w:tc>
      </w:tr>
      <w:tr>
        <w:trPr>
          <w:tblHeader w:val="false"/>
        </w:trPr>
        <w:tc>
          <w:tcPr>
            <w:tcW w:type="dxa" w:w="11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jc w:val="left"/>
            </w:pPr>
            <w:r>
              <w:rPr>
                <w:b w:val="false"/>
                <w:bCs w:val="false"/>
                <w:color w:val="000000"/>
                <w:sz w:val="20"/>
                <w:szCs w:val="20"/>
              </w:rPr>
              <w:t xml:space="preserve">T-06</w:t>
            </w:r>
          </w:p>
        </w:tc>
        <w:tc>
          <w:tcPr>
            <w:tcW w:type="dxa" w:w="175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jc w:val="left"/>
            </w:pPr>
            <w:r>
              <w:rPr>
                <w:b w:val="false"/>
                <w:bCs w:val="false"/>
                <w:color w:val="000000"/>
                <w:sz w:val="20"/>
                <w:szCs w:val="20"/>
              </w:rPr>
              <w:t xml:space="preserve">Usability</w:t>
            </w:r>
          </w:p>
        </w:tc>
        <w:tc>
          <w:tcPr>
            <w:tcW w:type="dxa" w:w="27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jc w:val="left"/>
            </w:pPr>
            <w:r>
              <w:rPr>
                <w:b w:val="false"/>
                <w:bCs w:val="false"/>
                <w:color w:val="000000"/>
                <w:sz w:val="20"/>
                <w:szCs w:val="20"/>
              </w:rPr>
              <w:t xml:space="preserve">Scrap field disabled for Scrap-EAF</w:t>
            </w:r>
          </w:p>
        </w:tc>
        <w:tc>
          <w:tcPr>
            <w:tcW w:type="dxa" w:w="19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jc w:val="left"/>
            </w:pPr>
            <w:r>
              <w:rPr>
                <w:b w:val="false"/>
                <w:bCs w:val="false"/>
                <w:color w:val="000000"/>
                <w:sz w:val="20"/>
                <w:szCs w:val="20"/>
              </w:rPr>
              <w:t xml:space="preserve">Field locked with explanatory note</w:t>
            </w:r>
          </w:p>
        </w:tc>
        <w:tc>
          <w:tcPr>
            <w:tcW w:type="dxa" w:w="1576"/>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jc w:val="left"/>
            </w:pPr>
            <w:r>
              <w:rPr>
                <w:b w:val="false"/>
                <w:bCs w:val="false"/>
                <w:color w:val="000000"/>
                <w:sz w:val="20"/>
                <w:szCs w:val="20"/>
              </w:rPr>
              <w:t xml:space="preserve">Pass</w:t>
            </w:r>
          </w:p>
        </w:tc>
      </w:tr>
    </w:tbl>
    <w:p>
      <w:pPr>
        <w:spacing w:after="180" w:before="60"/>
        <w:jc w:val="center"/>
      </w:pPr>
      <w:r>
        <w:rPr>
          <w:i/>
          <w:iCs/>
          <w:color w:val="555555"/>
          <w:sz w:val="20"/>
          <w:szCs w:val="20"/>
        </w:rPr>
        <w:t xml:space="preserve">Table 5. Testing plan and executed results on the prototype.</w:t>
      </w:r>
    </w:p>
    <w:p>
      <w:pPr>
        <w:pStyle w:val="Heading2"/>
        <w:spacing w:after="120" w:before="220"/>
      </w:pPr>
      <w:r>
        <w:t xml:space="preserve">3.7 Implementation Recommendations — Conversion Strategy</w:t>
      </w:r>
    </w:p>
    <w:p>
      <w:pPr>
        <w:spacing w:after="140" w:before="0" w:line="276"/>
        <w:jc w:val="both"/>
      </w:pPr>
      <w:r>
        <w:t xml:space="preserve">Because the system replaces a manual practice rather than a live legacy system, a low-risk conversion is feasible. The options were compared in a decision table.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3100"/>
        <w:gridCol w:w="2526"/>
        <w:gridCol w:w="1500"/>
      </w:tblGrid>
      <w:tr>
        <w:trPr>
          <w:tblHeader/>
        </w:trPr>
        <w:tc>
          <w:tcPr>
            <w:tcW w:type="dxa" w:w="1900"/>
            <w:tcBorders>
              <w:top w:val="single" w:color="BBBBBB" w:sz="1"/>
              <w:left w:val="single" w:color="BBBBBB" w:sz="1"/>
              <w:bottom w:val="single" w:color="BBBBBB" w:sz="1"/>
              <w:right w:val="single" w:color="BBBBBB" w:sz="1"/>
            </w:tcBorders>
            <w:shd w:fill="1E293B" w:color="auto" w:val="clear"/>
            <w:tcMar>
              <w:top w:type="dxa" w:w="60"/>
              <w:left w:type="dxa" w:w="110"/>
              <w:bottom w:type="dxa" w:w="60"/>
              <w:right w:type="dxa" w:w="110"/>
            </w:tcMar>
            <w:vAlign w:val="center"/>
          </w:tcPr>
          <w:p>
            <w:pPr>
              <w:spacing w:after="0" w:line="252"/>
              <w:jc w:val="left"/>
            </w:pPr>
            <w:r>
              <w:rPr>
                <w:b/>
                <w:bCs/>
                <w:color w:val="FFFFFF"/>
                <w:sz w:val="20"/>
                <w:szCs w:val="20"/>
              </w:rPr>
              <w:t xml:space="preserve">Strategy</w:t>
            </w:r>
          </w:p>
        </w:tc>
        <w:tc>
          <w:tcPr>
            <w:tcW w:type="dxa" w:w="3100"/>
            <w:tcBorders>
              <w:top w:val="single" w:color="BBBBBB" w:sz="1"/>
              <w:left w:val="single" w:color="BBBBBB" w:sz="1"/>
              <w:bottom w:val="single" w:color="BBBBBB" w:sz="1"/>
              <w:right w:val="single" w:color="BBBBBB" w:sz="1"/>
            </w:tcBorders>
            <w:shd w:fill="1E293B" w:color="auto" w:val="clear"/>
            <w:tcMar>
              <w:top w:type="dxa" w:w="60"/>
              <w:left w:type="dxa" w:w="110"/>
              <w:bottom w:type="dxa" w:w="60"/>
              <w:right w:type="dxa" w:w="110"/>
            </w:tcMar>
            <w:vAlign w:val="center"/>
          </w:tcPr>
          <w:p>
            <w:pPr>
              <w:spacing w:after="0" w:line="252"/>
              <w:jc w:val="left"/>
            </w:pPr>
            <w:r>
              <w:rPr>
                <w:b/>
                <w:bCs/>
                <w:color w:val="FFFFFF"/>
                <w:sz w:val="20"/>
                <w:szCs w:val="20"/>
              </w:rPr>
              <w:t xml:space="preserve">Pros</w:t>
            </w:r>
          </w:p>
        </w:tc>
        <w:tc>
          <w:tcPr>
            <w:tcW w:type="dxa" w:w="2526"/>
            <w:tcBorders>
              <w:top w:val="single" w:color="BBBBBB" w:sz="1"/>
              <w:left w:val="single" w:color="BBBBBB" w:sz="1"/>
              <w:bottom w:val="single" w:color="BBBBBB" w:sz="1"/>
              <w:right w:val="single" w:color="BBBBBB" w:sz="1"/>
            </w:tcBorders>
            <w:shd w:fill="1E293B" w:color="auto" w:val="clear"/>
            <w:tcMar>
              <w:top w:type="dxa" w:w="60"/>
              <w:left w:type="dxa" w:w="110"/>
              <w:bottom w:type="dxa" w:w="60"/>
              <w:right w:type="dxa" w:w="110"/>
            </w:tcMar>
            <w:vAlign w:val="center"/>
          </w:tcPr>
          <w:p>
            <w:pPr>
              <w:spacing w:after="0" w:line="252"/>
              <w:jc w:val="left"/>
            </w:pPr>
            <w:r>
              <w:rPr>
                <w:b/>
                <w:bCs/>
                <w:color w:val="FFFFFF"/>
                <w:sz w:val="20"/>
                <w:szCs w:val="20"/>
              </w:rPr>
              <w:t xml:space="preserve">Cons</w:t>
            </w:r>
          </w:p>
        </w:tc>
        <w:tc>
          <w:tcPr>
            <w:tcW w:type="dxa" w:w="1500"/>
            <w:tcBorders>
              <w:top w:val="single" w:color="BBBBBB" w:sz="1"/>
              <w:left w:val="single" w:color="BBBBBB" w:sz="1"/>
              <w:bottom w:val="single" w:color="BBBBBB" w:sz="1"/>
              <w:right w:val="single" w:color="BBBBBB" w:sz="1"/>
            </w:tcBorders>
            <w:shd w:fill="1E293B" w:color="auto" w:val="clear"/>
            <w:tcMar>
              <w:top w:type="dxa" w:w="60"/>
              <w:left w:type="dxa" w:w="110"/>
              <w:bottom w:type="dxa" w:w="60"/>
              <w:right w:type="dxa" w:w="110"/>
            </w:tcMar>
            <w:vAlign w:val="center"/>
          </w:tcPr>
          <w:p>
            <w:pPr>
              <w:spacing w:after="0" w:line="252"/>
              <w:jc w:val="left"/>
            </w:pPr>
            <w:r>
              <w:rPr>
                <w:b/>
                <w:bCs/>
                <w:color w:val="FFFFFF"/>
                <w:sz w:val="20"/>
                <w:szCs w:val="20"/>
              </w:rPr>
              <w:t xml:space="preserve">Decision</w:t>
            </w:r>
          </w:p>
        </w:tc>
      </w:tr>
      <w:tr>
        <w:trPr>
          <w:tblHeader w:val="false"/>
        </w:trPr>
        <w:tc>
          <w:tcPr>
            <w:tcW w:type="dxa" w:w="19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jc w:val="left"/>
            </w:pPr>
            <w:r>
              <w:rPr>
                <w:b w:val="false"/>
                <w:bCs w:val="false"/>
                <w:color w:val="000000"/>
                <w:sz w:val="20"/>
                <w:szCs w:val="20"/>
              </w:rPr>
              <w:t xml:space="preserve">Direct</w:t>
            </w:r>
          </w:p>
        </w:tc>
        <w:tc>
          <w:tcPr>
            <w:tcW w:type="dxa" w:w="31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jc w:val="left"/>
            </w:pPr>
            <w:r>
              <w:rPr>
                <w:b w:val="false"/>
                <w:bCs w:val="false"/>
                <w:color w:val="000000"/>
                <w:sz w:val="20"/>
                <w:szCs w:val="20"/>
              </w:rPr>
              <w:t xml:space="preserve">Fast, cheap</w:t>
            </w:r>
          </w:p>
        </w:tc>
        <w:tc>
          <w:tcPr>
            <w:tcW w:type="dxa" w:w="2526"/>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jc w:val="left"/>
            </w:pPr>
            <w:r>
              <w:rPr>
                <w:b w:val="false"/>
                <w:bCs w:val="false"/>
                <w:color w:val="000000"/>
                <w:sz w:val="20"/>
                <w:szCs w:val="20"/>
              </w:rPr>
              <w:t xml:space="preserve">No fallback if errors slip through</w:t>
            </w:r>
          </w:p>
        </w:tc>
        <w:tc>
          <w:tcPr>
            <w:tcW w:type="dxa" w:w="15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jc w:val="left"/>
            </w:pPr>
            <w:r>
              <w:rPr>
                <w:b w:val="false"/>
                <w:bCs w:val="false"/>
                <w:color w:val="000000"/>
                <w:sz w:val="20"/>
                <w:szCs w:val="20"/>
              </w:rPr>
              <w:t xml:space="preserve">Rejected</w:t>
            </w:r>
          </w:p>
        </w:tc>
      </w:tr>
      <w:tr>
        <w:trPr>
          <w:tblHeader w:val="false"/>
        </w:trPr>
        <w:tc>
          <w:tcPr>
            <w:tcW w:type="dxa" w:w="19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jc w:val="left"/>
            </w:pPr>
            <w:r>
              <w:rPr>
                <w:b w:val="false"/>
                <w:bCs w:val="false"/>
                <w:color w:val="000000"/>
                <w:sz w:val="20"/>
                <w:szCs w:val="20"/>
              </w:rPr>
              <w:t xml:space="preserve">Parallel</w:t>
            </w:r>
          </w:p>
        </w:tc>
        <w:tc>
          <w:tcPr>
            <w:tcW w:type="dxa" w:w="31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jc w:val="left"/>
            </w:pPr>
            <w:r>
              <w:rPr>
                <w:b w:val="false"/>
                <w:bCs w:val="false"/>
                <w:color w:val="000000"/>
                <w:sz w:val="20"/>
                <w:szCs w:val="20"/>
              </w:rPr>
              <w:t xml:space="preserve">Safe; manual cross-check</w:t>
            </w:r>
          </w:p>
        </w:tc>
        <w:tc>
          <w:tcPr>
            <w:tcW w:type="dxa" w:w="2526"/>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jc w:val="left"/>
            </w:pPr>
            <w:r>
              <w:rPr>
                <w:b w:val="false"/>
                <w:bCs w:val="false"/>
                <w:color w:val="000000"/>
                <w:sz w:val="20"/>
                <w:szCs w:val="20"/>
              </w:rPr>
              <w:t xml:space="preserve">Double effort for a period</w:t>
            </w:r>
          </w:p>
        </w:tc>
        <w:tc>
          <w:tcPr>
            <w:tcW w:type="dxa" w:w="15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jc w:val="left"/>
            </w:pPr>
            <w:r>
              <w:rPr>
                <w:b w:val="false"/>
                <w:bCs w:val="false"/>
                <w:color w:val="000000"/>
                <w:sz w:val="20"/>
                <w:szCs w:val="20"/>
              </w:rPr>
              <w:t xml:space="preserve">Partly</w:t>
            </w:r>
          </w:p>
        </w:tc>
      </w:tr>
      <w:tr>
        <w:trPr>
          <w:tblHeader w:val="false"/>
        </w:trPr>
        <w:tc>
          <w:tcPr>
            <w:tcW w:type="dxa" w:w="19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jc w:val="left"/>
            </w:pPr>
            <w:r>
              <w:rPr>
                <w:b w:val="false"/>
                <w:bCs w:val="false"/>
                <w:color w:val="000000"/>
                <w:sz w:val="20"/>
                <w:szCs w:val="20"/>
              </w:rPr>
              <w:t xml:space="preserve">Phased</w:t>
            </w:r>
          </w:p>
        </w:tc>
        <w:tc>
          <w:tcPr>
            <w:tcW w:type="dxa" w:w="31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jc w:val="left"/>
            </w:pPr>
            <w:r>
              <w:rPr>
                <w:b w:val="false"/>
                <w:bCs w:val="false"/>
                <w:color w:val="000000"/>
                <w:sz w:val="20"/>
                <w:szCs w:val="20"/>
              </w:rPr>
              <w:t xml:space="preserve">Roll out per sector/module</w:t>
            </w:r>
          </w:p>
        </w:tc>
        <w:tc>
          <w:tcPr>
            <w:tcW w:type="dxa" w:w="2526"/>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jc w:val="left"/>
            </w:pPr>
            <w:r>
              <w:rPr>
                <w:b w:val="false"/>
                <w:bCs w:val="false"/>
                <w:color w:val="000000"/>
                <w:sz w:val="20"/>
                <w:szCs w:val="20"/>
              </w:rPr>
              <w:t xml:space="preserve">Longer total timeline</w:t>
            </w:r>
          </w:p>
        </w:tc>
        <w:tc>
          <w:tcPr>
            <w:tcW w:type="dxa" w:w="15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jc w:val="left"/>
            </w:pPr>
            <w:r>
              <w:rPr>
                <w:b w:val="false"/>
                <w:bCs w:val="false"/>
                <w:color w:val="000000"/>
                <w:sz w:val="20"/>
                <w:szCs w:val="20"/>
              </w:rPr>
              <w:t xml:space="preserve">Recommended</w:t>
            </w:r>
          </w:p>
        </w:tc>
      </w:tr>
      <w:tr>
        <w:trPr>
          <w:tblHeader w:val="false"/>
        </w:trPr>
        <w:tc>
          <w:tcPr>
            <w:tcW w:type="dxa" w:w="19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jc w:val="left"/>
            </w:pPr>
            <w:r>
              <w:rPr>
                <w:b w:val="false"/>
                <w:bCs w:val="false"/>
                <w:color w:val="000000"/>
                <w:sz w:val="20"/>
                <w:szCs w:val="20"/>
              </w:rPr>
              <w:t xml:space="preserve">Pilot</w:t>
            </w:r>
          </w:p>
        </w:tc>
        <w:tc>
          <w:tcPr>
            <w:tcW w:type="dxa" w:w="31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jc w:val="left"/>
            </w:pPr>
            <w:r>
              <w:rPr>
                <w:b w:val="false"/>
                <w:bCs w:val="false"/>
                <w:color w:val="000000"/>
                <w:sz w:val="20"/>
                <w:szCs w:val="20"/>
              </w:rPr>
              <w:t xml:space="preserve">Validate with one sector first</w:t>
            </w:r>
          </w:p>
        </w:tc>
        <w:tc>
          <w:tcPr>
            <w:tcW w:type="dxa" w:w="2526"/>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jc w:val="left"/>
            </w:pPr>
            <w:r>
              <w:rPr>
                <w:b w:val="false"/>
                <w:bCs w:val="false"/>
                <w:color w:val="000000"/>
                <w:sz w:val="20"/>
                <w:szCs w:val="20"/>
              </w:rPr>
              <w:t xml:space="preserve">Limited early coverage</w:t>
            </w:r>
          </w:p>
        </w:tc>
        <w:tc>
          <w:tcPr>
            <w:tcW w:type="dxa" w:w="15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jc w:val="left"/>
            </w:pPr>
            <w:r>
              <w:rPr>
                <w:b w:val="false"/>
                <w:bCs w:val="false"/>
                <w:color w:val="000000"/>
                <w:sz w:val="20"/>
                <w:szCs w:val="20"/>
              </w:rPr>
              <w:t xml:space="preserve">Recommended</w:t>
            </w:r>
          </w:p>
        </w:tc>
      </w:tr>
    </w:tbl>
    <w:p>
      <w:pPr>
        <w:spacing w:after="180" w:before="60"/>
        <w:jc w:val="center"/>
      </w:pPr>
      <w:r>
        <w:rPr>
          <w:i/>
          <w:iCs/>
          <w:color w:val="555555"/>
          <w:sz w:val="20"/>
          <w:szCs w:val="20"/>
        </w:rPr>
        <w:t xml:space="preserve">Table 6. Conversion strategy decision table.</w:t>
      </w:r>
    </w:p>
    <w:p>
      <w:pPr>
        <w:spacing w:after="140" w:before="0" w:line="276"/>
        <w:jc w:val="both"/>
      </w:pPr>
      <w:r>
        <w:t xml:space="preserve">Recommendation: a pilot with the steel sector (the most CBAM-exposed), run in parallel with the existing manual estimate for one quarter to validate the engine, then a phased roll-out to the remaining four sectors. Full implementation should add authenticated roles, the persisted calculation history, and integration with the EU CBAM reporting format.</w:t>
      </w:r>
    </w:p>
    <w:p>
      <w:r>
        <w:br w:type="page"/>
      </w:r>
    </w:p>
    <w:p>
      <w:pPr>
        <w:pStyle w:val="Heading1"/>
        <w:spacing w:after="160" w:before="280"/>
      </w:pPr>
      <w:r>
        <w:t xml:space="preserve">4. Conclusion and Discussion</w:t>
      </w:r>
    </w:p>
    <w:p>
      <w:pPr>
        <w:pStyle w:val="Heading2"/>
        <w:spacing w:after="120" w:before="220"/>
      </w:pPr>
      <w:r>
        <w:t xml:space="preserve">4.1 Summary</w:t>
      </w:r>
    </w:p>
    <w:p>
      <w:pPr>
        <w:spacing w:after="140" w:before="0" w:line="276"/>
        <w:jc w:val="both"/>
      </w:pPr>
      <w:r>
        <w:t xml:space="preserve">This project analysed the manual process by which Turkish exporters estimate their CBAM obligation and designed an information system to automate it. We produced a benchmark of existing tools, a context diagram, an AS-IS process analysis, an entity-relationship and use-case model, a gap analysis, and a multi-criteria decision that selected a custom web application. We then delivered a full design — process hierarchy, three-tier physical design, a six-table database with data dictionary, application and interface design, an output/query/report design, a testing plan and a conversion strategy — and demonstrated it with a deployed prototype featuring a live certificate-price database.</w:t>
      </w:r>
    </w:p>
    <w:p>
      <w:pPr>
        <w:pStyle w:val="Heading2"/>
        <w:spacing w:after="120" w:before="220"/>
      </w:pPr>
      <w:r>
        <w:t xml:space="preserve">4.2 Potential Impacts on the Organization</w:t>
      </w:r>
    </w:p>
    <w:p>
      <w:pPr>
        <w:spacing w:after="140" w:before="0" w:line="276"/>
        <w:jc w:val="both"/>
      </w:pPr>
      <w:r>
        <w:t xml:space="preserve">The system replaces inconsistent, manual estimation with a deterministic, auditable calculation, cutting turnaround from days to seconds and removing the consultant dependency for routine estimates. It standardises emission factors across staff, eliminates double-counting errors, and keeps certificate costs current via a live feed. Organisationally it shifts effort from repetitive calculation toward decision-making (procurement strategy across the two cost scenarios) and creates a reusable record that supports CBAM, ISO 14064-1 and CSRD reporting.</w:t>
      </w:r>
    </w:p>
    <w:p>
      <w:pPr>
        <w:pStyle w:val="Heading2"/>
        <w:spacing w:after="120" w:before="220"/>
      </w:pPr>
      <w:r>
        <w:t xml:space="preserve">4.3 Challenges Faced</w:t>
      </w:r>
    </w:p>
    <w:p>
      <w:pPr>
        <w:pStyle w:val="ListParagraph"/>
        <w:numPr>
          <w:ilvl w:val="0"/>
          <w:numId w:val="2"/>
        </w:numPr>
        <w:spacing w:after="60" w:line="276"/>
      </w:pPr>
      <w:r>
        <w:t xml:space="preserve">Reconciling emission-factor methodologies across five sectors and multiple standards into one consistent factor library.</w:t>
      </w:r>
    </w:p>
    <w:p>
      <w:pPr>
        <w:pStyle w:val="ListParagraph"/>
        <w:numPr>
          <w:ilvl w:val="0"/>
          <w:numId w:val="2"/>
        </w:numPr>
        <w:spacing w:after="60" w:line="276"/>
      </w:pPr>
      <w:r>
        <w:t xml:space="preserve">Modelling sector-specific subtleties correctly — notably avoiding the scrap double-discount in steel and the VCM-cannot-discharge-CBAM rule in the cost logic.</w:t>
      </w:r>
    </w:p>
    <w:p>
      <w:pPr>
        <w:pStyle w:val="ListParagraph"/>
        <w:numPr>
          <w:ilvl w:val="0"/>
          <w:numId w:val="2"/>
        </w:numPr>
        <w:spacing w:after="60" w:line="276"/>
      </w:pPr>
      <w:r>
        <w:t xml:space="preserve">Serving live data to a static site safely: using a publishable key with row-level security and a static fallback so the site never breaks.</w:t>
      </w:r>
    </w:p>
    <w:p>
      <w:pPr>
        <w:pStyle w:val="ListParagraph"/>
        <w:numPr>
          <w:ilvl w:val="0"/>
          <w:numId w:val="2"/>
        </w:numPr>
        <w:spacing w:after="60" w:line="276"/>
      </w:pPr>
      <w:r>
        <w:t xml:space="preserve">Keeping the scope realistic for an analysis-and-design course while still delivering a working, deployed demonstration.</w:t>
      </w:r>
    </w:p>
    <w:p>
      <w:pPr>
        <w:pStyle w:val="Heading2"/>
        <w:spacing w:after="120" w:before="220"/>
      </w:pPr>
      <w:r>
        <w:t xml:space="preserve">4.4 Recommendations for Further Practices</w:t>
      </w:r>
    </w:p>
    <w:p>
      <w:pPr>
        <w:spacing w:after="140" w:before="0" w:line="276"/>
        <w:jc w:val="both"/>
      </w:pPr>
      <w:r>
        <w:t xml:space="preserve">Future work should: implement authenticated user/administrator roles and persist the calculation history (the designed tables); connect emission factors and prices to live APIs on a scheduled refresh; generate the CBAM quarterly XML directly; add the TR-ETS price once the national pilot establishes one; and extend coverage as CBAM widens to additional goods. A redesign of the exporter’s internal workflow — capturing production data at source and feeding it to the system — would maximise the benefit. From a database and infrastructure standpoint, moving price ingestion server-side and adding caching would improve robustness at scale.</w:t>
      </w:r>
    </w:p>
    <w:p>
      <w:r>
        <w:br w:type="page"/>
      </w:r>
    </w:p>
    <w:p>
      <w:pPr>
        <w:pStyle w:val="Heading1"/>
        <w:spacing w:after="160" w:before="280"/>
      </w:pPr>
      <w:r>
        <w:t xml:space="preserve">References</w:t>
      </w:r>
    </w:p>
    <w:p>
      <w:pPr>
        <w:pStyle w:val="ListParagraph"/>
        <w:numPr>
          <w:ilvl w:val="0"/>
          <w:numId w:val="3"/>
        </w:numPr>
        <w:spacing w:after="80" w:line="276"/>
      </w:pPr>
      <w:r>
        <w:rPr>
          <w:sz w:val="22"/>
          <w:szCs w:val="22"/>
        </w:rPr>
        <w:t xml:space="preserve">European Commission, Carbon Border Adjustment Mechanism (CBAM). https://taxation-customs.ec.europa.eu/carbon-border-adjustment-mechanism_en</w:t>
      </w:r>
    </w:p>
    <w:p>
      <w:pPr>
        <w:pStyle w:val="ListParagraph"/>
        <w:numPr>
          <w:ilvl w:val="0"/>
          <w:numId w:val="3"/>
        </w:numPr>
        <w:spacing w:after="80" w:line="276"/>
      </w:pPr>
      <w:r>
        <w:rPr>
          <w:sz w:val="22"/>
          <w:szCs w:val="22"/>
        </w:rPr>
        <w:t xml:space="preserve">European Commission, EU Emissions Trading System (EU ETS). https://climate.ec.europa.eu/eu-action/eu-emissions-trading-system-eu-ets_en</w:t>
      </w:r>
    </w:p>
    <w:p>
      <w:pPr>
        <w:pStyle w:val="ListParagraph"/>
        <w:numPr>
          <w:ilvl w:val="0"/>
          <w:numId w:val="3"/>
        </w:numPr>
        <w:spacing w:after="80" w:line="276"/>
      </w:pPr>
      <w:r>
        <w:rPr>
          <w:sz w:val="22"/>
          <w:szCs w:val="22"/>
        </w:rPr>
        <w:t xml:space="preserve">Worldsteel Association, CO₂ emissions data and methodology. https://worldsteel.org/</w:t>
      </w:r>
    </w:p>
    <w:p>
      <w:pPr>
        <w:pStyle w:val="ListParagraph"/>
        <w:numPr>
          <w:ilvl w:val="0"/>
          <w:numId w:val="3"/>
        </w:numPr>
        <w:spacing w:after="80" w:line="276"/>
      </w:pPr>
      <w:r>
        <w:rPr>
          <w:sz w:val="22"/>
          <w:szCs w:val="22"/>
        </w:rPr>
        <w:t xml:space="preserve">IEA, Emissions Factors 2025. https://www.iea.org/data-and-statistics/data-product/emissions-factors-2025</w:t>
      </w:r>
    </w:p>
    <w:p>
      <w:pPr>
        <w:pStyle w:val="ListParagraph"/>
        <w:numPr>
          <w:ilvl w:val="0"/>
          <w:numId w:val="3"/>
        </w:numPr>
        <w:spacing w:after="80" w:line="276"/>
      </w:pPr>
      <w:r>
        <w:rPr>
          <w:sz w:val="22"/>
          <w:szCs w:val="22"/>
        </w:rPr>
        <w:t xml:space="preserve">GNR — Getting the Numbers Right, Cement CO₂ and Energy Protocol. https://gccassociation.org/</w:t>
      </w:r>
    </w:p>
    <w:p>
      <w:pPr>
        <w:pStyle w:val="ListParagraph"/>
        <w:numPr>
          <w:ilvl w:val="0"/>
          <w:numId w:val="3"/>
        </w:numPr>
        <w:spacing w:after="80" w:line="276"/>
      </w:pPr>
      <w:r>
        <w:rPr>
          <w:sz w:val="22"/>
          <w:szCs w:val="22"/>
        </w:rPr>
        <w:t xml:space="preserve">International Aluminium Institute (IAI), GHG Protocol for the aluminium sector. https://international-aluminium.org/</w:t>
      </w:r>
    </w:p>
    <w:p>
      <w:pPr>
        <w:pStyle w:val="ListParagraph"/>
        <w:numPr>
          <w:ilvl w:val="0"/>
          <w:numId w:val="3"/>
        </w:numPr>
        <w:spacing w:after="80" w:line="276"/>
      </w:pPr>
      <w:r>
        <w:rPr>
          <w:sz w:val="22"/>
          <w:szCs w:val="22"/>
        </w:rPr>
        <w:t xml:space="preserve">Fertilizers Europe, Carbon Footprint Calculator. https://www.fertilizerseurope.com/</w:t>
      </w:r>
    </w:p>
    <w:p>
      <w:pPr>
        <w:pStyle w:val="ListParagraph"/>
        <w:numPr>
          <w:ilvl w:val="0"/>
          <w:numId w:val="3"/>
        </w:numPr>
        <w:spacing w:after="80" w:line="276"/>
      </w:pPr>
      <w:r>
        <w:rPr>
          <w:sz w:val="22"/>
          <w:szCs w:val="22"/>
        </w:rPr>
        <w:t xml:space="preserve">Ember Climate, Carbon Price Viewer (EU ETS). https://ember-climate.org/</w:t>
      </w:r>
    </w:p>
    <w:p>
      <w:pPr>
        <w:pStyle w:val="ListParagraph"/>
        <w:numPr>
          <w:ilvl w:val="0"/>
          <w:numId w:val="3"/>
        </w:numPr>
        <w:spacing w:after="80" w:line="276"/>
      </w:pPr>
      <w:r>
        <w:rPr>
          <w:sz w:val="22"/>
          <w:szCs w:val="22"/>
        </w:rPr>
        <w:t xml:space="preserve">ICAP, Allowance Price Explorer. https://icapcarbonaction.com/</w:t>
      </w:r>
    </w:p>
    <w:p>
      <w:pPr>
        <w:pStyle w:val="ListParagraph"/>
        <w:numPr>
          <w:ilvl w:val="0"/>
          <w:numId w:val="3"/>
        </w:numPr>
        <w:spacing w:after="80" w:line="276"/>
      </w:pPr>
      <w:r>
        <w:rPr>
          <w:sz w:val="22"/>
          <w:szCs w:val="22"/>
        </w:rPr>
        <w:t xml:space="preserve">Republic of Türkiye, Ministry of Trade — CBAM information note. https://ticaret.gov.tr/</w:t>
      </w:r>
    </w:p>
    <w:p>
      <w:pPr>
        <w:pStyle w:val="ListParagraph"/>
        <w:numPr>
          <w:ilvl w:val="0"/>
          <w:numId w:val="3"/>
        </w:numPr>
        <w:spacing w:after="80" w:line="276"/>
      </w:pPr>
      <w:r>
        <w:rPr>
          <w:sz w:val="22"/>
          <w:szCs w:val="22"/>
        </w:rPr>
        <w:t xml:space="preserve">IPCC, Sixth Assessment Report (AR6) — Global Warming Potentials. https://www.ipcc.ch/</w:t>
      </w:r>
    </w:p>
    <w:p>
      <w:pPr>
        <w:pStyle w:val="ListParagraph"/>
        <w:numPr>
          <w:ilvl w:val="0"/>
          <w:numId w:val="3"/>
        </w:numPr>
        <w:spacing w:after="80" w:line="276"/>
      </w:pPr>
      <w:r>
        <w:rPr>
          <w:sz w:val="22"/>
          <w:szCs w:val="22"/>
        </w:rPr>
        <w:t xml:space="preserve">Supabase documentation (PostgreSQL backend &amp; row-level security). https://supabase.com/docs</w:t>
      </w:r>
    </w:p>
    <w:p>
      <w:pPr>
        <w:pStyle w:val="ListParagraph"/>
        <w:numPr>
          <w:ilvl w:val="0"/>
          <w:numId w:val="3"/>
        </w:numPr>
        <w:spacing w:after="80" w:line="276"/>
      </w:pPr>
      <w:r>
        <w:rPr>
          <w:sz w:val="22"/>
          <w:szCs w:val="22"/>
        </w:rPr>
        <w:t xml:space="preserve">Firebase Hosting documentation. https://firebase.google.com/docs/hosting</w:t>
      </w:r>
    </w:p>
    <w:p>
      <w:r>
        <w:br w:type="page"/>
      </w:r>
    </w:p>
    <w:p>
      <w:pPr>
        <w:pStyle w:val="Heading1"/>
        <w:spacing w:after="160" w:before="280"/>
      </w:pPr>
      <w:r>
        <w:t xml:space="preserve">Appendix A — Prototype</w:t>
      </w:r>
    </w:p>
    <w:p>
      <w:pPr>
        <w:spacing w:after="140" w:before="0" w:line="276"/>
        <w:jc w:val="both"/>
      </w:pPr>
      <w:r>
        <w:rPr>
          <w:b/>
          <w:bCs/>
        </w:rPr>
        <w:t xml:space="preserve">Live application: </w:t>
      </w:r>
      <w:r>
        <w:rPr>
          <w:color w:val="1D4ED8"/>
        </w:rPr>
        <w:t xml:space="preserve">https://carbonconsulting-msi.web.app</w:t>
      </w:r>
    </w:p>
    <w:p>
      <w:pPr>
        <w:spacing w:after="140" w:before="0" w:line="276"/>
        <w:jc w:val="both"/>
      </w:pPr>
      <w:r>
        <w:rPr>
          <w:b/>
          <w:bCs/>
        </w:rPr>
        <w:t xml:space="preserve">Technology stack: </w:t>
      </w:r>
      <w:r>
        <w:t xml:space="preserve">HTML, Tailwind CSS, Chart.js (front-end); Supabase / PostgreSQL (database, live certificate prices); Firebase Hosting (deployment).</w:t>
      </w:r>
    </w:p>
    <w:p>
      <w:pPr>
        <w:spacing w:after="140" w:before="0" w:line="276"/>
        <w:jc w:val="both"/>
      </w:pPr>
      <w:r>
        <w:rPr>
          <w:b/>
          <w:bCs/>
        </w:rPr>
        <w:t xml:space="preserve">Modules: </w:t>
      </w:r>
      <w:r>
        <w:t xml:space="preserve">home, sectors, certificates, calculator (dynamic engine), green finance.</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t xml:space="preserve">CarbonConsulting — ISL 343E Term Project    |    Page </w:t>
    </w:r>
    <w:r>
      <w:rPr>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abstractNum>
  <w:abstractNum w:abstractNumId="3" w15:restartNumberingAfterBreak="0">
    <w:multiLevelType w:val="hybridMultilevel"/>
    <w:lvl w:ilvl="0" w15:tentative="1">
      <w:start w:val="1"/>
      <w:numFmt w:val="decimal"/>
      <w:lvlText w:val="%1."/>
      <w:lvlJc w:val="left"/>
      <w:pPr>
        <w:ind w:left="540" w:hanging="280"/>
      </w:pPr>
    </w:lvl>
  </w:abstractNum>
  <w:abstractNum w:abstractNumId="4" w15:restartNumberingAfterBreak="0">
    <w:multiLevelType w:val="hybridMultilevel"/>
    <w:lvl w:ilvl="0" w15:tentative="1">
      <w:start w:val="1"/>
      <w:numFmt w:val="decimal"/>
      <w:lvlText w:val="[%1]"/>
      <w:lvlJc w:val="left"/>
      <w:pPr>
        <w:ind w:left="60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80"/>
      <w:outlineLvl w:val="0"/>
    </w:pPr>
    <w:rPr>
      <w:rFonts w:ascii="Times New Roman" w:cs="Times New Roman" w:eastAsia="Times New Roman" w:hAnsi="Times New Roman"/>
      <w:b/>
      <w:bCs/>
      <w:color w:val="1E293B"/>
      <w:sz w:val="30"/>
      <w:szCs w:val="30"/>
    </w:rPr>
  </w:style>
  <w:style w:type="paragraph" w:styleId="Heading2">
    <w:name w:val="Heading 2"/>
    <w:basedOn w:val="Normal"/>
    <w:next w:val="Normal"/>
    <w:qFormat/>
    <w:pPr>
      <w:spacing w:after="120" w:before="220"/>
      <w:outlineLvl w:val="1"/>
    </w:pPr>
    <w:rPr>
      <w:rFonts w:ascii="Times New Roman" w:cs="Times New Roman" w:eastAsia="Times New Roman" w:hAnsi="Times New Roman"/>
      <w:b/>
      <w:bCs/>
      <w:color w:val="1D4ED8"/>
      <w:sz w:val="26"/>
      <w:szCs w:val="26"/>
    </w:rPr>
  </w:style>
  <w:style w:type="paragraph" w:styleId="Heading3">
    <w:name w:val="Heading 3"/>
    <w:basedOn w:val="Normal"/>
    <w:next w:val="Normal"/>
    <w:qFormat/>
    <w:pPr>
      <w:spacing w:after="100" w:before="160"/>
      <w:outlineLvl w:val="2"/>
    </w:pPr>
    <w:rPr>
      <w:rFonts w:ascii="Times New Roman" w:cs="Times New Roman" w:eastAsia="Times New Roman" w:hAnsi="Times New Roman"/>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f4d4b7ed688899e54a90d1c9d1c09509b5ce4588.png"/><Relationship Id="rId9" Type="http://schemas.openxmlformats.org/officeDocument/2006/relationships/image" Target="media/0fcdec3e2ab6ed6ed4738f67b2bc86ee5e886f62.png"/><Relationship Id="rId10" Type="http://schemas.openxmlformats.org/officeDocument/2006/relationships/image" Target="media/51da39686200573373d69bfdb443e22420ec8eed.png"/><Relationship Id="rId11" Type="http://schemas.openxmlformats.org/officeDocument/2006/relationships/image" Target="media/cba8d3edd74baf15795f921ed4a316af3d7a58f4.png"/><Relationship Id="rId12" Type="http://schemas.openxmlformats.org/officeDocument/2006/relationships/image" Target="media/262ed575bb3f93f75ae3fc1ccb37355f0ae5ca6a.png"/><Relationship Id="rId13" Type="http://schemas.openxmlformats.org/officeDocument/2006/relationships/image" Target="media/df749736c1ca529e40e0c460d1d5e827f99c549a.png"/><Relationship Id="rId14" Type="http://schemas.openxmlformats.org/officeDocument/2006/relationships/image" Target="media/3df59c77490683a086e807e979749e6b2b0353b1.png"/><Relationship Id="rId15" Type="http://schemas.openxmlformats.org/officeDocument/2006/relationships/image" Target="media/4338b8c2c259e18d72d6e2d91685a5065044cbdd.pn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CarbonConsulting — CBAM Compliance System — Final Report</dc:title>
  <dc:creator>CarbonConsulting Group</dc:creator>
  <cp:lastModifiedBy>Un-named</cp:lastModifiedBy>
  <cp:revision>1</cp:revision>
  <dcterms:created xsi:type="dcterms:W3CDTF">2026-06-10T08:39:45.483Z</dcterms:created>
  <dcterms:modified xsi:type="dcterms:W3CDTF">2026-06-10T08:39:45.484Z</dcterms:modified>
</cp:coreProperties>
</file>

<file path=docProps/custom.xml><?xml version="1.0" encoding="utf-8"?>
<Properties xmlns="http://schemas.openxmlformats.org/officeDocument/2006/custom-properties" xmlns:vt="http://schemas.openxmlformats.org/officeDocument/2006/docPropsVTypes"/>
</file>