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Vizyon Analitik (V-RAG) Sistemi Teknik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Proje Özeti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Vizyon Kampı ekosistemi içerisinde katılımcı performansının, sosyal dinamiklerinin ve bireysel gelişim eğrilerinin takibi için kurgulanan "Vizyon Analitik" sistemi, eğitim teknolojilerinde devrimsel bir yaklaşımı temsil etmektedir. Bu rapor, geleneksel veritabanı yönetim sistemlerinin sunduğu statik raporlama kısıtlarını aşarak, katılımcılar hakkında "360 derece dijital röntgen" sunan teknik mimariyi detaylandırmaktadır. Sistemin kalbinde, Çizge Tabanlı Artırılmış Üretim (Graph-Based Retrieval-Augmented Generation - GraphRAG) ve yerel sunucularda koşan Büyük Dil Modelleri (LLM) yer almaktadır. Temel amaç, her katılımcı için dinamik bir "semantik profil" oluşturmak ve veriler arasındaki örtük bağlantıları Palantir Gotham benzeri bir link analizi metodolojisi ile gün yüzüne çıkarmaktır.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Vizyon Analitik, katılımcıların sadece akademik veya teknik başarılarını değil, aynı zamanda disiplin verilerini, sosyal etkileşim sürelerini, mentor gözlemlerindeki duygusal tonlamaları ve grup içi hiyerarşik konumlarını matematiksel modellerle analiz eder. Bu süreçte veri gizliliği ve güvenliği, 6698 sayılı Kişisel Verilerin Korunması Kanunu (KVKK) ile tam uyumlu, internetten izole (air-gapped) yerel sunucu mimarisi ile güvence altına alınmaktadır.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Sistemin çıktıları, mentorlar için erken uyarı sinyalleri üretirken, üst düzey yöneticiler için kampın genel verimliliğini ve sosyal dokusunu optimize edecek stratejik içgörüler sağlar.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Sistem Mimarisi ve Teknoloji Yığınları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Projenin teknik iskeleti, yüksek yoğunluklu veri akışını yönetebilmek ve yerel LLM çıkarımlarını (inference) düşük gecikme süresiyle gerçekleştirebilmek amacıyla hibrit bir yapıda tasarlanmıştır. Bu yapı, veri güvenliğini en üst düzeye çıkarırken, asenkron işlem kabiliyeti sayesinde sistem darboğazlarını minimize eder.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Backend Katmanı: FastAPI ve Asenkron Mimari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Vizyon Analitik sisteminin uygulama katmanı, modern Python ekosisteminin en hızlı web çerçevelerinden biri olan FastAPI üzerine inşa edilmiştir. FastAPI, Python'un async/await sözdizimini temel alarak asenkron G/Ç (I/O) işlemlerini bloklamadan gerçekleştirir.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Eğitim kampı ortamında, aynı anda yüzlerce katılımcıdan gelen sensör verileri, sosyal etkileşim logları ve mentor girişleri sistem üzerinde yoğun bir yük oluşturur. FastAPI'nin asenkron yapısı, bu veri akışının her bir isteği ayrı bir iş parçacığı (thread) maliyeti olmadan karşılamasına olanak tanır.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Üretim ortamında FastAPI, Uvicorn veya Gunicorn sunucuları üzerinde koşturulur. Bellek yönetimi stratejisi olarak, --preload bayrağı kullanılarak uygulama kodunun işçi süreçleri (workers) çatalanmadan (forking) önce yüklenmesi sağlanır; bu da kopyala-yaz (copy-on-write) optimizasyonu sayesinde bellek tüketimini düşürür.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Ayrıca, --max-requests parametresi ile işçi süreçlerinin periyodik olarak yeniden başlatılması, uzun vadeli bellek sızıntılarının (memory leaks) önüne geçer.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Yapay Zeka Motoru: Ollama ve Yerel LLM Entegrasyonu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Gizlilik gereksinimleri ve veri egemenliği ilkeleri uyarınca, Vizyon Analitik sisteminde bulut tabanlı API'lar yerine on-premise çalışan Ollama motoru tercih edilmiştir. Ollama, llama.cpp kütüphanesini temel alarak Llama 3 ve Mistral gibi açık kaynaklı modelleri optimize edilmiş kuantizasyon seviyelerinde çalıştırır.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Sistemde ana çıkarım modeli olarak Llama 3 (8B) veya Mistral (7B) kullanılmaktadır. Bu modeller, yeterli analitik derinliğe sahip olmalarının yanı sıra, yerel donanımlarda saniyede 40-50 token hızında yanıt üretebilmektedir.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Bellek yönetimi açısından, modellerin VRAM üzerinde kapladığı alan ve KV önbelleği (KV cache) gereksinimleri titizlikle hesaplanmıştır. Örneğin, Llama 3 8B modelinin 4-bit (Q4_K_M) kuantizasyon seviyesindeki temel ağırlığı yaklaşık 5.2 GB iken, 32.000 tokenlik bir bağlam penceresi (context window) ek 4.5 GB VRAM gerektirebilir.</w:t>
      </w:r>
      <w:r w:rsidDel="00000000" w:rsidR="00000000" w:rsidRPr="00000000">
        <w:rPr>
          <w:rFonts w:ascii="Google Sans" w:cs="Google Sans" w:eastAsia="Google Sans" w:hAnsi="Google Sans"/>
          <w:color w:val="444746"/>
          <w:sz w:val="24"/>
          <w:szCs w:val="24"/>
          <w:vertAlign w:val="superscript"/>
          <w:rtl w:val="0"/>
        </w:rPr>
        <w:t xml:space="preserve">11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Parametre Sayısı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Kuantizasyon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VRAM İhtiyacı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Tahmini Hız (tokens/s)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Llama 3.1 8B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Milyar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Q4_K_M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Mistral 7B v0.3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Milyar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Q4_K_M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Llama 3.2 3B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Milyar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Q4_K_M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GB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80-100</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Performans optimizasyonu için "Flash Attention" mekanizması etkinleştirilerek VRAM kullanımı azaltılmış ve çıkarım hızı artırılmıştır.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Ayrıca, Ollama'nın num_parallel parametresi ayarlanarak, aynı anda birden fazla çıkarım talebinin GPU üzerinde kuyruğa alınması ve işlenmesi sağlanmaktadır.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Vektör Veritabanı ve Semantik Arama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Katılımcıların mentor notları, günlük raporları ve sosyal medya paylaşımları, semantik anlamlarını koruyacak şekilde vektörleştirilerek ChromaDB veya Pinecone üzerinde saklanır. Bu katman, RAG sisteminin "Retrieval" (erişim) aşamasını oluşturur. Geleneksel anahtar kelime aramasının aksine, vektör veritabanı "katılımcı stresli görünüyor" ifadesi ile "öğrenci anksiyete emareleri sergiliyor" ifadesi arasındaki anlamsal yakınlığı matematiksel olarak (Cosine Similarity) tespit edebilir.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Vektörleştirme sürecinde metinler, anlamsal bütünlüklerini kaybetmeyecek boyutlarda parçalara (chunks) bölünür. Bu parçalar, nomic-embed-text veya benzeri yerel embedding modelleri kullanılarak yüksek boyutlu vektör uzayına izdüşürülür. Bu sayede, mentor bir sorgu yaptığında, sistem saniyeler içinde binlerce sayfalık not arasından en alakalı bağlamı bulup LLM'e sunar.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İlişkisel ve Çizge Analizi: Neo4j ve GraphRAG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Vizyon Analitik'in en belirgin teknik üstünlüğü, Neo4j grafik veritabanını merkeze alan GraphRAG mimarisidir. Geleneksel RAG sistemleri metin parçaları arasındaki yapısal ilişkileri göremezken, Neo4j katılımcıları (düğümler) ve onların etkileşimlerini (kenarlar) bir ağ olarak haritalandırır.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GraphRAG süreci şu adımları izler:</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Varlık Çıkarımı:</w:t>
      </w:r>
      <w:r w:rsidDel="00000000" w:rsidR="00000000" w:rsidRPr="00000000">
        <w:rPr>
          <w:rFonts w:ascii="Google Sans" w:cs="Google Sans" w:eastAsia="Google Sans" w:hAnsi="Google Sans"/>
          <w:color w:val="1f1f1f"/>
          <w:rtl w:val="0"/>
        </w:rPr>
        <w:t xml:space="preserve"> LLM, ham metinlerden katılımcı isimlerini, mekanları ve olayları ayıklar.</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İlişki Tanımlama:</w:t>
      </w:r>
      <w:r w:rsidDel="00000000" w:rsidR="00000000" w:rsidRPr="00000000">
        <w:rPr>
          <w:rFonts w:ascii="Google Sans" w:cs="Google Sans" w:eastAsia="Google Sans" w:hAnsi="Google Sans"/>
          <w:color w:val="1f1f1f"/>
          <w:rtl w:val="0"/>
        </w:rPr>
        <w:t xml:space="preserve"> Metin içindeki "A kişisi B kişisine yardım etti" gibi ifadelerden (A)--&gt;(B) ilişkisi oluşturulur.</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Graf İnşası:</w:t>
      </w:r>
      <w:r w:rsidDel="00000000" w:rsidR="00000000" w:rsidRPr="00000000">
        <w:rPr>
          <w:rFonts w:ascii="Google Sans" w:cs="Google Sans" w:eastAsia="Google Sans" w:hAnsi="Google Sans"/>
          <w:color w:val="1f1f1f"/>
          <w:rtl w:val="0"/>
        </w:rPr>
        <w:t xml:space="preserve"> Bu varlıklar ve ilişkiler Neo4j üzerinde kalıcı bir bilgi grafiğine (Knowledge Graph) dönüştürülür.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Hibrit Sorgulama:</w:t>
      </w:r>
      <w:r w:rsidDel="00000000" w:rsidR="00000000" w:rsidRPr="00000000">
        <w:rPr>
          <w:rFonts w:ascii="Google Sans" w:cs="Google Sans" w:eastAsia="Google Sans" w:hAnsi="Google Sans"/>
          <w:color w:val="1f1f1f"/>
          <w:rtl w:val="0"/>
        </w:rPr>
        <w:t xml:space="preserve"> Bir soru sorulduğunda sistem hem vektör benzerliği ile metin parçalarını bulur hem de grafiği gezerek (graph traversal) "A kişisinin oda arkadaşlarının teknik beceri ortalaması nedir?" gibi çok adımlı (multi-hop) sorulara yanıt verir.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Mikro Veri Toplama ve İşleme Stratejisi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analitik gücü, toplanan verilerin granüler yapısından ve bu verilerin birleştirilme biçiminden kaynaklanmaktadır. Veri toplama stratejisi, katılımcının kamp süresince bıraktığı tüm "dijital ayak izlerini" kapsayacak şekilde dizayn edilmiştir.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Operasyonel Veriler ve Disiplin Takibi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Operasyonel veriler, katılımcının fiziksel dünyaya uyumunu ve öz disiplinini yansıtan ham telemetri verileridir. Bu veriler sistem tarafından otomatik olarak işlenir ve "Disiplin Skoru"nun temelini oluşturur:</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Zaman Damgaları (Timestamps):</w:t>
      </w:r>
      <w:r w:rsidDel="00000000" w:rsidR="00000000" w:rsidRPr="00000000">
        <w:rPr>
          <w:rFonts w:ascii="Google Sans" w:cs="Google Sans" w:eastAsia="Google Sans" w:hAnsi="Google Sans"/>
          <w:color w:val="1f1f1f"/>
          <w:rtl w:val="0"/>
        </w:rPr>
        <w:t xml:space="preserve"> Sabah uyanma saatleri, kahvaltıya giriş süreleri ve etkinlik katılım zamanları. Bu verilerdeki standart sapma, katılımcının rutine sadakatini gösterir.</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Yoklama Verileri:</w:t>
      </w:r>
      <w:r w:rsidDel="00000000" w:rsidR="00000000" w:rsidRPr="00000000">
        <w:rPr>
          <w:rFonts w:ascii="Google Sans" w:cs="Google Sans" w:eastAsia="Google Sans" w:hAnsi="Google Sans"/>
          <w:color w:val="1f1f1f"/>
          <w:rtl w:val="0"/>
        </w:rPr>
        <w:t xml:space="preserve"> Etkinlik girişlerinde kullanılan QR kod veya RFID sistemleri, anlık olarak veritabanına akar.</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Dijital Kapı Kayıtları:</w:t>
      </w:r>
      <w:r w:rsidDel="00000000" w:rsidR="00000000" w:rsidRPr="00000000">
        <w:rPr>
          <w:rFonts w:ascii="Google Sans" w:cs="Google Sans" w:eastAsia="Google Sans" w:hAnsi="Google Sans"/>
          <w:color w:val="1f1f1f"/>
          <w:rtl w:val="0"/>
        </w:rPr>
        <w:t xml:space="preserve"> Oda giriş-çıkış zamanları, katılımcının sosyal izolasyon veya aşırı hareketlilik durumlarını tespit etmek için kullanılır.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veriler üzerinde yapılan anomali tespiti, örneğin normalde sabah 07:00'de uyanan bir katılımcının 3 gün üst üste 07:30'da uyanmasını "motivasyon kaybı riski" olarak işaretler.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Sosyal ve Duyurular Modülü Analitiği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Vizyon Analitik, kamp içi iletişimi takip eden bir sosyal akış modülüne sahiptir. Bu modül, sadece "kim ne paylaştı" sorusuna değil, "nasıl etkileşime girdi" sorusuna odaklanır:</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Tepki Süresi Analizi:</w:t>
      </w:r>
      <w:r w:rsidDel="00000000" w:rsidR="00000000" w:rsidRPr="00000000">
        <w:rPr>
          <w:rFonts w:ascii="Google Sans" w:cs="Google Sans" w:eastAsia="Google Sans" w:hAnsi="Google Sans"/>
          <w:color w:val="1f1f1f"/>
          <w:rtl w:val="0"/>
        </w:rPr>
        <w:t xml:space="preserve"> Bir duyuru yapıldıktan sonra katılımcının bu duyuruyu okuma ve onaylama süresi, "sorumluluk bilinci" metriği ile doğrudan korelasyon içerisindedir.</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Etkileşim Ağları:</w:t>
      </w:r>
      <w:r w:rsidDel="00000000" w:rsidR="00000000" w:rsidRPr="00000000">
        <w:rPr>
          <w:rFonts w:ascii="Google Sans" w:cs="Google Sans" w:eastAsia="Google Sans" w:hAnsi="Google Sans"/>
          <w:color w:val="1f1f1f"/>
          <w:rtl w:val="0"/>
        </w:rPr>
        <w:t xml:space="preserve"> Paylaşımlara yapılan yorumlar ve beğeniler, Neo4j üzerinde "Sosyal Destek" veya "Sosyal Etki" kenarlarına dönüşür.</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İçerik Tonlaması:</w:t>
      </w:r>
      <w:r w:rsidDel="00000000" w:rsidR="00000000" w:rsidRPr="00000000">
        <w:rPr>
          <w:rFonts w:ascii="Google Sans" w:cs="Google Sans" w:eastAsia="Google Sans" w:hAnsi="Google Sans"/>
          <w:color w:val="1f1f1f"/>
          <w:rtl w:val="0"/>
        </w:rPr>
        <w:t xml:space="preserve"> Katılımcıların paylaştığı postlardaki duygusal ton (sentiment), LLM tarafından anlık olarak analiz edilerek genel moral durumu haritası çıkarılır.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Mentor ve Gözlem Girdilerinin Semantik İşlenmesi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Mentor notları, sistemin en öznel ancak en zengin veri grubudur. Mentorlar, her etkinlik sonunda serbest metin şeklinde gözlemlerini sisteme girerler. RAG mimarisi bu notları şu şekilde işler:</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Duygu ve Durum Analizi:</w:t>
      </w:r>
      <w:r w:rsidDel="00000000" w:rsidR="00000000" w:rsidRPr="00000000">
        <w:rPr>
          <w:rFonts w:ascii="Google Sans" w:cs="Google Sans" w:eastAsia="Google Sans" w:hAnsi="Google Sans"/>
          <w:color w:val="1f1f1f"/>
          <w:rtl w:val="0"/>
        </w:rPr>
        <w:t xml:space="preserve"> LLM, "Öğrenci bugün biraz dalgındı ama grup çalışmasında inisiyatif aldı" cümlesinden hem negatif (dalgınlık) hem pozitif (inisiyatif) emareleri çeker.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Teknik Beceri İzleme:</w:t>
      </w:r>
      <w:r w:rsidDel="00000000" w:rsidR="00000000" w:rsidRPr="00000000">
        <w:rPr>
          <w:rFonts w:ascii="Google Sans" w:cs="Google Sans" w:eastAsia="Google Sans" w:hAnsi="Google Sans"/>
          <w:color w:val="1f1f1f"/>
          <w:rtl w:val="0"/>
        </w:rPr>
        <w:t xml:space="preserve"> Mentorun teknik gelişim hakkındaki yorumları, katılımcının "Teknik Beceri Grafiği"ndeki düğümleri günceller.</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Gelecek Tahminleme:</w:t>
      </w:r>
      <w:r w:rsidDel="00000000" w:rsidR="00000000" w:rsidRPr="00000000">
        <w:rPr>
          <w:rFonts w:ascii="Google Sans" w:cs="Google Sans" w:eastAsia="Google Sans" w:hAnsi="Google Sans"/>
          <w:color w:val="1f1f1f"/>
          <w:rtl w:val="0"/>
        </w:rPr>
        <w:t xml:space="preserve"> Geçmiş mentor notlarındaki trendler analiz edilerek, katılımcının kamp sonundaki muhtemel başarı seviyesi hakkında simülasyonlar yapılır.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Analitik Yaklaşım: "Palantir" Metodolojisi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"Palantir" tarzı link analizi metodolojisi, parçalanmış verileri anlamlı bir bütün haline getirerek, insan gözünün fark edemeyeceği örüntüleri ortaya koyar. Bu yaklaşım, sosyal ağ analizi (SNA) ve grafik algoritmaları üzerine kurgulanmıştır.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Bağlantı ve Hiyerarşi Analizi (SNA)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Katılımcılar arasındaki sosyal doku, grafik algoritmaları kullanılarak matematikselleştirilir. Bu analizde temel alınan yöntemler şunlardır:</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PageRank Algoritması:</w:t>
      </w:r>
      <w:r w:rsidDel="00000000" w:rsidR="00000000" w:rsidRPr="00000000">
        <w:rPr>
          <w:rFonts w:ascii="Google Sans" w:cs="Google Sans" w:eastAsia="Google Sans" w:hAnsi="Google Sans"/>
          <w:color w:val="1f1f1f"/>
          <w:rtl w:val="0"/>
        </w:rPr>
        <w:t xml:space="preserve"> Bu algoritma, bir katılımcının grup içindeki etki gücünü (influence) belirler. Sadece çok kişiyle konuşmak değil, grubun etkili isimleri tarafından referans alınmak (veya etkileşime girilmek) PageRank skorunu artırır.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Yüksek PageRank skoru, "doğal liderlik" emaresi olarak kabul edilir.</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Louvain ve Leiden Algoritmaları:</w:t>
      </w:r>
      <w:r w:rsidDel="00000000" w:rsidR="00000000" w:rsidRPr="00000000">
        <w:rPr>
          <w:rFonts w:ascii="Google Sans" w:cs="Google Sans" w:eastAsia="Google Sans" w:hAnsi="Google Sans"/>
          <w:color w:val="1f1f1f"/>
          <w:rtl w:val="0"/>
        </w:rPr>
        <w:t xml:space="preserve"> Bu algoritmalar, kamp genelindeki "gizli toplulukları" (communities) tespit eder. Birbirleriyle yoğun etkileşimde olan ama grubun geri kalanıyla iletişimi zayıf olan klikleri bulur.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Bu, toksik gruplaşmaların veya izole kalmış öğrencilerin erken tespiti için kritiktir.</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Arasındalık Merkeziyeti (Betweenness Centrality):</w:t>
      </w:r>
      <w:r w:rsidDel="00000000" w:rsidR="00000000" w:rsidRPr="00000000">
        <w:rPr>
          <w:rFonts w:ascii="Google Sans" w:cs="Google Sans" w:eastAsia="Google Sans" w:hAnsi="Google Sans"/>
          <w:color w:val="1f1f1f"/>
          <w:rtl w:val="0"/>
        </w:rPr>
        <w:t xml:space="preserve"> Farklı gruplar arasında bilgi taşıyan "köprü" kişileri tespit eder. Bu katılımcılar, kampın sosyal kohezyonunu (yapışkanlığını) sağlayan kilit aktörlerdir.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Duygu ve Davranış Analizi (Sentiment Analysis)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tabanlı duygu analizi, basit bir olumlu/olumsuz sınıflandırmasının ötesine geçer. Vizyon Analitik, katılımcının metinlerini "Fine-Grained" (çok boyutlu) bir ölçekte inceler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Stres Seviyesi:</w:t>
      </w:r>
      <w:r w:rsidDel="00000000" w:rsidR="00000000" w:rsidRPr="00000000">
        <w:rPr>
          <w:rFonts w:ascii="Google Sans" w:cs="Google Sans" w:eastAsia="Google Sans" w:hAnsi="Google Sans"/>
          <w:color w:val="1f1f1f"/>
          <w:rtl w:val="0"/>
        </w:rPr>
        <w:t xml:space="preserve"> Kelime seçimleri ve cümle yapılarındaki değişimlerden stres artışı gözlemlenir.</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Motivasyon Eğrisi:</w:t>
      </w:r>
      <w:r w:rsidDel="00000000" w:rsidR="00000000" w:rsidRPr="00000000">
        <w:rPr>
          <w:rFonts w:ascii="Google Sans" w:cs="Google Sans" w:eastAsia="Google Sans" w:hAnsi="Google Sans"/>
          <w:color w:val="1f1f1f"/>
          <w:rtl w:val="0"/>
        </w:rPr>
        <w:t xml:space="preserve"> Katılımcının kullandığı fiillerin aktiflik/pasiflik durumuna göre motivasyon puanı hesaplanır.</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Ironi ve Sarkazm Tespiti:</w:t>
      </w:r>
      <w:r w:rsidDel="00000000" w:rsidR="00000000" w:rsidRPr="00000000">
        <w:rPr>
          <w:rFonts w:ascii="Google Sans" w:cs="Google Sans" w:eastAsia="Google Sans" w:hAnsi="Google Sans"/>
          <w:color w:val="1f1f1f"/>
          <w:rtl w:val="0"/>
        </w:rPr>
        <w:t xml:space="preserve"> Gelişmiş LLM yetenekleri sayesinde, metindeki gizli hoşnutsuzluklar veya alaycı tavırlar tespit edilerek mentor uyarılır.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Semantik Anomali Tespiti ve Risk Yönetimi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her katılımcı için bir "baz çizgi davranış modeli" (baseline behavior model) oluşturur. Bir katılımcının bu baz çizginin dışına çıkması "Anomali" olarak adlandırılır. LLM, temsil öğrenimi (representation learning) yoluyla katılımcının davranışlarını yüksek boyutlu vektörlere dönüştürür.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Anomali tespit süreci şu verileri ilişkilendirir:</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Sosyal medya aktivitesinde ani düşüş + Geç uyanma + Mentor notlarında "çekingen" etiketinin artışı = </w:t>
      </w:r>
      <w:r w:rsidDel="00000000" w:rsidR="00000000" w:rsidRPr="00000000">
        <w:rPr>
          <w:rFonts w:ascii="Google Sans" w:cs="Google Sans" w:eastAsia="Google Sans" w:hAnsi="Google Sans"/>
          <w:b w:val="1"/>
          <w:bCs w:val="1"/>
          <w:color w:val="1f1f1f"/>
          <w:rtl w:val="0"/>
        </w:rPr>
        <w:t xml:space="preserve">Orta Derece Risk Uyarısı.</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Grup çalışmalarında dominans artışı + Akran geri bildirimlerinde negatif puanlama + Uykusuzluk emareleri = </w:t>
      </w:r>
      <w:r w:rsidDel="00000000" w:rsidR="00000000" w:rsidRPr="00000000">
        <w:rPr>
          <w:rFonts w:ascii="Google Sans" w:cs="Google Sans" w:eastAsia="Google Sans" w:hAnsi="Google Sans"/>
          <w:b w:val="1"/>
          <w:bCs w:val="1"/>
          <w:color w:val="1f1f1f"/>
          <w:rtl w:val="0"/>
        </w:rPr>
        <w:t xml:space="preserve">Potansiyel Çatışma Uyarısı.</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uyarılar, bir kriz oluşmadan önce mentorun müdahale etmesini sağlar.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Ölçeklenebilirlik ve Donanım Optimizasyonu</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Vizyon Analitik gibi yoğun LLM ve grafik işlemleri içeren sistemlerin başarısı, donanım kaynaklarının verimli kullanılmasına bağlıdır. Yerel sunucu mimarisinde karşılaşılan en büyük engel, VRAM kısıtları ve eşzamanlı istek yönetimidir.</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Dağıtık Görev Kuyruğu: Celery, Redis ve FastAPI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çıkarım süreçleri doğası gereği zaman alıcıdır (bir analiz 5-30 saniye sürebilir). Bu işlemler doğrudan API isteği içinde yapılırsa sunucu yanıt vermez hale gelir.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Bu sorunu çözmek için Vizyon Analitik şu mimariyi uygular:</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FastAPI isteği alır, görevi Redis kuyruğuna atar ve kullanıcıya anında bir task_id döner.</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Arka planda çalışan Celery işçileri, GPU kaynaklarını kontrol ederek sıradaki görevi alır.</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LLM çıkarımı tamamlandığında sonuç veritabanına yazılır ve kullanıcı arayüzü güncellenir.</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Katman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Teknoloji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Fonksiyon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Mesaj Aracısı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Görevlerin sıralanması ve geçici depolanması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Görev Yöneticisi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GPU yoğun işlerin arka planda yürütülmesi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İzleme Birimi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İşçilerin durumu ve başarısız görevlerin takibi</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VRAM Yönetimi ve Model Paylaşımı</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Birden fazla Celery işçisinin aynı anda kendi LLM kopyasını belleğe yüklemesi VRAM'in hızla tükenmesine yol açar.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Bunu önlemek için "Shared Model Memory" stratejisi uygulanır. Ollama, tek bir model örneğini bellekte tutarak birden fazla isteği paralel olarak işleyebilir (OLLAMA_NUM_PARALLEL).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Eşzamanlılık yönetimi için matematiksel bir kısıt mekanizması kullanılır: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Eğer donanım sınırlarına ulaşılırsa, sistem yeni istekleri reddetmek yerine Redis kuyruğunda bekletir (Queuing), böylece sistemin çökmesi (OOM error) engellenir.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vLLM vs Ollama: Üretim Ortamı Karşılaştırması</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Projenin prototipleme aşamasında Ollama kullanılsa da, katılımcı sayısının 500'ü geçtiği senaryolarda vLLM motoruna geçiş planlanmaktadır. vLLM'in "PagedAttention" algoritması, GPU belleğindeki fragmantasyonu %40 oranında azaltarak daha yüksek throughput sağlar.</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Özellik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Ollama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vLLM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Kullanım Kolaylığı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 (Docker benzeri)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Orta (ML Ops tecrübesi ister)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Bellek Yönetimi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Statik Rezervasyon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Dinamik (PagedAttention)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Eşzamanlılık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Düşük/Orta (Sıralı kuyruk)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Çok Yüksek (Continuous Batching)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Donanım Hedefi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Tüketici GPU / Apple Silicon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Merkezi GPU (A100/H100)</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Güvenlik, Gizlilik ve KVKK Uyumluluğu</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Vizyon Analitik sistemi, özellikle reşit olmayan katılımcıların verilerini işlediği için, siber güvenlik ve hukuk standartlarını tasarımın merkezine koyar. "Privacy by Design" (tasarımdan gelen gizlilik) prensibi benimsenmiştir.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On-Premise ve Air-Gapped Güvenlik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fiziksel olarak dış dünyaya kapalı bir ağda (air-gapped) çalışacak şekilde yapılandırılabilir. Bu, verilerin internet üzerinden sızma ihtimalini %100 ortadan kaldırır.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Tüm LLM işlemleri yerel GPU'larda gerçekleştiği için hiçbir veri bulut sağlayıcılarına (OpenAI, Google, vb.) gönderilmez.</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Güvenlik protokolleri şunları içerir:</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Şifrelenmiş Depolama:</w:t>
      </w:r>
      <w:r w:rsidDel="00000000" w:rsidR="00000000" w:rsidRPr="00000000">
        <w:rPr>
          <w:rFonts w:ascii="Google Sans" w:cs="Google Sans" w:eastAsia="Google Sans" w:hAnsi="Google Sans"/>
          <w:color w:val="1f1f1f"/>
          <w:rtl w:val="0"/>
        </w:rPr>
        <w:t xml:space="preserve"> Vektör ve grafik veritabanları AES-256 standartlarında şifrelenir.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Doğrulama:</w:t>
      </w:r>
      <w:r w:rsidDel="00000000" w:rsidR="00000000" w:rsidRPr="00000000">
        <w:rPr>
          <w:rFonts w:ascii="Google Sans" w:cs="Google Sans" w:eastAsia="Google Sans" w:hAnsi="Google Sans"/>
          <w:color w:val="1f1f1f"/>
          <w:rtl w:val="0"/>
        </w:rPr>
        <w:t xml:space="preserve"> Kullanılan LLM ağırlıkları, SHA-256 sağlama toplamları (checksums) ile doğrulanarak model zehirlenmesi (model poisoning) riskine karşı korunur.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Fiziksel Güvenlik:</w:t>
      </w:r>
      <w:r w:rsidDel="00000000" w:rsidR="00000000" w:rsidRPr="00000000">
        <w:rPr>
          <w:rFonts w:ascii="Google Sans" w:cs="Google Sans" w:eastAsia="Google Sans" w:hAnsi="Google Sans"/>
          <w:color w:val="1f1f1f"/>
          <w:rtl w:val="0"/>
        </w:rPr>
        <w:t xml:space="preserve"> Sunucu odası 7/24 kamera takibi altında tutulur ve giriş-çıkışlar biyometrik doğrulama ile kayıt altına alınır.</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KVKK ve Etik Çerçeve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6698 sayılı Kanun kapsamında, Vizyon Analitik sistemi "Veri Sorumlusu" sıfatıyla hareket eder. Sistemin hukuki uyumu şu temel direklere dayanır:</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Aydınlatma Yükümlülüğü ve Açık Rıza:</w:t>
      </w:r>
      <w:r w:rsidDel="00000000" w:rsidR="00000000" w:rsidRPr="00000000">
        <w:rPr>
          <w:rFonts w:ascii="Google Sans" w:cs="Google Sans" w:eastAsia="Google Sans" w:hAnsi="Google Sans"/>
          <w:color w:val="1f1f1f"/>
          <w:rtl w:val="0"/>
        </w:rPr>
        <w:t xml:space="preserve"> Katılımcı ve velilere sunulan aydınlatma metinleri, verinin hangi amaçla (performans analizi, sosyal gelişim takibi) işlendiğini açıkça belirtir. KVKK'nın 2026/347 sayılı kararı uyarınca, "Aydınlatma Metni" ile "Açık Rıza Beyanı" birbiriyle harmanlanmadan, ayrı belgeler olarak sunulur.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Veri Minimizasyonu:</w:t>
      </w:r>
      <w:r w:rsidDel="00000000" w:rsidR="00000000" w:rsidRPr="00000000">
        <w:rPr>
          <w:rFonts w:ascii="Google Sans" w:cs="Google Sans" w:eastAsia="Google Sans" w:hAnsi="Google Sans"/>
          <w:color w:val="1f1f1f"/>
          <w:rtl w:val="0"/>
        </w:rPr>
        <w:t xml:space="preserve"> Sadece "anlamlı bir profil" oluşturmak için gerekli olan mikro veriler toplanır. Örneğin, katılımcının özel mesaj içerikleri okunmaz; sadece bu mesajların sıklığı ve gönderim saatleri (metadata) analiz edilir.</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Erişim Kontrolü (RBAC):</w:t>
      </w:r>
      <w:r w:rsidDel="00000000" w:rsidR="00000000" w:rsidRPr="00000000">
        <w:rPr>
          <w:rFonts w:ascii="Google Sans" w:cs="Google Sans" w:eastAsia="Google Sans" w:hAnsi="Google Sans"/>
          <w:color w:val="1f1f1f"/>
          <w:rtl w:val="0"/>
        </w:rPr>
        <w:t xml:space="preserve"> Sistemde katı bir yetkilendirme hiyerarşisi uygulanır. Mentorlar sadece kendi gruplarının analizlerini görebilirken, üst düzey yöneticiler "anonimleştirilmiş" genel kamp trendlerine ve sadece kritik risk uyarılarına erişebilir.</w:t>
      </w:r>
      <w:r w:rsidDel="00000000" w:rsidR="00000000" w:rsidRPr="00000000">
        <w:rPr>
          <w:rFonts w:ascii="Google Sans" w:cs="Google Sans" w:eastAsia="Google Sans" w:hAnsi="Google Sans"/>
          <w:color w:val="444746"/>
          <w:sz w:val="24"/>
          <w:szCs w:val="24"/>
          <w:vertAlign w:val="superscript"/>
          <w:rtl w:val="0"/>
        </w:rPr>
        <w:t xml:space="preserve">48</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Yetki Seviyesi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Görünürlük Kapsamı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Katılımcı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Kişisel Görünüm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Sadece kendi gelişim puanları ve öneriler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Görünümü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Sorumlu olduğu grubun günlük analizleri ve notları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Kamp Müdürü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Erişim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Tüm link analizi, hiyerarşi haritaları ve risk raporları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 Analisti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Anonim Erişim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İsimsizleştirilmiş ham veriler üzerinde istatistiksel çalışma</w:t>
            </w:r>
          </w:p>
        </w:tc>
      </w:tr>
    </w:tbl>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Veri İmha ve Anonimleştirme Politikası</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Kamp sonunda, verilerin saklanma süresi dolduğunda otomatik imha süreçleri devreye girer. Araştırma ve gelecekteki kampları optimize etme amacıyla saklanacak veriler, "Mikro Birleştirme" (Micro-Aggregation) yöntemiyle anonimleştirilerek kimlik bilgilerinden tamamen koparılır.</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360 Derece Katılımcı Profili ve Performans Metrikleri</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Vizyon Analitik'in nihai ürünü olan "360 derece dijital profil", katılımcının gelişimini çok boyutlu bir skorlama sistemiyle özetler. Bu skorlama, sadece mentorun verdiği puanlara değil, sistemin ürettiği semantik ve matematiksel çıkarımlara dayanır.</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Skorlama Bileşenleri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Performans puanı, dört ana sütun üzerinde yükselir:</w:t>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Disiplin Endeksi (</w:t>
      </w:r>
      <w:r w:rsidDel="00000000" w:rsidR="00000000" w:rsidRPr="00000000">
        <w:rPr>
          <w:rFonts w:ascii="Google Sans" w:cs="Google Sans" w:eastAsia="Google Sans" w:hAnsi="Google Sans"/>
          <w:b w:val="1"/>
          <w:bCs w:val="1"/>
          <w:color w:val="1f1f1f"/>
        </w:rPr>
        <w:drawing>
          <wp:inline distB="19050" distT="19050" distL="19050" distR="19050">
            <wp:extent cx="157758" cy="22271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Zaman damgaları, rutine uyum ve etkinlik devamlılığı verilerinden hesaplanır.</w:t>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Sosyal Entegrasyon Skoru (</w:t>
      </w:r>
      <w:r w:rsidDel="00000000" w:rsidR="00000000" w:rsidRPr="00000000">
        <w:rPr>
          <w:rFonts w:ascii="Google Sans" w:cs="Google Sans" w:eastAsia="Google Sans" w:hAnsi="Google Sans"/>
          <w:b w:val="1"/>
          <w:bCs w:val="1"/>
          <w:color w:val="1f1f1f"/>
        </w:rPr>
        <w:drawing>
          <wp:inline distB="19050" distT="19050" distL="19050" distR="19050">
            <wp:extent cx="123676" cy="22832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Link analizi sonuçları, PageRank merkeziyeti ve topluluk içindeki konumu baz alır.</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Bilişsel/Teknik Gelişim (</w:t>
      </w:r>
      <w:r w:rsidDel="00000000" w:rsidR="00000000" w:rsidRPr="00000000">
        <w:rPr>
          <w:rFonts w:ascii="Google Sans" w:cs="Google Sans" w:eastAsia="Google Sans" w:hAnsi="Google Sans"/>
          <w:b w:val="1"/>
          <w:bCs w:val="1"/>
          <w:color w:val="1f1f1f"/>
        </w:rPr>
        <w:drawing>
          <wp:inline distB="19050" distT="19050" distL="19050" distR="19050">
            <wp:extent cx="133350" cy="2286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Mentor notlarındaki semantik çıkarımlar ve proje başarılarından elde edilir.</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Psikolojik Dayanıklılık (Resilience) (</w:t>
      </w:r>
      <w:r w:rsidDel="00000000" w:rsidR="00000000" w:rsidRPr="00000000">
        <w:rPr>
          <w:rFonts w:ascii="Google Sans" w:cs="Google Sans" w:eastAsia="Google Sans" w:hAnsi="Google Sans"/>
          <w:b w:val="1"/>
          <w:bCs w:val="1"/>
          <w:color w:val="1f1f1f"/>
        </w:rPr>
        <w:drawing>
          <wp:inline distB="19050" distT="19050" distL="19050" distR="19050">
            <wp:extent cx="141387" cy="22622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Duygu analizi trendleri ve stres yönetimi kapasitesinden türetilir.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(Burada </w:t>
      </w:r>
      <w:r w:rsidDel="00000000" w:rsidR="00000000" w:rsidRPr="00000000">
        <w:rPr>
          <w:rFonts w:ascii="Google Sans" w:cs="Google Sans" w:eastAsia="Google Sans" w:hAnsi="Google Sans"/>
          <w:i w:val="1"/>
          <w:iCs w:val="1"/>
          <w:color w:val="1f1f1f"/>
        </w:rPr>
        <w:drawing>
          <wp:inline distB="19050" distT="19050" distL="19050" distR="19050">
            <wp:extent cx="137070" cy="234978"/>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değerleri, kampın odak noktasına göre ağırlıklandırılmış katsayılardır.)</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Geri Bildirim ve Gelişim Rotası</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 elde edilen verileri kullanarak katılımcıya özel "doğal dilde" geri bildirim raporları üretir. Örneğin, "Teknik konularda çok başarılısın ancak grup çalışmalarında liderliği üstlenmekten kaçınıyorsun; sosyal etki alanını genişletmek için bir sonraki projede moderatörlük rolünü deneyebilirsin" gibi tavsiyeler LLM tarafından veriye dayalı olarak oluşturulur.</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Sonuç ve Gelecek Projeksiyonu</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Vizyon Analitik (V-RAG) sistemi, eğitim kampı operasyonlarını sadece bir lojistik süreç olmaktan çıkarıp, her saniyesi analiz edilen ve katılımcı potansiyelini matematiksel olarak kanıtlayan devasa bir veri laboratuvarına dönüştürmektedir. Palantir tarzı link analizi ile sosyal hiyerarşilerin deşifre edilmesi ve GraphRAG ile mentor tecrübesinin dijital hafızaya alınması, eğitimde kişiselleştirmenin zirvesini temsil etmektedir.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Sistemin sunduğu "dijital röntgen", katılımcıların kamp sonrası kariyer planlamalarında ve eğitim yolculuklarında sarsılmaz bir referans kaynağı olacaktır. Gelecek aşamalarda, bu sistemin "çoklu kamp analitiği" özelliği ile farklı dönemlerdeki katılımcı profillerini karşılaştırması ve "ideal katılımcı" modellemesi yaparak seçim süreçlerini optimize etmesi hedeflenmektedir.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Vizyon Analitik, veriyi sadece depolayan değil, ona ruh kazandıran ve insan gelişimini anlamlı kılan bir teknolojik vizyonun ürünüdür.</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palantir platform: gotham service definition document - gov.uk, erişim tarihi Mart 29, 2026, </w:t>
      </w:r>
      <w:hyperlink r:id="rId13">
        <w:r w:rsidDel="00000000" w:rsidR="00000000" w:rsidRPr="00000000">
          <w:rPr>
            <w:rFonts w:ascii="Google Sans" w:cs="Google Sans" w:eastAsia="Google Sans" w:hAnsi="Google Sans"/>
            <w:color w:val="0000ee"/>
            <w:sz w:val="24"/>
            <w:szCs w:val="24"/>
            <w:u w:val="single"/>
            <w:rtl w:val="0"/>
          </w:rPr>
          <w:t xml:space="preserve">https://assets.applytosupply.digitalmarketplace.service.gov.uk/g-cloud-14/documents/92736/801146272055049-service-definition-document-2024-05-02-1537.pdf</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Palantir Is Mapping Everyone's Data For The Government - Techdirt., erişim tarihi Mart 29, 2026, </w:t>
      </w:r>
      <w:hyperlink r:id="rId14">
        <w:r w:rsidDel="00000000" w:rsidR="00000000" w:rsidRPr="00000000">
          <w:rPr>
            <w:rFonts w:ascii="Google Sans" w:cs="Google Sans" w:eastAsia="Google Sans" w:hAnsi="Google Sans"/>
            <w:color w:val="0000ee"/>
            <w:sz w:val="24"/>
            <w:szCs w:val="24"/>
            <w:u w:val="single"/>
            <w:rtl w:val="0"/>
          </w:rPr>
          <w:t xml:space="preserve">https://www.techdirt.com/2025/09/11/how-palantir-is-mapping-everyones-data-for-the-government/</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AirgapAI Technical Architecture &amp; Security Overview | Enterprise Architects, erişim tarihi Mart 29, 2026, </w:t>
      </w:r>
      <w:hyperlink r:id="rId15">
        <w:r w:rsidDel="00000000" w:rsidR="00000000" w:rsidRPr="00000000">
          <w:rPr>
            <w:rFonts w:ascii="Google Sans" w:cs="Google Sans" w:eastAsia="Google Sans" w:hAnsi="Google Sans"/>
            <w:color w:val="0000ee"/>
            <w:sz w:val="24"/>
            <w:szCs w:val="24"/>
            <w:u w:val="single"/>
            <w:rtl w:val="0"/>
          </w:rPr>
          <w:t xml:space="preserve">https://iternal.ai/ai-for-enterprise-architects</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Air-Gapped Model Inference for High-Security Enterprises - NexaStack, erişim tarihi Mart 29, 2026, </w:t>
      </w:r>
      <w:hyperlink r:id="rId16">
        <w:r w:rsidDel="00000000" w:rsidR="00000000" w:rsidRPr="00000000">
          <w:rPr>
            <w:rFonts w:ascii="Google Sans" w:cs="Google Sans" w:eastAsia="Google Sans" w:hAnsi="Google Sans"/>
            <w:color w:val="0000ee"/>
            <w:sz w:val="24"/>
            <w:szCs w:val="24"/>
            <w:u w:val="single"/>
            <w:rtl w:val="0"/>
          </w:rPr>
          <w:t xml:space="preserve">https://www.nexastack.ai/blog/air-gapped-model-inference</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LLMs with FastAPI: Production Guide - Zignuts Technolab, erişim tarihi Mart 29, 2026, </w:t>
      </w:r>
      <w:hyperlink r:id="rId17">
        <w:r w:rsidDel="00000000" w:rsidR="00000000" w:rsidRPr="00000000">
          <w:rPr>
            <w:rFonts w:ascii="Google Sans" w:cs="Google Sans" w:eastAsia="Google Sans" w:hAnsi="Google Sans"/>
            <w:color w:val="0000ee"/>
            <w:sz w:val="24"/>
            <w:szCs w:val="24"/>
            <w:u w:val="single"/>
            <w:rtl w:val="0"/>
          </w:rPr>
          <w:t xml:space="preserve">https://www.zignuts.com/blog/fastapi-deploy-llms-guide</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Distributed Task Queue in Python with Celery, Redis, and FastAPI - Medium, erişim tarihi Mart 29, 2026, </w:t>
      </w:r>
      <w:hyperlink r:id="rId18">
        <w:r w:rsidDel="00000000" w:rsidR="00000000" w:rsidRPr="00000000">
          <w:rPr>
            <w:rFonts w:ascii="Google Sans" w:cs="Google Sans" w:eastAsia="Google Sans" w:hAnsi="Google Sans"/>
            <w:color w:val="0000ee"/>
            <w:sz w:val="24"/>
            <w:szCs w:val="24"/>
            <w:u w:val="single"/>
            <w:rtl w:val="0"/>
          </w:rPr>
          <w:t xml:space="preserve">https://medium.com/@bhagyarana80/creating-a-distributed-task-queue-in-python-with-celery-redis-and-fastapi-25bb6cb7ead0</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FastAPI production deployment best practices - Render, erişim tarihi Mart 29, 2026, </w:t>
      </w:r>
      <w:hyperlink r:id="rId19">
        <w:r w:rsidDel="00000000" w:rsidR="00000000" w:rsidRPr="00000000">
          <w:rPr>
            <w:rFonts w:ascii="Google Sans" w:cs="Google Sans" w:eastAsia="Google Sans" w:hAnsi="Google Sans"/>
            <w:color w:val="0000ee"/>
            <w:sz w:val="24"/>
            <w:szCs w:val="24"/>
            <w:u w:val="single"/>
            <w:rtl w:val="0"/>
          </w:rPr>
          <w:t xml:space="preserve">https://render.com/articles/fastapi-production-deployment-best-practices</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Management in FastAPI and Celery | by Rushikesh Gaikwad - Medium, erişim tarihi Mart 29, 2026, </w:t>
      </w:r>
      <w:hyperlink r:id="rId20">
        <w:r w:rsidDel="00000000" w:rsidR="00000000" w:rsidRPr="00000000">
          <w:rPr>
            <w:rFonts w:ascii="Google Sans" w:cs="Google Sans" w:eastAsia="Google Sans" w:hAnsi="Google Sans"/>
            <w:color w:val="0000ee"/>
            <w:sz w:val="24"/>
            <w:szCs w:val="24"/>
            <w:u w:val="single"/>
            <w:rtl w:val="0"/>
          </w:rPr>
          <w:t xml:space="preserve">https://medium.com/@rushi1807/memory-management-parameters-celery-and-fastapi-4638a98ec759</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vs vLLM: Performance Benchmark 2026 | SitePoint, erişim tarihi Mart 29, 2026, </w:t>
      </w:r>
      <w:hyperlink r:id="rId21">
        <w:r w:rsidDel="00000000" w:rsidR="00000000" w:rsidRPr="00000000">
          <w:rPr>
            <w:rFonts w:ascii="Google Sans" w:cs="Google Sans" w:eastAsia="Google Sans" w:hAnsi="Google Sans"/>
            <w:color w:val="0000ee"/>
            <w:sz w:val="24"/>
            <w:szCs w:val="24"/>
            <w:u w:val="single"/>
            <w:rtl w:val="0"/>
          </w:rPr>
          <w:t xml:space="preserve">https://www.sitepoint.com/ollama-vs-vllm-performance-benchmark-2026/</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Ollama Handles Parallel Requests - Rost Glukhov | Personal ..., erişim tarihi Mart 29, 2026, </w:t>
      </w:r>
      <w:hyperlink r:id="rId22">
        <w:r w:rsidDel="00000000" w:rsidR="00000000" w:rsidRPr="00000000">
          <w:rPr>
            <w:rFonts w:ascii="Google Sans" w:cs="Google Sans" w:eastAsia="Google Sans" w:hAnsi="Google Sans"/>
            <w:color w:val="0000ee"/>
            <w:sz w:val="24"/>
            <w:szCs w:val="24"/>
            <w:u w:val="single"/>
            <w:rtl w:val="0"/>
          </w:rPr>
          <w:t xml:space="preserve">https://www.glukhov.org/llm-performance/ollama/how-ollama-handles-parallel-requests/</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VRAM Requirements: Complete 2026 Guide to GPU Memory for Local LLMs, erişim tarihi Mart 29, 2026, </w:t>
      </w:r>
      <w:hyperlink r:id="rId23">
        <w:r w:rsidDel="00000000" w:rsidR="00000000" w:rsidRPr="00000000">
          <w:rPr>
            <w:rFonts w:ascii="Google Sans" w:cs="Google Sans" w:eastAsia="Google Sans" w:hAnsi="Google Sans"/>
            <w:color w:val="0000ee"/>
            <w:sz w:val="24"/>
            <w:szCs w:val="24"/>
            <w:u w:val="single"/>
            <w:rtl w:val="0"/>
          </w:rPr>
          <w:t xml:space="preserve">https://localllm.in/blog/ollama-vram-requirements-for-local-llms</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AI Models for 8GB RAM in 2026 (Tested &amp; Ranked) | Local AI Master, erişim tarihi Mart 29, 2026, </w:t>
      </w:r>
      <w:hyperlink r:id="rId24">
        <w:r w:rsidDel="00000000" w:rsidR="00000000" w:rsidRPr="00000000">
          <w:rPr>
            <w:rFonts w:ascii="Google Sans" w:cs="Google Sans" w:eastAsia="Google Sans" w:hAnsi="Google Sans"/>
            <w:color w:val="0000ee"/>
            <w:sz w:val="24"/>
            <w:szCs w:val="24"/>
            <w:u w:val="single"/>
            <w:rtl w:val="0"/>
          </w:rPr>
          <w:t xml:space="preserve">https://localaimaster.com/blog/best-local-ai-models-8gb-ram</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Boosting Your Anomaly Detection With LLMs | Towards Data Science, erişim tarihi Mart 29, 2026, </w:t>
      </w:r>
      <w:hyperlink r:id="rId25">
        <w:r w:rsidDel="00000000" w:rsidR="00000000" w:rsidRPr="00000000">
          <w:rPr>
            <w:rFonts w:ascii="Google Sans" w:cs="Google Sans" w:eastAsia="Google Sans" w:hAnsi="Google Sans"/>
            <w:color w:val="0000ee"/>
            <w:sz w:val="24"/>
            <w:szCs w:val="24"/>
            <w:u w:val="single"/>
            <w:rtl w:val="0"/>
          </w:rPr>
          <w:t xml:space="preserve">https://towardsdatascience.com/boosting-your-anomaly-detection-with-llms/</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 Neo4j Labs, erişim tarihi Mart 29, 2026, </w:t>
      </w:r>
      <w:hyperlink r:id="rId26">
        <w:r w:rsidDel="00000000" w:rsidR="00000000" w:rsidRPr="00000000">
          <w:rPr>
            <w:rFonts w:ascii="Google Sans" w:cs="Google Sans" w:eastAsia="Google Sans" w:hAnsi="Google Sans"/>
            <w:color w:val="0000ee"/>
            <w:sz w:val="24"/>
            <w:szCs w:val="24"/>
            <w:u w:val="single"/>
            <w:rtl w:val="0"/>
          </w:rPr>
          <w:t xml:space="preserve">https://neo4j.com/labs/genai-ecosystem/graphrag/</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System with LangChain, Gemini and Neo4j | by Vaibhav Agarwal - Medium, erişim tarihi Mart 29, 2026, </w:t>
      </w:r>
      <w:hyperlink r:id="rId27">
        <w:r w:rsidDel="00000000" w:rsidR="00000000" w:rsidRPr="00000000">
          <w:rPr>
            <w:rFonts w:ascii="Google Sans" w:cs="Google Sans" w:eastAsia="Google Sans" w:hAnsi="Google Sans"/>
            <w:color w:val="0000ee"/>
            <w:sz w:val="24"/>
            <w:szCs w:val="24"/>
            <w:u w:val="single"/>
            <w:rtl w:val="0"/>
          </w:rPr>
          <w:t xml:space="preserve">https://medium.com/@vaibhav.agarwal.iitd/building-a-graphrag-system-with-langchain-e63f5e374475</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GraphRAG? - Neo4j, erişim tarihi Mart 29, 2026, </w:t>
      </w:r>
      <w:hyperlink r:id="rId28">
        <w:r w:rsidDel="00000000" w:rsidR="00000000" w:rsidRPr="00000000">
          <w:rPr>
            <w:rFonts w:ascii="Google Sans" w:cs="Google Sans" w:eastAsia="Google Sans" w:hAnsi="Google Sans"/>
            <w:color w:val="0000ee"/>
            <w:sz w:val="24"/>
            <w:szCs w:val="24"/>
            <w:u w:val="single"/>
            <w:rtl w:val="0"/>
          </w:rPr>
          <w:t xml:space="preserve">https://neo4j.com/blog/genai/what-is-graphrag/</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Explained: Building Knowledge-Grounded LLM Systems ..., erişim tarihi Mart 29, 2026, </w:t>
      </w:r>
      <w:hyperlink r:id="rId29">
        <w:r w:rsidDel="00000000" w:rsidR="00000000" w:rsidRPr="00000000">
          <w:rPr>
            <w:rFonts w:ascii="Google Sans" w:cs="Google Sans" w:eastAsia="Google Sans" w:hAnsi="Google Sans"/>
            <w:color w:val="0000ee"/>
            <w:sz w:val="24"/>
            <w:szCs w:val="24"/>
            <w:u w:val="single"/>
            <w:rtl w:val="0"/>
          </w:rPr>
          <w:t xml:space="preserve">https://pub.towardsai.net/graphrag-explained-building-knowledge-grounded-llm-systems-with-neo4j-and-langchain-017a1820763e</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with Qdrant and Neo4j, erişim tarihi Mart 29, 2026, </w:t>
      </w:r>
      <w:hyperlink r:id="rId30">
        <w:r w:rsidDel="00000000" w:rsidR="00000000" w:rsidRPr="00000000">
          <w:rPr>
            <w:rFonts w:ascii="Google Sans" w:cs="Google Sans" w:eastAsia="Google Sans" w:hAnsi="Google Sans"/>
            <w:color w:val="0000ee"/>
            <w:sz w:val="24"/>
            <w:szCs w:val="24"/>
            <w:u w:val="single"/>
            <w:rtl w:val="0"/>
          </w:rPr>
          <w:t xml:space="preserve">https://qdrant.tech/documentation/examples/graphrag-qdrant-neo4j/</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Quantitative Frameworks for Capture System Performance Metrics, erişim tarihi Mart 29, 2026, </w:t>
      </w:r>
      <w:hyperlink r:id="rId31">
        <w:r w:rsidDel="00000000" w:rsidR="00000000" w:rsidRPr="00000000">
          <w:rPr>
            <w:rFonts w:ascii="Google Sans" w:cs="Google Sans" w:eastAsia="Google Sans" w:hAnsi="Google Sans"/>
            <w:color w:val="0000ee"/>
            <w:sz w:val="24"/>
            <w:szCs w:val="24"/>
            <w:u w:val="single"/>
            <w:rtl w:val="0"/>
          </w:rPr>
          <w:t xml:space="preserve">https://eureka.patsnap.com/report-quantitative-frameworks-for-capture-system-performance-metrics</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Methods Compared and Explained - AltexSoft, erişim tarihi Mart 29, 2026, </w:t>
      </w:r>
      <w:hyperlink r:id="rId32">
        <w:r w:rsidDel="00000000" w:rsidR="00000000" w:rsidRPr="00000000">
          <w:rPr>
            <w:rFonts w:ascii="Google Sans" w:cs="Google Sans" w:eastAsia="Google Sans" w:hAnsi="Google Sans"/>
            <w:color w:val="0000ee"/>
            <w:sz w:val="24"/>
            <w:szCs w:val="24"/>
            <w:u w:val="single"/>
            <w:rtl w:val="0"/>
          </w:rPr>
          <w:t xml:space="preserve">https://www.altexsoft.com/blog/sentiment-analysis-methods/</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an LLM for Sentiment Analysis? - ProjectPro, erişim tarihi Mart 29, 2026, </w:t>
      </w:r>
      <w:hyperlink r:id="rId33">
        <w:r w:rsidDel="00000000" w:rsidR="00000000" w:rsidRPr="00000000">
          <w:rPr>
            <w:rFonts w:ascii="Google Sans" w:cs="Google Sans" w:eastAsia="Google Sans" w:hAnsi="Google Sans"/>
            <w:color w:val="0000ee"/>
            <w:sz w:val="24"/>
            <w:szCs w:val="24"/>
            <w:u w:val="single"/>
            <w:rtl w:val="0"/>
          </w:rPr>
          <w:t xml:space="preserve">https://www.projectpro.io/article/llm-sentiment-analysis/1125</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LLM Sentiment Analysis for Smarter Insights - Lamatic Labs, erişim tarihi Mart 29, 2026, </w:t>
      </w:r>
      <w:hyperlink r:id="rId34">
        <w:r w:rsidDel="00000000" w:rsidR="00000000" w:rsidRPr="00000000">
          <w:rPr>
            <w:rFonts w:ascii="Google Sans" w:cs="Google Sans" w:eastAsia="Google Sans" w:hAnsi="Google Sans"/>
            <w:color w:val="0000ee"/>
            <w:sz w:val="24"/>
            <w:szCs w:val="24"/>
            <w:u w:val="single"/>
            <w:rtl w:val="0"/>
          </w:rPr>
          <w:t xml:space="preserve">https://labs.lamatic.ai/p/llm-sentiment-analysis/</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Update – Introducing the Benchmark Data Dashboard! - Flashlight Learning, erişim tarihi Mart 29, 2026, </w:t>
      </w:r>
      <w:hyperlink r:id="rId35">
        <w:r w:rsidDel="00000000" w:rsidR="00000000" w:rsidRPr="00000000">
          <w:rPr>
            <w:rFonts w:ascii="Google Sans" w:cs="Google Sans" w:eastAsia="Google Sans" w:hAnsi="Google Sans"/>
            <w:color w:val="0000ee"/>
            <w:sz w:val="24"/>
            <w:szCs w:val="24"/>
            <w:u w:val="single"/>
            <w:rtl w:val="0"/>
          </w:rPr>
          <w:t xml:space="preserve">https://flashlight360.com/product-update-introducing-the-benchmark-data-dashboard/</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PageRank :: Graph Data Science Library - TigerGraph Documentation, erişim tarihi Mart 29, 2026, </w:t>
      </w:r>
      <w:hyperlink r:id="rId36">
        <w:r w:rsidDel="00000000" w:rsidR="00000000" w:rsidRPr="00000000">
          <w:rPr>
            <w:rFonts w:ascii="Google Sans" w:cs="Google Sans" w:eastAsia="Google Sans" w:hAnsi="Google Sans"/>
            <w:color w:val="0000ee"/>
            <w:sz w:val="24"/>
            <w:szCs w:val="24"/>
            <w:u w:val="single"/>
            <w:rtl w:val="0"/>
          </w:rPr>
          <w:t xml:space="preserve">https://docs.tigergraph.com/graph-ml/3.10/centrality-algorithms/pagerank</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Algorithms for Social Network Analysis: Unraveling the Web of Connections - AlgoCademy, erişim tarihi Mart 29, 2026, </w:t>
      </w:r>
      <w:hyperlink r:id="rId37">
        <w:r w:rsidDel="00000000" w:rsidR="00000000" w:rsidRPr="00000000">
          <w:rPr>
            <w:rFonts w:ascii="Google Sans" w:cs="Google Sans" w:eastAsia="Google Sans" w:hAnsi="Google Sans"/>
            <w:color w:val="0000ee"/>
            <w:sz w:val="24"/>
            <w:szCs w:val="24"/>
            <w:u w:val="single"/>
            <w:rtl w:val="0"/>
          </w:rPr>
          <w:t xml:space="preserve">https://algocademy.com/blog/algorithms-for-social-network-analysis-unraveling-the-web-of-connections/</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Leiden - Neo4j Graph Data Science, erişim tarihi Mart 29, 2026, </w:t>
      </w:r>
      <w:hyperlink r:id="rId38">
        <w:r w:rsidDel="00000000" w:rsidR="00000000" w:rsidRPr="00000000">
          <w:rPr>
            <w:rFonts w:ascii="Google Sans" w:cs="Google Sans" w:eastAsia="Google Sans" w:hAnsi="Google Sans"/>
            <w:color w:val="0000ee"/>
            <w:sz w:val="24"/>
            <w:szCs w:val="24"/>
            <w:u w:val="single"/>
            <w:rtl w:val="0"/>
          </w:rPr>
          <w:t xml:space="preserve">https://neo4j.com/docs/graph-data-science/current/algorithms/leiden/</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Louvain - Neo4j Graph Data Science, erişim tarihi Mart 29, 2026, </w:t>
      </w:r>
      <w:hyperlink r:id="rId39">
        <w:r w:rsidDel="00000000" w:rsidR="00000000" w:rsidRPr="00000000">
          <w:rPr>
            <w:rFonts w:ascii="Google Sans" w:cs="Google Sans" w:eastAsia="Google Sans" w:hAnsi="Google Sans"/>
            <w:color w:val="0000ee"/>
            <w:sz w:val="24"/>
            <w:szCs w:val="24"/>
            <w:u w:val="single"/>
            <w:rtl w:val="0"/>
          </w:rPr>
          <w:t xml:space="preserve">https://neo4j.com/docs/graph-data-science/current/algorithms/louvain/</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Social Network Analysis: A primer, a guide and a tutorial in R, erişim tarihi Mart 29, 2026, </w:t>
      </w:r>
      <w:hyperlink r:id="rId40">
        <w:r w:rsidDel="00000000" w:rsidR="00000000" w:rsidRPr="00000000">
          <w:rPr>
            <w:rFonts w:ascii="Google Sans" w:cs="Google Sans" w:eastAsia="Google Sans" w:hAnsi="Google Sans"/>
            <w:color w:val="0000ee"/>
            <w:sz w:val="24"/>
            <w:szCs w:val="24"/>
            <w:u w:val="single"/>
            <w:rtl w:val="0"/>
          </w:rPr>
          <w:t xml:space="preserve">https://lamethods.org/book1/chapters/ch15-sna/ch15-sna.html</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Theory - Social Network Analysis - TutorialsPoint, erişim tarihi Mart 29, 2026, </w:t>
      </w:r>
      <w:hyperlink r:id="rId41">
        <w:r w:rsidDel="00000000" w:rsidR="00000000" w:rsidRPr="00000000">
          <w:rPr>
            <w:rFonts w:ascii="Google Sans" w:cs="Google Sans" w:eastAsia="Google Sans" w:hAnsi="Google Sans"/>
            <w:color w:val="0000ee"/>
            <w:sz w:val="24"/>
            <w:szCs w:val="24"/>
            <w:u w:val="single"/>
            <w:rtl w:val="0"/>
          </w:rPr>
          <w:t xml:space="preserve">https://www.tutorialspoint.com/graph_theory/graph_theory_social_network_analysis.htm</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Sentiment Classification and Irony Detection in Large Language Models through Advanced Prompt Engineering Techniques - arXiv, erişim tarihi Mart 29, 2026, </w:t>
      </w:r>
      <w:hyperlink r:id="rId42">
        <w:r w:rsidDel="00000000" w:rsidR="00000000" w:rsidRPr="00000000">
          <w:rPr>
            <w:rFonts w:ascii="Google Sans" w:cs="Google Sans" w:eastAsia="Google Sans" w:hAnsi="Google Sans"/>
            <w:color w:val="0000ee"/>
            <w:sz w:val="24"/>
            <w:szCs w:val="24"/>
            <w:u w:val="single"/>
            <w:rtl w:val="0"/>
          </w:rPr>
          <w:t xml:space="preserve">https://arxiv.org/html/2601.08302v1</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Confront Insider Threat: Precise Anomaly Detection in Behavior Logs Based on LLM Fine-Tuning - ACL Anthology, erişim tarihi Mart 29, 2026, </w:t>
      </w:r>
      <w:hyperlink r:id="rId43">
        <w:r w:rsidDel="00000000" w:rsidR="00000000" w:rsidRPr="00000000">
          <w:rPr>
            <w:rFonts w:ascii="Google Sans" w:cs="Google Sans" w:eastAsia="Google Sans" w:hAnsi="Google Sans"/>
            <w:color w:val="0000ee"/>
            <w:sz w:val="24"/>
            <w:szCs w:val="24"/>
            <w:u w:val="single"/>
            <w:rtl w:val="0"/>
          </w:rPr>
          <w:t xml:space="preserve">https://aclanthology.org/2025.coling-main.574.pdf</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Cerebrium articles | The Shortcomings of Celery + Redis for ML ..., erişim tarihi Mart 29, 2026, </w:t>
      </w:r>
      <w:hyperlink r:id="rId44">
        <w:r w:rsidDel="00000000" w:rsidR="00000000" w:rsidRPr="00000000">
          <w:rPr>
            <w:rFonts w:ascii="Google Sans" w:cs="Google Sans" w:eastAsia="Google Sans" w:hAnsi="Google Sans"/>
            <w:color w:val="0000ee"/>
            <w:sz w:val="24"/>
            <w:szCs w:val="24"/>
            <w:u w:val="single"/>
            <w:rtl w:val="0"/>
          </w:rPr>
          <w:t xml:space="preserve">https://www.cerebrium.ai/articles/celery-redis-vs-cerebrium</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“Celery + Redis + FastAPI: The Ultimate 2025 Production Guide (Broker vs Backend Explained)” | by Dewasheesh Rana | Medium, erişim tarihi Mart 29, 2026, </w:t>
      </w:r>
      <w:hyperlink r:id="rId45">
        <w:r w:rsidDel="00000000" w:rsidR="00000000" w:rsidRPr="00000000">
          <w:rPr>
            <w:rFonts w:ascii="Google Sans" w:cs="Google Sans" w:eastAsia="Google Sans" w:hAnsi="Google Sans"/>
            <w:color w:val="0000ee"/>
            <w:sz w:val="24"/>
            <w:szCs w:val="24"/>
            <w:u w:val="single"/>
            <w:rtl w:val="0"/>
          </w:rPr>
          <w:t xml:space="preserve">https://medium.com/@dewasheesh.rana/celery-redis-fastapi-the-ultimate-2025-production-guide-broker-vs-backend-explained-5b84ef508fa7</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Scalable LLM Message Processing System with FastAPI + Celery + Redis + MongoDB | by Nikita Arora | Medium, erişim tarihi Mart 29, 2026, </w:t>
      </w:r>
      <w:hyperlink r:id="rId46">
        <w:r w:rsidDel="00000000" w:rsidR="00000000" w:rsidRPr="00000000">
          <w:rPr>
            <w:rFonts w:ascii="Google Sans" w:cs="Google Sans" w:eastAsia="Google Sans" w:hAnsi="Google Sans"/>
            <w:color w:val="0000ee"/>
            <w:sz w:val="24"/>
            <w:szCs w:val="24"/>
            <w:u w:val="single"/>
            <w:rtl w:val="0"/>
          </w:rPr>
          <w:t xml:space="preserve">https://medium.com/@aroranik452/building-a-scalable-llm-message-processing-system-with-fastapi-celery-redis-mongodb-17a1d0d07f06</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Ollama_Tuning_Guide/docs/ram-management.md at main - GitHub, erişim tarihi Mart 29, 2026, </w:t>
      </w:r>
      <w:hyperlink r:id="rId47">
        <w:r w:rsidDel="00000000" w:rsidR="00000000" w:rsidRPr="00000000">
          <w:rPr>
            <w:rFonts w:ascii="Google Sans" w:cs="Google Sans" w:eastAsia="Google Sans" w:hAnsi="Google Sans"/>
            <w:color w:val="0000ee"/>
            <w:sz w:val="24"/>
            <w:szCs w:val="24"/>
            <w:u w:val="single"/>
            <w:rtl w:val="0"/>
          </w:rPr>
          <w:t xml:space="preserve">https://github.com/jameschrisa/Ollama_Tuning_Guide/blob/main/docs/ram-management.md</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vLLM vs. Ollama: When to use each framework - Red Hat, erişim tarihi Mart 29, 2026, </w:t>
      </w:r>
      <w:hyperlink r:id="rId48">
        <w:r w:rsidDel="00000000" w:rsidR="00000000" w:rsidRPr="00000000">
          <w:rPr>
            <w:rFonts w:ascii="Google Sans" w:cs="Google Sans" w:eastAsia="Google Sans" w:hAnsi="Google Sans"/>
            <w:color w:val="0000ee"/>
            <w:sz w:val="24"/>
            <w:szCs w:val="24"/>
            <w:u w:val="single"/>
            <w:rtl w:val="0"/>
          </w:rPr>
          <w:t xml:space="preserve">https://www.redhat.com/en/topics/ai/vllm-vs-ollama</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Intelligence: The Strategic Necessity of Air-Gapped AI Systems in the Age of Cloud-Based LLMs - DSpace@MIT, erişim tarihi Mart 29, 2026, </w:t>
      </w:r>
      <w:hyperlink r:id="rId49">
        <w:r w:rsidDel="00000000" w:rsidR="00000000" w:rsidRPr="00000000">
          <w:rPr>
            <w:rFonts w:ascii="Google Sans" w:cs="Google Sans" w:eastAsia="Google Sans" w:hAnsi="Google Sans"/>
            <w:color w:val="0000ee"/>
            <w:sz w:val="24"/>
            <w:szCs w:val="24"/>
            <w:u w:val="single"/>
            <w:rtl w:val="0"/>
          </w:rPr>
          <w:t xml:space="preserve">https://dspace.mit.edu/bitstream/handle/1721.1/164901/MIT-LIN-151372.pdf?sequence=1&amp;isAllowed=y</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LLM Deployment: Privacy-First AI Complete Guide, erişim tarihi Mart 29, 2026, </w:t>
      </w:r>
      <w:hyperlink r:id="rId50">
        <w:r w:rsidDel="00000000" w:rsidR="00000000" w:rsidRPr="00000000">
          <w:rPr>
            <w:rFonts w:ascii="Google Sans" w:cs="Google Sans" w:eastAsia="Google Sans" w:hAnsi="Google Sans"/>
            <w:color w:val="0000ee"/>
            <w:sz w:val="24"/>
            <w:szCs w:val="24"/>
            <w:u w:val="single"/>
            <w:rtl w:val="0"/>
          </w:rPr>
          <w:t xml:space="preserve">https://www.digitalapplied.com/blog/local-llm-deployment-privacy-guide-2025</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LLMs for Ollama on 16GB VRAM GPU - DEV Community, erişim tarihi Mart 29, 2026, </w:t>
      </w:r>
      <w:hyperlink r:id="rId51">
        <w:r w:rsidDel="00000000" w:rsidR="00000000" w:rsidRPr="00000000">
          <w:rPr>
            <w:rFonts w:ascii="Google Sans" w:cs="Google Sans" w:eastAsia="Google Sans" w:hAnsi="Google Sans"/>
            <w:color w:val="0000ee"/>
            <w:sz w:val="24"/>
            <w:szCs w:val="24"/>
            <w:u w:val="single"/>
            <w:rtl w:val="0"/>
          </w:rPr>
          <w:t xml:space="preserve">https://dev.to/rosgluk/best-llms-for-ollama-on-16gb-vram-gpu-393h</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Kişisel Verilerin Korunması ve İşlenmesi Politikası - CottGroup, erişim tarihi Mart 29, 2026, </w:t>
      </w:r>
      <w:hyperlink r:id="rId52">
        <w:r w:rsidDel="00000000" w:rsidR="00000000" w:rsidRPr="00000000">
          <w:rPr>
            <w:rFonts w:ascii="Google Sans" w:cs="Google Sans" w:eastAsia="Google Sans" w:hAnsi="Google Sans"/>
            <w:color w:val="0000ee"/>
            <w:sz w:val="24"/>
            <w:szCs w:val="24"/>
            <w:u w:val="single"/>
            <w:rtl w:val="0"/>
          </w:rPr>
          <w:t xml:space="preserve">https://www.cottgroup.com/tr/kvkk-hakkinda-bilgilendirme</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25 Cloud Security Best Practices - SentinelOne, erişim tarihi Mart 29, 2026, </w:t>
      </w:r>
      <w:hyperlink r:id="rId53">
        <w:r w:rsidDel="00000000" w:rsidR="00000000" w:rsidRPr="00000000">
          <w:rPr>
            <w:rFonts w:ascii="Google Sans" w:cs="Google Sans" w:eastAsia="Google Sans" w:hAnsi="Google Sans"/>
            <w:color w:val="0000ee"/>
            <w:sz w:val="24"/>
            <w:szCs w:val="24"/>
            <w:u w:val="single"/>
            <w:rtl w:val="0"/>
          </w:rPr>
          <w:t xml:space="preserve">https://www.sentinelone.com/cybersecurity-101/cloud-security/cloud-security-best-practices/</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AI Security: 12 Best Practices for Deploying LLMs in Production - Prem AI, erişim tarihi Mart 29, 2026, </w:t>
      </w:r>
      <w:hyperlink r:id="rId54">
        <w:r w:rsidDel="00000000" w:rsidR="00000000" w:rsidRPr="00000000">
          <w:rPr>
            <w:rFonts w:ascii="Google Sans" w:cs="Google Sans" w:eastAsia="Google Sans" w:hAnsi="Google Sans"/>
            <w:color w:val="0000ee"/>
            <w:sz w:val="24"/>
            <w:szCs w:val="24"/>
            <w:u w:val="single"/>
            <w:rtl w:val="0"/>
          </w:rPr>
          <w:t xml:space="preserve">https://blog.premai.io/enterprise-ai-security-12-best-practices-for-deploying-llms-in-production/</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Kişisel Veri Saklama ve İmha Politikası - MYK | Mesleki Yeterlilik Kurumu, erişim tarihi Mart 29, 2026, </w:t>
      </w:r>
      <w:hyperlink r:id="rId55">
        <w:r w:rsidDel="00000000" w:rsidR="00000000" w:rsidRPr="00000000">
          <w:rPr>
            <w:rFonts w:ascii="Google Sans" w:cs="Google Sans" w:eastAsia="Google Sans" w:hAnsi="Google Sans"/>
            <w:color w:val="0000ee"/>
            <w:sz w:val="24"/>
            <w:szCs w:val="24"/>
            <w:u w:val="single"/>
            <w:rtl w:val="0"/>
          </w:rPr>
          <w:t xml:space="preserve">https://www.myk.gov.tr/tr/page/201</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KVKK – İMİ Koleji, erişim tarihi Mart 29, 2026, </w:t>
      </w:r>
      <w:hyperlink r:id="rId56">
        <w:r w:rsidDel="00000000" w:rsidR="00000000" w:rsidRPr="00000000">
          <w:rPr>
            <w:rFonts w:ascii="Google Sans" w:cs="Google Sans" w:eastAsia="Google Sans" w:hAnsi="Google Sans"/>
            <w:color w:val="0000ee"/>
            <w:sz w:val="24"/>
            <w:szCs w:val="24"/>
            <w:u w:val="single"/>
            <w:rtl w:val="0"/>
          </w:rPr>
          <w:t xml:space="preserve">https://www.imikoleji.k12.tr/kvkk/</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Turkey's DPA bans bundled consent texts in a ruling that reshapes data collection, erişim tarihi Mart 29, 2026, </w:t>
      </w:r>
      <w:hyperlink r:id="rId57">
        <w:r w:rsidDel="00000000" w:rsidR="00000000" w:rsidRPr="00000000">
          <w:rPr>
            <w:rFonts w:ascii="Google Sans" w:cs="Google Sans" w:eastAsia="Google Sans" w:hAnsi="Google Sans"/>
            <w:color w:val="0000ee"/>
            <w:sz w:val="24"/>
            <w:szCs w:val="24"/>
            <w:u w:val="single"/>
            <w:rtl w:val="0"/>
          </w:rPr>
          <w:t xml:space="preserve">https://ppc.land/turkeys-dpa-bans-bundled-consent-texts-in-a-ruling-that-reshapes-data-collection/</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KİŞİSEL VERİ GÜVENLİĞİ REHBERİ (Teknik ve İdari ... - KVKK, erişim tarihi Mart 29, 2026, </w:t>
      </w:r>
      <w:hyperlink r:id="rId58">
        <w:r w:rsidDel="00000000" w:rsidR="00000000" w:rsidRPr="00000000">
          <w:rPr>
            <w:rFonts w:ascii="Google Sans" w:cs="Google Sans" w:eastAsia="Google Sans" w:hAnsi="Google Sans"/>
            <w:color w:val="0000ee"/>
            <w:sz w:val="24"/>
            <w:szCs w:val="24"/>
            <w:u w:val="single"/>
            <w:rtl w:val="0"/>
          </w:rPr>
          <w:t xml:space="preserve">https://www.kvkk.gov.tr/yayinlar/veri_guvenligi_rehberi.pdf</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Kişisel Veri Saklama ve İmha Politikası - TÜRMOB, erişim tarihi Mart 29, 2026, </w:t>
      </w:r>
      <w:hyperlink r:id="rId59">
        <w:r w:rsidDel="00000000" w:rsidR="00000000" w:rsidRPr="00000000">
          <w:rPr>
            <w:rFonts w:ascii="Google Sans" w:cs="Google Sans" w:eastAsia="Google Sans" w:hAnsi="Google Sans"/>
            <w:color w:val="0000ee"/>
            <w:sz w:val="24"/>
            <w:szCs w:val="24"/>
            <w:u w:val="single"/>
            <w:rtl w:val="0"/>
          </w:rPr>
          <w:t xml:space="preserve">https://www.turmob.org.tr/arsiv/kvkk/1_TURMOB_Kisisel_Veri_Saklama_ve_Imha_Politikasi.pdf</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9 LLM Security Best Practices - Check Point Software, erişim tarihi Mart 29, 2026, </w:t>
      </w:r>
      <w:hyperlink r:id="rId60">
        <w:r w:rsidDel="00000000" w:rsidR="00000000" w:rsidRPr="00000000">
          <w:rPr>
            <w:rFonts w:ascii="Google Sans" w:cs="Google Sans" w:eastAsia="Google Sans" w:hAnsi="Google Sans"/>
            <w:color w:val="0000ee"/>
            <w:sz w:val="24"/>
            <w:szCs w:val="24"/>
            <w:u w:val="single"/>
            <w:rtl w:val="0"/>
          </w:rPr>
          <w:t xml:space="preserve">https://www.checkpoint.com/cyber-hub/what-is-llm-security/llm-security-best-practices/</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RBAC vs ABAC: API Security Implications - Blog - DreamFactory, erişim tarihi Mart 29, 2026, </w:t>
      </w:r>
      <w:hyperlink r:id="rId61">
        <w:r w:rsidDel="00000000" w:rsidR="00000000" w:rsidRPr="00000000">
          <w:rPr>
            <w:rFonts w:ascii="Google Sans" w:cs="Google Sans" w:eastAsia="Google Sans" w:hAnsi="Google Sans"/>
            <w:color w:val="0000ee"/>
            <w:sz w:val="24"/>
            <w:szCs w:val="24"/>
            <w:u w:val="single"/>
            <w:rtl w:val="0"/>
          </w:rPr>
          <w:t xml:space="preserve">https://blog.dreamfactory.com/rbac-vs-abac-api-security-implications</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KVKK in Turkey: What It Is &amp; Why It Matters | Kooch, erişim tarihi Mart 29, 2026, </w:t>
      </w:r>
      <w:hyperlink r:id="rId62">
        <w:r w:rsidDel="00000000" w:rsidR="00000000" w:rsidRPr="00000000">
          <w:rPr>
            <w:rFonts w:ascii="Google Sans" w:cs="Google Sans" w:eastAsia="Google Sans" w:hAnsi="Google Sans"/>
            <w:color w:val="0000ee"/>
            <w:sz w:val="24"/>
            <w:szCs w:val="24"/>
            <w:u w:val="single"/>
            <w:rtl w:val="0"/>
          </w:rPr>
          <w:t xml:space="preserve">https://kooch.co/en/post/understanding-kvkk-in-turkey-what-it-is-why-it-matters</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Benchmarks® 360-Degree Assessment Suite - Frontline Training Solutions, erişim tarihi Mart 29, 2026, </w:t>
      </w:r>
      <w:hyperlink r:id="rId63">
        <w:r w:rsidDel="00000000" w:rsidR="00000000" w:rsidRPr="00000000">
          <w:rPr>
            <w:rFonts w:ascii="Google Sans" w:cs="Google Sans" w:eastAsia="Google Sans" w:hAnsi="Google Sans"/>
            <w:color w:val="0000ee"/>
            <w:sz w:val="24"/>
            <w:szCs w:val="24"/>
            <w:u w:val="single"/>
            <w:rtl w:val="0"/>
          </w:rPr>
          <w:t xml:space="preserve">https://frontlineon.com/solutions/assessments/360-feedback-assessments/benchmarks360/</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a 360-degree Assessment: A transformative approach to professional development | UNSSC, erişim tarihi Mart 29, 2026, </w:t>
      </w:r>
      <w:hyperlink r:id="rId64">
        <w:r w:rsidDel="00000000" w:rsidR="00000000" w:rsidRPr="00000000">
          <w:rPr>
            <w:rFonts w:ascii="Google Sans" w:cs="Google Sans" w:eastAsia="Google Sans" w:hAnsi="Google Sans"/>
            <w:color w:val="0000ee"/>
            <w:sz w:val="24"/>
            <w:szCs w:val="24"/>
            <w:u w:val="single"/>
            <w:rtl w:val="0"/>
          </w:rPr>
          <w:t xml:space="preserve">https://www.unssc.org/news-and-insights/blog/power-360-degree-assessment-transformative-approach-professional-development</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Benchmark360 - Education360, erişim tarihi Mart 29, 2026, </w:t>
      </w:r>
      <w:hyperlink r:id="rId65">
        <w:r w:rsidDel="00000000" w:rsidR="00000000" w:rsidRPr="00000000">
          <w:rPr>
            <w:rFonts w:ascii="Google Sans" w:cs="Google Sans" w:eastAsia="Google Sans" w:hAnsi="Google Sans"/>
            <w:color w:val="0000ee"/>
            <w:sz w:val="24"/>
            <w:szCs w:val="24"/>
            <w:u w:val="single"/>
            <w:rtl w:val="0"/>
          </w:rPr>
          <w:t xml:space="preserve">https://education360.com.au/education360-pillars/benchmark360-k-12/</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360: The Quality vs. Outcomes Smackdown | American Camp Association, erişim tarihi Mart 29, 2026, </w:t>
      </w:r>
      <w:hyperlink r:id="rId66">
        <w:r w:rsidDel="00000000" w:rsidR="00000000" w:rsidRPr="00000000">
          <w:rPr>
            <w:rFonts w:ascii="Google Sans" w:cs="Google Sans" w:eastAsia="Google Sans" w:hAnsi="Google Sans"/>
            <w:color w:val="0000ee"/>
            <w:sz w:val="24"/>
            <w:szCs w:val="24"/>
            <w:u w:val="single"/>
            <w:rtl w:val="0"/>
          </w:rPr>
          <w:t xml:space="preserve">https://www.acacamps.org/blog/research-360-quality-vs-outcomes-smackdown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amethods.org/book1/chapters/ch15-sna/ch15-sna.html" TargetMode="External"/><Relationship Id="rId42" Type="http://schemas.openxmlformats.org/officeDocument/2006/relationships/hyperlink" Target="https://arxiv.org/html/2601.08302v1" TargetMode="External"/><Relationship Id="rId41" Type="http://schemas.openxmlformats.org/officeDocument/2006/relationships/hyperlink" Target="https://www.tutorialspoint.com/graph_theory/graph_theory_social_network_analysis.htm" TargetMode="External"/><Relationship Id="rId44" Type="http://schemas.openxmlformats.org/officeDocument/2006/relationships/hyperlink" Target="https://www.cerebrium.ai/articles/celery-redis-vs-cerebrium" TargetMode="External"/><Relationship Id="rId43" Type="http://schemas.openxmlformats.org/officeDocument/2006/relationships/hyperlink" Target="https://aclanthology.org/2025.coling-main.574.pdf" TargetMode="External"/><Relationship Id="rId46" Type="http://schemas.openxmlformats.org/officeDocument/2006/relationships/hyperlink" Target="https://medium.com/@aroranik452/building-a-scalable-llm-message-processing-system-with-fastapi-celery-redis-mongodb-17a1d0d07f06" TargetMode="External"/><Relationship Id="rId45" Type="http://schemas.openxmlformats.org/officeDocument/2006/relationships/hyperlink" Target="https://medium.com/@dewasheesh.rana/celery-redis-fastapi-the-ultimate-2025-production-guide-broker-vs-backend-explained-5b84ef508fa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redhat.com/en/topics/ai/vllm-vs-ollama" TargetMode="External"/><Relationship Id="rId47" Type="http://schemas.openxmlformats.org/officeDocument/2006/relationships/hyperlink" Target="https://github.com/jameschrisa/Ollama_Tuning_Guide/blob/main/docs/ram-management.md" TargetMode="External"/><Relationship Id="rId49" Type="http://schemas.openxmlformats.org/officeDocument/2006/relationships/hyperlink" Target="https://dspace.mit.edu/bitstream/handle/1721.1/164901/MIT-LIN-151372.pdf?sequence=1&amp;isAllowed=y"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eureka.patsnap.com/report-quantitative-frameworks-for-capture-system-performance-metrics" TargetMode="External"/><Relationship Id="rId30" Type="http://schemas.openxmlformats.org/officeDocument/2006/relationships/hyperlink" Target="https://qdrant.tech/documentation/examples/graphrag-qdrant-neo4j/" TargetMode="External"/><Relationship Id="rId33" Type="http://schemas.openxmlformats.org/officeDocument/2006/relationships/hyperlink" Target="https://www.projectpro.io/article/llm-sentiment-analysis/1125" TargetMode="External"/><Relationship Id="rId32" Type="http://schemas.openxmlformats.org/officeDocument/2006/relationships/hyperlink" Target="https://www.altexsoft.com/blog/sentiment-analysis-methods/" TargetMode="External"/><Relationship Id="rId35" Type="http://schemas.openxmlformats.org/officeDocument/2006/relationships/hyperlink" Target="https://flashlight360.com/product-update-introducing-the-benchmark-data-dashboard/" TargetMode="External"/><Relationship Id="rId34" Type="http://schemas.openxmlformats.org/officeDocument/2006/relationships/hyperlink" Target="https://labs.lamatic.ai/p/llm-sentiment-analysis/" TargetMode="External"/><Relationship Id="rId37" Type="http://schemas.openxmlformats.org/officeDocument/2006/relationships/hyperlink" Target="https://algocademy.com/blog/algorithms-for-social-network-analysis-unraveling-the-web-of-connections/" TargetMode="External"/><Relationship Id="rId36" Type="http://schemas.openxmlformats.org/officeDocument/2006/relationships/hyperlink" Target="https://docs.tigergraph.com/graph-ml/3.10/centrality-algorithms/pagerank" TargetMode="External"/><Relationship Id="rId39" Type="http://schemas.openxmlformats.org/officeDocument/2006/relationships/hyperlink" Target="https://neo4j.com/docs/graph-data-science/current/algorithms/louvain/" TargetMode="External"/><Relationship Id="rId38" Type="http://schemas.openxmlformats.org/officeDocument/2006/relationships/hyperlink" Target="https://neo4j.com/docs/graph-data-science/current/algorithms/leiden/" TargetMode="External"/><Relationship Id="rId62" Type="http://schemas.openxmlformats.org/officeDocument/2006/relationships/hyperlink" Target="https://kooch.co/en/post/understanding-kvkk-in-turkey-what-it-is-why-it-matters" TargetMode="External"/><Relationship Id="rId61" Type="http://schemas.openxmlformats.org/officeDocument/2006/relationships/hyperlink" Target="https://blog.dreamfactory.com/rbac-vs-abac-api-security-implications" TargetMode="External"/><Relationship Id="rId20" Type="http://schemas.openxmlformats.org/officeDocument/2006/relationships/hyperlink" Target="https://medium.com/@rushi1807/memory-management-parameters-celery-and-fastapi-4638a98ec759" TargetMode="External"/><Relationship Id="rId64" Type="http://schemas.openxmlformats.org/officeDocument/2006/relationships/hyperlink" Target="https://www.unssc.org/news-and-insights/blog/power-360-degree-assessment-transformative-approach-professional-development" TargetMode="External"/><Relationship Id="rId63" Type="http://schemas.openxmlformats.org/officeDocument/2006/relationships/hyperlink" Target="https://frontlineon.com/solutions/assessments/360-feedback-assessments/benchmarks360/" TargetMode="External"/><Relationship Id="rId22" Type="http://schemas.openxmlformats.org/officeDocument/2006/relationships/hyperlink" Target="https://www.glukhov.org/llm-performance/ollama/how-ollama-handles-parallel-requests/" TargetMode="External"/><Relationship Id="rId66" Type="http://schemas.openxmlformats.org/officeDocument/2006/relationships/hyperlink" Target="https://www.acacamps.org/blog/research-360-quality-vs-outcomes-smackdown" TargetMode="External"/><Relationship Id="rId21" Type="http://schemas.openxmlformats.org/officeDocument/2006/relationships/hyperlink" Target="https://www.sitepoint.com/ollama-vs-vllm-performance-benchmark-2026/" TargetMode="External"/><Relationship Id="rId65" Type="http://schemas.openxmlformats.org/officeDocument/2006/relationships/hyperlink" Target="https://education360.com.au/education360-pillars/benchmark360-k-12/" TargetMode="External"/><Relationship Id="rId24" Type="http://schemas.openxmlformats.org/officeDocument/2006/relationships/hyperlink" Target="https://localaimaster.com/blog/best-local-ai-models-8gb-ram" TargetMode="External"/><Relationship Id="rId23" Type="http://schemas.openxmlformats.org/officeDocument/2006/relationships/hyperlink" Target="https://localllm.in/blog/ollama-vram-requirements-for-local-llms" TargetMode="External"/><Relationship Id="rId60" Type="http://schemas.openxmlformats.org/officeDocument/2006/relationships/hyperlink" Target="https://www.checkpoint.com/cyber-hub/what-is-llm-security/llm-security-best-practices/" TargetMode="External"/><Relationship Id="rId26" Type="http://schemas.openxmlformats.org/officeDocument/2006/relationships/hyperlink" Target="https://neo4j.com/labs/genai-ecosystem/graphrag/" TargetMode="External"/><Relationship Id="rId25" Type="http://schemas.openxmlformats.org/officeDocument/2006/relationships/hyperlink" Target="https://towardsdatascience.com/boosting-your-anomaly-detection-with-llms/" TargetMode="External"/><Relationship Id="rId28" Type="http://schemas.openxmlformats.org/officeDocument/2006/relationships/hyperlink" Target="https://neo4j.com/blog/genai/what-is-graphrag/" TargetMode="External"/><Relationship Id="rId27" Type="http://schemas.openxmlformats.org/officeDocument/2006/relationships/hyperlink" Target="https://medium.com/@vaibhav.agarwal.iitd/building-a-graphrag-system-with-langchain-e63f5e374475" TargetMode="External"/><Relationship Id="rId29" Type="http://schemas.openxmlformats.org/officeDocument/2006/relationships/hyperlink" Target="https://pub.towardsai.net/graphrag-explained-building-knowledge-grounded-llm-systems-with-neo4j-and-langchain-017a1820763e" TargetMode="External"/><Relationship Id="rId51" Type="http://schemas.openxmlformats.org/officeDocument/2006/relationships/hyperlink" Target="https://dev.to/rosgluk/best-llms-for-ollama-on-16gb-vram-gpu-393h" TargetMode="External"/><Relationship Id="rId50" Type="http://schemas.openxmlformats.org/officeDocument/2006/relationships/hyperlink" Target="https://www.digitalapplied.com/blog/local-llm-deployment-privacy-guide-2025" TargetMode="External"/><Relationship Id="rId53" Type="http://schemas.openxmlformats.org/officeDocument/2006/relationships/hyperlink" Target="https://www.sentinelone.com/cybersecurity-101/cloud-security/cloud-security-best-practices/" TargetMode="External"/><Relationship Id="rId52" Type="http://schemas.openxmlformats.org/officeDocument/2006/relationships/hyperlink" Target="https://www.cottgroup.com/tr/kvkk-hakkinda-bilgilendirme" TargetMode="External"/><Relationship Id="rId11" Type="http://schemas.openxmlformats.org/officeDocument/2006/relationships/image" Target="media/image7.png"/><Relationship Id="rId55" Type="http://schemas.openxmlformats.org/officeDocument/2006/relationships/hyperlink" Target="https://www.myk.gov.tr/tr/page/201" TargetMode="External"/><Relationship Id="rId10" Type="http://schemas.openxmlformats.org/officeDocument/2006/relationships/image" Target="media/image5.png"/><Relationship Id="rId54" Type="http://schemas.openxmlformats.org/officeDocument/2006/relationships/hyperlink" Target="https://blog.premai.io/enterprise-ai-security-12-best-practices-for-deploying-llms-in-production/" TargetMode="External"/><Relationship Id="rId13" Type="http://schemas.openxmlformats.org/officeDocument/2006/relationships/hyperlink" Target="https://assets.applytosupply.digitalmarketplace.service.gov.uk/g-cloud-14/documents/92736/801146272055049-service-definition-document-2024-05-02-1537.pdf" TargetMode="External"/><Relationship Id="rId57" Type="http://schemas.openxmlformats.org/officeDocument/2006/relationships/hyperlink" Target="https://ppc.land/turkeys-dpa-bans-bundled-consent-texts-in-a-ruling-that-reshapes-data-collection/" TargetMode="External"/><Relationship Id="rId12" Type="http://schemas.openxmlformats.org/officeDocument/2006/relationships/image" Target="media/image4.png"/><Relationship Id="rId56" Type="http://schemas.openxmlformats.org/officeDocument/2006/relationships/hyperlink" Target="https://www.imikoleji.k12.tr/kvkk/" TargetMode="External"/><Relationship Id="rId15" Type="http://schemas.openxmlformats.org/officeDocument/2006/relationships/hyperlink" Target="https://iternal.ai/ai-for-enterprise-architects" TargetMode="External"/><Relationship Id="rId59" Type="http://schemas.openxmlformats.org/officeDocument/2006/relationships/hyperlink" Target="https://www.turmob.org.tr/arsiv/kvkk/1_TURMOB_Kisisel_Veri_Saklama_ve_Imha_Politikasi.pdf" TargetMode="External"/><Relationship Id="rId14" Type="http://schemas.openxmlformats.org/officeDocument/2006/relationships/hyperlink" Target="https://www.techdirt.com/2025/09/11/how-palantir-is-mapping-everyones-data-for-the-government/" TargetMode="External"/><Relationship Id="rId58" Type="http://schemas.openxmlformats.org/officeDocument/2006/relationships/hyperlink" Target="https://www.kvkk.gov.tr/yayinlar/veri_guvenligi_rehberi.pdf" TargetMode="External"/><Relationship Id="rId17" Type="http://schemas.openxmlformats.org/officeDocument/2006/relationships/hyperlink" Target="https://www.zignuts.com/blog/fastapi-deploy-llms-guide" TargetMode="External"/><Relationship Id="rId16" Type="http://schemas.openxmlformats.org/officeDocument/2006/relationships/hyperlink" Target="https://www.nexastack.ai/blog/air-gapped-model-inference" TargetMode="External"/><Relationship Id="rId19" Type="http://schemas.openxmlformats.org/officeDocument/2006/relationships/hyperlink" Target="https://render.com/articles/fastapi-production-deployment-best-practices" TargetMode="External"/><Relationship Id="rId18" Type="http://schemas.openxmlformats.org/officeDocument/2006/relationships/hyperlink" Target="https://medium.com/@bhagyarana80/creating-a-distributed-task-queue-in-python-with-celery-redis-and-fastapi-25bb6cb7ea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