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A5765B" w14:paraId="674526EA" w14:textId="77777777" w:rsidTr="0010708E">
        <w:trPr>
          <w:trHeight w:val="4795"/>
        </w:trPr>
        <w:tc>
          <w:tcPr>
            <w:tcW w:w="5904" w:type="dxa"/>
            <w:vAlign w:val="center"/>
          </w:tcPr>
          <w:p w14:paraId="211163F1" w14:textId="79D1FEDC" w:rsidR="00A5765B" w:rsidRPr="0010708E" w:rsidRDefault="00A5765B" w:rsidP="0010708E">
            <w:pPr>
              <w:pStyle w:val="O-BodyText"/>
              <w:spacing w:afterLines="120" w:after="288"/>
              <w:ind w:right="108"/>
              <w:jc w:val="center"/>
              <w:rPr>
                <w:rFonts w:ascii="Calibri" w:hAnsi="Calibri"/>
                <w:b/>
                <w:bCs/>
                <w:sz w:val="28"/>
                <w:szCs w:val="28"/>
              </w:rPr>
            </w:pPr>
            <w:r>
              <w:br w:type="page"/>
            </w:r>
            <w:r w:rsidRPr="0010708E">
              <w:rPr>
                <w:rFonts w:ascii="Calibri" w:hAnsi="Calibri"/>
                <w:b/>
                <w:bCs/>
                <w:sz w:val="52"/>
                <w:szCs w:val="52"/>
              </w:rPr>
              <w:t>Related Cases</w:t>
            </w:r>
          </w:p>
        </w:tc>
        <w:tc>
          <w:tcPr>
            <w:tcW w:w="5904" w:type="dxa"/>
            <w:vAlign w:val="center"/>
          </w:tcPr>
          <w:p w14:paraId="3333DA29" w14:textId="082B3776" w:rsidR="00A5765B" w:rsidRPr="0010708E" w:rsidRDefault="00A5765B" w:rsidP="0010708E">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p>
        </w:tc>
      </w:tr>
      <w:tr w:rsidR="000C3C8D" w14:paraId="0D02D976" w14:textId="77777777" w:rsidTr="0010708E">
        <w:trPr>
          <w:trHeight w:val="4795"/>
        </w:trPr>
        <w:tc>
          <w:tcPr>
            <w:tcW w:w="5904" w:type="dxa"/>
            <w:vAlign w:val="center"/>
          </w:tcPr>
          <w:p w14:paraId="17C6FC06" w14:textId="2F7B9138" w:rsidR="000C3C8D" w:rsidRPr="0010708E" w:rsidRDefault="00845A15" w:rsidP="0010708E">
            <w:pPr>
              <w:pStyle w:val="O-BodyText"/>
              <w:spacing w:afterLines="120" w:after="288"/>
              <w:ind w:right="108"/>
              <w:rPr>
                <w:rFonts w:ascii="Calibri" w:hAnsi="Calibri"/>
                <w:b/>
                <w:bCs/>
                <w:sz w:val="28"/>
                <w:szCs w:val="28"/>
              </w:rPr>
            </w:pPr>
            <w:r w:rsidRPr="0010708E">
              <w:rPr>
                <w:rFonts w:ascii="Calibri" w:hAnsi="Calibri"/>
                <w:b/>
                <w:bCs/>
                <w:sz w:val="28"/>
                <w:szCs w:val="28"/>
              </w:rPr>
              <w:t>Are there any related cases?</w:t>
            </w:r>
          </w:p>
        </w:tc>
        <w:tc>
          <w:tcPr>
            <w:tcW w:w="5904" w:type="dxa"/>
            <w:vAlign w:val="center"/>
          </w:tcPr>
          <w:p w14:paraId="47BF328B" w14:textId="1A78F416" w:rsidR="000C3C8D" w:rsidRPr="00D51F42" w:rsidRDefault="00845A15" w:rsidP="0010708E">
            <w:pPr>
              <w:pStyle w:val="O-BodyText"/>
              <w:spacing w:afterLines="120" w:after="288"/>
              <w:ind w:right="162"/>
              <w:rPr>
                <w:rFonts w:ascii="Calibri" w:hAnsi="Calibri"/>
                <w:b/>
                <w:bCs/>
                <w:sz w:val="22"/>
                <w:szCs w:val="22"/>
              </w:rPr>
            </w:pPr>
            <w:r w:rsidRPr="0010708E">
              <w:rPr>
                <w:rFonts w:ascii="Calibri" w:hAnsi="Calibri"/>
                <w:b/>
                <w:bCs/>
                <w:sz w:val="22"/>
                <w:szCs w:val="22"/>
              </w:rPr>
              <w:t xml:space="preserve">No other appeal involving this civil action was previously before this or any other appellate court.  </w:t>
            </w:r>
            <w:r w:rsidR="00436BA4" w:rsidRPr="00436BA4">
              <w:rPr>
                <w:rFonts w:ascii="Calibri" w:hAnsi="Calibri"/>
                <w:b/>
                <w:bCs/>
                <w:sz w:val="22"/>
                <w:szCs w:val="22"/>
              </w:rPr>
              <w:t>This appeal will indirectly affect</w:t>
            </w:r>
            <w:r w:rsidR="001218EC">
              <w:rPr>
                <w:rFonts w:ascii="Calibri" w:hAnsi="Calibri"/>
                <w:b/>
                <w:bCs/>
                <w:sz w:val="22"/>
                <w:szCs w:val="22"/>
              </w:rPr>
              <w:t xml:space="preserve">: 4 cases </w:t>
            </w:r>
            <w:r w:rsidR="00436BA4" w:rsidRPr="00436BA4">
              <w:rPr>
                <w:rFonts w:ascii="Calibri" w:hAnsi="Calibri"/>
                <w:b/>
                <w:bCs/>
                <w:sz w:val="22"/>
                <w:szCs w:val="22"/>
              </w:rPr>
              <w:t xml:space="preserve">pending in the </w:t>
            </w:r>
            <w:r w:rsidR="00D51F42">
              <w:rPr>
                <w:rFonts w:ascii="Calibri" w:hAnsi="Calibri"/>
                <w:b/>
                <w:bCs/>
                <w:sz w:val="22"/>
                <w:szCs w:val="22"/>
              </w:rPr>
              <w:t>U.S.</w:t>
            </w:r>
            <w:r w:rsidR="00436BA4" w:rsidRPr="00436BA4">
              <w:rPr>
                <w:rFonts w:ascii="Calibri" w:hAnsi="Calibri"/>
                <w:b/>
                <w:bCs/>
                <w:sz w:val="22"/>
                <w:szCs w:val="22"/>
              </w:rPr>
              <w:t xml:space="preserve"> District Court for the District of Minnesota</w:t>
            </w:r>
            <w:r w:rsidR="001218EC">
              <w:rPr>
                <w:rFonts w:ascii="Calibri" w:hAnsi="Calibri"/>
                <w:b/>
                <w:bCs/>
                <w:sz w:val="22"/>
                <w:szCs w:val="22"/>
              </w:rPr>
              <w:t xml:space="preserve">; 2 cases </w:t>
            </w:r>
            <w:r w:rsidR="00874D14">
              <w:rPr>
                <w:rFonts w:ascii="Calibri" w:hAnsi="Calibri"/>
                <w:b/>
                <w:bCs/>
                <w:sz w:val="22"/>
                <w:szCs w:val="22"/>
              </w:rPr>
              <w:t xml:space="preserve">pending in the </w:t>
            </w:r>
            <w:r w:rsidR="00D51F42">
              <w:rPr>
                <w:rFonts w:ascii="Calibri" w:hAnsi="Calibri"/>
                <w:b/>
                <w:bCs/>
                <w:sz w:val="22"/>
                <w:szCs w:val="22"/>
              </w:rPr>
              <w:t>U.S.</w:t>
            </w:r>
            <w:r w:rsidR="00D51F42" w:rsidRPr="00D51F42">
              <w:rPr>
                <w:rFonts w:ascii="Calibri" w:hAnsi="Calibri"/>
                <w:b/>
                <w:bCs/>
                <w:sz w:val="22"/>
                <w:szCs w:val="22"/>
              </w:rPr>
              <w:t xml:space="preserve"> District Court for the Northern District of </w:t>
            </w:r>
            <w:proofErr w:type="gramStart"/>
            <w:r w:rsidR="00D51F42" w:rsidRPr="00D51F42">
              <w:rPr>
                <w:rFonts w:ascii="Calibri" w:hAnsi="Calibri"/>
                <w:b/>
                <w:bCs/>
                <w:sz w:val="22"/>
                <w:szCs w:val="22"/>
              </w:rPr>
              <w:t>California</w:t>
            </w:r>
            <w:r w:rsidR="001218EC">
              <w:rPr>
                <w:rFonts w:ascii="Calibri" w:hAnsi="Calibri"/>
                <w:b/>
                <w:bCs/>
                <w:sz w:val="22"/>
                <w:szCs w:val="22"/>
              </w:rPr>
              <w:t xml:space="preserve">; </w:t>
            </w:r>
            <w:r w:rsidR="001218EC" w:rsidRPr="001218EC">
              <w:rPr>
                <w:rFonts w:ascii="Calibri" w:hAnsi="Calibri"/>
                <w:b/>
                <w:bCs/>
                <w:sz w:val="22"/>
                <w:szCs w:val="22"/>
              </w:rPr>
              <w:t xml:space="preserve"> </w:t>
            </w:r>
            <w:r w:rsidR="00D51F42">
              <w:rPr>
                <w:rFonts w:ascii="Calibri" w:hAnsi="Calibri"/>
                <w:b/>
                <w:bCs/>
                <w:sz w:val="22"/>
                <w:szCs w:val="22"/>
              </w:rPr>
              <w:t>and</w:t>
            </w:r>
            <w:proofErr w:type="gramEnd"/>
            <w:r w:rsidR="00D51F42">
              <w:rPr>
                <w:rFonts w:ascii="Calibri" w:hAnsi="Calibri"/>
                <w:b/>
                <w:bCs/>
                <w:sz w:val="22"/>
                <w:szCs w:val="22"/>
              </w:rPr>
              <w:t xml:space="preserve"> </w:t>
            </w:r>
            <w:proofErr w:type="spellStart"/>
            <w:r w:rsidR="00D51F42">
              <w:rPr>
                <w:rFonts w:ascii="Calibri" w:hAnsi="Calibri"/>
                <w:b/>
                <w:bCs/>
                <w:sz w:val="22"/>
                <w:szCs w:val="22"/>
              </w:rPr>
              <w:t>IPR</w:t>
            </w:r>
            <w:proofErr w:type="spellEnd"/>
            <w:r w:rsidR="00D51F42">
              <w:rPr>
                <w:rFonts w:ascii="Calibri" w:hAnsi="Calibri"/>
                <w:b/>
                <w:bCs/>
                <w:sz w:val="22"/>
                <w:szCs w:val="22"/>
              </w:rPr>
              <w:t xml:space="preserve"> proceedings in</w:t>
            </w:r>
            <w:r w:rsidR="00D51F42" w:rsidRPr="00D51F42">
              <w:rPr>
                <w:rFonts w:ascii="Calibri" w:hAnsi="Calibri"/>
                <w:b/>
                <w:bCs/>
                <w:sz w:val="22"/>
                <w:szCs w:val="22"/>
              </w:rPr>
              <w:t xml:space="preserve"> </w:t>
            </w:r>
            <w:r w:rsidR="00D51F42" w:rsidRPr="00D51F42">
              <w:rPr>
                <w:rFonts w:ascii="Calibri" w:hAnsi="Calibri"/>
                <w:b/>
                <w:bCs/>
                <w:i/>
                <w:sz w:val="22"/>
                <w:szCs w:val="22"/>
              </w:rPr>
              <w:t>Gilead Sciences, Inc. v. Regents of the University of Minnesota</w:t>
            </w:r>
            <w:r w:rsidR="00D51F42">
              <w:rPr>
                <w:rFonts w:ascii="Calibri" w:hAnsi="Calibri"/>
                <w:b/>
                <w:bCs/>
                <w:sz w:val="22"/>
                <w:szCs w:val="22"/>
              </w:rPr>
              <w:t>.</w:t>
            </w:r>
          </w:p>
        </w:tc>
      </w:tr>
      <w:tr w:rsidR="00666441" w14:paraId="1F91B3B6" w14:textId="77777777" w:rsidTr="0010708E">
        <w:trPr>
          <w:trHeight w:val="4795"/>
        </w:trPr>
        <w:tc>
          <w:tcPr>
            <w:tcW w:w="5904" w:type="dxa"/>
            <w:vAlign w:val="center"/>
          </w:tcPr>
          <w:p w14:paraId="299BA47F" w14:textId="77777777" w:rsidR="00666441" w:rsidRPr="0010708E" w:rsidRDefault="00666441" w:rsidP="0010708E">
            <w:pPr>
              <w:pStyle w:val="O-BodyText"/>
              <w:spacing w:afterLines="120" w:after="288"/>
              <w:ind w:right="108"/>
              <w:rPr>
                <w:rFonts w:ascii="Calibri" w:hAnsi="Calibri"/>
                <w:b/>
                <w:bCs/>
                <w:sz w:val="28"/>
                <w:szCs w:val="28"/>
              </w:rPr>
            </w:pPr>
          </w:p>
        </w:tc>
        <w:tc>
          <w:tcPr>
            <w:tcW w:w="5904" w:type="dxa"/>
            <w:vAlign w:val="center"/>
          </w:tcPr>
          <w:p w14:paraId="5302700E" w14:textId="77777777" w:rsidR="00666441" w:rsidRPr="0010708E" w:rsidRDefault="00666441" w:rsidP="0010708E">
            <w:pPr>
              <w:pStyle w:val="O-BodyText"/>
              <w:spacing w:afterLines="120" w:after="288"/>
              <w:ind w:right="162"/>
              <w:rPr>
                <w:rFonts w:ascii="Calibri" w:hAnsi="Calibri"/>
                <w:b/>
                <w:bCs/>
                <w:sz w:val="22"/>
                <w:szCs w:val="22"/>
              </w:rPr>
            </w:pPr>
          </w:p>
        </w:tc>
      </w:tr>
      <w:tr w:rsidR="000C3C8D" w14:paraId="58995852" w14:textId="77777777" w:rsidTr="0010708E">
        <w:trPr>
          <w:trHeight w:val="4795"/>
        </w:trPr>
        <w:tc>
          <w:tcPr>
            <w:tcW w:w="5904" w:type="dxa"/>
            <w:vAlign w:val="center"/>
          </w:tcPr>
          <w:p w14:paraId="415D4AF9" w14:textId="1D232F09" w:rsidR="000C3C8D" w:rsidRDefault="00666441" w:rsidP="00666441">
            <w:pPr>
              <w:pStyle w:val="O-BodyText"/>
              <w:spacing w:afterLines="120" w:after="288"/>
              <w:ind w:right="108"/>
              <w:jc w:val="center"/>
              <w:rPr>
                <w:rFonts w:ascii="Calibri" w:hAnsi="Calibri"/>
                <w:b/>
                <w:sz w:val="28"/>
                <w:szCs w:val="28"/>
              </w:rPr>
            </w:pPr>
            <w:r w:rsidRPr="0010708E">
              <w:rPr>
                <w:rFonts w:ascii="Calibri" w:hAnsi="Calibri"/>
                <w:b/>
                <w:bCs/>
                <w:sz w:val="52"/>
                <w:szCs w:val="52"/>
              </w:rPr>
              <w:lastRenderedPageBreak/>
              <w:t>Introduction</w:t>
            </w:r>
          </w:p>
        </w:tc>
        <w:tc>
          <w:tcPr>
            <w:tcW w:w="5904" w:type="dxa"/>
            <w:vAlign w:val="center"/>
          </w:tcPr>
          <w:p w14:paraId="33121AC2" w14:textId="25565540" w:rsidR="000C3C8D" w:rsidRPr="00097BF8" w:rsidRDefault="00666441" w:rsidP="00666441">
            <w:pPr>
              <w:pStyle w:val="O-BodyText"/>
              <w:spacing w:afterLines="120" w:after="288"/>
              <w:ind w:right="162"/>
              <w:jc w:val="center"/>
              <w:rPr>
                <w:rFonts w:ascii="Calibri" w:hAnsi="Calibri"/>
                <w:b/>
                <w:sz w:val="22"/>
                <w:szCs w:val="22"/>
              </w:rPr>
            </w:pPr>
            <w:r w:rsidRPr="0010708E">
              <w:rPr>
                <w:rFonts w:ascii="Calibri" w:hAnsi="Calibri"/>
                <w:b/>
                <w:bCs/>
                <w:sz w:val="52"/>
                <w:szCs w:val="52"/>
              </w:rPr>
              <w:t>Color</w:t>
            </w:r>
          </w:p>
        </w:tc>
      </w:tr>
      <w:tr w:rsidR="000C3C8D" w14:paraId="7796E779" w14:textId="77777777" w:rsidTr="0010708E">
        <w:trPr>
          <w:trHeight w:val="4795"/>
        </w:trPr>
        <w:tc>
          <w:tcPr>
            <w:tcW w:w="5904" w:type="dxa"/>
            <w:vAlign w:val="center"/>
          </w:tcPr>
          <w:p w14:paraId="3F874CCF" w14:textId="45A57DF9" w:rsidR="000C3C8D" w:rsidRPr="0010708E" w:rsidRDefault="000C3C8D" w:rsidP="0010708E">
            <w:pPr>
              <w:pStyle w:val="O-BodyText"/>
              <w:spacing w:afterLines="120" w:after="288"/>
              <w:ind w:right="108"/>
              <w:rPr>
                <w:rFonts w:ascii="Calibri" w:hAnsi="Calibri"/>
                <w:b/>
                <w:bCs/>
                <w:sz w:val="28"/>
                <w:szCs w:val="28"/>
              </w:rPr>
            </w:pPr>
            <w:r>
              <w:br w:type="page"/>
            </w:r>
            <w:r w:rsidR="00D51F42">
              <w:rPr>
                <w:rFonts w:ascii="Calibri" w:hAnsi="Calibri"/>
                <w:b/>
                <w:bCs/>
                <w:sz w:val="28"/>
                <w:szCs w:val="28"/>
              </w:rPr>
              <w:t>What is the question in this appeal?</w:t>
            </w:r>
          </w:p>
        </w:tc>
        <w:tc>
          <w:tcPr>
            <w:tcW w:w="5904" w:type="dxa"/>
            <w:vAlign w:val="center"/>
          </w:tcPr>
          <w:p w14:paraId="449A896D" w14:textId="5A1BD344" w:rsidR="000C3C8D" w:rsidRPr="0010708E" w:rsidRDefault="006924DD" w:rsidP="0010708E">
            <w:pPr>
              <w:pStyle w:val="O-BodyText"/>
              <w:spacing w:after="120"/>
              <w:ind w:right="158"/>
              <w:rPr>
                <w:rFonts w:ascii="Calibri" w:hAnsi="Calibri"/>
                <w:b/>
                <w:bCs/>
                <w:sz w:val="22"/>
                <w:szCs w:val="22"/>
              </w:rPr>
            </w:pPr>
            <w:r>
              <w:rPr>
                <w:rFonts w:ascii="Calibri" w:hAnsi="Calibri"/>
                <w:b/>
                <w:bCs/>
                <w:sz w:val="22"/>
                <w:szCs w:val="22"/>
              </w:rPr>
              <w:t>W</w:t>
            </w:r>
            <w:r w:rsidR="00D51F42" w:rsidRPr="00D51F42">
              <w:rPr>
                <w:rFonts w:ascii="Calibri" w:hAnsi="Calibri"/>
                <w:b/>
                <w:bCs/>
                <w:sz w:val="22"/>
                <w:szCs w:val="22"/>
              </w:rPr>
              <w:t>hether a state entity—</w:t>
            </w:r>
            <w:r w:rsidR="00556BD6">
              <w:rPr>
                <w:rFonts w:ascii="Calibri" w:hAnsi="Calibri"/>
                <w:b/>
                <w:bCs/>
                <w:sz w:val="22"/>
                <w:szCs w:val="22"/>
              </w:rPr>
              <w:t xml:space="preserve">the University of Minnesota </w:t>
            </w:r>
            <w:r w:rsidR="00D51F42" w:rsidRPr="00D51F42">
              <w:rPr>
                <w:rFonts w:ascii="Calibri" w:hAnsi="Calibri"/>
                <w:b/>
                <w:bCs/>
                <w:sz w:val="22"/>
                <w:szCs w:val="22"/>
              </w:rPr>
              <w:t xml:space="preserve">—may assert sovereign immunity to avoid inter </w:t>
            </w:r>
            <w:proofErr w:type="spellStart"/>
            <w:r w:rsidR="00D51F42" w:rsidRPr="00D51F42">
              <w:rPr>
                <w:rFonts w:ascii="Calibri" w:hAnsi="Calibri"/>
                <w:b/>
                <w:bCs/>
                <w:sz w:val="22"/>
                <w:szCs w:val="22"/>
              </w:rPr>
              <w:t>partes</w:t>
            </w:r>
            <w:proofErr w:type="spellEnd"/>
            <w:r w:rsidR="00D51F42" w:rsidRPr="00D51F42">
              <w:rPr>
                <w:rFonts w:ascii="Calibri" w:hAnsi="Calibri"/>
                <w:b/>
                <w:bCs/>
                <w:sz w:val="22"/>
                <w:szCs w:val="22"/>
              </w:rPr>
              <w:t xml:space="preserve"> review</w:t>
            </w:r>
            <w:r w:rsidR="00D51F42">
              <w:rPr>
                <w:rFonts w:ascii="Calibri" w:hAnsi="Calibri"/>
                <w:b/>
                <w:bCs/>
                <w:sz w:val="22"/>
                <w:szCs w:val="22"/>
              </w:rPr>
              <w:t>.</w:t>
            </w:r>
          </w:p>
        </w:tc>
      </w:tr>
      <w:tr w:rsidR="000C3C8D" w14:paraId="5D954D54" w14:textId="77777777" w:rsidTr="0010708E">
        <w:trPr>
          <w:trHeight w:val="4795"/>
        </w:trPr>
        <w:tc>
          <w:tcPr>
            <w:tcW w:w="5904" w:type="dxa"/>
            <w:vAlign w:val="center"/>
          </w:tcPr>
          <w:p w14:paraId="4BCD496F" w14:textId="3DA54CED" w:rsidR="000C3C8D" w:rsidRPr="0010708E" w:rsidRDefault="00D51F42" w:rsidP="00D51F42">
            <w:pPr>
              <w:pStyle w:val="O-BodyText"/>
              <w:spacing w:afterLines="120" w:after="288"/>
              <w:ind w:right="108"/>
              <w:rPr>
                <w:rFonts w:ascii="Calibri" w:hAnsi="Calibri"/>
                <w:b/>
                <w:bCs/>
                <w:sz w:val="28"/>
                <w:szCs w:val="28"/>
              </w:rPr>
            </w:pPr>
            <w:r>
              <w:rPr>
                <w:rFonts w:ascii="Calibri" w:hAnsi="Calibri"/>
                <w:b/>
                <w:bCs/>
                <w:sz w:val="28"/>
                <w:szCs w:val="28"/>
              </w:rPr>
              <w:t xml:space="preserve">What did this Court hold in </w:t>
            </w:r>
            <w:r w:rsidRPr="00D51F42">
              <w:rPr>
                <w:rFonts w:ascii="Calibri" w:hAnsi="Calibri"/>
                <w:b/>
                <w:bCs/>
                <w:i/>
                <w:sz w:val="28"/>
                <w:szCs w:val="28"/>
              </w:rPr>
              <w:t>Saint Regis Mohawk Tribe v. Mylan Pharm</w:t>
            </w:r>
            <w:r>
              <w:rPr>
                <w:rFonts w:ascii="Calibri" w:hAnsi="Calibri"/>
                <w:b/>
                <w:bCs/>
                <w:i/>
                <w:sz w:val="28"/>
                <w:szCs w:val="28"/>
              </w:rPr>
              <w:t xml:space="preserve"> </w:t>
            </w:r>
            <w:r w:rsidRPr="00D51F42">
              <w:rPr>
                <w:rFonts w:ascii="Calibri" w:hAnsi="Calibri"/>
                <w:b/>
                <w:bCs/>
                <w:sz w:val="28"/>
                <w:szCs w:val="28"/>
              </w:rPr>
              <w:t>(Fed. Cir. 2018)</w:t>
            </w:r>
            <w:r>
              <w:rPr>
                <w:rFonts w:ascii="Calibri" w:hAnsi="Calibri"/>
                <w:b/>
                <w:bCs/>
                <w:sz w:val="28"/>
                <w:szCs w:val="28"/>
              </w:rPr>
              <w:t>?</w:t>
            </w:r>
          </w:p>
        </w:tc>
        <w:tc>
          <w:tcPr>
            <w:tcW w:w="5904" w:type="dxa"/>
            <w:vAlign w:val="center"/>
          </w:tcPr>
          <w:p w14:paraId="1D86F5ED" w14:textId="7C5E09DA" w:rsidR="000C3C8D" w:rsidRPr="0010708E" w:rsidRDefault="00D51F42" w:rsidP="0010708E">
            <w:pPr>
              <w:pStyle w:val="O-BodyText"/>
              <w:spacing w:after="120"/>
              <w:ind w:right="158"/>
              <w:rPr>
                <w:rFonts w:ascii="Calibri" w:hAnsi="Calibri"/>
                <w:b/>
                <w:bCs/>
                <w:sz w:val="22"/>
                <w:szCs w:val="22"/>
              </w:rPr>
            </w:pPr>
            <w:r w:rsidRPr="00D51F42">
              <w:rPr>
                <w:rFonts w:ascii="Calibri" w:hAnsi="Calibri"/>
                <w:b/>
                <w:bCs/>
                <w:sz w:val="22"/>
                <w:szCs w:val="22"/>
              </w:rPr>
              <w:t>Indian tribes may not</w:t>
            </w:r>
            <w:r w:rsidRPr="00D51F42">
              <w:rPr>
                <w:rFonts w:ascii="Century Schoolbook" w:eastAsia="Century Schoolbook" w:hAnsi="Century Schoolbook" w:cs="Times New Roman"/>
                <w:color w:val="000000"/>
                <w:sz w:val="28"/>
                <w:szCs w:val="22"/>
              </w:rPr>
              <w:t xml:space="preserve"> </w:t>
            </w:r>
            <w:r w:rsidRPr="00D51F42">
              <w:rPr>
                <w:rFonts w:ascii="Calibri" w:hAnsi="Calibri"/>
                <w:b/>
                <w:bCs/>
                <w:sz w:val="22"/>
                <w:szCs w:val="22"/>
              </w:rPr>
              <w:t xml:space="preserve">assert sovereign immunity to avoid inter </w:t>
            </w:r>
            <w:proofErr w:type="spellStart"/>
            <w:r w:rsidRPr="00D51F42">
              <w:rPr>
                <w:rFonts w:ascii="Calibri" w:hAnsi="Calibri"/>
                <w:b/>
                <w:bCs/>
                <w:sz w:val="22"/>
                <w:szCs w:val="22"/>
              </w:rPr>
              <w:t>partes</w:t>
            </w:r>
            <w:proofErr w:type="spellEnd"/>
            <w:r w:rsidRPr="00D51F42">
              <w:rPr>
                <w:rFonts w:ascii="Calibri" w:hAnsi="Calibri"/>
                <w:b/>
                <w:bCs/>
                <w:sz w:val="22"/>
                <w:szCs w:val="22"/>
              </w:rPr>
              <w:t xml:space="preserve"> review</w:t>
            </w:r>
            <w:r>
              <w:rPr>
                <w:rFonts w:ascii="Calibri" w:hAnsi="Calibri"/>
                <w:b/>
                <w:bCs/>
                <w:sz w:val="22"/>
                <w:szCs w:val="22"/>
              </w:rPr>
              <w:t>.</w:t>
            </w:r>
          </w:p>
        </w:tc>
      </w:tr>
      <w:tr w:rsidR="000C3C8D" w14:paraId="29A9F67B" w14:textId="77777777" w:rsidTr="0010708E">
        <w:trPr>
          <w:trHeight w:val="4795"/>
        </w:trPr>
        <w:tc>
          <w:tcPr>
            <w:tcW w:w="5904" w:type="dxa"/>
            <w:vAlign w:val="center"/>
          </w:tcPr>
          <w:p w14:paraId="5DF77C24" w14:textId="458909F2" w:rsidR="000C3C8D" w:rsidRPr="0010708E" w:rsidRDefault="00D52C98"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Did </w:t>
            </w:r>
            <w:r w:rsidRPr="00D52C98">
              <w:rPr>
                <w:rFonts w:ascii="Calibri" w:hAnsi="Calibri"/>
                <w:b/>
                <w:bCs/>
                <w:i/>
                <w:sz w:val="28"/>
                <w:szCs w:val="28"/>
              </w:rPr>
              <w:t>Saint Regis Mohawk Tribe</w:t>
            </w:r>
            <w:r>
              <w:rPr>
                <w:rFonts w:ascii="Calibri" w:hAnsi="Calibri"/>
                <w:b/>
                <w:bCs/>
                <w:sz w:val="28"/>
                <w:szCs w:val="28"/>
              </w:rPr>
              <w:t xml:space="preserve"> decide whether states could assert sovereign immunity to avoid inter </w:t>
            </w:r>
            <w:proofErr w:type="spellStart"/>
            <w:r>
              <w:rPr>
                <w:rFonts w:ascii="Calibri" w:hAnsi="Calibri"/>
                <w:b/>
                <w:bCs/>
                <w:sz w:val="28"/>
                <w:szCs w:val="28"/>
              </w:rPr>
              <w:t>partes</w:t>
            </w:r>
            <w:proofErr w:type="spellEnd"/>
            <w:r>
              <w:rPr>
                <w:rFonts w:ascii="Calibri" w:hAnsi="Calibri"/>
                <w:b/>
                <w:bCs/>
                <w:sz w:val="28"/>
                <w:szCs w:val="28"/>
              </w:rPr>
              <w:t xml:space="preserve"> review</w:t>
            </w:r>
            <w:r w:rsidR="00EA02ED" w:rsidRPr="0010708E">
              <w:rPr>
                <w:rFonts w:ascii="Calibri" w:hAnsi="Calibri"/>
                <w:b/>
                <w:bCs/>
                <w:sz w:val="28"/>
                <w:szCs w:val="28"/>
              </w:rPr>
              <w:t>?</w:t>
            </w:r>
          </w:p>
        </w:tc>
        <w:tc>
          <w:tcPr>
            <w:tcW w:w="5904" w:type="dxa"/>
            <w:vAlign w:val="center"/>
          </w:tcPr>
          <w:p w14:paraId="7A6256D4" w14:textId="3DB018C2" w:rsidR="00EA02ED" w:rsidRPr="0010708E" w:rsidRDefault="00D52C98" w:rsidP="00D52C98">
            <w:pPr>
              <w:pStyle w:val="O-BodyText"/>
              <w:spacing w:after="120"/>
              <w:ind w:left="11" w:right="158"/>
              <w:rPr>
                <w:rFonts w:ascii="Calibri" w:hAnsi="Calibri"/>
                <w:b/>
                <w:bCs/>
                <w:sz w:val="22"/>
                <w:szCs w:val="22"/>
              </w:rPr>
            </w:pPr>
            <w:r>
              <w:rPr>
                <w:rFonts w:ascii="Calibri" w:hAnsi="Calibri"/>
                <w:b/>
                <w:bCs/>
                <w:sz w:val="22"/>
                <w:szCs w:val="22"/>
              </w:rPr>
              <w:t xml:space="preserve">No. </w:t>
            </w:r>
            <w:r w:rsidR="002D2D62">
              <w:rPr>
                <w:rFonts w:ascii="Calibri" w:hAnsi="Calibri"/>
                <w:b/>
                <w:bCs/>
                <w:sz w:val="22"/>
                <w:szCs w:val="22"/>
              </w:rPr>
              <w:t xml:space="preserve"> </w:t>
            </w:r>
            <w:r w:rsidRPr="00D52C98">
              <w:rPr>
                <w:rFonts w:ascii="Calibri" w:hAnsi="Calibri"/>
                <w:b/>
                <w:bCs/>
                <w:sz w:val="22"/>
                <w:szCs w:val="22"/>
              </w:rPr>
              <w:t xml:space="preserve">Despite recognizing </w:t>
            </w:r>
            <w:r>
              <w:rPr>
                <w:rFonts w:ascii="Calibri" w:hAnsi="Calibri"/>
                <w:b/>
                <w:bCs/>
                <w:sz w:val="22"/>
                <w:szCs w:val="22"/>
              </w:rPr>
              <w:t>the “</w:t>
            </w:r>
            <w:r w:rsidRPr="00D52C98">
              <w:rPr>
                <w:rFonts w:ascii="Calibri" w:hAnsi="Calibri"/>
                <w:b/>
                <w:bCs/>
                <w:sz w:val="22"/>
                <w:szCs w:val="22"/>
              </w:rPr>
              <w:t>many parallels” between state a</w:t>
            </w:r>
            <w:r>
              <w:rPr>
                <w:rFonts w:ascii="Calibri" w:hAnsi="Calibri"/>
                <w:b/>
                <w:bCs/>
                <w:sz w:val="22"/>
                <w:szCs w:val="22"/>
              </w:rPr>
              <w:t xml:space="preserve">nd tribal sovereign immunities, this Court </w:t>
            </w:r>
            <w:r w:rsidRPr="00D52C98">
              <w:rPr>
                <w:rFonts w:ascii="Calibri" w:hAnsi="Calibri"/>
                <w:b/>
                <w:bCs/>
                <w:sz w:val="22"/>
                <w:szCs w:val="22"/>
              </w:rPr>
              <w:t>reserved “for another day the question of whether there is any reason to treat state sovereign immunity differently”</w:t>
            </w:r>
            <w:r>
              <w:rPr>
                <w:rFonts w:ascii="Calibri" w:hAnsi="Calibri"/>
                <w:b/>
                <w:bCs/>
                <w:sz w:val="22"/>
                <w:szCs w:val="22"/>
              </w:rPr>
              <w:t xml:space="preserve"> than Indian tribe sovereign immunity.</w:t>
            </w:r>
          </w:p>
        </w:tc>
      </w:tr>
      <w:tr w:rsidR="000C3C8D" w14:paraId="7DC4331C" w14:textId="77777777" w:rsidTr="0010708E">
        <w:trPr>
          <w:trHeight w:val="4795"/>
        </w:trPr>
        <w:tc>
          <w:tcPr>
            <w:tcW w:w="5904" w:type="dxa"/>
            <w:vAlign w:val="center"/>
          </w:tcPr>
          <w:p w14:paraId="7861A313" w14:textId="0669DA94" w:rsidR="000C3C8D" w:rsidRPr="00F43AE5" w:rsidRDefault="00F43AE5" w:rsidP="0010708E">
            <w:pPr>
              <w:pStyle w:val="O-BodyText"/>
              <w:spacing w:afterLines="120" w:after="288"/>
              <w:ind w:right="108"/>
              <w:rPr>
                <w:rFonts w:ascii="Calibri" w:hAnsi="Calibri"/>
                <w:b/>
                <w:bCs/>
                <w:sz w:val="28"/>
                <w:szCs w:val="28"/>
              </w:rPr>
            </w:pPr>
            <w:r>
              <w:rPr>
                <w:rFonts w:ascii="Calibri" w:hAnsi="Calibri"/>
                <w:b/>
                <w:bCs/>
                <w:sz w:val="28"/>
                <w:szCs w:val="28"/>
              </w:rPr>
              <w:t xml:space="preserve">On what basis did this Court reject the tribe’s immunity claim in </w:t>
            </w:r>
            <w:r w:rsidRPr="00D52C98">
              <w:rPr>
                <w:rFonts w:ascii="Calibri" w:hAnsi="Calibri"/>
                <w:b/>
                <w:bCs/>
                <w:i/>
                <w:sz w:val="28"/>
                <w:szCs w:val="28"/>
              </w:rPr>
              <w:t>Saint Regis Mohawk Tribe</w:t>
            </w:r>
            <w:r>
              <w:rPr>
                <w:rFonts w:ascii="Calibri" w:hAnsi="Calibri"/>
                <w:b/>
                <w:bCs/>
                <w:sz w:val="28"/>
                <w:szCs w:val="28"/>
              </w:rPr>
              <w:t>?</w:t>
            </w:r>
          </w:p>
        </w:tc>
        <w:tc>
          <w:tcPr>
            <w:tcW w:w="5904" w:type="dxa"/>
            <w:vAlign w:val="center"/>
          </w:tcPr>
          <w:p w14:paraId="54B9FA4D" w14:textId="0681E3F0" w:rsidR="000C3C8D" w:rsidRPr="0010708E" w:rsidRDefault="00F43AE5" w:rsidP="0010708E">
            <w:pPr>
              <w:pStyle w:val="O-BodyText"/>
              <w:spacing w:after="120"/>
              <w:ind w:right="158"/>
              <w:rPr>
                <w:rFonts w:ascii="Calibri" w:hAnsi="Calibri"/>
                <w:b/>
                <w:bCs/>
                <w:sz w:val="22"/>
                <w:szCs w:val="22"/>
              </w:rPr>
            </w:pPr>
            <w:r w:rsidRPr="00F43AE5">
              <w:rPr>
                <w:rFonts w:ascii="Calibri" w:hAnsi="Calibri"/>
                <w:b/>
                <w:bCs/>
                <w:i/>
                <w:sz w:val="22"/>
                <w:szCs w:val="22"/>
              </w:rPr>
              <w:t xml:space="preserve">Saint Regis Mohawk Tribe </w:t>
            </w:r>
            <w:r w:rsidRPr="00F43AE5">
              <w:rPr>
                <w:rFonts w:ascii="Calibri" w:hAnsi="Calibri"/>
                <w:b/>
                <w:bCs/>
                <w:sz w:val="22"/>
                <w:szCs w:val="22"/>
              </w:rPr>
              <w:t xml:space="preserve">rejected the tribe’s immunity claim by applying a Supreme Court case about </w:t>
            </w:r>
            <w:r w:rsidRPr="00F43AE5">
              <w:rPr>
                <w:rFonts w:ascii="Calibri" w:hAnsi="Calibri"/>
                <w:b/>
                <w:bCs/>
                <w:i/>
                <w:sz w:val="22"/>
                <w:szCs w:val="22"/>
              </w:rPr>
              <w:t xml:space="preserve">state </w:t>
            </w:r>
            <w:r w:rsidRPr="00F43AE5">
              <w:rPr>
                <w:rFonts w:ascii="Calibri" w:hAnsi="Calibri"/>
                <w:b/>
                <w:bCs/>
                <w:sz w:val="22"/>
                <w:szCs w:val="22"/>
              </w:rPr>
              <w:t>sovereign immunity</w:t>
            </w:r>
            <w:r w:rsidR="00A262DA">
              <w:rPr>
                <w:rFonts w:ascii="Calibri" w:hAnsi="Calibri"/>
                <w:b/>
                <w:bCs/>
                <w:sz w:val="22"/>
                <w:szCs w:val="22"/>
              </w:rPr>
              <w:t>—</w:t>
            </w:r>
            <w:r w:rsidR="00A262DA" w:rsidRPr="00A262DA">
              <w:rPr>
                <w:rFonts w:ascii="Century Schoolbook" w:eastAsia="Century Schoolbook" w:hAnsi="Century Schoolbook" w:cs="Times New Roman"/>
                <w:i/>
                <w:color w:val="000000"/>
                <w:sz w:val="28"/>
                <w:szCs w:val="22"/>
              </w:rPr>
              <w:t xml:space="preserve"> </w:t>
            </w:r>
            <w:r w:rsidR="00A262DA">
              <w:rPr>
                <w:rFonts w:ascii="Calibri" w:hAnsi="Calibri"/>
                <w:b/>
                <w:bCs/>
                <w:i/>
                <w:sz w:val="22"/>
                <w:szCs w:val="22"/>
              </w:rPr>
              <w:t>Federal</w:t>
            </w:r>
            <w:r w:rsidR="00A262DA" w:rsidRPr="00A262DA">
              <w:rPr>
                <w:rFonts w:ascii="Calibri" w:hAnsi="Calibri"/>
                <w:b/>
                <w:bCs/>
                <w:i/>
                <w:sz w:val="22"/>
                <w:szCs w:val="22"/>
              </w:rPr>
              <w:t xml:space="preserve"> Mar</w:t>
            </w:r>
            <w:r w:rsidR="00A262DA">
              <w:rPr>
                <w:rFonts w:ascii="Calibri" w:hAnsi="Calibri"/>
                <w:b/>
                <w:bCs/>
                <w:i/>
                <w:sz w:val="22"/>
                <w:szCs w:val="22"/>
              </w:rPr>
              <w:t>itime</w:t>
            </w:r>
            <w:r w:rsidR="00A262DA" w:rsidRPr="00A262DA">
              <w:rPr>
                <w:rFonts w:ascii="Calibri" w:hAnsi="Calibri"/>
                <w:b/>
                <w:bCs/>
                <w:i/>
                <w:sz w:val="22"/>
                <w:szCs w:val="22"/>
              </w:rPr>
              <w:t xml:space="preserve"> Comm’n v. </w:t>
            </w:r>
            <w:r w:rsidR="00A262DA">
              <w:rPr>
                <w:rFonts w:ascii="Calibri" w:hAnsi="Calibri"/>
                <w:b/>
                <w:bCs/>
                <w:i/>
                <w:sz w:val="22"/>
                <w:szCs w:val="22"/>
              </w:rPr>
              <w:t xml:space="preserve">South Carolina </w:t>
            </w:r>
            <w:r w:rsidR="00A262DA" w:rsidRPr="00A262DA">
              <w:rPr>
                <w:rFonts w:ascii="Calibri" w:hAnsi="Calibri"/>
                <w:b/>
                <w:bCs/>
                <w:i/>
                <w:sz w:val="22"/>
                <w:szCs w:val="22"/>
              </w:rPr>
              <w:t>State Ports Auth</w:t>
            </w:r>
            <w:r w:rsidR="00A262DA">
              <w:rPr>
                <w:rFonts w:ascii="Calibri" w:hAnsi="Calibri"/>
                <w:b/>
                <w:bCs/>
                <w:i/>
                <w:sz w:val="22"/>
                <w:szCs w:val="22"/>
              </w:rPr>
              <w:t>.</w:t>
            </w:r>
            <w:r w:rsidR="00A262DA" w:rsidRPr="00A262DA">
              <w:rPr>
                <w:rFonts w:ascii="Calibri" w:hAnsi="Calibri"/>
                <w:b/>
                <w:bCs/>
                <w:sz w:val="22"/>
                <w:szCs w:val="22"/>
              </w:rPr>
              <w:t xml:space="preserve"> (</w:t>
            </w:r>
            <w:r w:rsidR="00CD3CDF">
              <w:rPr>
                <w:rFonts w:ascii="Calibri" w:hAnsi="Calibri"/>
                <w:b/>
                <w:bCs/>
                <w:sz w:val="22"/>
                <w:szCs w:val="22"/>
              </w:rPr>
              <w:t>U.S.</w:t>
            </w:r>
            <w:r w:rsidR="00A262DA">
              <w:rPr>
                <w:rFonts w:ascii="Calibri" w:hAnsi="Calibri"/>
                <w:b/>
                <w:bCs/>
                <w:sz w:val="22"/>
                <w:szCs w:val="22"/>
              </w:rPr>
              <w:t xml:space="preserve"> </w:t>
            </w:r>
            <w:r w:rsidR="00A262DA" w:rsidRPr="00A262DA">
              <w:rPr>
                <w:rFonts w:ascii="Calibri" w:hAnsi="Calibri"/>
                <w:b/>
                <w:bCs/>
                <w:sz w:val="22"/>
                <w:szCs w:val="22"/>
              </w:rPr>
              <w:t>2002)</w:t>
            </w:r>
            <w:r w:rsidR="008B79BC">
              <w:rPr>
                <w:rFonts w:ascii="Calibri" w:hAnsi="Calibri"/>
                <w:b/>
                <w:bCs/>
                <w:sz w:val="22"/>
                <w:szCs w:val="22"/>
              </w:rPr>
              <w:t>.</w:t>
            </w:r>
          </w:p>
        </w:tc>
      </w:tr>
      <w:tr w:rsidR="008B79BC" w14:paraId="1EB10BE4" w14:textId="77777777" w:rsidTr="0010708E">
        <w:trPr>
          <w:trHeight w:val="4795"/>
        </w:trPr>
        <w:tc>
          <w:tcPr>
            <w:tcW w:w="5904" w:type="dxa"/>
            <w:vAlign w:val="center"/>
          </w:tcPr>
          <w:p w14:paraId="54AA12C0" w14:textId="645C64B6" w:rsidR="008B79BC" w:rsidRDefault="008B79BC" w:rsidP="0010708E">
            <w:pPr>
              <w:pStyle w:val="O-BodyText"/>
              <w:spacing w:afterLines="120" w:after="288"/>
              <w:ind w:right="108"/>
              <w:rPr>
                <w:rFonts w:ascii="Calibri" w:hAnsi="Calibri"/>
                <w:b/>
                <w:bCs/>
                <w:sz w:val="28"/>
                <w:szCs w:val="28"/>
              </w:rPr>
            </w:pPr>
            <w:r>
              <w:rPr>
                <w:rFonts w:ascii="Calibri" w:hAnsi="Calibri"/>
                <w:b/>
                <w:bCs/>
                <w:sz w:val="28"/>
                <w:szCs w:val="28"/>
              </w:rPr>
              <w:t xml:space="preserve">On what basis did </w:t>
            </w:r>
            <w:r w:rsidR="00637BBE" w:rsidRPr="00637BBE">
              <w:rPr>
                <w:rFonts w:ascii="Calibri" w:hAnsi="Calibri"/>
                <w:b/>
                <w:bCs/>
                <w:i/>
                <w:sz w:val="28"/>
                <w:szCs w:val="28"/>
              </w:rPr>
              <w:t>Saint Regis Mohawk Tribe</w:t>
            </w:r>
            <w:r w:rsidR="00637BBE" w:rsidRPr="00637BBE">
              <w:rPr>
                <w:rFonts w:ascii="Calibri" w:hAnsi="Calibri"/>
                <w:b/>
                <w:bCs/>
                <w:sz w:val="28"/>
                <w:szCs w:val="28"/>
              </w:rPr>
              <w:t xml:space="preserve"> </w:t>
            </w:r>
            <w:r>
              <w:rPr>
                <w:rFonts w:ascii="Calibri" w:hAnsi="Calibri"/>
                <w:b/>
                <w:bCs/>
                <w:sz w:val="28"/>
                <w:szCs w:val="28"/>
              </w:rPr>
              <w:t xml:space="preserve">hold that </w:t>
            </w:r>
            <w:proofErr w:type="spellStart"/>
            <w:r>
              <w:rPr>
                <w:rFonts w:ascii="Calibri" w:hAnsi="Calibri"/>
                <w:b/>
                <w:bCs/>
                <w:sz w:val="28"/>
                <w:szCs w:val="28"/>
              </w:rPr>
              <w:t>IPR</w:t>
            </w:r>
            <w:proofErr w:type="spellEnd"/>
            <w:r>
              <w:rPr>
                <w:rFonts w:ascii="Calibri" w:hAnsi="Calibri"/>
                <w:b/>
                <w:bCs/>
                <w:sz w:val="28"/>
                <w:szCs w:val="28"/>
              </w:rPr>
              <w:t xml:space="preserve"> does not impinge on sovereign immunity?</w:t>
            </w:r>
          </w:p>
        </w:tc>
        <w:tc>
          <w:tcPr>
            <w:tcW w:w="5904" w:type="dxa"/>
            <w:vAlign w:val="center"/>
          </w:tcPr>
          <w:p w14:paraId="2663F1CA" w14:textId="6D78452C" w:rsidR="0053204D" w:rsidRDefault="0053204D" w:rsidP="0053204D">
            <w:pPr>
              <w:pStyle w:val="O-BodyText"/>
              <w:spacing w:after="120"/>
              <w:ind w:left="360" w:right="158"/>
              <w:rPr>
                <w:rFonts w:ascii="Calibri" w:hAnsi="Calibri"/>
                <w:b/>
                <w:bCs/>
                <w:sz w:val="22"/>
                <w:szCs w:val="22"/>
              </w:rPr>
            </w:pPr>
            <w:r w:rsidRPr="0053204D">
              <w:rPr>
                <w:rFonts w:ascii="Calibri" w:hAnsi="Calibri"/>
                <w:b/>
                <w:bCs/>
                <w:i/>
                <w:sz w:val="22"/>
                <w:szCs w:val="22"/>
              </w:rPr>
              <w:t xml:space="preserve">Saint Regis </w:t>
            </w:r>
            <w:r>
              <w:rPr>
                <w:rFonts w:ascii="Calibri" w:hAnsi="Calibri"/>
                <w:b/>
                <w:bCs/>
                <w:sz w:val="22"/>
                <w:szCs w:val="22"/>
              </w:rPr>
              <w:t xml:space="preserve">held that </w:t>
            </w:r>
            <w:proofErr w:type="spellStart"/>
            <w:r>
              <w:rPr>
                <w:rFonts w:ascii="Calibri" w:hAnsi="Calibri"/>
                <w:b/>
                <w:bCs/>
                <w:sz w:val="22"/>
                <w:szCs w:val="22"/>
              </w:rPr>
              <w:t>IPR</w:t>
            </w:r>
            <w:proofErr w:type="spellEnd"/>
            <w:r>
              <w:rPr>
                <w:rFonts w:ascii="Calibri" w:hAnsi="Calibri"/>
                <w:b/>
                <w:bCs/>
                <w:sz w:val="22"/>
                <w:szCs w:val="22"/>
              </w:rPr>
              <w:t xml:space="preserve"> does not impinge on sovereign immunity because:</w:t>
            </w:r>
          </w:p>
          <w:p w14:paraId="6C156F82" w14:textId="3A883C4C" w:rsidR="008B79BC" w:rsidRDefault="00A15275" w:rsidP="00A859E4">
            <w:pPr>
              <w:pStyle w:val="O-BodyText"/>
              <w:numPr>
                <w:ilvl w:val="0"/>
                <w:numId w:val="10"/>
              </w:numPr>
              <w:spacing w:after="120"/>
              <w:ind w:right="158"/>
              <w:rPr>
                <w:rFonts w:ascii="Calibri" w:hAnsi="Calibri"/>
                <w:b/>
                <w:bCs/>
                <w:sz w:val="22"/>
                <w:szCs w:val="22"/>
              </w:rPr>
            </w:pPr>
            <w:r>
              <w:rPr>
                <w:rFonts w:ascii="Calibri" w:hAnsi="Calibri"/>
                <w:b/>
                <w:bCs/>
                <w:sz w:val="22"/>
                <w:szCs w:val="22"/>
              </w:rPr>
              <w:t>Applying</w:t>
            </w:r>
            <w:r w:rsidR="0053204D">
              <w:rPr>
                <w:rFonts w:ascii="Calibri" w:hAnsi="Calibri"/>
                <w:b/>
                <w:bCs/>
                <w:sz w:val="22"/>
                <w:szCs w:val="22"/>
              </w:rPr>
              <w:t xml:space="preserve"> </w:t>
            </w:r>
            <w:r w:rsidR="008B79BC" w:rsidRPr="008B79BC">
              <w:rPr>
                <w:rFonts w:ascii="Calibri" w:hAnsi="Calibri"/>
                <w:b/>
                <w:bCs/>
                <w:i/>
                <w:sz w:val="22"/>
                <w:szCs w:val="22"/>
              </w:rPr>
              <w:t>FMC</w:t>
            </w:r>
            <w:r>
              <w:rPr>
                <w:rFonts w:ascii="Calibri" w:hAnsi="Calibri"/>
                <w:b/>
                <w:bCs/>
                <w:sz w:val="22"/>
                <w:szCs w:val="22"/>
              </w:rPr>
              <w:t xml:space="preserve">, it </w:t>
            </w:r>
            <w:r w:rsidR="0053204D">
              <w:rPr>
                <w:rFonts w:ascii="Calibri" w:hAnsi="Calibri"/>
                <w:b/>
                <w:bCs/>
                <w:sz w:val="22"/>
                <w:szCs w:val="22"/>
              </w:rPr>
              <w:t xml:space="preserve">concluded that </w:t>
            </w:r>
            <w:proofErr w:type="spellStart"/>
            <w:r w:rsidR="0053204D">
              <w:rPr>
                <w:rFonts w:ascii="Calibri" w:hAnsi="Calibri"/>
                <w:b/>
                <w:bCs/>
                <w:sz w:val="22"/>
                <w:szCs w:val="22"/>
              </w:rPr>
              <w:t>IPRs</w:t>
            </w:r>
            <w:proofErr w:type="spellEnd"/>
            <w:r w:rsidR="0053204D">
              <w:rPr>
                <w:rFonts w:ascii="Calibri" w:hAnsi="Calibri"/>
                <w:b/>
                <w:bCs/>
                <w:sz w:val="22"/>
                <w:szCs w:val="22"/>
              </w:rPr>
              <w:t xml:space="preserve"> are</w:t>
            </w:r>
            <w:r w:rsidR="0053204D" w:rsidRPr="0053204D">
              <w:rPr>
                <w:rFonts w:ascii="Calibri" w:hAnsi="Calibri"/>
                <w:b/>
                <w:bCs/>
                <w:sz w:val="22"/>
                <w:szCs w:val="22"/>
              </w:rPr>
              <w:t xml:space="preserve"> both functionally and procedurally different</w:t>
            </w:r>
            <w:r w:rsidR="0053204D">
              <w:rPr>
                <w:rFonts w:ascii="Calibri" w:hAnsi="Calibri"/>
                <w:b/>
                <w:bCs/>
                <w:sz w:val="22"/>
                <w:szCs w:val="22"/>
              </w:rPr>
              <w:t xml:space="preserve"> from district court litigation</w:t>
            </w:r>
          </w:p>
          <w:p w14:paraId="3A6F4C51" w14:textId="5B370F94" w:rsidR="0053204D" w:rsidRPr="008B79BC" w:rsidRDefault="0053204D" w:rsidP="00A859E4">
            <w:pPr>
              <w:pStyle w:val="O-BodyText"/>
              <w:numPr>
                <w:ilvl w:val="0"/>
                <w:numId w:val="10"/>
              </w:numPr>
              <w:spacing w:after="120"/>
              <w:ind w:right="158"/>
              <w:rPr>
                <w:rFonts w:ascii="Calibri" w:hAnsi="Calibri"/>
                <w:b/>
                <w:bCs/>
                <w:sz w:val="22"/>
                <w:szCs w:val="22"/>
              </w:rPr>
            </w:pPr>
            <w:r>
              <w:rPr>
                <w:rFonts w:ascii="Calibri" w:hAnsi="Calibri"/>
                <w:b/>
                <w:bCs/>
                <w:sz w:val="22"/>
                <w:szCs w:val="22"/>
              </w:rPr>
              <w:t xml:space="preserve">Functional difference:  </w:t>
            </w:r>
            <w:proofErr w:type="spellStart"/>
            <w:r w:rsidRPr="0053204D">
              <w:rPr>
                <w:rFonts w:ascii="Calibri" w:hAnsi="Calibri"/>
                <w:b/>
                <w:bCs/>
                <w:sz w:val="22"/>
                <w:szCs w:val="22"/>
              </w:rPr>
              <w:t>IPR</w:t>
            </w:r>
            <w:proofErr w:type="spellEnd"/>
            <w:r w:rsidRPr="0053204D">
              <w:rPr>
                <w:rFonts w:ascii="Calibri" w:hAnsi="Calibri"/>
                <w:b/>
                <w:bCs/>
                <w:sz w:val="22"/>
                <w:szCs w:val="22"/>
              </w:rPr>
              <w:t xml:space="preserve"> is </w:t>
            </w:r>
            <w:r>
              <w:rPr>
                <w:rFonts w:ascii="Calibri" w:hAnsi="Calibri"/>
                <w:b/>
                <w:bCs/>
                <w:sz w:val="22"/>
                <w:szCs w:val="22"/>
              </w:rPr>
              <w:t xml:space="preserve">the government’s reconsideration of </w:t>
            </w:r>
            <w:r w:rsidRPr="0053204D">
              <w:rPr>
                <w:rFonts w:ascii="Calibri" w:hAnsi="Calibri"/>
                <w:b/>
                <w:bCs/>
                <w:sz w:val="22"/>
                <w:szCs w:val="22"/>
              </w:rPr>
              <w:t>its o</w:t>
            </w:r>
            <w:r>
              <w:rPr>
                <w:rFonts w:ascii="Calibri" w:hAnsi="Calibri"/>
                <w:b/>
                <w:bCs/>
                <w:sz w:val="22"/>
                <w:szCs w:val="22"/>
              </w:rPr>
              <w:t>wn grant of a patent</w:t>
            </w:r>
          </w:p>
          <w:p w14:paraId="1B9E3056" w14:textId="4B49E8E4" w:rsidR="008B79BC" w:rsidRPr="008B79BC" w:rsidRDefault="0053204D" w:rsidP="0053204D">
            <w:pPr>
              <w:pStyle w:val="O-BodyText"/>
              <w:numPr>
                <w:ilvl w:val="0"/>
                <w:numId w:val="10"/>
              </w:numPr>
              <w:spacing w:after="120"/>
              <w:ind w:right="158"/>
              <w:rPr>
                <w:rFonts w:ascii="Calibri" w:hAnsi="Calibri"/>
                <w:b/>
                <w:bCs/>
                <w:sz w:val="22"/>
                <w:szCs w:val="22"/>
              </w:rPr>
            </w:pPr>
            <w:r>
              <w:rPr>
                <w:rFonts w:ascii="Calibri" w:hAnsi="Calibri"/>
                <w:b/>
                <w:bCs/>
                <w:sz w:val="22"/>
                <w:szCs w:val="22"/>
              </w:rPr>
              <w:t xml:space="preserve">Procedural differences: </w:t>
            </w:r>
            <w:r w:rsidR="00A15275">
              <w:rPr>
                <w:rFonts w:ascii="Calibri" w:hAnsi="Calibri"/>
                <w:b/>
                <w:bCs/>
                <w:sz w:val="22"/>
                <w:szCs w:val="22"/>
              </w:rPr>
              <w:t xml:space="preserve">USPTO </w:t>
            </w:r>
            <w:r w:rsidR="00A15275" w:rsidRPr="00A15275">
              <w:rPr>
                <w:rFonts w:ascii="Calibri" w:hAnsi="Calibri"/>
                <w:b/>
                <w:bCs/>
                <w:sz w:val="22"/>
                <w:szCs w:val="22"/>
              </w:rPr>
              <w:t xml:space="preserve">Director </w:t>
            </w:r>
            <w:r w:rsidR="00A15275">
              <w:rPr>
                <w:rFonts w:ascii="Calibri" w:hAnsi="Calibri"/>
                <w:b/>
                <w:bCs/>
                <w:sz w:val="22"/>
                <w:szCs w:val="22"/>
              </w:rPr>
              <w:t xml:space="preserve">has </w:t>
            </w:r>
            <w:r w:rsidR="00A15275" w:rsidRPr="00A15275">
              <w:rPr>
                <w:rFonts w:ascii="Calibri" w:hAnsi="Calibri"/>
                <w:b/>
                <w:bCs/>
                <w:sz w:val="22"/>
                <w:szCs w:val="22"/>
              </w:rPr>
              <w:t xml:space="preserve">broad discretion </w:t>
            </w:r>
            <w:r w:rsidR="00A15275">
              <w:rPr>
                <w:rFonts w:ascii="Calibri" w:hAnsi="Calibri"/>
                <w:b/>
                <w:bCs/>
                <w:sz w:val="22"/>
                <w:szCs w:val="22"/>
              </w:rPr>
              <w:t>regarding</w:t>
            </w:r>
            <w:r w:rsidR="00A15275" w:rsidRPr="00A15275">
              <w:rPr>
                <w:rFonts w:ascii="Calibri" w:hAnsi="Calibri"/>
                <w:b/>
                <w:bCs/>
                <w:sz w:val="22"/>
                <w:szCs w:val="22"/>
              </w:rPr>
              <w:t xml:space="preserve"> whether to institute review</w:t>
            </w:r>
            <w:r w:rsidR="00A15275">
              <w:rPr>
                <w:rFonts w:ascii="Calibri" w:hAnsi="Calibri"/>
                <w:b/>
                <w:bCs/>
                <w:sz w:val="22"/>
                <w:szCs w:val="22"/>
              </w:rPr>
              <w:t>;</w:t>
            </w:r>
            <w:r w:rsidR="00A15275" w:rsidRPr="00A15275">
              <w:rPr>
                <w:rFonts w:ascii="Calibri" w:hAnsi="Calibri"/>
                <w:b/>
                <w:bCs/>
                <w:sz w:val="22"/>
                <w:szCs w:val="22"/>
              </w:rPr>
              <w:t xml:space="preserve"> </w:t>
            </w:r>
            <w:proofErr w:type="spellStart"/>
            <w:r w:rsidRPr="0053204D">
              <w:rPr>
                <w:rFonts w:ascii="Calibri" w:hAnsi="Calibri"/>
                <w:b/>
                <w:bCs/>
                <w:sz w:val="22"/>
                <w:szCs w:val="22"/>
              </w:rPr>
              <w:t>IPR</w:t>
            </w:r>
            <w:proofErr w:type="spellEnd"/>
            <w:r w:rsidRPr="0053204D">
              <w:rPr>
                <w:rFonts w:ascii="Calibri" w:hAnsi="Calibri"/>
                <w:b/>
                <w:bCs/>
                <w:sz w:val="22"/>
                <w:szCs w:val="22"/>
              </w:rPr>
              <w:t xml:space="preserve"> can continue with virtually </w:t>
            </w:r>
            <w:r>
              <w:rPr>
                <w:rFonts w:ascii="Calibri" w:hAnsi="Calibri"/>
                <w:b/>
                <w:bCs/>
                <w:sz w:val="22"/>
                <w:szCs w:val="22"/>
              </w:rPr>
              <w:t xml:space="preserve">no involvement from the parties; </w:t>
            </w:r>
            <w:r w:rsidRPr="0053204D">
              <w:rPr>
                <w:rFonts w:ascii="Calibri" w:hAnsi="Calibri"/>
                <w:b/>
                <w:bCs/>
                <w:sz w:val="22"/>
                <w:szCs w:val="22"/>
              </w:rPr>
              <w:t>Federal Rules of Civil Procedure</w:t>
            </w:r>
            <w:r>
              <w:rPr>
                <w:rFonts w:ascii="Calibri" w:hAnsi="Calibri"/>
                <w:b/>
                <w:bCs/>
                <w:sz w:val="22"/>
                <w:szCs w:val="22"/>
              </w:rPr>
              <w:t xml:space="preserve"> do not apply</w:t>
            </w:r>
          </w:p>
        </w:tc>
      </w:tr>
      <w:tr w:rsidR="000F3761" w14:paraId="439023F3" w14:textId="77777777" w:rsidTr="0010708E">
        <w:trPr>
          <w:trHeight w:val="4795"/>
        </w:trPr>
        <w:tc>
          <w:tcPr>
            <w:tcW w:w="5904" w:type="dxa"/>
            <w:vAlign w:val="center"/>
          </w:tcPr>
          <w:p w14:paraId="606B1DC8" w14:textId="0712EF05" w:rsidR="000F3761" w:rsidRPr="0010708E" w:rsidRDefault="002D2D62"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other reason did the Patent Trial and Appeal Board give for rejecting any sovereign immunity defense to </w:t>
            </w:r>
            <w:proofErr w:type="spellStart"/>
            <w:r>
              <w:rPr>
                <w:rFonts w:ascii="Calibri" w:hAnsi="Calibri"/>
                <w:b/>
                <w:bCs/>
                <w:sz w:val="28"/>
                <w:szCs w:val="28"/>
              </w:rPr>
              <w:t>IPR</w:t>
            </w:r>
            <w:proofErr w:type="spellEnd"/>
            <w:r>
              <w:rPr>
                <w:rFonts w:ascii="Calibri" w:hAnsi="Calibri"/>
                <w:b/>
                <w:bCs/>
                <w:sz w:val="28"/>
                <w:szCs w:val="28"/>
              </w:rPr>
              <w:t xml:space="preserve"> in this case?</w:t>
            </w:r>
          </w:p>
        </w:tc>
        <w:tc>
          <w:tcPr>
            <w:tcW w:w="5904" w:type="dxa"/>
            <w:vAlign w:val="center"/>
          </w:tcPr>
          <w:p w14:paraId="086270DB" w14:textId="4F360587" w:rsidR="000F3761" w:rsidRPr="0010708E" w:rsidRDefault="002D2D62" w:rsidP="0010708E">
            <w:pPr>
              <w:pStyle w:val="O-BodyText"/>
              <w:spacing w:after="120"/>
              <w:ind w:right="158"/>
              <w:rPr>
                <w:rFonts w:ascii="Calibri" w:hAnsi="Calibri"/>
                <w:b/>
                <w:bCs/>
                <w:sz w:val="22"/>
                <w:szCs w:val="22"/>
              </w:rPr>
            </w:pPr>
            <w:r>
              <w:rPr>
                <w:rFonts w:ascii="Calibri" w:eastAsia="Century Schoolbook" w:hAnsi="Calibri"/>
                <w:b/>
                <w:bCs/>
                <w:color w:val="000000"/>
                <w:sz w:val="22"/>
                <w:szCs w:val="22"/>
              </w:rPr>
              <w:t xml:space="preserve">The </w:t>
            </w:r>
            <w:proofErr w:type="spellStart"/>
            <w:r w:rsidR="00623D39">
              <w:rPr>
                <w:rFonts w:ascii="Calibri" w:eastAsia="Century Schoolbook" w:hAnsi="Calibri"/>
                <w:b/>
                <w:bCs/>
                <w:color w:val="000000"/>
                <w:sz w:val="22"/>
                <w:szCs w:val="22"/>
              </w:rPr>
              <w:t>PTAB</w:t>
            </w:r>
            <w:proofErr w:type="spellEnd"/>
            <w:r>
              <w:rPr>
                <w:rFonts w:ascii="Calibri" w:eastAsia="Century Schoolbook" w:hAnsi="Calibri"/>
                <w:b/>
                <w:bCs/>
                <w:color w:val="000000"/>
                <w:sz w:val="22"/>
                <w:szCs w:val="22"/>
              </w:rPr>
              <w:t xml:space="preserve"> found that</w:t>
            </w:r>
            <w:r w:rsidR="00C11E20">
              <w:rPr>
                <w:rFonts w:ascii="Calibri" w:eastAsia="Century Schoolbook" w:hAnsi="Calibri"/>
                <w:b/>
                <w:bCs/>
                <w:color w:val="000000"/>
                <w:sz w:val="22"/>
                <w:szCs w:val="22"/>
              </w:rPr>
              <w:t xml:space="preserve"> </w:t>
            </w:r>
            <w:proofErr w:type="spellStart"/>
            <w:r w:rsidR="00C11E20">
              <w:rPr>
                <w:rFonts w:ascii="Calibri" w:eastAsia="Century Schoolbook" w:hAnsi="Calibri"/>
                <w:b/>
                <w:bCs/>
                <w:color w:val="000000"/>
                <w:sz w:val="22"/>
                <w:szCs w:val="22"/>
              </w:rPr>
              <w:t>U</w:t>
            </w:r>
            <w:r>
              <w:rPr>
                <w:rFonts w:ascii="Calibri" w:eastAsia="Century Schoolbook" w:hAnsi="Calibri"/>
                <w:b/>
                <w:bCs/>
                <w:color w:val="000000"/>
                <w:sz w:val="22"/>
                <w:szCs w:val="22"/>
              </w:rPr>
              <w:t>M</w:t>
            </w:r>
            <w:r w:rsidR="00C11E20">
              <w:rPr>
                <w:rFonts w:ascii="Calibri" w:eastAsia="Century Schoolbook" w:hAnsi="Calibri"/>
                <w:b/>
                <w:bCs/>
                <w:color w:val="000000"/>
                <w:sz w:val="22"/>
                <w:szCs w:val="22"/>
              </w:rPr>
              <w:t>N</w:t>
            </w:r>
            <w:proofErr w:type="spellEnd"/>
            <w:r>
              <w:rPr>
                <w:rFonts w:ascii="Calibri" w:eastAsia="Century Schoolbook" w:hAnsi="Calibri"/>
                <w:b/>
                <w:bCs/>
                <w:color w:val="000000"/>
                <w:sz w:val="22"/>
                <w:szCs w:val="22"/>
              </w:rPr>
              <w:t xml:space="preserve"> </w:t>
            </w:r>
            <w:r w:rsidRPr="002D2D62">
              <w:rPr>
                <w:rFonts w:ascii="Calibri" w:eastAsia="Century Schoolbook" w:hAnsi="Calibri"/>
                <w:b/>
                <w:bCs/>
                <w:color w:val="000000"/>
                <w:sz w:val="22"/>
                <w:szCs w:val="22"/>
              </w:rPr>
              <w:t>waived any such immunity by litigating its infringement actions in district court</w:t>
            </w:r>
            <w:r>
              <w:rPr>
                <w:rFonts w:ascii="Calibri" w:eastAsia="Century Schoolbook" w:hAnsi="Calibri"/>
                <w:b/>
                <w:bCs/>
                <w:color w:val="000000"/>
                <w:sz w:val="22"/>
                <w:szCs w:val="22"/>
              </w:rPr>
              <w:t>.</w:t>
            </w:r>
          </w:p>
        </w:tc>
      </w:tr>
      <w:tr w:rsidR="00FB42AE" w:rsidRPr="0010708E" w14:paraId="298484A1" w14:textId="77777777" w:rsidTr="003A6872">
        <w:trPr>
          <w:trHeight w:val="4795"/>
        </w:trPr>
        <w:tc>
          <w:tcPr>
            <w:tcW w:w="5904" w:type="dxa"/>
            <w:vAlign w:val="center"/>
          </w:tcPr>
          <w:p w14:paraId="6600F058" w14:textId="77777777"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t xml:space="preserve">Is </w:t>
            </w:r>
            <w:proofErr w:type="spellStart"/>
            <w:r>
              <w:rPr>
                <w:rFonts w:ascii="Calibri" w:hAnsi="Calibri"/>
                <w:b/>
                <w:bCs/>
                <w:sz w:val="28"/>
                <w:szCs w:val="28"/>
              </w:rPr>
              <w:t>UMN</w:t>
            </w:r>
            <w:proofErr w:type="spellEnd"/>
            <w:r>
              <w:rPr>
                <w:rFonts w:ascii="Calibri" w:hAnsi="Calibri"/>
                <w:b/>
                <w:bCs/>
                <w:sz w:val="28"/>
                <w:szCs w:val="28"/>
              </w:rPr>
              <w:t xml:space="preserve"> an arm of the State of Minnesota that shares the State’s sovereign immunity?</w:t>
            </w:r>
          </w:p>
        </w:tc>
        <w:tc>
          <w:tcPr>
            <w:tcW w:w="5904" w:type="dxa"/>
            <w:vAlign w:val="center"/>
          </w:tcPr>
          <w:p w14:paraId="4D113E01" w14:textId="77777777" w:rsidR="00FB42AE" w:rsidRPr="0010708E" w:rsidRDefault="00FB42AE" w:rsidP="003A6872">
            <w:pPr>
              <w:pStyle w:val="O-BodyText"/>
              <w:spacing w:after="120"/>
              <w:ind w:right="162"/>
              <w:rPr>
                <w:rFonts w:ascii="Calibri" w:hAnsi="Calibri"/>
                <w:b/>
                <w:bCs/>
                <w:sz w:val="22"/>
                <w:szCs w:val="22"/>
              </w:rPr>
            </w:pPr>
            <w:r w:rsidRPr="000C6D1F">
              <w:rPr>
                <w:rFonts w:ascii="Calibri" w:hAnsi="Calibri"/>
                <w:b/>
                <w:bCs/>
                <w:sz w:val="22"/>
                <w:szCs w:val="22"/>
                <w:highlight w:val="yellow"/>
              </w:rPr>
              <w:t xml:space="preserve">Yes.  That was uncontested below.  </w:t>
            </w:r>
            <w:proofErr w:type="spellStart"/>
            <w:r w:rsidRPr="000C6D1F">
              <w:rPr>
                <w:rFonts w:ascii="Calibri" w:hAnsi="Calibri"/>
                <w:b/>
                <w:bCs/>
                <w:sz w:val="22"/>
                <w:szCs w:val="22"/>
                <w:highlight w:val="yellow"/>
              </w:rPr>
              <w:t>UMN</w:t>
            </w:r>
            <w:proofErr w:type="spellEnd"/>
            <w:r w:rsidRPr="000C6D1F">
              <w:rPr>
                <w:rFonts w:ascii="Calibri" w:hAnsi="Calibri"/>
                <w:b/>
                <w:bCs/>
                <w:sz w:val="22"/>
                <w:szCs w:val="22"/>
                <w:highlight w:val="yellow"/>
              </w:rPr>
              <w:t xml:space="preserve"> Br. 5.</w:t>
            </w:r>
          </w:p>
        </w:tc>
      </w:tr>
      <w:tr w:rsidR="009C2DD3" w:rsidRPr="0010708E" w14:paraId="12E6D8D1" w14:textId="77777777" w:rsidTr="003A6872">
        <w:trPr>
          <w:trHeight w:val="4795"/>
        </w:trPr>
        <w:tc>
          <w:tcPr>
            <w:tcW w:w="5904" w:type="dxa"/>
            <w:vAlign w:val="center"/>
          </w:tcPr>
          <w:p w14:paraId="533F49E7" w14:textId="0FB1360F" w:rsidR="009C2DD3" w:rsidRDefault="00C22B59" w:rsidP="003A6872">
            <w:pPr>
              <w:pStyle w:val="O-BodyText"/>
              <w:spacing w:afterLines="120" w:after="288"/>
              <w:ind w:right="108"/>
              <w:rPr>
                <w:rFonts w:ascii="Calibri" w:hAnsi="Calibri"/>
                <w:b/>
                <w:bCs/>
                <w:sz w:val="28"/>
                <w:szCs w:val="28"/>
              </w:rPr>
            </w:pPr>
            <w:r>
              <w:rPr>
                <w:rFonts w:ascii="Calibri" w:hAnsi="Calibri"/>
                <w:b/>
                <w:bCs/>
                <w:sz w:val="28"/>
                <w:szCs w:val="28"/>
              </w:rPr>
              <w:t>Did Ericsson or the</w:t>
            </w:r>
            <w:r w:rsidRPr="00C22B59">
              <w:rPr>
                <w:rFonts w:ascii="Calibri" w:hAnsi="Calibri"/>
                <w:b/>
                <w:bCs/>
                <w:sz w:val="28"/>
                <w:szCs w:val="28"/>
              </w:rPr>
              <w:t xml:space="preserve"> Appellees argue that </w:t>
            </w:r>
            <w:proofErr w:type="spellStart"/>
            <w:r w:rsidRPr="00C22B59">
              <w:rPr>
                <w:rFonts w:ascii="Calibri" w:hAnsi="Calibri"/>
                <w:b/>
                <w:bCs/>
                <w:sz w:val="28"/>
                <w:szCs w:val="28"/>
              </w:rPr>
              <w:t>UMN</w:t>
            </w:r>
            <w:proofErr w:type="spellEnd"/>
            <w:r w:rsidRPr="00C22B59">
              <w:rPr>
                <w:rFonts w:ascii="Calibri" w:hAnsi="Calibri"/>
                <w:b/>
                <w:bCs/>
                <w:sz w:val="28"/>
                <w:szCs w:val="28"/>
              </w:rPr>
              <w:t xml:space="preserve"> was not entitled to invok</w:t>
            </w:r>
            <w:r>
              <w:rPr>
                <w:rFonts w:ascii="Calibri" w:hAnsi="Calibri"/>
                <w:b/>
                <w:bCs/>
                <w:sz w:val="28"/>
                <w:szCs w:val="28"/>
              </w:rPr>
              <w:t>e Minnesota’s sovereign immunity?</w:t>
            </w:r>
          </w:p>
        </w:tc>
        <w:tc>
          <w:tcPr>
            <w:tcW w:w="5904" w:type="dxa"/>
            <w:vAlign w:val="center"/>
          </w:tcPr>
          <w:p w14:paraId="3E02F7BD" w14:textId="6624A03D" w:rsidR="009C2DD3" w:rsidRPr="000C6D1F" w:rsidRDefault="00C22B59" w:rsidP="003A6872">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No.  Neither Ericsson nor the </w:t>
            </w:r>
            <w:r w:rsidRPr="00C22B59">
              <w:rPr>
                <w:rFonts w:ascii="Calibri" w:hAnsi="Calibri"/>
                <w:b/>
                <w:bCs/>
                <w:sz w:val="22"/>
                <w:szCs w:val="22"/>
                <w:highlight w:val="yellow"/>
              </w:rPr>
              <w:t xml:space="preserve">Appellees argued that </w:t>
            </w:r>
            <w:proofErr w:type="spellStart"/>
            <w:r w:rsidRPr="00C22B59">
              <w:rPr>
                <w:rFonts w:ascii="Calibri" w:hAnsi="Calibri"/>
                <w:b/>
                <w:bCs/>
                <w:sz w:val="22"/>
                <w:szCs w:val="22"/>
                <w:highlight w:val="yellow"/>
              </w:rPr>
              <w:t>UMN</w:t>
            </w:r>
            <w:proofErr w:type="spellEnd"/>
            <w:r w:rsidRPr="00C22B59">
              <w:rPr>
                <w:rFonts w:ascii="Calibri" w:hAnsi="Calibri"/>
                <w:b/>
                <w:bCs/>
                <w:sz w:val="22"/>
                <w:szCs w:val="22"/>
                <w:highlight w:val="yellow"/>
              </w:rPr>
              <w:t xml:space="preserve"> was not entitled to invoke Minnesota’s sovereign immunity</w:t>
            </w:r>
            <w:proofErr w:type="gramStart"/>
            <w:r w:rsidRPr="00C22B59">
              <w:rPr>
                <w:rFonts w:ascii="Calibri" w:hAnsi="Calibri"/>
                <w:b/>
                <w:bCs/>
                <w:sz w:val="22"/>
                <w:szCs w:val="22"/>
                <w:highlight w:val="yellow"/>
              </w:rPr>
              <w:t xml:space="preserve">. </w:t>
            </w:r>
            <w:proofErr w:type="gramEnd"/>
            <w:r w:rsidRPr="00C22B59">
              <w:rPr>
                <w:rFonts w:ascii="Calibri" w:hAnsi="Calibri"/>
                <w:b/>
                <w:bCs/>
                <w:sz w:val="22"/>
                <w:szCs w:val="22"/>
                <w:highlight w:val="yellow"/>
              </w:rPr>
              <w:t>Appx3-4, Appx21</w:t>
            </w:r>
            <w:r>
              <w:rPr>
                <w:rFonts w:ascii="Calibri" w:hAnsi="Calibri"/>
                <w:b/>
                <w:bCs/>
                <w:sz w:val="22"/>
                <w:szCs w:val="22"/>
                <w:highlight w:val="yellow"/>
              </w:rPr>
              <w:t xml:space="preserve">.  </w:t>
            </w:r>
            <w:r w:rsidR="00911355" w:rsidRPr="00911355">
              <w:rPr>
                <w:rFonts w:ascii="Calibri" w:hAnsi="Calibri"/>
                <w:b/>
                <w:bCs/>
                <w:sz w:val="22"/>
                <w:szCs w:val="22"/>
                <w:highlight w:val="yellow"/>
              </w:rPr>
              <w:t>As a result, they waived any such argument on appeal.</w:t>
            </w:r>
            <w:r w:rsidR="00911355">
              <w:rPr>
                <w:rFonts w:ascii="Calibri" w:hAnsi="Calibri"/>
                <w:b/>
                <w:bCs/>
                <w:sz w:val="22"/>
                <w:szCs w:val="22"/>
                <w:highlight w:val="yellow"/>
              </w:rPr>
              <w:t xml:space="preserve">  </w:t>
            </w:r>
            <w:proofErr w:type="spellStart"/>
            <w:r>
              <w:rPr>
                <w:rFonts w:ascii="Calibri" w:hAnsi="Calibri"/>
                <w:b/>
                <w:bCs/>
                <w:sz w:val="22"/>
                <w:szCs w:val="22"/>
                <w:highlight w:val="yellow"/>
              </w:rPr>
              <w:t>UMN</w:t>
            </w:r>
            <w:proofErr w:type="spellEnd"/>
            <w:r>
              <w:rPr>
                <w:rFonts w:ascii="Calibri" w:hAnsi="Calibri"/>
                <w:b/>
                <w:bCs/>
                <w:sz w:val="22"/>
                <w:szCs w:val="22"/>
                <w:highlight w:val="yellow"/>
              </w:rPr>
              <w:t xml:space="preserve"> Br. 23.</w:t>
            </w:r>
          </w:p>
        </w:tc>
      </w:tr>
      <w:tr w:rsidR="00C22B59" w:rsidRPr="0010708E" w14:paraId="19D07865" w14:textId="77777777" w:rsidTr="003A6872">
        <w:trPr>
          <w:trHeight w:val="4795"/>
        </w:trPr>
        <w:tc>
          <w:tcPr>
            <w:tcW w:w="5904" w:type="dxa"/>
            <w:vAlign w:val="center"/>
          </w:tcPr>
          <w:p w14:paraId="52B2C4CD" w14:textId="28B343E4" w:rsidR="00C22B59" w:rsidRDefault="00C22B59" w:rsidP="003A6872">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Is Ericsson arguing that </w:t>
            </w:r>
            <w:proofErr w:type="spellStart"/>
            <w:r>
              <w:rPr>
                <w:rFonts w:ascii="Calibri" w:hAnsi="Calibri"/>
                <w:b/>
                <w:bCs/>
                <w:sz w:val="28"/>
                <w:szCs w:val="28"/>
              </w:rPr>
              <w:t>UMN</w:t>
            </w:r>
            <w:proofErr w:type="spellEnd"/>
            <w:r>
              <w:rPr>
                <w:rFonts w:ascii="Calibri" w:hAnsi="Calibri"/>
                <w:b/>
                <w:bCs/>
                <w:sz w:val="28"/>
                <w:szCs w:val="28"/>
              </w:rPr>
              <w:t xml:space="preserve"> is not entitled to invoke Minnesota’s sovereign immunity?</w:t>
            </w:r>
          </w:p>
        </w:tc>
        <w:tc>
          <w:tcPr>
            <w:tcW w:w="5904" w:type="dxa"/>
            <w:vAlign w:val="center"/>
          </w:tcPr>
          <w:p w14:paraId="2F34DB5E" w14:textId="00624AD5" w:rsidR="00C22B59" w:rsidRDefault="00C22B59" w:rsidP="003A6872">
            <w:pPr>
              <w:pStyle w:val="O-BodyText"/>
              <w:spacing w:after="120"/>
              <w:ind w:right="162"/>
              <w:rPr>
                <w:rFonts w:ascii="Calibri" w:hAnsi="Calibri"/>
                <w:b/>
                <w:bCs/>
                <w:sz w:val="22"/>
                <w:szCs w:val="22"/>
                <w:highlight w:val="yellow"/>
              </w:rPr>
            </w:pPr>
            <w:r>
              <w:rPr>
                <w:rFonts w:ascii="Calibri" w:hAnsi="Calibri"/>
                <w:b/>
                <w:bCs/>
                <w:sz w:val="22"/>
                <w:szCs w:val="22"/>
                <w:highlight w:val="yellow"/>
              </w:rPr>
              <w:t>[Explain.]</w:t>
            </w:r>
          </w:p>
        </w:tc>
      </w:tr>
      <w:tr w:rsidR="00FB42AE" w:rsidRPr="000C6D1F" w14:paraId="7635E65B" w14:textId="77777777" w:rsidTr="003A6872">
        <w:trPr>
          <w:trHeight w:val="4795"/>
        </w:trPr>
        <w:tc>
          <w:tcPr>
            <w:tcW w:w="5904" w:type="dxa"/>
            <w:vAlign w:val="center"/>
          </w:tcPr>
          <w:p w14:paraId="5BE0ED47" w14:textId="77777777"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t xml:space="preserve">Did the </w:t>
            </w:r>
            <w:proofErr w:type="spellStart"/>
            <w:r>
              <w:rPr>
                <w:rFonts w:ascii="Calibri" w:hAnsi="Calibri"/>
                <w:b/>
                <w:bCs/>
                <w:sz w:val="28"/>
                <w:szCs w:val="28"/>
              </w:rPr>
              <w:t>PTAB</w:t>
            </w:r>
            <w:proofErr w:type="spellEnd"/>
            <w:r>
              <w:rPr>
                <w:rFonts w:ascii="Calibri" w:hAnsi="Calibri"/>
                <w:b/>
                <w:bCs/>
                <w:sz w:val="28"/>
                <w:szCs w:val="28"/>
              </w:rPr>
              <w:t xml:space="preserve"> find that state sovereign immunity extends to </w:t>
            </w:r>
            <w:proofErr w:type="spellStart"/>
            <w:r>
              <w:rPr>
                <w:rFonts w:ascii="Calibri" w:hAnsi="Calibri"/>
                <w:b/>
                <w:bCs/>
                <w:sz w:val="28"/>
                <w:szCs w:val="28"/>
              </w:rPr>
              <w:t>IPRs</w:t>
            </w:r>
            <w:proofErr w:type="spellEnd"/>
            <w:r>
              <w:rPr>
                <w:rFonts w:ascii="Calibri" w:hAnsi="Calibri"/>
                <w:b/>
                <w:bCs/>
                <w:sz w:val="28"/>
                <w:szCs w:val="28"/>
              </w:rPr>
              <w:t>?</w:t>
            </w:r>
          </w:p>
        </w:tc>
        <w:tc>
          <w:tcPr>
            <w:tcW w:w="5904" w:type="dxa"/>
            <w:vAlign w:val="center"/>
          </w:tcPr>
          <w:p w14:paraId="5EFB9FFF" w14:textId="77777777" w:rsidR="00FB42AE" w:rsidRPr="000C6D1F" w:rsidRDefault="00FB42AE" w:rsidP="003A6872">
            <w:pPr>
              <w:pStyle w:val="O-BodyText"/>
              <w:spacing w:after="120"/>
              <w:ind w:right="162"/>
              <w:rPr>
                <w:rFonts w:ascii="Calibri" w:hAnsi="Calibri"/>
                <w:b/>
                <w:bCs/>
                <w:sz w:val="22"/>
                <w:szCs w:val="22"/>
                <w:highlight w:val="yellow"/>
              </w:rPr>
            </w:pPr>
            <w:r w:rsidRPr="000C6D1F">
              <w:rPr>
                <w:rFonts w:ascii="Calibri" w:hAnsi="Calibri"/>
                <w:b/>
                <w:bCs/>
                <w:sz w:val="22"/>
                <w:szCs w:val="22"/>
                <w:highlight w:val="yellow"/>
              </w:rPr>
              <w:t xml:space="preserve">Yes.  </w:t>
            </w:r>
            <w:proofErr w:type="spellStart"/>
            <w:r w:rsidRPr="000C6D1F">
              <w:rPr>
                <w:rFonts w:ascii="Calibri" w:hAnsi="Calibri"/>
                <w:b/>
                <w:bCs/>
                <w:sz w:val="22"/>
                <w:szCs w:val="22"/>
                <w:highlight w:val="yellow"/>
              </w:rPr>
              <w:t>UMN</w:t>
            </w:r>
            <w:proofErr w:type="spellEnd"/>
            <w:r w:rsidRPr="000C6D1F">
              <w:rPr>
                <w:rFonts w:ascii="Calibri" w:hAnsi="Calibri"/>
                <w:b/>
                <w:bCs/>
                <w:sz w:val="22"/>
                <w:szCs w:val="22"/>
                <w:highlight w:val="yellow"/>
              </w:rPr>
              <w:t xml:space="preserve"> Br. 5</w:t>
            </w:r>
          </w:p>
        </w:tc>
      </w:tr>
      <w:tr w:rsidR="00FB42AE" w:rsidRPr="0010708E" w14:paraId="77245FD2" w14:textId="77777777" w:rsidTr="003A6872">
        <w:trPr>
          <w:trHeight w:val="4795"/>
        </w:trPr>
        <w:tc>
          <w:tcPr>
            <w:tcW w:w="5904" w:type="dxa"/>
            <w:vAlign w:val="center"/>
          </w:tcPr>
          <w:p w14:paraId="0CD32068" w14:textId="77777777"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t>Were t</w:t>
            </w:r>
            <w:r w:rsidRPr="000C6D1F">
              <w:rPr>
                <w:rFonts w:ascii="Calibri" w:hAnsi="Calibri"/>
                <w:b/>
                <w:bCs/>
                <w:sz w:val="28"/>
                <w:szCs w:val="28"/>
              </w:rPr>
              <w:t xml:space="preserve">he </w:t>
            </w:r>
            <w:proofErr w:type="spellStart"/>
            <w:r w:rsidRPr="000C6D1F">
              <w:rPr>
                <w:rFonts w:ascii="Calibri" w:hAnsi="Calibri"/>
                <w:b/>
                <w:bCs/>
                <w:sz w:val="28"/>
                <w:szCs w:val="28"/>
              </w:rPr>
              <w:t>IPRs</w:t>
            </w:r>
            <w:proofErr w:type="spellEnd"/>
            <w:r w:rsidRPr="000C6D1F">
              <w:rPr>
                <w:rFonts w:ascii="Calibri" w:hAnsi="Calibri"/>
                <w:b/>
                <w:bCs/>
                <w:sz w:val="28"/>
                <w:szCs w:val="28"/>
              </w:rPr>
              <w:t xml:space="preserve"> here different actions filed in a different forum than the actions </w:t>
            </w:r>
            <w:proofErr w:type="spellStart"/>
            <w:r w:rsidRPr="000C6D1F">
              <w:rPr>
                <w:rFonts w:ascii="Calibri" w:hAnsi="Calibri"/>
                <w:b/>
                <w:bCs/>
                <w:sz w:val="28"/>
                <w:szCs w:val="28"/>
              </w:rPr>
              <w:t>UMN</w:t>
            </w:r>
            <w:proofErr w:type="spellEnd"/>
            <w:r w:rsidRPr="000C6D1F">
              <w:rPr>
                <w:rFonts w:ascii="Calibri" w:hAnsi="Calibri"/>
                <w:b/>
                <w:bCs/>
                <w:sz w:val="28"/>
                <w:szCs w:val="28"/>
              </w:rPr>
              <w:t xml:space="preserve"> commenced in federal district court</w:t>
            </w:r>
            <w:r w:rsidRPr="0010708E">
              <w:rPr>
                <w:rFonts w:ascii="Calibri" w:hAnsi="Calibri"/>
                <w:b/>
                <w:bCs/>
                <w:sz w:val="28"/>
                <w:szCs w:val="28"/>
              </w:rPr>
              <w:t>?</w:t>
            </w:r>
          </w:p>
        </w:tc>
        <w:tc>
          <w:tcPr>
            <w:tcW w:w="5904" w:type="dxa"/>
            <w:vAlign w:val="center"/>
          </w:tcPr>
          <w:p w14:paraId="1A8EE643" w14:textId="77777777" w:rsidR="00FB42AE" w:rsidRPr="0010708E" w:rsidRDefault="00FB42AE" w:rsidP="003A6872">
            <w:pPr>
              <w:pStyle w:val="O-BodyText"/>
              <w:spacing w:after="120"/>
              <w:ind w:right="162"/>
              <w:rPr>
                <w:rFonts w:ascii="Calibri" w:hAnsi="Calibri"/>
                <w:b/>
                <w:bCs/>
                <w:sz w:val="22"/>
                <w:szCs w:val="22"/>
              </w:rPr>
            </w:pPr>
            <w:r w:rsidRPr="00210A4B">
              <w:rPr>
                <w:rFonts w:ascii="Calibri" w:hAnsi="Calibri"/>
                <w:b/>
                <w:bCs/>
                <w:sz w:val="22"/>
                <w:szCs w:val="22"/>
                <w:highlight w:val="yellow"/>
              </w:rPr>
              <w:t xml:space="preserve">[Explain.]  </w:t>
            </w:r>
            <w:proofErr w:type="spellStart"/>
            <w:r w:rsidRPr="00210A4B">
              <w:rPr>
                <w:rFonts w:ascii="Calibri" w:hAnsi="Calibri"/>
                <w:b/>
                <w:bCs/>
                <w:sz w:val="22"/>
                <w:szCs w:val="22"/>
                <w:highlight w:val="yellow"/>
              </w:rPr>
              <w:t>UMN</w:t>
            </w:r>
            <w:proofErr w:type="spellEnd"/>
            <w:r w:rsidRPr="00210A4B">
              <w:rPr>
                <w:rFonts w:ascii="Calibri" w:hAnsi="Calibri"/>
                <w:b/>
                <w:bCs/>
                <w:sz w:val="22"/>
                <w:szCs w:val="22"/>
                <w:highlight w:val="yellow"/>
              </w:rPr>
              <w:t xml:space="preserve"> Br. 6.</w:t>
            </w:r>
          </w:p>
        </w:tc>
      </w:tr>
      <w:tr w:rsidR="00FB42AE" w:rsidRPr="0010708E" w14:paraId="3EFB84B1" w14:textId="77777777" w:rsidTr="003A6872">
        <w:trPr>
          <w:trHeight w:val="4795"/>
        </w:trPr>
        <w:tc>
          <w:tcPr>
            <w:tcW w:w="5904" w:type="dxa"/>
            <w:vAlign w:val="center"/>
          </w:tcPr>
          <w:p w14:paraId="497CE011" w14:textId="77777777"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Was there a </w:t>
            </w:r>
            <w:r w:rsidRPr="000B3E69">
              <w:rPr>
                <w:rFonts w:ascii="Calibri" w:hAnsi="Calibri"/>
                <w:b/>
                <w:bCs/>
                <w:sz w:val="28"/>
                <w:szCs w:val="28"/>
              </w:rPr>
              <w:t xml:space="preserve">finding here that </w:t>
            </w:r>
            <w:proofErr w:type="spellStart"/>
            <w:r w:rsidRPr="000B3E69">
              <w:rPr>
                <w:rFonts w:ascii="Calibri" w:hAnsi="Calibri"/>
                <w:b/>
                <w:bCs/>
                <w:sz w:val="28"/>
                <w:szCs w:val="28"/>
              </w:rPr>
              <w:t>IPRs</w:t>
            </w:r>
            <w:proofErr w:type="spellEnd"/>
            <w:r w:rsidRPr="000B3E69">
              <w:rPr>
                <w:rFonts w:ascii="Calibri" w:hAnsi="Calibri"/>
                <w:b/>
                <w:bCs/>
                <w:sz w:val="28"/>
                <w:szCs w:val="28"/>
              </w:rPr>
              <w:t xml:space="preserve"> are “necessary” for the complete determination of an infringement action</w:t>
            </w:r>
            <w:r>
              <w:rPr>
                <w:rFonts w:ascii="Calibri" w:hAnsi="Calibri"/>
                <w:b/>
                <w:bCs/>
                <w:sz w:val="28"/>
                <w:szCs w:val="28"/>
              </w:rPr>
              <w:t>,</w:t>
            </w:r>
            <w:r w:rsidRPr="000B3E69">
              <w:rPr>
                <w:rFonts w:ascii="Times New Roman" w:hAnsi="Times New Roman" w:cs="Times New Roman"/>
                <w:color w:val="000000"/>
                <w:spacing w:val="-1"/>
                <w:sz w:val="28"/>
                <w:szCs w:val="22"/>
              </w:rPr>
              <w:t xml:space="preserve"> </w:t>
            </w:r>
            <w:r w:rsidRPr="000B3E69">
              <w:rPr>
                <w:rFonts w:ascii="Calibri" w:hAnsi="Calibri"/>
                <w:b/>
                <w:bCs/>
                <w:sz w:val="28"/>
                <w:szCs w:val="28"/>
              </w:rPr>
              <w:t>as is required to support a finding of waiver</w:t>
            </w:r>
            <w:r>
              <w:rPr>
                <w:rFonts w:ascii="Calibri" w:hAnsi="Calibri"/>
                <w:b/>
                <w:bCs/>
                <w:sz w:val="28"/>
                <w:szCs w:val="28"/>
              </w:rPr>
              <w:t>?</w:t>
            </w:r>
          </w:p>
        </w:tc>
        <w:tc>
          <w:tcPr>
            <w:tcW w:w="5904" w:type="dxa"/>
            <w:vAlign w:val="center"/>
          </w:tcPr>
          <w:p w14:paraId="369EEC1C" w14:textId="77777777" w:rsidR="00FB42AE" w:rsidRDefault="00FB42AE" w:rsidP="003A6872">
            <w:pPr>
              <w:pStyle w:val="O-BodyText"/>
              <w:spacing w:after="120"/>
              <w:ind w:right="162"/>
              <w:rPr>
                <w:rFonts w:ascii="Calibri" w:hAnsi="Calibri"/>
                <w:b/>
                <w:bCs/>
                <w:sz w:val="22"/>
                <w:szCs w:val="22"/>
              </w:rPr>
            </w:pPr>
            <w:r w:rsidRPr="000B3E69">
              <w:rPr>
                <w:rFonts w:ascii="Calibri" w:hAnsi="Calibri"/>
                <w:b/>
                <w:bCs/>
                <w:sz w:val="22"/>
                <w:szCs w:val="22"/>
                <w:highlight w:val="yellow"/>
              </w:rPr>
              <w:t xml:space="preserve">From </w:t>
            </w:r>
            <w:proofErr w:type="spellStart"/>
            <w:r w:rsidRPr="000B3E69">
              <w:rPr>
                <w:rFonts w:ascii="Calibri" w:hAnsi="Calibri"/>
                <w:b/>
                <w:bCs/>
                <w:sz w:val="22"/>
                <w:szCs w:val="22"/>
                <w:highlight w:val="yellow"/>
              </w:rPr>
              <w:t>UMN’s</w:t>
            </w:r>
            <w:proofErr w:type="spellEnd"/>
            <w:r w:rsidRPr="000B3E69">
              <w:rPr>
                <w:rFonts w:ascii="Calibri" w:hAnsi="Calibri"/>
                <w:b/>
                <w:bCs/>
                <w:sz w:val="22"/>
                <w:szCs w:val="22"/>
                <w:highlight w:val="yellow"/>
              </w:rPr>
              <w:t xml:space="preserve"> Brief:  To the contrary, </w:t>
            </w:r>
            <w:proofErr w:type="spellStart"/>
            <w:r w:rsidRPr="000B3E69">
              <w:rPr>
                <w:rFonts w:ascii="Calibri" w:hAnsi="Calibri"/>
                <w:b/>
                <w:bCs/>
                <w:sz w:val="22"/>
                <w:szCs w:val="22"/>
                <w:highlight w:val="yellow"/>
              </w:rPr>
              <w:t>IPRs</w:t>
            </w:r>
            <w:proofErr w:type="spellEnd"/>
            <w:r w:rsidRPr="000B3E69">
              <w:rPr>
                <w:rFonts w:ascii="Calibri" w:hAnsi="Calibri"/>
                <w:b/>
                <w:bCs/>
                <w:sz w:val="22"/>
                <w:szCs w:val="22"/>
                <w:highlight w:val="yellow"/>
              </w:rPr>
              <w:t xml:space="preserve"> are discretionary proceedings that Congress only recently created; they plainly cannot be “necessary” for the complete determination of a district court infringement action</w:t>
            </w:r>
            <w:proofErr w:type="gramStart"/>
            <w:r w:rsidRPr="000B3E69">
              <w:rPr>
                <w:rFonts w:ascii="Calibri" w:hAnsi="Calibri"/>
                <w:b/>
                <w:bCs/>
                <w:sz w:val="22"/>
                <w:szCs w:val="22"/>
                <w:highlight w:val="yellow"/>
              </w:rPr>
              <w:t xml:space="preserve">. </w:t>
            </w:r>
            <w:proofErr w:type="gramEnd"/>
            <w:r w:rsidRPr="000B3E69">
              <w:rPr>
                <w:rFonts w:ascii="Calibri" w:hAnsi="Calibri"/>
                <w:b/>
                <w:bCs/>
                <w:sz w:val="22"/>
                <w:szCs w:val="22"/>
                <w:highlight w:val="yellow"/>
              </w:rPr>
              <w:t xml:space="preserve">Courts have resolved patent infringement cases for centuries without recourse to </w:t>
            </w:r>
            <w:proofErr w:type="spellStart"/>
            <w:r w:rsidRPr="000B3E69">
              <w:rPr>
                <w:rFonts w:ascii="Calibri" w:hAnsi="Calibri"/>
                <w:b/>
                <w:bCs/>
                <w:sz w:val="22"/>
                <w:szCs w:val="22"/>
                <w:highlight w:val="yellow"/>
              </w:rPr>
              <w:t>IPRs</w:t>
            </w:r>
            <w:proofErr w:type="spellEnd"/>
            <w:r w:rsidRPr="000B3E69">
              <w:rPr>
                <w:rFonts w:ascii="Calibri" w:hAnsi="Calibri"/>
                <w:b/>
                <w:bCs/>
                <w:sz w:val="22"/>
                <w:szCs w:val="22"/>
                <w:highlight w:val="yellow"/>
              </w:rPr>
              <w:t xml:space="preserve">.  Appellees here have a full and fair opportunity to defend themselves – and to challenge the asserted patents – in the district court actions that </w:t>
            </w:r>
            <w:proofErr w:type="spellStart"/>
            <w:r w:rsidRPr="000B3E69">
              <w:rPr>
                <w:rFonts w:ascii="Calibri" w:hAnsi="Calibri"/>
                <w:b/>
                <w:bCs/>
                <w:sz w:val="22"/>
                <w:szCs w:val="22"/>
                <w:highlight w:val="yellow"/>
              </w:rPr>
              <w:t>UMN</w:t>
            </w:r>
            <w:proofErr w:type="spellEnd"/>
            <w:r w:rsidRPr="000B3E69">
              <w:rPr>
                <w:rFonts w:ascii="Calibri" w:hAnsi="Calibri"/>
                <w:b/>
                <w:bCs/>
                <w:sz w:val="22"/>
                <w:szCs w:val="22"/>
                <w:highlight w:val="yellow"/>
              </w:rPr>
              <w:t xml:space="preserve"> initiated</w:t>
            </w:r>
            <w:proofErr w:type="gramStart"/>
            <w:r w:rsidRPr="000B3E69">
              <w:rPr>
                <w:rFonts w:ascii="Calibri" w:hAnsi="Calibri"/>
                <w:b/>
                <w:bCs/>
                <w:sz w:val="22"/>
                <w:szCs w:val="22"/>
                <w:highlight w:val="yellow"/>
              </w:rPr>
              <w:t xml:space="preserve">. </w:t>
            </w:r>
            <w:proofErr w:type="spellStart"/>
            <w:proofErr w:type="gramEnd"/>
            <w:r w:rsidR="00277CB5">
              <w:rPr>
                <w:rFonts w:ascii="Calibri" w:hAnsi="Calibri"/>
                <w:b/>
                <w:bCs/>
                <w:sz w:val="22"/>
                <w:szCs w:val="22"/>
                <w:highlight w:val="yellow"/>
              </w:rPr>
              <w:t>UMN</w:t>
            </w:r>
            <w:proofErr w:type="spellEnd"/>
            <w:r w:rsidR="00277CB5">
              <w:rPr>
                <w:rFonts w:ascii="Calibri" w:hAnsi="Calibri"/>
                <w:b/>
                <w:bCs/>
                <w:sz w:val="22"/>
                <w:szCs w:val="22"/>
                <w:highlight w:val="yellow"/>
              </w:rPr>
              <w:t xml:space="preserve"> </w:t>
            </w:r>
            <w:r w:rsidRPr="000B3E69">
              <w:rPr>
                <w:rFonts w:ascii="Calibri" w:hAnsi="Calibri"/>
                <w:b/>
                <w:bCs/>
                <w:sz w:val="22"/>
                <w:szCs w:val="22"/>
                <w:highlight w:val="yellow"/>
              </w:rPr>
              <w:t>Br. 6</w:t>
            </w:r>
            <w:r>
              <w:rPr>
                <w:rFonts w:ascii="Calibri" w:hAnsi="Calibri"/>
                <w:b/>
                <w:bCs/>
                <w:sz w:val="22"/>
                <w:szCs w:val="22"/>
                <w:highlight w:val="yellow"/>
              </w:rPr>
              <w:t>–7</w:t>
            </w:r>
            <w:r w:rsidRPr="000B3E69">
              <w:rPr>
                <w:rFonts w:ascii="Calibri" w:hAnsi="Calibri"/>
                <w:b/>
                <w:bCs/>
                <w:sz w:val="22"/>
                <w:szCs w:val="22"/>
                <w:highlight w:val="yellow"/>
              </w:rPr>
              <w:t>.</w:t>
            </w:r>
          </w:p>
          <w:p w14:paraId="56ACD1DA" w14:textId="2E244867" w:rsidR="00277CB5" w:rsidRPr="0010708E" w:rsidRDefault="00277CB5" w:rsidP="003A6872">
            <w:pPr>
              <w:pStyle w:val="O-BodyText"/>
              <w:spacing w:after="120"/>
              <w:ind w:right="162"/>
              <w:rPr>
                <w:rFonts w:ascii="Calibri" w:hAnsi="Calibri"/>
                <w:b/>
                <w:bCs/>
                <w:sz w:val="22"/>
                <w:szCs w:val="22"/>
              </w:rPr>
            </w:pPr>
            <w:r w:rsidRPr="00277CB5">
              <w:rPr>
                <w:rFonts w:ascii="Calibri" w:hAnsi="Calibri"/>
                <w:b/>
                <w:bCs/>
                <w:sz w:val="22"/>
                <w:szCs w:val="22"/>
                <w:highlight w:val="yellow"/>
              </w:rPr>
              <w:t xml:space="preserve">From LSI’s Brief:  LSI’s </w:t>
            </w:r>
            <w:proofErr w:type="spellStart"/>
            <w:r w:rsidRPr="00277CB5">
              <w:rPr>
                <w:rFonts w:ascii="Calibri" w:hAnsi="Calibri"/>
                <w:b/>
                <w:bCs/>
                <w:sz w:val="22"/>
                <w:szCs w:val="22"/>
                <w:highlight w:val="yellow"/>
              </w:rPr>
              <w:t>IPR</w:t>
            </w:r>
            <w:proofErr w:type="spellEnd"/>
            <w:r w:rsidRPr="00277CB5">
              <w:rPr>
                <w:rFonts w:ascii="Calibri" w:hAnsi="Calibri"/>
                <w:b/>
                <w:bCs/>
                <w:sz w:val="22"/>
                <w:szCs w:val="22"/>
                <w:highlight w:val="yellow"/>
              </w:rPr>
              <w:t xml:space="preserve"> is “necessary to a complete determination” of </w:t>
            </w:r>
            <w:proofErr w:type="spellStart"/>
            <w:r w:rsidRPr="00277CB5">
              <w:rPr>
                <w:rFonts w:ascii="Calibri" w:hAnsi="Calibri"/>
                <w:b/>
                <w:bCs/>
                <w:sz w:val="22"/>
                <w:szCs w:val="22"/>
                <w:highlight w:val="yellow"/>
              </w:rPr>
              <w:t>UMN’s</w:t>
            </w:r>
            <w:proofErr w:type="spellEnd"/>
            <w:r w:rsidRPr="00277CB5">
              <w:rPr>
                <w:rFonts w:ascii="Calibri" w:hAnsi="Calibri"/>
                <w:b/>
                <w:bCs/>
                <w:sz w:val="22"/>
                <w:szCs w:val="22"/>
                <w:highlight w:val="yellow"/>
              </w:rPr>
              <w:t xml:space="preserve"> lawsuit against LSI and is not an “entirely separate lawsuit” like those in </w:t>
            </w:r>
            <w:proofErr w:type="spellStart"/>
            <w:r w:rsidRPr="00277CB5">
              <w:rPr>
                <w:rFonts w:ascii="Calibri" w:hAnsi="Calibri"/>
                <w:b/>
                <w:bCs/>
                <w:i/>
                <w:sz w:val="22"/>
                <w:szCs w:val="22"/>
                <w:highlight w:val="yellow"/>
              </w:rPr>
              <w:t>Tegic</w:t>
            </w:r>
            <w:proofErr w:type="spellEnd"/>
            <w:r w:rsidRPr="00277CB5">
              <w:rPr>
                <w:rFonts w:ascii="Calibri" w:hAnsi="Calibri"/>
                <w:b/>
                <w:bCs/>
                <w:i/>
                <w:sz w:val="22"/>
                <w:szCs w:val="22"/>
                <w:highlight w:val="yellow"/>
              </w:rPr>
              <w:t xml:space="preserve"> </w:t>
            </w:r>
            <w:r w:rsidRPr="00277CB5">
              <w:rPr>
                <w:rFonts w:ascii="Calibri" w:hAnsi="Calibri"/>
                <w:b/>
                <w:bCs/>
                <w:sz w:val="22"/>
                <w:szCs w:val="22"/>
                <w:highlight w:val="yellow"/>
              </w:rPr>
              <w:t xml:space="preserve">and </w:t>
            </w:r>
            <w:r w:rsidRPr="00277CB5">
              <w:rPr>
                <w:rFonts w:ascii="Calibri" w:hAnsi="Calibri"/>
                <w:b/>
                <w:bCs/>
                <w:i/>
                <w:sz w:val="22"/>
                <w:szCs w:val="22"/>
                <w:highlight w:val="yellow"/>
              </w:rPr>
              <w:t>A123</w:t>
            </w:r>
            <w:r w:rsidRPr="00277CB5">
              <w:rPr>
                <w:rFonts w:ascii="Calibri" w:hAnsi="Calibri"/>
                <w:b/>
                <w:bCs/>
                <w:sz w:val="22"/>
                <w:szCs w:val="22"/>
                <w:highlight w:val="yellow"/>
              </w:rPr>
              <w:t>.  LSI Br. 16.</w:t>
            </w:r>
          </w:p>
        </w:tc>
      </w:tr>
      <w:tr w:rsidR="00FA2103" w:rsidRPr="0010708E" w14:paraId="49D22509" w14:textId="77777777" w:rsidTr="003A6872">
        <w:trPr>
          <w:trHeight w:val="4795"/>
        </w:trPr>
        <w:tc>
          <w:tcPr>
            <w:tcW w:w="5904" w:type="dxa"/>
            <w:vAlign w:val="center"/>
          </w:tcPr>
          <w:p w14:paraId="2D5A26C6" w14:textId="085FD5D6" w:rsidR="00FA2103" w:rsidRDefault="00FA2103" w:rsidP="003A6872">
            <w:pPr>
              <w:pStyle w:val="O-BodyText"/>
              <w:spacing w:afterLines="120" w:after="288"/>
              <w:ind w:right="108"/>
              <w:rPr>
                <w:rFonts w:ascii="Calibri" w:hAnsi="Calibri"/>
                <w:b/>
                <w:bCs/>
                <w:sz w:val="28"/>
                <w:szCs w:val="28"/>
              </w:rPr>
            </w:pPr>
            <w:r>
              <w:rPr>
                <w:rFonts w:ascii="Calibri" w:hAnsi="Calibri"/>
                <w:b/>
                <w:bCs/>
                <w:sz w:val="28"/>
                <w:szCs w:val="28"/>
              </w:rPr>
              <w:t xml:space="preserve">Are </w:t>
            </w:r>
            <w:proofErr w:type="spellStart"/>
            <w:r>
              <w:rPr>
                <w:rFonts w:ascii="Calibri" w:hAnsi="Calibri"/>
                <w:b/>
                <w:bCs/>
                <w:sz w:val="28"/>
                <w:szCs w:val="28"/>
              </w:rPr>
              <w:t>IPRs</w:t>
            </w:r>
            <w:proofErr w:type="spellEnd"/>
            <w:r>
              <w:rPr>
                <w:rFonts w:ascii="Calibri" w:hAnsi="Calibri"/>
                <w:b/>
                <w:bCs/>
                <w:sz w:val="28"/>
                <w:szCs w:val="28"/>
              </w:rPr>
              <w:t xml:space="preserve"> entirely separate from district court litigations?</w:t>
            </w:r>
          </w:p>
        </w:tc>
        <w:tc>
          <w:tcPr>
            <w:tcW w:w="5904" w:type="dxa"/>
            <w:vAlign w:val="center"/>
          </w:tcPr>
          <w:p w14:paraId="768E3D4A" w14:textId="0A1DCE86" w:rsidR="00FA2103" w:rsidRPr="000B3E69" w:rsidRDefault="00FA2103" w:rsidP="003A6872">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LSI’s Brief:  </w:t>
            </w:r>
            <w:proofErr w:type="spellStart"/>
            <w:r w:rsidRPr="00FA2103">
              <w:rPr>
                <w:rFonts w:ascii="Calibri" w:hAnsi="Calibri"/>
                <w:b/>
                <w:bCs/>
                <w:sz w:val="22"/>
                <w:szCs w:val="22"/>
                <w:highlight w:val="yellow"/>
              </w:rPr>
              <w:t>UMN</w:t>
            </w:r>
            <w:proofErr w:type="spellEnd"/>
            <w:r w:rsidRPr="00FA2103">
              <w:rPr>
                <w:rFonts w:ascii="Calibri" w:hAnsi="Calibri"/>
                <w:b/>
                <w:bCs/>
                <w:sz w:val="22"/>
                <w:szCs w:val="22"/>
                <w:highlight w:val="yellow"/>
              </w:rPr>
              <w:t xml:space="preserve"> itself acknowledged in the underlying motion to dismiss that </w:t>
            </w:r>
            <w:proofErr w:type="spellStart"/>
            <w:r w:rsidRPr="00FA2103">
              <w:rPr>
                <w:rFonts w:ascii="Calibri" w:hAnsi="Calibri"/>
                <w:b/>
                <w:bCs/>
                <w:sz w:val="22"/>
                <w:szCs w:val="22"/>
                <w:highlight w:val="yellow"/>
              </w:rPr>
              <w:t>IPRs</w:t>
            </w:r>
            <w:proofErr w:type="spellEnd"/>
            <w:r w:rsidRPr="00FA2103">
              <w:rPr>
                <w:rFonts w:ascii="Calibri" w:hAnsi="Calibri"/>
                <w:b/>
                <w:bCs/>
                <w:sz w:val="22"/>
                <w:szCs w:val="22"/>
                <w:highlight w:val="yellow"/>
              </w:rPr>
              <w:t xml:space="preserve"> and district court litigations are not “entirely separate,” highlighting the “statutory interplay between </w:t>
            </w:r>
            <w:proofErr w:type="spellStart"/>
            <w:r w:rsidRPr="00FA2103">
              <w:rPr>
                <w:rFonts w:ascii="Calibri" w:hAnsi="Calibri"/>
                <w:b/>
                <w:bCs/>
                <w:sz w:val="22"/>
                <w:szCs w:val="22"/>
                <w:highlight w:val="yellow"/>
              </w:rPr>
              <w:t>IPRs</w:t>
            </w:r>
            <w:proofErr w:type="spellEnd"/>
            <w:r w:rsidRPr="00FA2103">
              <w:rPr>
                <w:rFonts w:ascii="Calibri" w:hAnsi="Calibri"/>
                <w:b/>
                <w:bCs/>
                <w:sz w:val="22"/>
                <w:szCs w:val="22"/>
                <w:highlight w:val="yellow"/>
              </w:rPr>
              <w:t xml:space="preserve"> and civil actions.” Appx699 n.1.</w:t>
            </w:r>
            <w:r>
              <w:rPr>
                <w:rFonts w:ascii="Calibri" w:hAnsi="Calibri"/>
                <w:b/>
                <w:bCs/>
                <w:sz w:val="22"/>
                <w:szCs w:val="22"/>
                <w:highlight w:val="yellow"/>
              </w:rPr>
              <w:t xml:space="preserve"> </w:t>
            </w:r>
            <w:r w:rsidRPr="00FA2103">
              <w:rPr>
                <w:rFonts w:ascii="Calibri" w:hAnsi="Calibri"/>
                <w:b/>
                <w:bCs/>
                <w:sz w:val="22"/>
                <w:szCs w:val="22"/>
                <w:highlight w:val="yellow"/>
              </w:rPr>
              <w:t xml:space="preserve"> This “statutory interplay” manifests Congress’s intent for </w:t>
            </w:r>
            <w:proofErr w:type="spellStart"/>
            <w:r w:rsidRPr="00FA2103">
              <w:rPr>
                <w:rFonts w:ascii="Calibri" w:hAnsi="Calibri"/>
                <w:b/>
                <w:bCs/>
                <w:sz w:val="22"/>
                <w:szCs w:val="22"/>
                <w:highlight w:val="yellow"/>
              </w:rPr>
              <w:t>IPR</w:t>
            </w:r>
            <w:proofErr w:type="spellEnd"/>
            <w:r w:rsidRPr="00FA2103">
              <w:rPr>
                <w:rFonts w:ascii="Calibri" w:hAnsi="Calibri"/>
                <w:b/>
                <w:bCs/>
                <w:sz w:val="22"/>
                <w:szCs w:val="22"/>
                <w:highlight w:val="yellow"/>
              </w:rPr>
              <w:t xml:space="preserve"> proceedings to constitute a compulsory “authorized phase” of the underlying litigation, not an “entirely separate” proceeding as </w:t>
            </w:r>
            <w:proofErr w:type="spellStart"/>
            <w:r w:rsidRPr="00FA2103">
              <w:rPr>
                <w:rFonts w:ascii="Calibri" w:hAnsi="Calibri"/>
                <w:b/>
                <w:bCs/>
                <w:sz w:val="22"/>
                <w:szCs w:val="22"/>
                <w:highlight w:val="yellow"/>
              </w:rPr>
              <w:t>UMN</w:t>
            </w:r>
            <w:proofErr w:type="spellEnd"/>
            <w:r w:rsidRPr="00FA2103">
              <w:rPr>
                <w:rFonts w:ascii="Calibri" w:hAnsi="Calibri"/>
                <w:b/>
                <w:bCs/>
                <w:sz w:val="22"/>
                <w:szCs w:val="22"/>
                <w:highlight w:val="yellow"/>
              </w:rPr>
              <w:t xml:space="preserve"> suggests.</w:t>
            </w:r>
            <w:r>
              <w:rPr>
                <w:rFonts w:ascii="Calibri" w:hAnsi="Calibri"/>
                <w:b/>
                <w:bCs/>
                <w:sz w:val="22"/>
                <w:szCs w:val="22"/>
                <w:highlight w:val="yellow"/>
              </w:rPr>
              <w:t xml:space="preserve">  LSI Br. 17.</w:t>
            </w:r>
          </w:p>
        </w:tc>
      </w:tr>
      <w:tr w:rsidR="00FB42AE" w:rsidRPr="0010708E" w14:paraId="20D28044" w14:textId="77777777" w:rsidTr="003A6872">
        <w:trPr>
          <w:trHeight w:val="4795"/>
        </w:trPr>
        <w:tc>
          <w:tcPr>
            <w:tcW w:w="5904" w:type="dxa"/>
            <w:vAlign w:val="center"/>
          </w:tcPr>
          <w:p w14:paraId="521E54BD" w14:textId="1188951B"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t xml:space="preserve">Does </w:t>
            </w:r>
            <w:proofErr w:type="spellStart"/>
            <w:r w:rsidRPr="0067260C">
              <w:rPr>
                <w:rFonts w:ascii="Calibri" w:hAnsi="Calibri"/>
                <w:b/>
                <w:bCs/>
                <w:i/>
                <w:sz w:val="28"/>
                <w:szCs w:val="28"/>
              </w:rPr>
              <w:t>Lapides</w:t>
            </w:r>
            <w:proofErr w:type="spellEnd"/>
            <w:r w:rsidRPr="0067260C">
              <w:rPr>
                <w:rFonts w:ascii="Calibri" w:hAnsi="Calibri"/>
                <w:b/>
                <w:bCs/>
                <w:i/>
                <w:sz w:val="28"/>
                <w:szCs w:val="28"/>
              </w:rPr>
              <w:t xml:space="preserve"> v. Board of Regents of University System of Georgia</w:t>
            </w:r>
            <w:r>
              <w:rPr>
                <w:rFonts w:ascii="Calibri" w:hAnsi="Calibri"/>
                <w:b/>
                <w:bCs/>
                <w:sz w:val="28"/>
                <w:szCs w:val="28"/>
              </w:rPr>
              <w:t xml:space="preserve"> </w:t>
            </w:r>
            <w:r w:rsidRPr="0067260C">
              <w:rPr>
                <w:rFonts w:ascii="Calibri" w:hAnsi="Calibri"/>
                <w:b/>
                <w:bCs/>
                <w:sz w:val="28"/>
                <w:szCs w:val="28"/>
              </w:rPr>
              <w:t>(</w:t>
            </w:r>
            <w:r w:rsidR="00CD3CDF">
              <w:rPr>
                <w:rFonts w:ascii="Calibri" w:hAnsi="Calibri"/>
                <w:b/>
                <w:bCs/>
                <w:sz w:val="28"/>
                <w:szCs w:val="28"/>
              </w:rPr>
              <w:t>U.S.</w:t>
            </w:r>
            <w:r>
              <w:rPr>
                <w:rFonts w:ascii="Calibri" w:hAnsi="Calibri"/>
                <w:b/>
                <w:bCs/>
                <w:sz w:val="28"/>
                <w:szCs w:val="28"/>
              </w:rPr>
              <w:t xml:space="preserve"> </w:t>
            </w:r>
            <w:r w:rsidRPr="0067260C">
              <w:rPr>
                <w:rFonts w:ascii="Calibri" w:hAnsi="Calibri"/>
                <w:b/>
                <w:bCs/>
                <w:sz w:val="28"/>
                <w:szCs w:val="28"/>
              </w:rPr>
              <w:t>2002)</w:t>
            </w:r>
            <w:r>
              <w:rPr>
                <w:rFonts w:ascii="Calibri" w:hAnsi="Calibri"/>
                <w:b/>
                <w:bCs/>
                <w:sz w:val="28"/>
                <w:szCs w:val="28"/>
              </w:rPr>
              <w:t xml:space="preserve"> </w:t>
            </w:r>
            <w:r w:rsidRPr="0067260C">
              <w:rPr>
                <w:rFonts w:ascii="Calibri" w:hAnsi="Calibri"/>
                <w:b/>
                <w:bCs/>
                <w:sz w:val="28"/>
                <w:szCs w:val="28"/>
              </w:rPr>
              <w:t xml:space="preserve">authorize the </w:t>
            </w:r>
            <w:proofErr w:type="spellStart"/>
            <w:r>
              <w:rPr>
                <w:rFonts w:ascii="Calibri" w:hAnsi="Calibri"/>
                <w:b/>
                <w:bCs/>
                <w:sz w:val="28"/>
                <w:szCs w:val="28"/>
              </w:rPr>
              <w:t>PTAB</w:t>
            </w:r>
            <w:proofErr w:type="spellEnd"/>
            <w:r w:rsidRPr="0067260C">
              <w:rPr>
                <w:rFonts w:ascii="Calibri" w:hAnsi="Calibri"/>
                <w:b/>
                <w:bCs/>
                <w:sz w:val="28"/>
                <w:szCs w:val="28"/>
              </w:rPr>
              <w:t xml:space="preserve"> to find waiver based on “fairness”</w:t>
            </w:r>
            <w:r>
              <w:rPr>
                <w:rFonts w:ascii="Calibri" w:hAnsi="Calibri"/>
                <w:b/>
                <w:bCs/>
                <w:sz w:val="28"/>
                <w:szCs w:val="28"/>
              </w:rPr>
              <w:t>?</w:t>
            </w:r>
          </w:p>
        </w:tc>
        <w:tc>
          <w:tcPr>
            <w:tcW w:w="5904" w:type="dxa"/>
            <w:vAlign w:val="center"/>
          </w:tcPr>
          <w:p w14:paraId="70A5B9B6" w14:textId="53445A8E" w:rsidR="00FB42AE" w:rsidRPr="0010708E" w:rsidRDefault="00FB42AE" w:rsidP="003A6872">
            <w:pPr>
              <w:pStyle w:val="O-BodyText"/>
              <w:spacing w:after="120"/>
              <w:ind w:right="162"/>
              <w:rPr>
                <w:rFonts w:ascii="Calibri" w:hAnsi="Calibri"/>
                <w:b/>
                <w:bCs/>
                <w:sz w:val="22"/>
                <w:szCs w:val="22"/>
              </w:rPr>
            </w:pPr>
            <w:r w:rsidRPr="0067260C">
              <w:rPr>
                <w:rFonts w:ascii="Calibri" w:hAnsi="Calibri"/>
                <w:b/>
                <w:bCs/>
                <w:sz w:val="22"/>
                <w:szCs w:val="22"/>
                <w:highlight w:val="yellow"/>
              </w:rPr>
              <w:t xml:space="preserve">From </w:t>
            </w:r>
            <w:proofErr w:type="spellStart"/>
            <w:r w:rsidRPr="0067260C">
              <w:rPr>
                <w:rFonts w:ascii="Calibri" w:hAnsi="Calibri"/>
                <w:b/>
                <w:bCs/>
                <w:sz w:val="22"/>
                <w:szCs w:val="22"/>
                <w:highlight w:val="yellow"/>
              </w:rPr>
              <w:t>UMN’s</w:t>
            </w:r>
            <w:proofErr w:type="spellEnd"/>
            <w:r w:rsidRPr="0067260C">
              <w:rPr>
                <w:rFonts w:ascii="Calibri" w:hAnsi="Calibri"/>
                <w:b/>
                <w:bCs/>
                <w:sz w:val="22"/>
                <w:szCs w:val="22"/>
                <w:highlight w:val="yellow"/>
              </w:rPr>
              <w:t xml:space="preserve"> Brief: The Board’s cited authority, </w:t>
            </w:r>
            <w:proofErr w:type="spellStart"/>
            <w:r w:rsidRPr="0067260C">
              <w:rPr>
                <w:rFonts w:ascii="Calibri" w:hAnsi="Calibri"/>
                <w:b/>
                <w:bCs/>
                <w:i/>
                <w:sz w:val="22"/>
                <w:szCs w:val="22"/>
                <w:highlight w:val="yellow"/>
              </w:rPr>
              <w:t>Lapides</w:t>
            </w:r>
            <w:proofErr w:type="spellEnd"/>
            <w:r w:rsidRPr="0067260C">
              <w:rPr>
                <w:rFonts w:ascii="Calibri" w:hAnsi="Calibri"/>
                <w:b/>
                <w:bCs/>
                <w:i/>
                <w:sz w:val="22"/>
                <w:szCs w:val="22"/>
                <w:highlight w:val="yellow"/>
              </w:rPr>
              <w:t xml:space="preserve"> v. Board of Regents of University System of Georgia</w:t>
            </w:r>
            <w:r>
              <w:rPr>
                <w:rFonts w:ascii="Calibri" w:hAnsi="Calibri"/>
                <w:b/>
                <w:bCs/>
                <w:sz w:val="22"/>
                <w:szCs w:val="22"/>
                <w:highlight w:val="yellow"/>
              </w:rPr>
              <w:t xml:space="preserve"> </w:t>
            </w:r>
            <w:r w:rsidRPr="0067260C">
              <w:rPr>
                <w:rFonts w:ascii="Calibri" w:hAnsi="Calibri"/>
                <w:b/>
                <w:bCs/>
                <w:sz w:val="22"/>
                <w:szCs w:val="22"/>
                <w:highlight w:val="yellow"/>
              </w:rPr>
              <w:t>(</w:t>
            </w:r>
            <w:r w:rsidR="00CD3CDF">
              <w:rPr>
                <w:rFonts w:ascii="Calibri" w:hAnsi="Calibri"/>
                <w:b/>
                <w:bCs/>
                <w:sz w:val="22"/>
                <w:szCs w:val="22"/>
                <w:highlight w:val="yellow"/>
              </w:rPr>
              <w:t>U.S.</w:t>
            </w:r>
            <w:r>
              <w:rPr>
                <w:rFonts w:ascii="Calibri" w:hAnsi="Calibri"/>
                <w:b/>
                <w:bCs/>
                <w:sz w:val="22"/>
                <w:szCs w:val="22"/>
                <w:highlight w:val="yellow"/>
              </w:rPr>
              <w:t xml:space="preserve"> </w:t>
            </w:r>
            <w:r w:rsidRPr="0067260C">
              <w:rPr>
                <w:rFonts w:ascii="Calibri" w:hAnsi="Calibri"/>
                <w:b/>
                <w:bCs/>
                <w:sz w:val="22"/>
                <w:szCs w:val="22"/>
                <w:highlight w:val="yellow"/>
              </w:rPr>
              <w:t>2002), does not authorize the Board to find waiver based on “fairness” in the absence of circumstances meeting the Supreme Court’s longstanding test for waiver</w:t>
            </w:r>
            <w:proofErr w:type="gramStart"/>
            <w:r w:rsidRPr="0067260C">
              <w:rPr>
                <w:rFonts w:ascii="Calibri" w:hAnsi="Calibri"/>
                <w:b/>
                <w:bCs/>
                <w:sz w:val="22"/>
                <w:szCs w:val="22"/>
                <w:highlight w:val="yellow"/>
              </w:rPr>
              <w:t xml:space="preserve">. </w:t>
            </w:r>
            <w:proofErr w:type="gramEnd"/>
            <w:r w:rsidRPr="0067260C">
              <w:rPr>
                <w:rFonts w:ascii="Calibri" w:hAnsi="Calibri"/>
                <w:b/>
                <w:bCs/>
                <w:sz w:val="22"/>
                <w:szCs w:val="22"/>
                <w:highlight w:val="yellow"/>
              </w:rPr>
              <w:t xml:space="preserve">A State’s access to the federal courts to enforce its patent rights is not – and cannot be – conditioned upon waiver of its constitutional right to be immune from suit by a private party in a different forum. </w:t>
            </w:r>
            <w:r>
              <w:rPr>
                <w:rFonts w:ascii="Calibri" w:hAnsi="Calibri"/>
                <w:b/>
                <w:bCs/>
                <w:sz w:val="22"/>
                <w:szCs w:val="22"/>
                <w:highlight w:val="yellow"/>
              </w:rPr>
              <w:t xml:space="preserve"> </w:t>
            </w:r>
            <w:r w:rsidRPr="0067260C">
              <w:rPr>
                <w:rFonts w:ascii="Calibri" w:hAnsi="Calibri"/>
                <w:b/>
                <w:bCs/>
                <w:i/>
                <w:sz w:val="22"/>
                <w:szCs w:val="22"/>
                <w:highlight w:val="yellow"/>
              </w:rPr>
              <w:t>Coll. Sav</w:t>
            </w:r>
            <w:proofErr w:type="gramStart"/>
            <w:r w:rsidRPr="0067260C">
              <w:rPr>
                <w:rFonts w:ascii="Calibri" w:hAnsi="Calibri"/>
                <w:b/>
                <w:bCs/>
                <w:i/>
                <w:sz w:val="22"/>
                <w:szCs w:val="22"/>
                <w:highlight w:val="yellow"/>
              </w:rPr>
              <w:t xml:space="preserve">. </w:t>
            </w:r>
            <w:proofErr w:type="gramEnd"/>
            <w:r w:rsidRPr="0067260C">
              <w:rPr>
                <w:rFonts w:ascii="Calibri" w:hAnsi="Calibri"/>
                <w:b/>
                <w:bCs/>
                <w:i/>
                <w:sz w:val="22"/>
                <w:szCs w:val="22"/>
                <w:highlight w:val="yellow"/>
              </w:rPr>
              <w:t>Bank v. Fla. Prepaid Postsecondary Educ. Expense Bd.</w:t>
            </w:r>
            <w:r w:rsidRPr="0067260C">
              <w:rPr>
                <w:rFonts w:ascii="Calibri" w:hAnsi="Calibri"/>
                <w:b/>
                <w:bCs/>
                <w:sz w:val="22"/>
                <w:szCs w:val="22"/>
                <w:highlight w:val="yellow"/>
              </w:rPr>
              <w:t xml:space="preserve"> (</w:t>
            </w:r>
            <w:r w:rsidR="00CD3CDF">
              <w:rPr>
                <w:rFonts w:ascii="Calibri" w:hAnsi="Calibri"/>
                <w:b/>
                <w:bCs/>
                <w:sz w:val="22"/>
                <w:szCs w:val="22"/>
                <w:highlight w:val="yellow"/>
              </w:rPr>
              <w:t>U.S.</w:t>
            </w:r>
            <w:r w:rsidRPr="0067260C">
              <w:rPr>
                <w:rFonts w:ascii="Calibri" w:hAnsi="Calibri"/>
                <w:b/>
                <w:bCs/>
                <w:sz w:val="22"/>
                <w:szCs w:val="22"/>
                <w:highlight w:val="yellow"/>
              </w:rPr>
              <w:t xml:space="preserve"> 1999</w:t>
            </w:r>
            <w:r w:rsidRPr="008A3192">
              <w:rPr>
                <w:rFonts w:ascii="Calibri" w:hAnsi="Calibri"/>
                <w:b/>
                <w:bCs/>
                <w:sz w:val="22"/>
                <w:szCs w:val="22"/>
                <w:highlight w:val="yellow"/>
              </w:rPr>
              <w:t xml:space="preserve">).  </w:t>
            </w:r>
            <w:proofErr w:type="spellStart"/>
            <w:r w:rsidRPr="008A3192">
              <w:rPr>
                <w:rFonts w:ascii="Calibri" w:hAnsi="Calibri"/>
                <w:b/>
                <w:bCs/>
                <w:sz w:val="22"/>
                <w:szCs w:val="22"/>
                <w:highlight w:val="yellow"/>
              </w:rPr>
              <w:t>UMN</w:t>
            </w:r>
            <w:proofErr w:type="spellEnd"/>
            <w:r w:rsidRPr="008A3192">
              <w:rPr>
                <w:rFonts w:ascii="Calibri" w:hAnsi="Calibri"/>
                <w:b/>
                <w:bCs/>
                <w:sz w:val="22"/>
                <w:szCs w:val="22"/>
                <w:highlight w:val="yellow"/>
              </w:rPr>
              <w:t xml:space="preserve"> Br. 7.</w:t>
            </w:r>
          </w:p>
        </w:tc>
      </w:tr>
      <w:tr w:rsidR="00FB42AE" w:rsidRPr="0010708E" w14:paraId="2F2ACB7A" w14:textId="77777777" w:rsidTr="003A6872">
        <w:trPr>
          <w:trHeight w:val="4795"/>
        </w:trPr>
        <w:tc>
          <w:tcPr>
            <w:tcW w:w="5904" w:type="dxa"/>
            <w:vAlign w:val="center"/>
          </w:tcPr>
          <w:p w14:paraId="468F8200" w14:textId="77777777"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authority did the </w:t>
            </w:r>
            <w:proofErr w:type="spellStart"/>
            <w:r>
              <w:rPr>
                <w:rFonts w:ascii="Calibri" w:hAnsi="Calibri"/>
                <w:b/>
                <w:bCs/>
                <w:sz w:val="28"/>
                <w:szCs w:val="28"/>
              </w:rPr>
              <w:t>PTAB</w:t>
            </w:r>
            <w:proofErr w:type="spellEnd"/>
            <w:r>
              <w:rPr>
                <w:rFonts w:ascii="Calibri" w:hAnsi="Calibri"/>
                <w:b/>
                <w:bCs/>
                <w:sz w:val="28"/>
                <w:szCs w:val="28"/>
              </w:rPr>
              <w:t xml:space="preserve"> rely on in exercising jurisdiction over State sovereigns</w:t>
            </w:r>
            <w:r w:rsidRPr="0010708E">
              <w:rPr>
                <w:rFonts w:ascii="Calibri" w:hAnsi="Calibri"/>
                <w:b/>
                <w:bCs/>
                <w:sz w:val="28"/>
                <w:szCs w:val="28"/>
              </w:rPr>
              <w:t>?</w:t>
            </w:r>
          </w:p>
        </w:tc>
        <w:tc>
          <w:tcPr>
            <w:tcW w:w="5904" w:type="dxa"/>
            <w:vAlign w:val="center"/>
          </w:tcPr>
          <w:p w14:paraId="0A7B16EA" w14:textId="77777777" w:rsidR="00FB42AE" w:rsidRPr="0010708E" w:rsidRDefault="00FB42AE" w:rsidP="003A6872">
            <w:pPr>
              <w:pStyle w:val="O-BodyText"/>
              <w:spacing w:after="120"/>
              <w:ind w:right="162"/>
              <w:rPr>
                <w:rFonts w:ascii="Calibri" w:hAnsi="Calibri"/>
                <w:b/>
                <w:bCs/>
                <w:sz w:val="22"/>
                <w:szCs w:val="22"/>
              </w:rPr>
            </w:pPr>
            <w:r w:rsidRPr="00AC7D91">
              <w:rPr>
                <w:rFonts w:ascii="Calibri" w:hAnsi="Calibri"/>
                <w:b/>
                <w:bCs/>
                <w:sz w:val="22"/>
                <w:szCs w:val="22"/>
                <w:highlight w:val="yellow"/>
              </w:rPr>
              <w:t xml:space="preserve">From </w:t>
            </w:r>
            <w:proofErr w:type="spellStart"/>
            <w:r w:rsidRPr="00AC7D91">
              <w:rPr>
                <w:rFonts w:ascii="Calibri" w:hAnsi="Calibri"/>
                <w:b/>
                <w:bCs/>
                <w:sz w:val="22"/>
                <w:szCs w:val="22"/>
                <w:highlight w:val="yellow"/>
              </w:rPr>
              <w:t>UMN’s</w:t>
            </w:r>
            <w:proofErr w:type="spellEnd"/>
            <w:r w:rsidRPr="00AC7D91">
              <w:rPr>
                <w:rFonts w:ascii="Calibri" w:hAnsi="Calibri"/>
                <w:b/>
                <w:bCs/>
                <w:sz w:val="22"/>
                <w:szCs w:val="22"/>
                <w:highlight w:val="yellow"/>
              </w:rPr>
              <w:t xml:space="preserve"> Brief:  By its Orders, the Board claimed a power to exercise jurisdiction over State sovereigns that this Court held in </w:t>
            </w:r>
            <w:proofErr w:type="spellStart"/>
            <w:r w:rsidRPr="00AC7D91">
              <w:rPr>
                <w:rFonts w:ascii="Calibri" w:hAnsi="Calibri"/>
                <w:b/>
                <w:bCs/>
                <w:i/>
                <w:sz w:val="22"/>
                <w:szCs w:val="22"/>
                <w:highlight w:val="yellow"/>
              </w:rPr>
              <w:t>Tegic</w:t>
            </w:r>
            <w:proofErr w:type="spellEnd"/>
            <w:r w:rsidRPr="00AC7D91">
              <w:rPr>
                <w:rFonts w:ascii="Calibri" w:hAnsi="Calibri"/>
                <w:b/>
                <w:bCs/>
                <w:i/>
                <w:sz w:val="22"/>
                <w:szCs w:val="22"/>
                <w:highlight w:val="yellow"/>
              </w:rPr>
              <w:t xml:space="preserve"> </w:t>
            </w:r>
            <w:r w:rsidRPr="00AC7D91">
              <w:rPr>
                <w:rFonts w:ascii="Calibri" w:hAnsi="Calibri"/>
                <w:b/>
                <w:bCs/>
                <w:sz w:val="22"/>
                <w:szCs w:val="22"/>
                <w:highlight w:val="yellow"/>
              </w:rPr>
              <w:t xml:space="preserve">and </w:t>
            </w:r>
            <w:r w:rsidRPr="00AC7D91">
              <w:rPr>
                <w:rFonts w:ascii="Calibri" w:hAnsi="Calibri"/>
                <w:b/>
                <w:bCs/>
                <w:i/>
                <w:sz w:val="22"/>
                <w:szCs w:val="22"/>
                <w:highlight w:val="yellow"/>
              </w:rPr>
              <w:t xml:space="preserve">A123 </w:t>
            </w:r>
            <w:r w:rsidRPr="00AC7D91">
              <w:rPr>
                <w:rFonts w:ascii="Calibri" w:hAnsi="Calibri"/>
                <w:b/>
                <w:bCs/>
                <w:sz w:val="22"/>
                <w:szCs w:val="22"/>
                <w:highlight w:val="yellow"/>
              </w:rPr>
              <w:t xml:space="preserve">that even Article III courts do not have – namely, the power to adjudicate a private citizen’s challenge to a State-owned patent in a different forum to which the State never consented.  It cited no precedent or authority supporting such extraordinary power.  The affront to a State’s sovereignty is no less when forced against its will to defend itself in an administrative tribunal as opposed to a district court.  </w:t>
            </w:r>
            <w:proofErr w:type="spellStart"/>
            <w:r w:rsidRPr="00AC7D91">
              <w:rPr>
                <w:rFonts w:ascii="Calibri" w:hAnsi="Calibri"/>
                <w:b/>
                <w:bCs/>
                <w:sz w:val="22"/>
                <w:szCs w:val="22"/>
                <w:highlight w:val="yellow"/>
              </w:rPr>
              <w:t>UMN</w:t>
            </w:r>
            <w:proofErr w:type="spellEnd"/>
            <w:r w:rsidRPr="00AC7D91">
              <w:rPr>
                <w:rFonts w:ascii="Calibri" w:hAnsi="Calibri"/>
                <w:b/>
                <w:bCs/>
                <w:sz w:val="22"/>
                <w:szCs w:val="22"/>
                <w:highlight w:val="yellow"/>
              </w:rPr>
              <w:t xml:space="preserve"> Br. 8.</w:t>
            </w:r>
          </w:p>
        </w:tc>
      </w:tr>
      <w:tr w:rsidR="00FB42AE" w:rsidRPr="00AC7D91" w14:paraId="51ED805A" w14:textId="77777777" w:rsidTr="003A6872">
        <w:trPr>
          <w:trHeight w:val="4795"/>
        </w:trPr>
        <w:tc>
          <w:tcPr>
            <w:tcW w:w="5904" w:type="dxa"/>
            <w:vAlign w:val="center"/>
          </w:tcPr>
          <w:p w14:paraId="17CCD134" w14:textId="77777777" w:rsidR="00FB42A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t>Doesn’t t</w:t>
            </w:r>
            <w:r w:rsidRPr="00BD6382">
              <w:rPr>
                <w:rFonts w:ascii="Calibri" w:hAnsi="Calibri"/>
                <w:b/>
                <w:bCs/>
                <w:sz w:val="28"/>
                <w:szCs w:val="28"/>
              </w:rPr>
              <w:t>he Board’s holding that sovereign immunity is waived when enforcing</w:t>
            </w:r>
            <w:r>
              <w:rPr>
                <w:rFonts w:ascii="Calibri" w:hAnsi="Calibri"/>
                <w:b/>
                <w:bCs/>
                <w:sz w:val="28"/>
                <w:szCs w:val="28"/>
              </w:rPr>
              <w:t xml:space="preserve"> their property rights in court strip</w:t>
            </w:r>
            <w:r w:rsidRPr="00BD6382">
              <w:rPr>
                <w:rFonts w:ascii="Calibri" w:hAnsi="Calibri"/>
                <w:b/>
                <w:bCs/>
                <w:sz w:val="28"/>
                <w:szCs w:val="28"/>
              </w:rPr>
              <w:t xml:space="preserve"> the very sovereignty that is at stake</w:t>
            </w:r>
            <w:r>
              <w:rPr>
                <w:rFonts w:ascii="Calibri" w:hAnsi="Calibri"/>
                <w:b/>
                <w:bCs/>
                <w:sz w:val="28"/>
                <w:szCs w:val="28"/>
              </w:rPr>
              <w:t>?</w:t>
            </w:r>
          </w:p>
        </w:tc>
        <w:tc>
          <w:tcPr>
            <w:tcW w:w="5904" w:type="dxa"/>
            <w:vAlign w:val="center"/>
          </w:tcPr>
          <w:p w14:paraId="27826F1D" w14:textId="77777777" w:rsidR="00FB42AE" w:rsidRPr="00AC7D91" w:rsidRDefault="00FB42AE" w:rsidP="003A6872">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[Explain.]  </w:t>
            </w:r>
            <w:proofErr w:type="spellStart"/>
            <w:r>
              <w:rPr>
                <w:rFonts w:ascii="Calibri" w:hAnsi="Calibri"/>
                <w:b/>
                <w:bCs/>
                <w:sz w:val="22"/>
                <w:szCs w:val="22"/>
                <w:highlight w:val="yellow"/>
              </w:rPr>
              <w:t>UMN</w:t>
            </w:r>
            <w:proofErr w:type="spellEnd"/>
            <w:r>
              <w:rPr>
                <w:rFonts w:ascii="Calibri" w:hAnsi="Calibri"/>
                <w:b/>
                <w:bCs/>
                <w:sz w:val="22"/>
                <w:szCs w:val="22"/>
                <w:highlight w:val="yellow"/>
              </w:rPr>
              <w:t xml:space="preserve"> Br. 9.</w:t>
            </w:r>
          </w:p>
        </w:tc>
      </w:tr>
      <w:tr w:rsidR="00FB42AE" w:rsidRPr="0010708E" w14:paraId="112AD8E5" w14:textId="77777777" w:rsidTr="003A6872">
        <w:trPr>
          <w:trHeight w:val="4795"/>
        </w:trPr>
        <w:tc>
          <w:tcPr>
            <w:tcW w:w="5904" w:type="dxa"/>
            <w:vAlign w:val="center"/>
          </w:tcPr>
          <w:p w14:paraId="1F61EE37" w14:textId="77777777" w:rsidR="00FB42AE" w:rsidRPr="0010708E" w:rsidRDefault="00FB42AE" w:rsidP="003A6872">
            <w:pPr>
              <w:pStyle w:val="O-BodyText"/>
              <w:spacing w:afterLines="120" w:after="288"/>
              <w:ind w:right="108"/>
              <w:rPr>
                <w:rFonts w:ascii="Calibri" w:hAnsi="Calibri"/>
                <w:b/>
                <w:bCs/>
                <w:sz w:val="28"/>
                <w:szCs w:val="28"/>
              </w:rPr>
            </w:pPr>
            <w:r>
              <w:rPr>
                <w:rFonts w:ascii="Calibri" w:hAnsi="Calibri"/>
                <w:b/>
                <w:bCs/>
                <w:sz w:val="28"/>
                <w:szCs w:val="28"/>
              </w:rPr>
              <w:t xml:space="preserve">Doesn’t the </w:t>
            </w:r>
            <w:proofErr w:type="spellStart"/>
            <w:r>
              <w:rPr>
                <w:rFonts w:ascii="Calibri" w:hAnsi="Calibri"/>
                <w:b/>
                <w:bCs/>
                <w:sz w:val="28"/>
                <w:szCs w:val="28"/>
              </w:rPr>
              <w:t>PTAB’s</w:t>
            </w:r>
            <w:proofErr w:type="spellEnd"/>
            <w:r>
              <w:rPr>
                <w:rFonts w:ascii="Calibri" w:hAnsi="Calibri"/>
                <w:b/>
                <w:bCs/>
                <w:sz w:val="28"/>
                <w:szCs w:val="28"/>
              </w:rPr>
              <w:t xml:space="preserve"> holding undermine Congressional policy, embodied in the Bayh-Dole Act, that </w:t>
            </w:r>
            <w:r w:rsidRPr="00AC7D91">
              <w:rPr>
                <w:rFonts w:ascii="Calibri" w:hAnsi="Calibri"/>
                <w:b/>
                <w:bCs/>
                <w:sz w:val="28"/>
                <w:szCs w:val="28"/>
              </w:rPr>
              <w:t>state universities use patents to promote the development and commercialization of technology</w:t>
            </w:r>
            <w:r>
              <w:rPr>
                <w:rFonts w:ascii="Calibri" w:hAnsi="Calibri"/>
                <w:b/>
                <w:bCs/>
                <w:sz w:val="28"/>
                <w:szCs w:val="28"/>
              </w:rPr>
              <w:t>?</w:t>
            </w:r>
          </w:p>
        </w:tc>
        <w:tc>
          <w:tcPr>
            <w:tcW w:w="5904" w:type="dxa"/>
            <w:vAlign w:val="center"/>
          </w:tcPr>
          <w:p w14:paraId="0AFC6E94" w14:textId="77777777" w:rsidR="00FB42AE" w:rsidRPr="0010708E" w:rsidRDefault="00FB42AE" w:rsidP="003A6872">
            <w:pPr>
              <w:pStyle w:val="O-BodyText"/>
              <w:spacing w:after="120"/>
              <w:ind w:right="162"/>
              <w:rPr>
                <w:rFonts w:ascii="Calibri" w:hAnsi="Calibri"/>
                <w:b/>
                <w:bCs/>
                <w:sz w:val="22"/>
                <w:szCs w:val="22"/>
              </w:rPr>
            </w:pPr>
            <w:r w:rsidRPr="00AC7D91">
              <w:rPr>
                <w:rFonts w:ascii="Calibri" w:hAnsi="Calibri"/>
                <w:b/>
                <w:bCs/>
                <w:sz w:val="22"/>
                <w:szCs w:val="22"/>
                <w:highlight w:val="yellow"/>
              </w:rPr>
              <w:t xml:space="preserve">[Explain.]  </w:t>
            </w:r>
            <w:proofErr w:type="spellStart"/>
            <w:r w:rsidRPr="00AC7D91">
              <w:rPr>
                <w:rFonts w:ascii="Calibri" w:hAnsi="Calibri"/>
                <w:b/>
                <w:bCs/>
                <w:sz w:val="22"/>
                <w:szCs w:val="22"/>
                <w:highlight w:val="yellow"/>
              </w:rPr>
              <w:t>UMN</w:t>
            </w:r>
            <w:proofErr w:type="spellEnd"/>
            <w:r w:rsidRPr="00AC7D91">
              <w:rPr>
                <w:rFonts w:ascii="Calibri" w:hAnsi="Calibri"/>
                <w:b/>
                <w:bCs/>
                <w:sz w:val="22"/>
                <w:szCs w:val="22"/>
                <w:highlight w:val="yellow"/>
              </w:rPr>
              <w:t xml:space="preserve"> Br. 9.</w:t>
            </w:r>
          </w:p>
        </w:tc>
      </w:tr>
      <w:tr w:rsidR="00AB08C4" w:rsidRPr="0010708E" w14:paraId="6AD302B6" w14:textId="77777777" w:rsidTr="003A6872">
        <w:trPr>
          <w:trHeight w:val="4795"/>
        </w:trPr>
        <w:tc>
          <w:tcPr>
            <w:tcW w:w="5904" w:type="dxa"/>
            <w:vAlign w:val="center"/>
          </w:tcPr>
          <w:p w14:paraId="6B21E719" w14:textId="49EEE6FD" w:rsidR="00AB08C4" w:rsidRDefault="00AB08C4" w:rsidP="003A6872">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Who makes the decision to institute inter </w:t>
            </w:r>
            <w:proofErr w:type="spellStart"/>
            <w:r>
              <w:rPr>
                <w:rFonts w:ascii="Calibri" w:hAnsi="Calibri"/>
                <w:b/>
                <w:bCs/>
                <w:sz w:val="28"/>
                <w:szCs w:val="28"/>
              </w:rPr>
              <w:t>partes</w:t>
            </w:r>
            <w:proofErr w:type="spellEnd"/>
            <w:r>
              <w:rPr>
                <w:rFonts w:ascii="Calibri" w:hAnsi="Calibri"/>
                <w:b/>
                <w:bCs/>
                <w:sz w:val="28"/>
                <w:szCs w:val="28"/>
              </w:rPr>
              <w:t xml:space="preserve"> review?</w:t>
            </w:r>
          </w:p>
        </w:tc>
        <w:tc>
          <w:tcPr>
            <w:tcW w:w="5904" w:type="dxa"/>
            <w:vAlign w:val="center"/>
          </w:tcPr>
          <w:p w14:paraId="0EABAB30" w14:textId="06D033E4" w:rsidR="00AB08C4" w:rsidRPr="00AC7D91" w:rsidRDefault="00AB08C4" w:rsidP="00AB08C4">
            <w:pPr>
              <w:pStyle w:val="O-BodyText"/>
              <w:spacing w:after="120"/>
              <w:ind w:right="162"/>
              <w:rPr>
                <w:rFonts w:ascii="Calibri" w:hAnsi="Calibri"/>
                <w:b/>
                <w:bCs/>
                <w:sz w:val="22"/>
                <w:szCs w:val="22"/>
                <w:highlight w:val="yellow"/>
              </w:rPr>
            </w:pPr>
            <w:r>
              <w:rPr>
                <w:rFonts w:ascii="Calibri" w:hAnsi="Calibri"/>
                <w:b/>
                <w:bCs/>
                <w:sz w:val="22"/>
                <w:szCs w:val="22"/>
                <w:highlight w:val="yellow"/>
              </w:rPr>
              <w:t>From Gilead’s Brief:  A</w:t>
            </w:r>
            <w:r w:rsidRPr="00AB08C4">
              <w:rPr>
                <w:rFonts w:ascii="Calibri" w:hAnsi="Calibri"/>
                <w:b/>
                <w:bCs/>
                <w:sz w:val="22"/>
                <w:szCs w:val="22"/>
                <w:highlight w:val="yellow"/>
              </w:rPr>
              <w:t xml:space="preserve"> private party files the petition for review</w:t>
            </w:r>
            <w:r>
              <w:rPr>
                <w:rFonts w:ascii="Calibri" w:hAnsi="Calibri"/>
                <w:b/>
                <w:bCs/>
                <w:sz w:val="22"/>
                <w:szCs w:val="22"/>
                <w:highlight w:val="yellow"/>
              </w:rPr>
              <w:t>, 35 U.S.C. § 311(a), b</w:t>
            </w:r>
            <w:r w:rsidRPr="00AB08C4">
              <w:rPr>
                <w:rFonts w:ascii="Calibri" w:hAnsi="Calibri"/>
                <w:b/>
                <w:bCs/>
                <w:sz w:val="22"/>
                <w:szCs w:val="22"/>
                <w:highlight w:val="yellow"/>
              </w:rPr>
              <w:t>ut the decision to institute review is made by the Director and committed to his unreviewable discretion.</w:t>
            </w:r>
            <w:r>
              <w:rPr>
                <w:rFonts w:ascii="Calibri" w:hAnsi="Calibri"/>
                <w:b/>
                <w:bCs/>
                <w:sz w:val="22"/>
                <w:szCs w:val="22"/>
                <w:highlight w:val="yellow"/>
              </w:rPr>
              <w:t xml:space="preserve">  Gilead Br. 2 (citing </w:t>
            </w:r>
            <w:r w:rsidRPr="00AB08C4">
              <w:rPr>
                <w:rFonts w:ascii="Calibri" w:hAnsi="Calibri"/>
                <w:b/>
                <w:bCs/>
                <w:i/>
                <w:sz w:val="22"/>
                <w:szCs w:val="22"/>
                <w:highlight w:val="yellow"/>
              </w:rPr>
              <w:t>Oil States Energy Servs</w:t>
            </w:r>
            <w:proofErr w:type="gramStart"/>
            <w:r w:rsidRPr="00AB08C4">
              <w:rPr>
                <w:rFonts w:ascii="Calibri" w:hAnsi="Calibri"/>
                <w:b/>
                <w:bCs/>
                <w:i/>
                <w:sz w:val="22"/>
                <w:szCs w:val="22"/>
                <w:highlight w:val="yellow"/>
              </w:rPr>
              <w:t xml:space="preserve">. </w:t>
            </w:r>
            <w:proofErr w:type="gramEnd"/>
            <w:r>
              <w:rPr>
                <w:rFonts w:ascii="Calibri" w:hAnsi="Calibri"/>
                <w:b/>
                <w:bCs/>
                <w:i/>
                <w:sz w:val="22"/>
                <w:szCs w:val="22"/>
                <w:highlight w:val="yellow"/>
              </w:rPr>
              <w:t>v. Greene’s Energy Grp</w:t>
            </w:r>
            <w:proofErr w:type="gramStart"/>
            <w:r>
              <w:rPr>
                <w:rFonts w:ascii="Calibri" w:hAnsi="Calibri"/>
                <w:b/>
                <w:bCs/>
                <w:i/>
                <w:sz w:val="22"/>
                <w:szCs w:val="22"/>
                <w:highlight w:val="yellow"/>
              </w:rPr>
              <w:t>.</w:t>
            </w:r>
            <w:r w:rsidRPr="00AB08C4">
              <w:rPr>
                <w:rFonts w:ascii="Calibri" w:hAnsi="Calibri"/>
                <w:b/>
                <w:bCs/>
                <w:sz w:val="22"/>
                <w:szCs w:val="22"/>
                <w:highlight w:val="yellow"/>
              </w:rPr>
              <w:t xml:space="preserve"> </w:t>
            </w:r>
            <w:proofErr w:type="gramEnd"/>
            <w:r w:rsidRPr="00AB08C4">
              <w:rPr>
                <w:rFonts w:ascii="Calibri" w:hAnsi="Calibri"/>
                <w:b/>
                <w:bCs/>
                <w:sz w:val="22"/>
                <w:szCs w:val="22"/>
                <w:highlight w:val="yellow"/>
              </w:rPr>
              <w:t>(</w:t>
            </w:r>
            <w:r w:rsidR="00CD3CDF">
              <w:rPr>
                <w:rFonts w:ascii="Calibri" w:hAnsi="Calibri"/>
                <w:b/>
                <w:bCs/>
                <w:sz w:val="22"/>
                <w:szCs w:val="22"/>
                <w:highlight w:val="yellow"/>
              </w:rPr>
              <w:t>U.S.</w:t>
            </w:r>
            <w:r>
              <w:rPr>
                <w:rFonts w:ascii="Calibri" w:hAnsi="Calibri"/>
                <w:b/>
                <w:bCs/>
                <w:sz w:val="22"/>
                <w:szCs w:val="22"/>
                <w:highlight w:val="yellow"/>
              </w:rPr>
              <w:t xml:space="preserve"> 2018)</w:t>
            </w:r>
            <w:r w:rsidR="00C861DB">
              <w:rPr>
                <w:rFonts w:ascii="Calibri" w:hAnsi="Calibri"/>
                <w:b/>
                <w:bCs/>
                <w:sz w:val="22"/>
                <w:szCs w:val="22"/>
                <w:highlight w:val="yellow"/>
              </w:rPr>
              <w:t xml:space="preserve"> and 35 U.S.C. § 314)</w:t>
            </w:r>
            <w:r>
              <w:rPr>
                <w:rFonts w:ascii="Calibri" w:hAnsi="Calibri"/>
                <w:b/>
                <w:bCs/>
                <w:sz w:val="22"/>
                <w:szCs w:val="22"/>
                <w:highlight w:val="yellow"/>
              </w:rPr>
              <w:t>.</w:t>
            </w:r>
          </w:p>
        </w:tc>
      </w:tr>
      <w:tr w:rsidR="00C861DB" w:rsidRPr="0010708E" w14:paraId="4A98E65F" w14:textId="77777777" w:rsidTr="003A6872">
        <w:trPr>
          <w:trHeight w:val="4795"/>
        </w:trPr>
        <w:tc>
          <w:tcPr>
            <w:tcW w:w="5904" w:type="dxa"/>
            <w:vAlign w:val="center"/>
          </w:tcPr>
          <w:p w14:paraId="60B49A92" w14:textId="0325AC76" w:rsidR="00C861DB" w:rsidRDefault="00C861DB" w:rsidP="003A6872">
            <w:pPr>
              <w:pStyle w:val="O-BodyText"/>
              <w:spacing w:afterLines="120" w:after="288"/>
              <w:ind w:right="108"/>
              <w:rPr>
                <w:rFonts w:ascii="Calibri" w:hAnsi="Calibri"/>
                <w:b/>
                <w:bCs/>
                <w:sz w:val="28"/>
                <w:szCs w:val="28"/>
              </w:rPr>
            </w:pPr>
            <w:r>
              <w:rPr>
                <w:rFonts w:ascii="Calibri" w:hAnsi="Calibri"/>
                <w:b/>
                <w:bCs/>
                <w:sz w:val="28"/>
                <w:szCs w:val="28"/>
              </w:rPr>
              <w:t xml:space="preserve">Are patent owners required to participate in inter </w:t>
            </w:r>
            <w:proofErr w:type="spellStart"/>
            <w:r>
              <w:rPr>
                <w:rFonts w:ascii="Calibri" w:hAnsi="Calibri"/>
                <w:b/>
                <w:bCs/>
                <w:sz w:val="28"/>
                <w:szCs w:val="28"/>
              </w:rPr>
              <w:t>partes</w:t>
            </w:r>
            <w:proofErr w:type="spellEnd"/>
            <w:r>
              <w:rPr>
                <w:rFonts w:ascii="Calibri" w:hAnsi="Calibri"/>
                <w:b/>
                <w:bCs/>
                <w:sz w:val="28"/>
                <w:szCs w:val="28"/>
              </w:rPr>
              <w:t xml:space="preserve"> reviews?</w:t>
            </w:r>
          </w:p>
        </w:tc>
        <w:tc>
          <w:tcPr>
            <w:tcW w:w="5904" w:type="dxa"/>
            <w:vAlign w:val="center"/>
          </w:tcPr>
          <w:p w14:paraId="0B9ABEDD" w14:textId="13A83677" w:rsidR="00C861DB" w:rsidRDefault="00C861DB" w:rsidP="00AB08C4">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Gilead’s Brief:  No.  </w:t>
            </w:r>
            <w:r w:rsidRPr="00C861DB">
              <w:rPr>
                <w:rFonts w:ascii="Calibri" w:hAnsi="Calibri"/>
                <w:b/>
                <w:bCs/>
                <w:sz w:val="22"/>
                <w:szCs w:val="22"/>
                <w:highlight w:val="yellow"/>
              </w:rPr>
              <w:t xml:space="preserve">Patent owners, whether States or not, do not have to participate in inter </w:t>
            </w:r>
            <w:proofErr w:type="spellStart"/>
            <w:r w:rsidRPr="00C861DB">
              <w:rPr>
                <w:rFonts w:ascii="Calibri" w:hAnsi="Calibri"/>
                <w:b/>
                <w:bCs/>
                <w:sz w:val="22"/>
                <w:szCs w:val="22"/>
                <w:highlight w:val="yellow"/>
              </w:rPr>
              <w:t>partes</w:t>
            </w:r>
            <w:proofErr w:type="spellEnd"/>
            <w:r w:rsidRPr="00C861DB">
              <w:rPr>
                <w:rFonts w:ascii="Calibri" w:hAnsi="Calibri"/>
                <w:b/>
                <w:bCs/>
                <w:i/>
                <w:sz w:val="22"/>
                <w:szCs w:val="22"/>
                <w:highlight w:val="yellow"/>
              </w:rPr>
              <w:t xml:space="preserve"> </w:t>
            </w:r>
            <w:r w:rsidRPr="00C861DB">
              <w:rPr>
                <w:rFonts w:ascii="Calibri" w:hAnsi="Calibri"/>
                <w:b/>
                <w:bCs/>
                <w:sz w:val="22"/>
                <w:szCs w:val="22"/>
                <w:highlight w:val="yellow"/>
              </w:rPr>
              <w:t>reviews</w:t>
            </w:r>
            <w:proofErr w:type="gramStart"/>
            <w:r w:rsidRPr="00C861DB">
              <w:rPr>
                <w:rFonts w:ascii="Calibri" w:hAnsi="Calibri"/>
                <w:b/>
                <w:bCs/>
                <w:sz w:val="22"/>
                <w:szCs w:val="22"/>
                <w:highlight w:val="yellow"/>
              </w:rPr>
              <w:t xml:space="preserve">. </w:t>
            </w:r>
            <w:proofErr w:type="gramEnd"/>
            <w:r w:rsidRPr="00C861DB">
              <w:rPr>
                <w:rFonts w:ascii="Calibri" w:hAnsi="Calibri"/>
                <w:b/>
                <w:bCs/>
                <w:sz w:val="22"/>
                <w:szCs w:val="22"/>
                <w:highlight w:val="yellow"/>
              </w:rPr>
              <w:t>Patent owners need not respond to petitions, or even file a response if the Director initiates a proceeding.</w:t>
            </w:r>
            <w:r>
              <w:rPr>
                <w:rFonts w:ascii="Calibri" w:hAnsi="Calibri"/>
                <w:b/>
                <w:bCs/>
                <w:sz w:val="22"/>
                <w:szCs w:val="22"/>
                <w:highlight w:val="yellow"/>
              </w:rPr>
              <w:t xml:space="preserve">  Gilead Br. 2 (citing </w:t>
            </w:r>
            <w:r w:rsidRPr="00C861DB">
              <w:rPr>
                <w:rFonts w:ascii="Calibri" w:hAnsi="Calibri"/>
                <w:b/>
                <w:bCs/>
                <w:sz w:val="22"/>
                <w:szCs w:val="22"/>
                <w:highlight w:val="yellow"/>
              </w:rPr>
              <w:t>35 U.S.C. § 316(a)(8); 37 C.F.R. § 42.120</w:t>
            </w:r>
            <w:r>
              <w:rPr>
                <w:rFonts w:ascii="Calibri" w:hAnsi="Calibri"/>
                <w:b/>
                <w:bCs/>
                <w:sz w:val="22"/>
                <w:szCs w:val="22"/>
                <w:highlight w:val="yellow"/>
              </w:rPr>
              <w:t>).</w:t>
            </w:r>
          </w:p>
        </w:tc>
      </w:tr>
      <w:tr w:rsidR="00C861DB" w:rsidRPr="0010708E" w14:paraId="1907CA4D" w14:textId="77777777" w:rsidTr="003A6872">
        <w:trPr>
          <w:trHeight w:val="4795"/>
        </w:trPr>
        <w:tc>
          <w:tcPr>
            <w:tcW w:w="5904" w:type="dxa"/>
            <w:vAlign w:val="center"/>
          </w:tcPr>
          <w:p w14:paraId="44CEF3CF" w14:textId="049B8559" w:rsidR="00C861DB" w:rsidRDefault="00C861DB" w:rsidP="003A6872">
            <w:pPr>
              <w:pStyle w:val="O-BodyText"/>
              <w:spacing w:afterLines="120" w:after="288"/>
              <w:ind w:right="108"/>
              <w:rPr>
                <w:rFonts w:ascii="Calibri" w:hAnsi="Calibri"/>
                <w:b/>
                <w:bCs/>
                <w:sz w:val="28"/>
                <w:szCs w:val="28"/>
              </w:rPr>
            </w:pPr>
            <w:r>
              <w:rPr>
                <w:rFonts w:ascii="Calibri" w:hAnsi="Calibri"/>
                <w:b/>
                <w:bCs/>
                <w:sz w:val="28"/>
                <w:szCs w:val="28"/>
              </w:rPr>
              <w:t xml:space="preserve">Is </w:t>
            </w:r>
            <w:r w:rsidRPr="00C861DB">
              <w:rPr>
                <w:rFonts w:ascii="Calibri" w:hAnsi="Calibri"/>
                <w:b/>
                <w:bCs/>
                <w:sz w:val="28"/>
                <w:szCs w:val="28"/>
              </w:rPr>
              <w:t xml:space="preserve">inter </w:t>
            </w:r>
            <w:proofErr w:type="spellStart"/>
            <w:r w:rsidRPr="00C861DB">
              <w:rPr>
                <w:rFonts w:ascii="Calibri" w:hAnsi="Calibri"/>
                <w:b/>
                <w:bCs/>
                <w:sz w:val="28"/>
                <w:szCs w:val="28"/>
              </w:rPr>
              <w:t>partes</w:t>
            </w:r>
            <w:proofErr w:type="spellEnd"/>
            <w:r w:rsidRPr="00C861DB">
              <w:rPr>
                <w:rFonts w:ascii="Calibri" w:hAnsi="Calibri"/>
                <w:b/>
                <w:bCs/>
                <w:i/>
                <w:sz w:val="28"/>
                <w:szCs w:val="28"/>
              </w:rPr>
              <w:t xml:space="preserve"> </w:t>
            </w:r>
            <w:r w:rsidRPr="00C861DB">
              <w:rPr>
                <w:rFonts w:ascii="Calibri" w:hAnsi="Calibri"/>
                <w:b/>
                <w:bCs/>
                <w:sz w:val="28"/>
                <w:szCs w:val="28"/>
              </w:rPr>
              <w:t>review a proceeding between the United States and the patent owner</w:t>
            </w:r>
            <w:r>
              <w:rPr>
                <w:rFonts w:ascii="Calibri" w:hAnsi="Calibri"/>
                <w:b/>
                <w:bCs/>
                <w:sz w:val="28"/>
                <w:szCs w:val="28"/>
              </w:rPr>
              <w:t>?</w:t>
            </w:r>
          </w:p>
        </w:tc>
        <w:tc>
          <w:tcPr>
            <w:tcW w:w="5904" w:type="dxa"/>
            <w:vAlign w:val="center"/>
          </w:tcPr>
          <w:p w14:paraId="526C1FAB" w14:textId="655E82B1" w:rsidR="00C861DB" w:rsidRDefault="00C861DB" w:rsidP="00AB08C4">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Gilead’s Brief:  Yes.  </w:t>
            </w:r>
            <w:r w:rsidRPr="00C861DB">
              <w:rPr>
                <w:rFonts w:ascii="Calibri" w:hAnsi="Calibri"/>
                <w:b/>
                <w:bCs/>
                <w:sz w:val="22"/>
                <w:szCs w:val="22"/>
                <w:highlight w:val="yellow"/>
              </w:rPr>
              <w:t xml:space="preserve">Inter </w:t>
            </w:r>
            <w:proofErr w:type="spellStart"/>
            <w:r w:rsidRPr="00C861DB">
              <w:rPr>
                <w:rFonts w:ascii="Calibri" w:hAnsi="Calibri"/>
                <w:b/>
                <w:bCs/>
                <w:sz w:val="22"/>
                <w:szCs w:val="22"/>
                <w:highlight w:val="yellow"/>
              </w:rPr>
              <w:t>partes</w:t>
            </w:r>
            <w:proofErr w:type="spellEnd"/>
            <w:r w:rsidRPr="00C861DB">
              <w:rPr>
                <w:rFonts w:ascii="Calibri" w:hAnsi="Calibri"/>
                <w:b/>
                <w:bCs/>
                <w:i/>
                <w:sz w:val="22"/>
                <w:szCs w:val="22"/>
                <w:highlight w:val="yellow"/>
              </w:rPr>
              <w:t xml:space="preserve"> </w:t>
            </w:r>
            <w:r w:rsidRPr="00C861DB">
              <w:rPr>
                <w:rFonts w:ascii="Calibri" w:hAnsi="Calibri"/>
                <w:b/>
                <w:bCs/>
                <w:sz w:val="22"/>
                <w:szCs w:val="22"/>
                <w:highlight w:val="yellow"/>
              </w:rPr>
              <w:t>review is a proceeding between the United States and the patent owner in which the State is not coerced to appear</w:t>
            </w:r>
            <w:r>
              <w:rPr>
                <w:rFonts w:ascii="Calibri" w:hAnsi="Calibri"/>
                <w:b/>
                <w:bCs/>
                <w:sz w:val="22"/>
                <w:szCs w:val="22"/>
                <w:highlight w:val="yellow"/>
              </w:rPr>
              <w:t>.  Gilead Br. 4.</w:t>
            </w:r>
          </w:p>
        </w:tc>
      </w:tr>
    </w:tbl>
    <w:p w14:paraId="5022C19F" w14:textId="77777777" w:rsidR="00B808D0" w:rsidRDefault="00B808D0">
      <w:r>
        <w:br w:type="page"/>
      </w: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A5765B" w14:paraId="246C4EDF" w14:textId="77777777" w:rsidTr="0010708E">
        <w:trPr>
          <w:trHeight w:val="4795"/>
        </w:trPr>
        <w:tc>
          <w:tcPr>
            <w:tcW w:w="5904" w:type="dxa"/>
            <w:vAlign w:val="center"/>
          </w:tcPr>
          <w:p w14:paraId="5FE9FD2B" w14:textId="537BD18C" w:rsidR="00A5765B" w:rsidRPr="0010708E" w:rsidRDefault="00A5765B" w:rsidP="0010708E">
            <w:pPr>
              <w:pStyle w:val="O-BodyText"/>
              <w:spacing w:afterLines="120" w:after="288"/>
              <w:ind w:right="108"/>
              <w:jc w:val="center"/>
              <w:rPr>
                <w:rFonts w:ascii="Calibri" w:hAnsi="Calibri"/>
                <w:b/>
                <w:bCs/>
                <w:sz w:val="28"/>
                <w:szCs w:val="28"/>
              </w:rPr>
            </w:pPr>
            <w:r w:rsidRPr="0010708E">
              <w:rPr>
                <w:rFonts w:ascii="Calibri" w:hAnsi="Calibri"/>
                <w:b/>
                <w:bCs/>
                <w:sz w:val="52"/>
                <w:szCs w:val="52"/>
              </w:rPr>
              <w:lastRenderedPageBreak/>
              <w:t xml:space="preserve">Jurisdictional </w:t>
            </w:r>
            <w:r>
              <w:rPr>
                <w:rFonts w:ascii="Calibri" w:hAnsi="Calibri"/>
                <w:b/>
                <w:sz w:val="52"/>
                <w:szCs w:val="52"/>
              </w:rPr>
              <w:br/>
            </w:r>
            <w:r w:rsidRPr="0010708E">
              <w:rPr>
                <w:rFonts w:ascii="Calibri" w:hAnsi="Calibri"/>
                <w:b/>
                <w:bCs/>
                <w:sz w:val="52"/>
                <w:szCs w:val="52"/>
              </w:rPr>
              <w:t>Statement</w:t>
            </w:r>
          </w:p>
        </w:tc>
        <w:tc>
          <w:tcPr>
            <w:tcW w:w="5904" w:type="dxa"/>
            <w:vAlign w:val="center"/>
          </w:tcPr>
          <w:p w14:paraId="2EA2538F" w14:textId="2CC45D13" w:rsidR="00A5765B" w:rsidRPr="0010708E" w:rsidRDefault="00A5765B" w:rsidP="0010708E">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p>
        </w:tc>
      </w:tr>
      <w:tr w:rsidR="00E62CA9" w14:paraId="2FC460CE" w14:textId="77777777" w:rsidTr="0010708E">
        <w:trPr>
          <w:trHeight w:val="4795"/>
        </w:trPr>
        <w:tc>
          <w:tcPr>
            <w:tcW w:w="5904" w:type="dxa"/>
            <w:vAlign w:val="center"/>
          </w:tcPr>
          <w:p w14:paraId="2E2DA793" w14:textId="3400E260" w:rsidR="00E62CA9" w:rsidRPr="0010708E" w:rsidRDefault="00727C33" w:rsidP="0010708E">
            <w:pPr>
              <w:pStyle w:val="O-BodyText"/>
              <w:spacing w:afterLines="120" w:after="288"/>
              <w:ind w:right="108"/>
              <w:rPr>
                <w:rFonts w:ascii="Calibri" w:hAnsi="Calibri"/>
                <w:b/>
                <w:bCs/>
                <w:sz w:val="28"/>
                <w:szCs w:val="28"/>
              </w:rPr>
            </w:pPr>
            <w:r w:rsidRPr="0010708E">
              <w:rPr>
                <w:rFonts w:ascii="Calibri" w:hAnsi="Calibri"/>
                <w:b/>
                <w:bCs/>
                <w:sz w:val="28"/>
                <w:szCs w:val="28"/>
              </w:rPr>
              <w:t xml:space="preserve">Where does the </w:t>
            </w:r>
            <w:r w:rsidR="00623D39" w:rsidRPr="00623D39">
              <w:rPr>
                <w:rFonts w:ascii="Calibri" w:hAnsi="Calibri"/>
                <w:b/>
                <w:bCs/>
                <w:sz w:val="28"/>
                <w:szCs w:val="28"/>
              </w:rPr>
              <w:t>Patent Trial and Appeal Board</w:t>
            </w:r>
            <w:r w:rsidR="00623D39">
              <w:rPr>
                <w:rFonts w:ascii="Calibri" w:hAnsi="Calibri"/>
                <w:b/>
                <w:bCs/>
                <w:sz w:val="28"/>
                <w:szCs w:val="28"/>
              </w:rPr>
              <w:t xml:space="preserve">’s </w:t>
            </w:r>
            <w:r w:rsidRPr="0010708E">
              <w:rPr>
                <w:rFonts w:ascii="Calibri" w:hAnsi="Calibri"/>
                <w:b/>
                <w:bCs/>
                <w:sz w:val="28"/>
                <w:szCs w:val="28"/>
              </w:rPr>
              <w:t>jurisdiction lie?</w:t>
            </w:r>
          </w:p>
        </w:tc>
        <w:tc>
          <w:tcPr>
            <w:tcW w:w="5904" w:type="dxa"/>
            <w:vAlign w:val="center"/>
          </w:tcPr>
          <w:p w14:paraId="288274B7" w14:textId="09B2BFAC" w:rsidR="00E62CA9" w:rsidRPr="0010708E" w:rsidRDefault="00623D39" w:rsidP="00623D39">
            <w:pPr>
              <w:pStyle w:val="O-BodyText"/>
              <w:spacing w:afterLines="120" w:after="288"/>
              <w:ind w:right="162"/>
              <w:rPr>
                <w:rFonts w:ascii="Calibri" w:hAnsi="Calibri"/>
                <w:b/>
                <w:bCs/>
                <w:sz w:val="22"/>
                <w:szCs w:val="22"/>
              </w:rPr>
            </w:pPr>
            <w:r w:rsidRPr="00623D39">
              <w:rPr>
                <w:rFonts w:ascii="Calibri" w:hAnsi="Calibri"/>
                <w:b/>
                <w:bCs/>
                <w:sz w:val="22"/>
                <w:szCs w:val="22"/>
              </w:rPr>
              <w:t xml:space="preserve">The </w:t>
            </w:r>
            <w:proofErr w:type="spellStart"/>
            <w:r w:rsidRPr="00623D39">
              <w:rPr>
                <w:rFonts w:ascii="Calibri" w:hAnsi="Calibri"/>
                <w:b/>
                <w:bCs/>
                <w:sz w:val="22"/>
                <w:szCs w:val="22"/>
              </w:rPr>
              <w:t>PTAB</w:t>
            </w:r>
            <w:proofErr w:type="spellEnd"/>
            <w:r w:rsidRPr="00623D39">
              <w:rPr>
                <w:rFonts w:ascii="Calibri" w:hAnsi="Calibri"/>
                <w:b/>
                <w:bCs/>
                <w:sz w:val="22"/>
                <w:szCs w:val="22"/>
              </w:rPr>
              <w:t xml:space="preserve"> had jurisdiction over the </w:t>
            </w:r>
            <w:proofErr w:type="spellStart"/>
            <w:r w:rsidRPr="00623D39">
              <w:rPr>
                <w:rFonts w:ascii="Calibri" w:hAnsi="Calibri"/>
                <w:b/>
                <w:bCs/>
                <w:sz w:val="22"/>
                <w:szCs w:val="22"/>
              </w:rPr>
              <w:t>IPR</w:t>
            </w:r>
            <w:proofErr w:type="spellEnd"/>
            <w:r w:rsidRPr="00623D39">
              <w:rPr>
                <w:rFonts w:ascii="Calibri" w:hAnsi="Calibri"/>
                <w:b/>
                <w:bCs/>
                <w:sz w:val="22"/>
                <w:szCs w:val="22"/>
              </w:rPr>
              <w:t xml:space="preserve"> proceedings under 35</w:t>
            </w:r>
            <w:r>
              <w:rPr>
                <w:rFonts w:ascii="Calibri" w:hAnsi="Calibri"/>
                <w:b/>
                <w:bCs/>
                <w:sz w:val="22"/>
                <w:szCs w:val="22"/>
              </w:rPr>
              <w:t xml:space="preserve"> U.S.C. § 316(c).</w:t>
            </w:r>
          </w:p>
        </w:tc>
      </w:tr>
      <w:tr w:rsidR="00A522D6" w14:paraId="5B00E5DD" w14:textId="77777777" w:rsidTr="0010708E">
        <w:trPr>
          <w:trHeight w:val="4795"/>
        </w:trPr>
        <w:tc>
          <w:tcPr>
            <w:tcW w:w="5904" w:type="dxa"/>
            <w:vAlign w:val="center"/>
          </w:tcPr>
          <w:p w14:paraId="3185089A" w14:textId="6BDEDD9C" w:rsidR="00A522D6" w:rsidRPr="0010708E" w:rsidRDefault="00727C33" w:rsidP="0010708E">
            <w:pPr>
              <w:pStyle w:val="O-BodyText"/>
              <w:spacing w:afterLines="120" w:after="288"/>
              <w:ind w:right="108"/>
              <w:rPr>
                <w:rFonts w:ascii="Calibri" w:hAnsi="Calibri"/>
                <w:b/>
                <w:bCs/>
                <w:sz w:val="28"/>
                <w:szCs w:val="28"/>
              </w:rPr>
            </w:pPr>
            <w:r w:rsidRPr="0010708E">
              <w:rPr>
                <w:rFonts w:ascii="Calibri" w:hAnsi="Calibri"/>
                <w:b/>
                <w:bCs/>
                <w:sz w:val="28"/>
                <w:szCs w:val="28"/>
              </w:rPr>
              <w:t xml:space="preserve">When did the </w:t>
            </w:r>
            <w:proofErr w:type="spellStart"/>
            <w:r w:rsidR="00623D39">
              <w:rPr>
                <w:rFonts w:ascii="Calibri" w:hAnsi="Calibri"/>
                <w:b/>
                <w:bCs/>
                <w:sz w:val="28"/>
                <w:szCs w:val="28"/>
              </w:rPr>
              <w:t>PTAB</w:t>
            </w:r>
            <w:proofErr w:type="spellEnd"/>
            <w:r w:rsidR="00623D39">
              <w:rPr>
                <w:rFonts w:ascii="Calibri" w:hAnsi="Calibri"/>
                <w:b/>
                <w:bCs/>
                <w:sz w:val="28"/>
                <w:szCs w:val="28"/>
              </w:rPr>
              <w:t xml:space="preserve"> </w:t>
            </w:r>
            <w:r w:rsidRPr="0010708E">
              <w:rPr>
                <w:rFonts w:ascii="Calibri" w:hAnsi="Calibri"/>
                <w:b/>
                <w:bCs/>
                <w:sz w:val="28"/>
                <w:szCs w:val="28"/>
              </w:rPr>
              <w:t xml:space="preserve">enter </w:t>
            </w:r>
            <w:r w:rsidR="00623D39">
              <w:rPr>
                <w:rFonts w:ascii="Calibri" w:hAnsi="Calibri"/>
                <w:b/>
                <w:bCs/>
                <w:sz w:val="28"/>
                <w:szCs w:val="28"/>
              </w:rPr>
              <w:t>its decision</w:t>
            </w:r>
            <w:r w:rsidRPr="0010708E">
              <w:rPr>
                <w:rFonts w:ascii="Calibri" w:hAnsi="Calibri"/>
                <w:b/>
                <w:bCs/>
                <w:sz w:val="28"/>
                <w:szCs w:val="28"/>
              </w:rPr>
              <w:t>?</w:t>
            </w:r>
          </w:p>
        </w:tc>
        <w:tc>
          <w:tcPr>
            <w:tcW w:w="5904" w:type="dxa"/>
            <w:vAlign w:val="center"/>
          </w:tcPr>
          <w:p w14:paraId="57A7CA18" w14:textId="31957659" w:rsidR="00A522D6" w:rsidRPr="0010708E" w:rsidRDefault="00623D39" w:rsidP="0010708E">
            <w:pPr>
              <w:pStyle w:val="O-BodyText"/>
              <w:spacing w:afterLines="120" w:after="288"/>
              <w:ind w:right="162"/>
              <w:rPr>
                <w:rFonts w:ascii="Calibri" w:hAnsi="Calibri"/>
                <w:b/>
                <w:bCs/>
                <w:sz w:val="22"/>
                <w:szCs w:val="22"/>
              </w:rPr>
            </w:pPr>
            <w:r w:rsidRPr="00623D39">
              <w:rPr>
                <w:rFonts w:ascii="Calibri" w:hAnsi="Calibri"/>
                <w:b/>
                <w:bCs/>
                <w:sz w:val="22"/>
                <w:szCs w:val="22"/>
              </w:rPr>
              <w:t xml:space="preserve">The </w:t>
            </w:r>
            <w:proofErr w:type="spellStart"/>
            <w:r w:rsidRPr="00623D39">
              <w:rPr>
                <w:rFonts w:ascii="Calibri" w:hAnsi="Calibri"/>
                <w:b/>
                <w:bCs/>
                <w:sz w:val="22"/>
                <w:szCs w:val="22"/>
              </w:rPr>
              <w:t>PTAB’s</w:t>
            </w:r>
            <w:proofErr w:type="spellEnd"/>
            <w:r w:rsidRPr="00623D39">
              <w:rPr>
                <w:rFonts w:ascii="Calibri" w:hAnsi="Calibri"/>
                <w:b/>
                <w:bCs/>
                <w:sz w:val="22"/>
                <w:szCs w:val="22"/>
              </w:rPr>
              <w:t xml:space="preserve"> decision w</w:t>
            </w:r>
            <w:r>
              <w:rPr>
                <w:rFonts w:ascii="Calibri" w:hAnsi="Calibri"/>
                <w:b/>
                <w:bCs/>
                <w:sz w:val="22"/>
                <w:szCs w:val="22"/>
              </w:rPr>
              <w:t>as entered on December 19, 2017</w:t>
            </w:r>
            <w:r w:rsidR="00727C33" w:rsidRPr="0010708E">
              <w:rPr>
                <w:rFonts w:ascii="Calibri" w:hAnsi="Calibri"/>
                <w:b/>
                <w:bCs/>
                <w:sz w:val="22"/>
                <w:szCs w:val="22"/>
              </w:rPr>
              <w:t>.</w:t>
            </w:r>
          </w:p>
        </w:tc>
      </w:tr>
      <w:tr w:rsidR="00E62CA9" w14:paraId="6BE0C94D" w14:textId="77777777" w:rsidTr="0010708E">
        <w:trPr>
          <w:trHeight w:val="4795"/>
        </w:trPr>
        <w:tc>
          <w:tcPr>
            <w:tcW w:w="5904" w:type="dxa"/>
            <w:vAlign w:val="center"/>
          </w:tcPr>
          <w:p w14:paraId="01E365F0" w14:textId="0F21541A" w:rsidR="00E62CA9" w:rsidRPr="0010708E" w:rsidRDefault="00727C33" w:rsidP="0010708E">
            <w:pPr>
              <w:pStyle w:val="O-BodyText"/>
              <w:spacing w:afterLines="120" w:after="288"/>
              <w:ind w:right="108"/>
              <w:rPr>
                <w:rFonts w:ascii="Calibri" w:hAnsi="Calibri"/>
                <w:b/>
                <w:bCs/>
                <w:sz w:val="28"/>
                <w:szCs w:val="28"/>
              </w:rPr>
            </w:pPr>
            <w:r w:rsidRPr="0010708E">
              <w:rPr>
                <w:rFonts w:ascii="Calibri" w:hAnsi="Calibri"/>
                <w:b/>
                <w:bCs/>
                <w:sz w:val="28"/>
                <w:szCs w:val="28"/>
              </w:rPr>
              <w:lastRenderedPageBreak/>
              <w:t xml:space="preserve">When did </w:t>
            </w:r>
            <w:proofErr w:type="spellStart"/>
            <w:r w:rsidR="00751F78">
              <w:rPr>
                <w:rFonts w:ascii="Calibri" w:hAnsi="Calibri"/>
                <w:b/>
                <w:bCs/>
                <w:sz w:val="28"/>
                <w:szCs w:val="28"/>
              </w:rPr>
              <w:t>UMN</w:t>
            </w:r>
            <w:proofErr w:type="spellEnd"/>
            <w:r w:rsidRPr="0010708E">
              <w:rPr>
                <w:rFonts w:ascii="Calibri" w:hAnsi="Calibri"/>
                <w:b/>
                <w:bCs/>
                <w:sz w:val="28"/>
                <w:szCs w:val="28"/>
              </w:rPr>
              <w:t xml:space="preserve"> </w:t>
            </w:r>
            <w:r w:rsidR="00623D39">
              <w:rPr>
                <w:rFonts w:ascii="Calibri" w:hAnsi="Calibri"/>
                <w:b/>
                <w:bCs/>
                <w:sz w:val="28"/>
                <w:szCs w:val="28"/>
              </w:rPr>
              <w:t>file petitions for review?</w:t>
            </w:r>
          </w:p>
        </w:tc>
        <w:tc>
          <w:tcPr>
            <w:tcW w:w="5904" w:type="dxa"/>
            <w:vAlign w:val="center"/>
          </w:tcPr>
          <w:p w14:paraId="0BCA530D" w14:textId="74E6D3DC" w:rsidR="00E62CA9" w:rsidRPr="0010708E" w:rsidRDefault="00623D39" w:rsidP="0010708E">
            <w:pPr>
              <w:pStyle w:val="O-BodyText"/>
              <w:spacing w:afterLines="120" w:after="288"/>
              <w:ind w:right="162"/>
              <w:rPr>
                <w:rFonts w:ascii="Calibri" w:hAnsi="Calibri"/>
                <w:b/>
                <w:bCs/>
                <w:sz w:val="22"/>
                <w:szCs w:val="22"/>
              </w:rPr>
            </w:pPr>
            <w:r w:rsidRPr="00623D39">
              <w:rPr>
                <w:rFonts w:ascii="Calibri" w:hAnsi="Calibri"/>
                <w:b/>
                <w:bCs/>
                <w:sz w:val="22"/>
                <w:szCs w:val="22"/>
              </w:rPr>
              <w:t>Appellants filed petitions for review on February 12, 2018.</w:t>
            </w:r>
          </w:p>
        </w:tc>
      </w:tr>
      <w:tr w:rsidR="00A60701" w14:paraId="73312218" w14:textId="77777777" w:rsidTr="0010708E">
        <w:trPr>
          <w:trHeight w:val="4795"/>
        </w:trPr>
        <w:tc>
          <w:tcPr>
            <w:tcW w:w="5904" w:type="dxa"/>
            <w:vAlign w:val="center"/>
          </w:tcPr>
          <w:p w14:paraId="712B63D8" w14:textId="03AF4C2E" w:rsidR="00A60701" w:rsidRPr="0010708E" w:rsidRDefault="00727C33" w:rsidP="0010708E">
            <w:pPr>
              <w:pStyle w:val="O-BodyText"/>
              <w:spacing w:afterLines="120" w:after="288"/>
              <w:ind w:right="108"/>
              <w:rPr>
                <w:rFonts w:ascii="Calibri" w:hAnsi="Calibri"/>
                <w:b/>
                <w:bCs/>
                <w:sz w:val="28"/>
                <w:szCs w:val="28"/>
              </w:rPr>
            </w:pPr>
            <w:r w:rsidRPr="0010708E">
              <w:rPr>
                <w:rFonts w:ascii="Calibri" w:hAnsi="Calibri"/>
                <w:b/>
                <w:bCs/>
                <w:sz w:val="28"/>
                <w:szCs w:val="28"/>
              </w:rPr>
              <w:t>Where does this Court’s jurisdiction lie?</w:t>
            </w:r>
          </w:p>
        </w:tc>
        <w:tc>
          <w:tcPr>
            <w:tcW w:w="5904" w:type="dxa"/>
            <w:vAlign w:val="center"/>
          </w:tcPr>
          <w:p w14:paraId="28A23DFF" w14:textId="571BFA60" w:rsidR="00A60701" w:rsidRPr="0010708E" w:rsidRDefault="00623D39" w:rsidP="0010708E">
            <w:pPr>
              <w:pStyle w:val="O-BodyText"/>
              <w:spacing w:afterLines="120" w:after="288"/>
              <w:ind w:right="162"/>
              <w:rPr>
                <w:rFonts w:ascii="Calibri" w:hAnsi="Calibri"/>
                <w:b/>
                <w:bCs/>
                <w:sz w:val="22"/>
                <w:szCs w:val="22"/>
              </w:rPr>
            </w:pPr>
            <w:r w:rsidRPr="00623D39">
              <w:rPr>
                <w:rFonts w:ascii="Calibri" w:hAnsi="Calibri"/>
                <w:b/>
                <w:bCs/>
                <w:sz w:val="22"/>
                <w:szCs w:val="22"/>
              </w:rPr>
              <w:t>This Court has jurisdiction under 28 U.S.C. § 1295(a)(4)(A)</w:t>
            </w:r>
            <w:r w:rsidR="00727C33" w:rsidRPr="0010708E">
              <w:rPr>
                <w:rFonts w:ascii="Calibri" w:hAnsi="Calibri"/>
                <w:b/>
                <w:bCs/>
                <w:sz w:val="22"/>
                <w:szCs w:val="22"/>
              </w:rPr>
              <w:t>.</w:t>
            </w:r>
          </w:p>
        </w:tc>
      </w:tr>
      <w:tr w:rsidR="00AE33E8" w14:paraId="4206C4FB" w14:textId="77777777" w:rsidTr="0010708E">
        <w:trPr>
          <w:trHeight w:val="4795"/>
        </w:trPr>
        <w:tc>
          <w:tcPr>
            <w:tcW w:w="5904" w:type="dxa"/>
            <w:vAlign w:val="center"/>
          </w:tcPr>
          <w:p w14:paraId="016C0969" w14:textId="62F7832D" w:rsidR="00AE33E8" w:rsidRPr="0010708E" w:rsidRDefault="00AE33E8" w:rsidP="0010708E">
            <w:pPr>
              <w:pStyle w:val="O-BodyText"/>
              <w:spacing w:afterLines="120" w:after="288"/>
              <w:ind w:right="108"/>
              <w:rPr>
                <w:rFonts w:ascii="Calibri" w:hAnsi="Calibri"/>
                <w:b/>
                <w:bCs/>
                <w:sz w:val="28"/>
                <w:szCs w:val="28"/>
              </w:rPr>
            </w:pPr>
            <w:r>
              <w:rPr>
                <w:rFonts w:ascii="Calibri" w:hAnsi="Calibri"/>
                <w:b/>
                <w:bCs/>
                <w:sz w:val="28"/>
                <w:szCs w:val="28"/>
              </w:rPr>
              <w:t xml:space="preserve">Is </w:t>
            </w:r>
            <w:proofErr w:type="spellStart"/>
            <w:r>
              <w:rPr>
                <w:rFonts w:ascii="Calibri" w:hAnsi="Calibri"/>
                <w:b/>
                <w:bCs/>
                <w:sz w:val="28"/>
                <w:szCs w:val="28"/>
              </w:rPr>
              <w:t>UMN’s</w:t>
            </w:r>
            <w:proofErr w:type="spellEnd"/>
            <w:r>
              <w:rPr>
                <w:rFonts w:ascii="Calibri" w:hAnsi="Calibri"/>
                <w:b/>
                <w:bCs/>
                <w:sz w:val="28"/>
                <w:szCs w:val="28"/>
              </w:rPr>
              <w:t xml:space="preserve"> appeal ripe?</w:t>
            </w:r>
          </w:p>
        </w:tc>
        <w:tc>
          <w:tcPr>
            <w:tcW w:w="5904" w:type="dxa"/>
            <w:vAlign w:val="center"/>
          </w:tcPr>
          <w:p w14:paraId="47192AAB" w14:textId="1EC3D583" w:rsidR="00AE33E8" w:rsidRPr="00AE33E8" w:rsidRDefault="00AE33E8" w:rsidP="00AE33E8">
            <w:pPr>
              <w:pStyle w:val="O-BodyText"/>
              <w:spacing w:afterLines="120" w:after="288"/>
              <w:ind w:right="162"/>
              <w:rPr>
                <w:rFonts w:ascii="Calibri" w:hAnsi="Calibri"/>
                <w:b/>
                <w:bCs/>
                <w:sz w:val="22"/>
                <w:szCs w:val="22"/>
              </w:rPr>
            </w:pPr>
            <w:r w:rsidRPr="00AE33E8">
              <w:rPr>
                <w:rFonts w:ascii="Calibri" w:hAnsi="Calibri"/>
                <w:b/>
                <w:bCs/>
                <w:sz w:val="22"/>
                <w:szCs w:val="22"/>
                <w:highlight w:val="yellow"/>
              </w:rPr>
              <w:t>From LSI’s Brief:  Th</w:t>
            </w:r>
            <w:r>
              <w:rPr>
                <w:rFonts w:ascii="Calibri" w:hAnsi="Calibri"/>
                <w:b/>
                <w:bCs/>
                <w:sz w:val="22"/>
                <w:szCs w:val="22"/>
                <w:highlight w:val="yellow"/>
              </w:rPr>
              <w:t>is</w:t>
            </w:r>
            <w:r w:rsidRPr="00AE33E8">
              <w:rPr>
                <w:rFonts w:ascii="Calibri" w:hAnsi="Calibri"/>
                <w:b/>
                <w:bCs/>
                <w:sz w:val="22"/>
                <w:szCs w:val="22"/>
                <w:highlight w:val="yellow"/>
              </w:rPr>
              <w:t xml:space="preserve"> Court lacks jurisdiction because </w:t>
            </w:r>
            <w:proofErr w:type="spellStart"/>
            <w:r w:rsidRPr="00AE33E8">
              <w:rPr>
                <w:rFonts w:ascii="Calibri" w:hAnsi="Calibri"/>
                <w:b/>
                <w:bCs/>
                <w:sz w:val="22"/>
                <w:szCs w:val="22"/>
                <w:highlight w:val="yellow"/>
              </w:rPr>
              <w:t>UMN’s</w:t>
            </w:r>
            <w:proofErr w:type="spellEnd"/>
            <w:r w:rsidRPr="00AE33E8">
              <w:rPr>
                <w:rFonts w:ascii="Calibri" w:hAnsi="Calibri"/>
                <w:b/>
                <w:bCs/>
                <w:sz w:val="22"/>
                <w:szCs w:val="22"/>
                <w:highlight w:val="yellow"/>
              </w:rPr>
              <w:t xml:space="preserve"> interlocutory appeal is not ripe.  Title 28 U.S.C. §</w:t>
            </w:r>
            <w:r>
              <w:rPr>
                <w:rFonts w:ascii="Calibri" w:hAnsi="Calibri"/>
                <w:b/>
                <w:bCs/>
                <w:sz w:val="22"/>
                <w:szCs w:val="22"/>
                <w:highlight w:val="yellow"/>
              </w:rPr>
              <w:t> </w:t>
            </w:r>
            <w:r w:rsidRPr="00AE33E8">
              <w:rPr>
                <w:rFonts w:ascii="Calibri" w:hAnsi="Calibri"/>
                <w:b/>
                <w:bCs/>
                <w:sz w:val="22"/>
                <w:szCs w:val="22"/>
                <w:highlight w:val="yellow"/>
              </w:rPr>
              <w:t xml:space="preserve">1295(a)(4)(A) does not provide the Court with jurisdiction over an interlocutory appeal of a denial of a motion to dismiss before the Board. </w:t>
            </w:r>
            <w:r>
              <w:rPr>
                <w:rFonts w:ascii="Calibri" w:hAnsi="Calibri"/>
                <w:b/>
                <w:bCs/>
                <w:sz w:val="22"/>
                <w:szCs w:val="22"/>
                <w:highlight w:val="yellow"/>
              </w:rPr>
              <w:t xml:space="preserve"> </w:t>
            </w:r>
            <w:r w:rsidRPr="00AE33E8">
              <w:rPr>
                <w:rFonts w:ascii="Calibri" w:hAnsi="Calibri"/>
                <w:b/>
                <w:bCs/>
                <w:sz w:val="22"/>
                <w:szCs w:val="22"/>
                <w:highlight w:val="yellow"/>
              </w:rPr>
              <w:t>The collateral order doctrine does not resolve this jurisdictional deficiency.</w:t>
            </w:r>
            <w:r>
              <w:rPr>
                <w:rFonts w:ascii="Calibri" w:hAnsi="Calibri"/>
                <w:b/>
                <w:bCs/>
                <w:sz w:val="22"/>
                <w:szCs w:val="22"/>
                <w:highlight w:val="yellow"/>
              </w:rPr>
              <w:t xml:space="preserve">  </w:t>
            </w:r>
            <w:r w:rsidRPr="00AE33E8">
              <w:rPr>
                <w:rFonts w:ascii="Calibri" w:hAnsi="Calibri"/>
                <w:b/>
                <w:bCs/>
                <w:sz w:val="22"/>
                <w:szCs w:val="22"/>
                <w:highlight w:val="yellow"/>
              </w:rPr>
              <w:t>LSI Br. 2</w:t>
            </w:r>
            <w:r>
              <w:rPr>
                <w:rFonts w:ascii="Calibri" w:hAnsi="Calibri"/>
                <w:b/>
                <w:bCs/>
                <w:sz w:val="22"/>
                <w:szCs w:val="22"/>
                <w:highlight w:val="yellow"/>
              </w:rPr>
              <w:t>–3</w:t>
            </w:r>
            <w:r w:rsidRPr="00AE33E8">
              <w:rPr>
                <w:rFonts w:ascii="Calibri" w:hAnsi="Calibri"/>
                <w:b/>
                <w:bCs/>
                <w:sz w:val="22"/>
                <w:szCs w:val="22"/>
                <w:highlight w:val="yellow"/>
              </w:rPr>
              <w:t>.</w:t>
            </w:r>
          </w:p>
          <w:p w14:paraId="28B1A4AA" w14:textId="27C18BB3" w:rsidR="00AE33E8" w:rsidRPr="00623D39" w:rsidRDefault="00AE33E8" w:rsidP="0010708E">
            <w:pPr>
              <w:pStyle w:val="O-BodyText"/>
              <w:spacing w:afterLines="120" w:after="288"/>
              <w:ind w:right="162"/>
              <w:rPr>
                <w:rFonts w:ascii="Calibri" w:hAnsi="Calibri"/>
                <w:b/>
                <w:bCs/>
                <w:sz w:val="22"/>
                <w:szCs w:val="22"/>
              </w:rPr>
            </w:pPr>
          </w:p>
        </w:tc>
      </w:tr>
      <w:tr w:rsidR="00363B4F" w14:paraId="38D36BB6" w14:textId="77777777" w:rsidTr="0010708E">
        <w:trPr>
          <w:trHeight w:val="4795"/>
        </w:trPr>
        <w:tc>
          <w:tcPr>
            <w:tcW w:w="5904" w:type="dxa"/>
            <w:vAlign w:val="center"/>
          </w:tcPr>
          <w:p w14:paraId="4A3C2504" w14:textId="4EAF62D0" w:rsidR="00363B4F" w:rsidRDefault="00B84D5A" w:rsidP="008443EA">
            <w:pPr>
              <w:pStyle w:val="O-BodyText"/>
              <w:spacing w:afterLines="120" w:after="288"/>
              <w:ind w:right="108"/>
              <w:rPr>
                <w:rFonts w:ascii="Calibri" w:hAnsi="Calibri"/>
                <w:b/>
                <w:sz w:val="28"/>
                <w:szCs w:val="28"/>
              </w:rPr>
            </w:pPr>
            <w:r>
              <w:rPr>
                <w:rFonts w:ascii="Calibri" w:hAnsi="Calibri"/>
                <w:b/>
                <w:sz w:val="28"/>
                <w:szCs w:val="28"/>
              </w:rPr>
              <w:lastRenderedPageBreak/>
              <w:t>What is the standard of review in this appeal?</w:t>
            </w:r>
          </w:p>
        </w:tc>
        <w:tc>
          <w:tcPr>
            <w:tcW w:w="5904" w:type="dxa"/>
            <w:vAlign w:val="center"/>
          </w:tcPr>
          <w:p w14:paraId="4F3C2979" w14:textId="64347832" w:rsidR="008C0CF6" w:rsidRPr="008C0CF6" w:rsidRDefault="00B84D5A" w:rsidP="008C0CF6">
            <w:pPr>
              <w:pStyle w:val="O-BodyText"/>
              <w:spacing w:afterLines="120" w:after="288"/>
              <w:ind w:right="162"/>
              <w:rPr>
                <w:rFonts w:ascii="Calibri" w:hAnsi="Calibri"/>
                <w:b/>
                <w:i/>
                <w:sz w:val="22"/>
                <w:szCs w:val="22"/>
              </w:rPr>
            </w:pPr>
            <w:r w:rsidRPr="00B84D5A">
              <w:rPr>
                <w:rFonts w:ascii="Calibri" w:hAnsi="Calibri"/>
                <w:b/>
                <w:sz w:val="22"/>
                <w:szCs w:val="22"/>
              </w:rPr>
              <w:t xml:space="preserve">This Court reviews the </w:t>
            </w:r>
            <w:proofErr w:type="spellStart"/>
            <w:r w:rsidRPr="00B84D5A">
              <w:rPr>
                <w:rFonts w:ascii="Calibri" w:hAnsi="Calibri"/>
                <w:b/>
                <w:sz w:val="22"/>
                <w:szCs w:val="22"/>
              </w:rPr>
              <w:t>PTAB’s</w:t>
            </w:r>
            <w:proofErr w:type="spellEnd"/>
            <w:r w:rsidRPr="00B84D5A">
              <w:rPr>
                <w:rFonts w:ascii="Calibri" w:hAnsi="Calibri"/>
                <w:b/>
                <w:sz w:val="22"/>
                <w:szCs w:val="22"/>
              </w:rPr>
              <w:t xml:space="preserve"> legal conclusions de novo</w:t>
            </w:r>
            <w:proofErr w:type="gramStart"/>
            <w:r w:rsidRPr="00B84D5A">
              <w:rPr>
                <w:rFonts w:ascii="Calibri" w:hAnsi="Calibri"/>
                <w:b/>
                <w:sz w:val="22"/>
                <w:szCs w:val="22"/>
              </w:rPr>
              <w:t xml:space="preserve">. </w:t>
            </w:r>
            <w:proofErr w:type="gramEnd"/>
            <w:r w:rsidRPr="00B84D5A">
              <w:rPr>
                <w:rFonts w:ascii="Calibri" w:hAnsi="Calibri"/>
                <w:b/>
                <w:i/>
                <w:sz w:val="22"/>
                <w:szCs w:val="22"/>
              </w:rPr>
              <w:t>In re Durance</w:t>
            </w:r>
            <w:r>
              <w:rPr>
                <w:rFonts w:ascii="Calibri" w:hAnsi="Calibri"/>
                <w:b/>
                <w:sz w:val="22"/>
                <w:szCs w:val="22"/>
              </w:rPr>
              <w:t xml:space="preserve"> </w:t>
            </w:r>
            <w:r w:rsidRPr="00B84D5A">
              <w:rPr>
                <w:rFonts w:ascii="Calibri" w:hAnsi="Calibri"/>
                <w:b/>
                <w:sz w:val="22"/>
                <w:szCs w:val="22"/>
              </w:rPr>
              <w:t xml:space="preserve">(Fed. Cir. 2018); </w:t>
            </w:r>
            <w:r w:rsidRPr="00B84D5A">
              <w:rPr>
                <w:rFonts w:ascii="Calibri" w:hAnsi="Calibri"/>
                <w:b/>
                <w:i/>
                <w:sz w:val="22"/>
                <w:szCs w:val="22"/>
              </w:rPr>
              <w:t xml:space="preserve">see </w:t>
            </w:r>
            <w:r w:rsidRPr="00B84D5A">
              <w:rPr>
                <w:rFonts w:ascii="Calibri" w:hAnsi="Calibri"/>
                <w:b/>
                <w:sz w:val="22"/>
                <w:szCs w:val="22"/>
              </w:rPr>
              <w:t>5 U.S.C. § 706 (decision must be set aside if “not in accordance with law”).</w:t>
            </w:r>
            <w:r w:rsidR="008C0CF6">
              <w:rPr>
                <w:rFonts w:ascii="Calibri" w:hAnsi="Calibri"/>
                <w:b/>
                <w:sz w:val="22"/>
                <w:szCs w:val="22"/>
              </w:rPr>
              <w:t xml:space="preserve">  </w:t>
            </w:r>
            <w:r w:rsidR="008C0CF6" w:rsidRPr="008C0CF6">
              <w:rPr>
                <w:rFonts w:ascii="Calibri" w:hAnsi="Calibri"/>
                <w:b/>
                <w:sz w:val="22"/>
                <w:szCs w:val="22"/>
                <w:highlight w:val="yellow"/>
              </w:rPr>
              <w:t xml:space="preserve">From </w:t>
            </w:r>
            <w:proofErr w:type="spellStart"/>
            <w:r w:rsidR="008C0CF6" w:rsidRPr="008C0CF6">
              <w:rPr>
                <w:rFonts w:ascii="Calibri" w:hAnsi="Calibri"/>
                <w:b/>
                <w:sz w:val="22"/>
                <w:szCs w:val="22"/>
                <w:highlight w:val="yellow"/>
              </w:rPr>
              <w:t>UMN’s</w:t>
            </w:r>
            <w:proofErr w:type="spellEnd"/>
            <w:r w:rsidR="008C0CF6" w:rsidRPr="008C0CF6">
              <w:rPr>
                <w:rFonts w:ascii="Calibri" w:hAnsi="Calibri"/>
                <w:b/>
                <w:sz w:val="22"/>
                <w:szCs w:val="22"/>
                <w:highlight w:val="yellow"/>
              </w:rPr>
              <w:t xml:space="preserve"> Brief:  This Court reviews the Board’s findings of fact for substantial evidence. </w:t>
            </w:r>
            <w:r w:rsidR="008D024D">
              <w:rPr>
                <w:rFonts w:ascii="Calibri" w:hAnsi="Calibri"/>
                <w:b/>
                <w:sz w:val="22"/>
                <w:szCs w:val="22"/>
                <w:highlight w:val="yellow"/>
              </w:rPr>
              <w:t xml:space="preserve"> </w:t>
            </w:r>
            <w:r w:rsidR="008C0CF6" w:rsidRPr="008C0CF6">
              <w:rPr>
                <w:rFonts w:ascii="Calibri" w:hAnsi="Calibri"/>
                <w:b/>
                <w:sz w:val="22"/>
                <w:szCs w:val="22"/>
                <w:highlight w:val="yellow"/>
              </w:rPr>
              <w:t xml:space="preserve">5 U.S.C. § 706.  </w:t>
            </w:r>
            <w:proofErr w:type="spellStart"/>
            <w:r w:rsidR="008C0CF6" w:rsidRPr="008C0CF6">
              <w:rPr>
                <w:rFonts w:ascii="Calibri" w:hAnsi="Calibri"/>
                <w:b/>
                <w:sz w:val="22"/>
                <w:szCs w:val="22"/>
                <w:highlight w:val="yellow"/>
              </w:rPr>
              <w:t>UMN</w:t>
            </w:r>
            <w:proofErr w:type="spellEnd"/>
            <w:r w:rsidR="008C0CF6" w:rsidRPr="008C0CF6">
              <w:rPr>
                <w:rFonts w:ascii="Calibri" w:hAnsi="Calibri"/>
                <w:b/>
                <w:sz w:val="22"/>
                <w:szCs w:val="22"/>
                <w:highlight w:val="yellow"/>
              </w:rPr>
              <w:t xml:space="preserve"> Br. 20.</w:t>
            </w:r>
          </w:p>
          <w:p w14:paraId="0064DF34" w14:textId="0E362BD4" w:rsidR="00363B4F" w:rsidRDefault="00363B4F" w:rsidP="008443EA">
            <w:pPr>
              <w:pStyle w:val="O-BodyText"/>
              <w:spacing w:afterLines="120" w:after="288"/>
              <w:ind w:right="162"/>
              <w:rPr>
                <w:rFonts w:ascii="Calibri" w:hAnsi="Calibri"/>
                <w:b/>
                <w:sz w:val="22"/>
                <w:szCs w:val="22"/>
              </w:rPr>
            </w:pPr>
          </w:p>
        </w:tc>
      </w:tr>
    </w:tbl>
    <w:p w14:paraId="7767CD1B" w14:textId="77777777" w:rsidR="008D024D" w:rsidRDefault="008D024D">
      <w:r>
        <w:br w:type="page"/>
      </w: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F12860" w14:paraId="337127E1" w14:textId="77777777" w:rsidTr="003A6872">
        <w:trPr>
          <w:trHeight w:val="4795"/>
        </w:trPr>
        <w:tc>
          <w:tcPr>
            <w:tcW w:w="5904" w:type="dxa"/>
            <w:vAlign w:val="center"/>
          </w:tcPr>
          <w:p w14:paraId="02688A3C" w14:textId="663E1991" w:rsidR="00F12860" w:rsidRPr="0010708E" w:rsidRDefault="00F12860" w:rsidP="003A6872">
            <w:pPr>
              <w:pStyle w:val="O-BodyText"/>
              <w:spacing w:afterLines="120" w:after="288"/>
              <w:ind w:right="108"/>
              <w:jc w:val="center"/>
              <w:rPr>
                <w:rFonts w:ascii="Calibri" w:hAnsi="Calibri"/>
                <w:b/>
                <w:bCs/>
                <w:sz w:val="52"/>
                <w:szCs w:val="52"/>
              </w:rPr>
            </w:pPr>
            <w:r w:rsidRPr="0010708E">
              <w:rPr>
                <w:rFonts w:ascii="Calibri" w:hAnsi="Calibri"/>
                <w:b/>
                <w:bCs/>
                <w:sz w:val="52"/>
                <w:szCs w:val="52"/>
              </w:rPr>
              <w:lastRenderedPageBreak/>
              <w:t xml:space="preserve">Issues </w:t>
            </w:r>
            <w:r>
              <w:rPr>
                <w:rFonts w:ascii="Calibri" w:hAnsi="Calibri"/>
                <w:b/>
                <w:sz w:val="52"/>
                <w:szCs w:val="52"/>
              </w:rPr>
              <w:br/>
            </w:r>
            <w:r w:rsidRPr="0010708E">
              <w:rPr>
                <w:rFonts w:ascii="Calibri" w:hAnsi="Calibri"/>
                <w:b/>
                <w:bCs/>
                <w:sz w:val="52"/>
                <w:szCs w:val="52"/>
              </w:rPr>
              <w:t>Presented</w:t>
            </w:r>
          </w:p>
        </w:tc>
        <w:tc>
          <w:tcPr>
            <w:tcW w:w="5904" w:type="dxa"/>
            <w:vAlign w:val="center"/>
          </w:tcPr>
          <w:p w14:paraId="7F8BDB83" w14:textId="77777777" w:rsidR="00F12860" w:rsidRPr="0010708E" w:rsidRDefault="00F12860" w:rsidP="003A6872">
            <w:pPr>
              <w:pStyle w:val="O-BodyText"/>
              <w:spacing w:after="120"/>
              <w:ind w:right="158"/>
              <w:jc w:val="center"/>
              <w:rPr>
                <w:rFonts w:ascii="Calibri" w:hAnsi="Calibri"/>
                <w:b/>
                <w:bCs/>
                <w:sz w:val="22"/>
                <w:szCs w:val="22"/>
              </w:rPr>
            </w:pPr>
            <w:r w:rsidRPr="0010708E">
              <w:rPr>
                <w:rFonts w:ascii="Calibri" w:hAnsi="Calibri"/>
                <w:b/>
                <w:bCs/>
                <w:sz w:val="52"/>
                <w:szCs w:val="52"/>
              </w:rPr>
              <w:t>Color</w:t>
            </w:r>
          </w:p>
        </w:tc>
      </w:tr>
      <w:tr w:rsidR="00F12860" w14:paraId="7390929E" w14:textId="77777777" w:rsidTr="003A6872">
        <w:trPr>
          <w:trHeight w:val="4795"/>
        </w:trPr>
        <w:tc>
          <w:tcPr>
            <w:tcW w:w="5904" w:type="dxa"/>
            <w:vAlign w:val="center"/>
          </w:tcPr>
          <w:p w14:paraId="1057CAD5" w14:textId="77777777" w:rsidR="00F12860" w:rsidRPr="0010708E" w:rsidRDefault="00F12860" w:rsidP="003A6872">
            <w:pPr>
              <w:pStyle w:val="O-BodyText"/>
              <w:spacing w:afterLines="120" w:after="288"/>
              <w:ind w:right="108"/>
              <w:rPr>
                <w:rFonts w:ascii="Calibri" w:hAnsi="Calibri"/>
                <w:b/>
                <w:bCs/>
                <w:sz w:val="28"/>
                <w:szCs w:val="28"/>
              </w:rPr>
            </w:pPr>
            <w:r w:rsidRPr="0010708E">
              <w:rPr>
                <w:rFonts w:ascii="Calibri" w:hAnsi="Calibri"/>
                <w:b/>
                <w:bCs/>
                <w:sz w:val="28"/>
                <w:szCs w:val="28"/>
              </w:rPr>
              <w:t>What is the first question presented?</w:t>
            </w:r>
          </w:p>
        </w:tc>
        <w:tc>
          <w:tcPr>
            <w:tcW w:w="5904" w:type="dxa"/>
            <w:vAlign w:val="center"/>
          </w:tcPr>
          <w:p w14:paraId="2794D473" w14:textId="3D254F47" w:rsidR="00F12860" w:rsidRPr="007F3142" w:rsidRDefault="007F3142" w:rsidP="00F12860">
            <w:pPr>
              <w:pStyle w:val="O-BodyText"/>
              <w:spacing w:after="120"/>
              <w:ind w:right="162"/>
              <w:rPr>
                <w:rFonts w:ascii="Calibri" w:hAnsi="Calibri"/>
                <w:b/>
                <w:bCs/>
                <w:sz w:val="22"/>
                <w:szCs w:val="22"/>
                <w:highlight w:val="yellow"/>
              </w:rPr>
            </w:pPr>
            <w:r w:rsidRPr="007F3142">
              <w:rPr>
                <w:rFonts w:ascii="Calibri" w:hAnsi="Calibri"/>
                <w:b/>
                <w:bCs/>
                <w:sz w:val="22"/>
                <w:szCs w:val="22"/>
                <w:highlight w:val="yellow"/>
              </w:rPr>
              <w:t xml:space="preserve">From </w:t>
            </w:r>
            <w:proofErr w:type="spellStart"/>
            <w:r w:rsidRPr="007F3142">
              <w:rPr>
                <w:rFonts w:ascii="Calibri" w:hAnsi="Calibri"/>
                <w:b/>
                <w:bCs/>
                <w:sz w:val="22"/>
                <w:szCs w:val="22"/>
                <w:highlight w:val="yellow"/>
              </w:rPr>
              <w:t>UMN’s</w:t>
            </w:r>
            <w:proofErr w:type="spellEnd"/>
            <w:r w:rsidRPr="007F3142">
              <w:rPr>
                <w:rFonts w:ascii="Calibri" w:hAnsi="Calibri"/>
                <w:b/>
                <w:bCs/>
                <w:sz w:val="22"/>
                <w:szCs w:val="22"/>
                <w:highlight w:val="yellow"/>
              </w:rPr>
              <w:t xml:space="preserve"> Brief:  </w:t>
            </w:r>
            <w:r w:rsidR="00F12860" w:rsidRPr="007F3142">
              <w:rPr>
                <w:rFonts w:ascii="Calibri" w:hAnsi="Calibri"/>
                <w:b/>
                <w:bCs/>
                <w:sz w:val="22"/>
                <w:szCs w:val="22"/>
                <w:highlight w:val="yellow"/>
              </w:rPr>
              <w:t xml:space="preserve">Whether a sovereign state waives its immunity from </w:t>
            </w:r>
            <w:r w:rsidR="00F12860" w:rsidRPr="00AA17DB">
              <w:rPr>
                <w:rFonts w:ascii="Calibri" w:hAnsi="Calibri"/>
                <w:b/>
                <w:bCs/>
                <w:sz w:val="22"/>
                <w:szCs w:val="22"/>
                <w:highlight w:val="yellow"/>
              </w:rPr>
              <w:t xml:space="preserve">inter </w:t>
            </w:r>
            <w:proofErr w:type="spellStart"/>
            <w:r w:rsidR="00F12860" w:rsidRPr="00AA17DB">
              <w:rPr>
                <w:rFonts w:ascii="Calibri" w:hAnsi="Calibri"/>
                <w:b/>
                <w:bCs/>
                <w:sz w:val="22"/>
                <w:szCs w:val="22"/>
                <w:highlight w:val="yellow"/>
              </w:rPr>
              <w:t>partes</w:t>
            </w:r>
            <w:proofErr w:type="spellEnd"/>
            <w:r w:rsidR="00F12860" w:rsidRPr="007F3142">
              <w:rPr>
                <w:rFonts w:ascii="Calibri" w:hAnsi="Calibri"/>
                <w:b/>
                <w:bCs/>
                <w:i/>
                <w:sz w:val="22"/>
                <w:szCs w:val="22"/>
                <w:highlight w:val="yellow"/>
              </w:rPr>
              <w:t xml:space="preserve"> </w:t>
            </w:r>
            <w:r w:rsidR="00F12860" w:rsidRPr="007F3142">
              <w:rPr>
                <w:rFonts w:ascii="Calibri" w:hAnsi="Calibri"/>
                <w:b/>
                <w:bCs/>
                <w:sz w:val="22"/>
                <w:szCs w:val="22"/>
                <w:highlight w:val="yellow"/>
              </w:rPr>
              <w:t>review in the Patent Trial and Appeal Board by filing a patent infringement suit in a federal district court on the challenged claims.</w:t>
            </w:r>
            <w:r w:rsidRPr="007F3142">
              <w:rPr>
                <w:rFonts w:ascii="Calibri" w:hAnsi="Calibri"/>
                <w:b/>
                <w:bCs/>
                <w:sz w:val="22"/>
                <w:szCs w:val="22"/>
                <w:highlight w:val="yellow"/>
              </w:rPr>
              <w:t xml:space="preserve">  </w:t>
            </w:r>
            <w:proofErr w:type="spellStart"/>
            <w:r w:rsidRPr="007F3142">
              <w:rPr>
                <w:rFonts w:ascii="Calibri" w:hAnsi="Calibri"/>
                <w:b/>
                <w:bCs/>
                <w:sz w:val="22"/>
                <w:szCs w:val="22"/>
                <w:highlight w:val="yellow"/>
              </w:rPr>
              <w:t>UMN</w:t>
            </w:r>
            <w:proofErr w:type="spellEnd"/>
            <w:r w:rsidRPr="007F3142">
              <w:rPr>
                <w:rFonts w:ascii="Calibri" w:hAnsi="Calibri"/>
                <w:b/>
                <w:bCs/>
                <w:sz w:val="22"/>
                <w:szCs w:val="22"/>
                <w:highlight w:val="yellow"/>
              </w:rPr>
              <w:t xml:space="preserve"> Br. 10.</w:t>
            </w:r>
          </w:p>
          <w:p w14:paraId="130CF7F1" w14:textId="69C43792" w:rsidR="00F12860" w:rsidRPr="007F3142" w:rsidRDefault="00F12860" w:rsidP="003A6872">
            <w:pPr>
              <w:pStyle w:val="O-BodyText"/>
              <w:spacing w:after="120"/>
              <w:ind w:right="162"/>
              <w:rPr>
                <w:rFonts w:ascii="Calibri" w:hAnsi="Calibri"/>
                <w:b/>
                <w:bCs/>
                <w:sz w:val="22"/>
                <w:szCs w:val="22"/>
                <w:highlight w:val="yellow"/>
              </w:rPr>
            </w:pPr>
          </w:p>
        </w:tc>
      </w:tr>
      <w:tr w:rsidR="00F12860" w14:paraId="41350779" w14:textId="77777777" w:rsidTr="003A6872">
        <w:trPr>
          <w:trHeight w:val="4795"/>
        </w:trPr>
        <w:tc>
          <w:tcPr>
            <w:tcW w:w="5904" w:type="dxa"/>
            <w:vAlign w:val="center"/>
          </w:tcPr>
          <w:p w14:paraId="2E0BFC12" w14:textId="77777777" w:rsidR="00F12860" w:rsidRPr="0010708E" w:rsidRDefault="00F12860" w:rsidP="003A6872">
            <w:pPr>
              <w:pStyle w:val="O-BodyText"/>
              <w:spacing w:afterLines="120" w:after="288"/>
              <w:ind w:right="108"/>
              <w:rPr>
                <w:rFonts w:ascii="Calibri" w:hAnsi="Calibri"/>
                <w:b/>
                <w:bCs/>
                <w:sz w:val="28"/>
                <w:szCs w:val="28"/>
              </w:rPr>
            </w:pPr>
            <w:r w:rsidRPr="0010708E">
              <w:rPr>
                <w:rFonts w:ascii="Calibri" w:hAnsi="Calibri"/>
                <w:b/>
                <w:bCs/>
                <w:sz w:val="28"/>
                <w:szCs w:val="28"/>
              </w:rPr>
              <w:t>What is the second question presented?</w:t>
            </w:r>
          </w:p>
        </w:tc>
        <w:tc>
          <w:tcPr>
            <w:tcW w:w="5904" w:type="dxa"/>
            <w:vAlign w:val="center"/>
          </w:tcPr>
          <w:p w14:paraId="5016E89F" w14:textId="43754187" w:rsidR="00F12860" w:rsidRPr="00F12860" w:rsidRDefault="007F3142" w:rsidP="00F12860">
            <w:pPr>
              <w:pStyle w:val="O-BodyText"/>
              <w:spacing w:after="120"/>
              <w:ind w:right="162"/>
              <w:rPr>
                <w:rFonts w:ascii="Calibri" w:hAnsi="Calibri"/>
                <w:b/>
                <w:bCs/>
                <w:sz w:val="22"/>
                <w:szCs w:val="22"/>
              </w:rPr>
            </w:pPr>
            <w:r w:rsidRPr="007F3142">
              <w:rPr>
                <w:rFonts w:ascii="Calibri" w:hAnsi="Calibri"/>
                <w:b/>
                <w:bCs/>
                <w:sz w:val="22"/>
                <w:szCs w:val="22"/>
                <w:highlight w:val="yellow"/>
              </w:rPr>
              <w:t xml:space="preserve">From </w:t>
            </w:r>
            <w:proofErr w:type="spellStart"/>
            <w:r w:rsidRPr="007F3142">
              <w:rPr>
                <w:rFonts w:ascii="Calibri" w:hAnsi="Calibri"/>
                <w:b/>
                <w:bCs/>
                <w:sz w:val="22"/>
                <w:szCs w:val="22"/>
                <w:highlight w:val="yellow"/>
              </w:rPr>
              <w:t>UMN’s</w:t>
            </w:r>
            <w:proofErr w:type="spellEnd"/>
            <w:r w:rsidRPr="007F3142">
              <w:rPr>
                <w:rFonts w:ascii="Calibri" w:hAnsi="Calibri"/>
                <w:b/>
                <w:bCs/>
                <w:sz w:val="22"/>
                <w:szCs w:val="22"/>
                <w:highlight w:val="yellow"/>
              </w:rPr>
              <w:t xml:space="preserve"> Brief:  </w:t>
            </w:r>
            <w:r w:rsidR="00F12860" w:rsidRPr="007F3142">
              <w:rPr>
                <w:rFonts w:ascii="Calibri" w:hAnsi="Calibri"/>
                <w:b/>
                <w:bCs/>
                <w:sz w:val="22"/>
                <w:szCs w:val="22"/>
                <w:highlight w:val="yellow"/>
              </w:rPr>
              <w:t xml:space="preserve">Whether the Board correctly determined that </w:t>
            </w:r>
            <w:proofErr w:type="spellStart"/>
            <w:r w:rsidR="00F12860" w:rsidRPr="007F3142">
              <w:rPr>
                <w:rFonts w:ascii="Calibri" w:hAnsi="Calibri"/>
                <w:b/>
                <w:bCs/>
                <w:sz w:val="22"/>
                <w:szCs w:val="22"/>
                <w:highlight w:val="yellow"/>
              </w:rPr>
              <w:t>IPRs</w:t>
            </w:r>
            <w:proofErr w:type="spellEnd"/>
            <w:r w:rsidR="00F12860" w:rsidRPr="007F3142">
              <w:rPr>
                <w:rFonts w:ascii="Calibri" w:hAnsi="Calibri"/>
                <w:b/>
                <w:bCs/>
                <w:sz w:val="22"/>
                <w:szCs w:val="22"/>
                <w:highlight w:val="yellow"/>
              </w:rPr>
              <w:t xml:space="preserve"> are subject to state sovereign immunity.  (While Appellant does not seek review of the underlying question, Appellees have indicated in their docketing statements that they intend to raise this issue and therefore it is addressed herein.  </w:t>
            </w:r>
            <w:r w:rsidR="00F12860" w:rsidRPr="007F3142">
              <w:rPr>
                <w:rFonts w:ascii="Calibri" w:hAnsi="Calibri"/>
                <w:b/>
                <w:bCs/>
                <w:i/>
                <w:sz w:val="22"/>
                <w:szCs w:val="22"/>
                <w:highlight w:val="yellow"/>
              </w:rPr>
              <w:t xml:space="preserve">See </w:t>
            </w:r>
            <w:proofErr w:type="spellStart"/>
            <w:r w:rsidR="00F12860" w:rsidRPr="007F3142">
              <w:rPr>
                <w:rFonts w:ascii="Calibri" w:hAnsi="Calibri"/>
                <w:b/>
                <w:bCs/>
                <w:sz w:val="22"/>
                <w:szCs w:val="22"/>
                <w:highlight w:val="yellow"/>
              </w:rPr>
              <w:t>Dkt</w:t>
            </w:r>
            <w:proofErr w:type="spellEnd"/>
            <w:proofErr w:type="gramStart"/>
            <w:r w:rsidR="00F12860" w:rsidRPr="007F3142">
              <w:rPr>
                <w:rFonts w:ascii="Calibri" w:hAnsi="Calibri"/>
                <w:b/>
                <w:bCs/>
                <w:sz w:val="22"/>
                <w:szCs w:val="22"/>
                <w:highlight w:val="yellow"/>
              </w:rPr>
              <w:t xml:space="preserve">. </w:t>
            </w:r>
            <w:proofErr w:type="gramEnd"/>
            <w:r w:rsidR="00F12860" w:rsidRPr="007F3142">
              <w:rPr>
                <w:rFonts w:ascii="Calibri" w:hAnsi="Calibri"/>
                <w:b/>
                <w:bCs/>
                <w:sz w:val="22"/>
                <w:szCs w:val="22"/>
                <w:highlight w:val="yellow"/>
              </w:rPr>
              <w:t xml:space="preserve">No. 6; </w:t>
            </w:r>
            <w:proofErr w:type="spellStart"/>
            <w:r w:rsidR="00F12860" w:rsidRPr="007F3142">
              <w:rPr>
                <w:rFonts w:ascii="Calibri" w:hAnsi="Calibri"/>
                <w:b/>
                <w:bCs/>
                <w:sz w:val="22"/>
                <w:szCs w:val="22"/>
                <w:highlight w:val="yellow"/>
              </w:rPr>
              <w:t>Dkt</w:t>
            </w:r>
            <w:proofErr w:type="spellEnd"/>
            <w:proofErr w:type="gramStart"/>
            <w:r w:rsidR="00F12860" w:rsidRPr="007F3142">
              <w:rPr>
                <w:rFonts w:ascii="Calibri" w:hAnsi="Calibri"/>
                <w:b/>
                <w:bCs/>
                <w:sz w:val="22"/>
                <w:szCs w:val="22"/>
                <w:highlight w:val="yellow"/>
              </w:rPr>
              <w:t xml:space="preserve">. </w:t>
            </w:r>
            <w:proofErr w:type="gramEnd"/>
            <w:r w:rsidR="00F12860" w:rsidRPr="007F3142">
              <w:rPr>
                <w:rFonts w:ascii="Calibri" w:hAnsi="Calibri"/>
                <w:b/>
                <w:bCs/>
                <w:sz w:val="22"/>
                <w:szCs w:val="22"/>
                <w:highlight w:val="yellow"/>
              </w:rPr>
              <w:t>No. 18)</w:t>
            </w:r>
            <w:r w:rsidRPr="007F3142">
              <w:rPr>
                <w:rFonts w:ascii="Calibri" w:hAnsi="Calibri"/>
                <w:b/>
                <w:bCs/>
                <w:sz w:val="22"/>
                <w:szCs w:val="22"/>
                <w:highlight w:val="yellow"/>
              </w:rPr>
              <w:t xml:space="preserve">.  </w:t>
            </w:r>
            <w:proofErr w:type="spellStart"/>
            <w:r w:rsidRPr="007F3142">
              <w:rPr>
                <w:rFonts w:ascii="Calibri" w:hAnsi="Calibri"/>
                <w:b/>
                <w:bCs/>
                <w:sz w:val="22"/>
                <w:szCs w:val="22"/>
                <w:highlight w:val="yellow"/>
              </w:rPr>
              <w:t>UMN</w:t>
            </w:r>
            <w:proofErr w:type="spellEnd"/>
            <w:r w:rsidRPr="007F3142">
              <w:rPr>
                <w:rFonts w:ascii="Calibri" w:hAnsi="Calibri"/>
                <w:b/>
                <w:bCs/>
                <w:sz w:val="22"/>
                <w:szCs w:val="22"/>
                <w:highlight w:val="yellow"/>
              </w:rPr>
              <w:t xml:space="preserve"> Br. 10.</w:t>
            </w:r>
          </w:p>
          <w:p w14:paraId="1CD20C78" w14:textId="5A823422" w:rsidR="00F12860" w:rsidRPr="0010708E" w:rsidRDefault="00F12860" w:rsidP="003A6872">
            <w:pPr>
              <w:pStyle w:val="O-BodyText"/>
              <w:spacing w:after="120"/>
              <w:ind w:right="162"/>
              <w:rPr>
                <w:rFonts w:ascii="Calibri" w:hAnsi="Calibri"/>
                <w:b/>
                <w:bCs/>
                <w:sz w:val="22"/>
                <w:szCs w:val="22"/>
              </w:rPr>
            </w:pPr>
          </w:p>
        </w:tc>
      </w:tr>
    </w:tbl>
    <w:p w14:paraId="47DA6125" w14:textId="1CB69486" w:rsidR="007F6511" w:rsidRPr="00C20193" w:rsidRDefault="000A2784">
      <w:pPr>
        <w:spacing w:after="240"/>
        <w:rPr>
          <w:rFonts w:asciiTheme="majorHAnsi" w:eastAsiaTheme="majorEastAsia" w:hAnsiTheme="majorHAnsi" w:cstheme="majorBidi"/>
          <w:bCs/>
          <w:sz w:val="24"/>
          <w:szCs w:val="28"/>
        </w:rPr>
      </w:pPr>
      <w:r>
        <w:br w:type="page"/>
      </w: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A5765B" w14:paraId="623B1CC5" w14:textId="77777777" w:rsidTr="0010708E">
        <w:trPr>
          <w:trHeight w:val="4795"/>
        </w:trPr>
        <w:tc>
          <w:tcPr>
            <w:tcW w:w="5904" w:type="dxa"/>
            <w:vAlign w:val="center"/>
          </w:tcPr>
          <w:p w14:paraId="772A6E46" w14:textId="33B8DCDA" w:rsidR="00A5765B" w:rsidRPr="0010708E" w:rsidRDefault="00A5765B" w:rsidP="0010708E">
            <w:pPr>
              <w:pStyle w:val="O-BodyText"/>
              <w:spacing w:afterLines="120" w:after="288"/>
              <w:ind w:right="108"/>
              <w:jc w:val="center"/>
              <w:rPr>
                <w:rFonts w:ascii="Calibri" w:hAnsi="Calibri"/>
                <w:b/>
                <w:bCs/>
                <w:sz w:val="28"/>
                <w:szCs w:val="28"/>
              </w:rPr>
            </w:pPr>
            <w:r>
              <w:lastRenderedPageBreak/>
              <w:br w:type="page"/>
            </w:r>
            <w:r w:rsidRPr="0010708E">
              <w:rPr>
                <w:rFonts w:ascii="Calibri" w:hAnsi="Calibri"/>
                <w:b/>
                <w:bCs/>
                <w:sz w:val="52"/>
                <w:szCs w:val="52"/>
              </w:rPr>
              <w:t xml:space="preserve">Statement </w:t>
            </w:r>
            <w:r>
              <w:rPr>
                <w:rFonts w:ascii="Calibri" w:hAnsi="Calibri"/>
                <w:b/>
                <w:sz w:val="52"/>
                <w:szCs w:val="52"/>
              </w:rPr>
              <w:br/>
            </w:r>
            <w:r w:rsidRPr="0010708E">
              <w:rPr>
                <w:rFonts w:ascii="Calibri" w:hAnsi="Calibri"/>
                <w:b/>
                <w:bCs/>
                <w:sz w:val="52"/>
                <w:szCs w:val="52"/>
              </w:rPr>
              <w:t>of the Case</w:t>
            </w:r>
          </w:p>
        </w:tc>
        <w:tc>
          <w:tcPr>
            <w:tcW w:w="5904" w:type="dxa"/>
            <w:vAlign w:val="center"/>
          </w:tcPr>
          <w:p w14:paraId="31D562C6" w14:textId="55FD6964" w:rsidR="00A5765B" w:rsidRPr="0010708E" w:rsidRDefault="00A5765B" w:rsidP="0010708E">
            <w:pPr>
              <w:pStyle w:val="O-BodyText"/>
              <w:spacing w:after="120"/>
              <w:ind w:right="158"/>
              <w:jc w:val="center"/>
              <w:rPr>
                <w:rFonts w:ascii="Calibri" w:hAnsi="Calibri"/>
                <w:b/>
                <w:bCs/>
                <w:sz w:val="22"/>
                <w:szCs w:val="22"/>
              </w:rPr>
            </w:pPr>
            <w:r w:rsidRPr="0010708E">
              <w:rPr>
                <w:rFonts w:ascii="Calibri" w:hAnsi="Calibri"/>
                <w:b/>
                <w:bCs/>
                <w:sz w:val="52"/>
                <w:szCs w:val="52"/>
              </w:rPr>
              <w:t>Color</w:t>
            </w:r>
          </w:p>
        </w:tc>
      </w:tr>
      <w:tr w:rsidR="00014D0E" w14:paraId="27611F3C" w14:textId="77777777" w:rsidTr="0010708E">
        <w:trPr>
          <w:trHeight w:val="4795"/>
        </w:trPr>
        <w:tc>
          <w:tcPr>
            <w:tcW w:w="5904" w:type="dxa"/>
            <w:vAlign w:val="center"/>
          </w:tcPr>
          <w:p w14:paraId="38617A03" w14:textId="5582EE3B" w:rsidR="00014D0E" w:rsidRPr="0010708E" w:rsidRDefault="008E2307" w:rsidP="0010708E">
            <w:pPr>
              <w:pStyle w:val="O-BodyText"/>
              <w:spacing w:afterLines="120" w:after="288"/>
              <w:ind w:right="108"/>
              <w:rPr>
                <w:rFonts w:ascii="Calibri" w:hAnsi="Calibri"/>
                <w:b/>
                <w:bCs/>
                <w:sz w:val="28"/>
                <w:szCs w:val="28"/>
              </w:rPr>
            </w:pPr>
            <w:r>
              <w:rPr>
                <w:rFonts w:ascii="Calibri" w:hAnsi="Calibri"/>
                <w:b/>
                <w:bCs/>
                <w:sz w:val="28"/>
                <w:szCs w:val="28"/>
              </w:rPr>
              <w:t>When did Ericsson get its start as a business</w:t>
            </w:r>
            <w:r w:rsidR="00014D0E" w:rsidRPr="0010708E">
              <w:rPr>
                <w:rFonts w:ascii="Calibri" w:hAnsi="Calibri"/>
                <w:b/>
                <w:bCs/>
                <w:sz w:val="28"/>
                <w:szCs w:val="28"/>
              </w:rPr>
              <w:t>?</w:t>
            </w:r>
          </w:p>
        </w:tc>
        <w:tc>
          <w:tcPr>
            <w:tcW w:w="5904" w:type="dxa"/>
            <w:vAlign w:val="center"/>
          </w:tcPr>
          <w:p w14:paraId="0E928E13" w14:textId="49BD0731" w:rsidR="00014D0E" w:rsidRPr="0010708E" w:rsidRDefault="008E2307" w:rsidP="008E2307">
            <w:pPr>
              <w:pStyle w:val="O-BodyText"/>
              <w:spacing w:after="120"/>
              <w:ind w:right="158"/>
              <w:rPr>
                <w:rFonts w:ascii="Calibri" w:hAnsi="Calibri"/>
                <w:b/>
                <w:bCs/>
                <w:sz w:val="22"/>
                <w:szCs w:val="22"/>
              </w:rPr>
            </w:pPr>
            <w:r>
              <w:rPr>
                <w:rFonts w:ascii="Calibri" w:hAnsi="Calibri"/>
                <w:b/>
                <w:bCs/>
                <w:sz w:val="22"/>
                <w:szCs w:val="22"/>
              </w:rPr>
              <w:t xml:space="preserve">Ericsson got its start in </w:t>
            </w:r>
            <w:r w:rsidRPr="008E2307">
              <w:rPr>
                <w:rFonts w:ascii="Calibri" w:hAnsi="Calibri"/>
                <w:b/>
                <w:bCs/>
                <w:sz w:val="22"/>
                <w:szCs w:val="22"/>
              </w:rPr>
              <w:t xml:space="preserve">1876 in a telegraph repair </w:t>
            </w:r>
            <w:proofErr w:type="gramStart"/>
            <w:r w:rsidRPr="008E2307">
              <w:rPr>
                <w:rFonts w:ascii="Calibri" w:hAnsi="Calibri"/>
                <w:b/>
                <w:bCs/>
                <w:sz w:val="22"/>
                <w:szCs w:val="22"/>
              </w:rPr>
              <w:t xml:space="preserve">shop, </w:t>
            </w:r>
            <w:r>
              <w:rPr>
                <w:rFonts w:ascii="Calibri" w:hAnsi="Calibri"/>
                <w:b/>
                <w:bCs/>
                <w:sz w:val="22"/>
                <w:szCs w:val="22"/>
              </w:rPr>
              <w:t>and</w:t>
            </w:r>
            <w:proofErr w:type="gramEnd"/>
            <w:r>
              <w:rPr>
                <w:rFonts w:ascii="Calibri" w:hAnsi="Calibri"/>
                <w:b/>
                <w:bCs/>
                <w:sz w:val="22"/>
                <w:szCs w:val="22"/>
              </w:rPr>
              <w:t xml:space="preserve"> has been </w:t>
            </w:r>
            <w:r w:rsidRPr="008E2307">
              <w:rPr>
                <w:rFonts w:ascii="Calibri" w:hAnsi="Calibri"/>
                <w:b/>
                <w:bCs/>
                <w:sz w:val="22"/>
                <w:szCs w:val="22"/>
              </w:rPr>
              <w:t>at the forefr</w:t>
            </w:r>
            <w:r>
              <w:rPr>
                <w:rFonts w:ascii="Calibri" w:hAnsi="Calibri"/>
                <w:b/>
                <w:bCs/>
                <w:sz w:val="22"/>
                <w:szCs w:val="22"/>
              </w:rPr>
              <w:t>ont of communication technology ever since.</w:t>
            </w:r>
          </w:p>
        </w:tc>
      </w:tr>
      <w:tr w:rsidR="00BF0026" w14:paraId="64D1BEC3" w14:textId="77777777" w:rsidTr="0010708E">
        <w:trPr>
          <w:trHeight w:val="4795"/>
        </w:trPr>
        <w:tc>
          <w:tcPr>
            <w:tcW w:w="5904" w:type="dxa"/>
            <w:vAlign w:val="center"/>
          </w:tcPr>
          <w:p w14:paraId="3F36DB18" w14:textId="5C46730E" w:rsidR="00BF0026" w:rsidRPr="0010708E" w:rsidRDefault="008E2307" w:rsidP="0010708E">
            <w:pPr>
              <w:pStyle w:val="O-BodyText"/>
              <w:spacing w:afterLines="120" w:after="288"/>
              <w:ind w:right="108"/>
              <w:rPr>
                <w:rFonts w:ascii="Calibri" w:hAnsi="Calibri"/>
                <w:b/>
                <w:bCs/>
                <w:sz w:val="28"/>
                <w:szCs w:val="28"/>
              </w:rPr>
            </w:pPr>
            <w:r>
              <w:rPr>
                <w:rFonts w:ascii="Calibri" w:hAnsi="Calibri"/>
                <w:b/>
                <w:bCs/>
                <w:sz w:val="28"/>
                <w:szCs w:val="28"/>
              </w:rPr>
              <w:t>What is the nature of Ericsson’s business today</w:t>
            </w:r>
            <w:r w:rsidRPr="0010708E">
              <w:rPr>
                <w:rFonts w:ascii="Calibri" w:hAnsi="Calibri"/>
                <w:b/>
                <w:bCs/>
                <w:sz w:val="28"/>
                <w:szCs w:val="28"/>
              </w:rPr>
              <w:t>?</w:t>
            </w:r>
          </w:p>
        </w:tc>
        <w:tc>
          <w:tcPr>
            <w:tcW w:w="5904" w:type="dxa"/>
            <w:vAlign w:val="center"/>
          </w:tcPr>
          <w:p w14:paraId="367FEDC7" w14:textId="570284C8" w:rsidR="00BF0026" w:rsidRPr="0010708E" w:rsidRDefault="008E2307" w:rsidP="0010708E">
            <w:pPr>
              <w:pStyle w:val="O-BodyText"/>
              <w:spacing w:after="120"/>
              <w:ind w:right="158"/>
              <w:rPr>
                <w:rFonts w:ascii="Calibri" w:hAnsi="Calibri"/>
                <w:b/>
                <w:bCs/>
                <w:sz w:val="22"/>
                <w:szCs w:val="22"/>
              </w:rPr>
            </w:pPr>
            <w:r w:rsidRPr="008E2307">
              <w:rPr>
                <w:rFonts w:ascii="Calibri" w:hAnsi="Calibri"/>
                <w:b/>
                <w:bCs/>
                <w:sz w:val="22"/>
                <w:szCs w:val="22"/>
              </w:rPr>
              <w:t>Ericsson has more than 24,000 employees devoted to R&amp;D, spends billions of dollars on research, and</w:t>
            </w:r>
            <w:r w:rsidRPr="008E2307">
              <w:rPr>
                <w:rFonts w:ascii="Century Schoolbook" w:eastAsia="Century Schoolbook" w:hAnsi="Century Schoolbook" w:cs="Times New Roman"/>
                <w:color w:val="000000"/>
                <w:spacing w:val="-1"/>
                <w:sz w:val="28"/>
                <w:szCs w:val="22"/>
              </w:rPr>
              <w:t xml:space="preserve"> </w:t>
            </w:r>
            <w:r>
              <w:rPr>
                <w:rFonts w:ascii="Calibri" w:hAnsi="Calibri"/>
                <w:b/>
                <w:bCs/>
                <w:sz w:val="22"/>
                <w:szCs w:val="22"/>
              </w:rPr>
              <w:t>owns more than 45,000 patents.</w:t>
            </w:r>
          </w:p>
        </w:tc>
      </w:tr>
      <w:tr w:rsidR="00BF0026" w14:paraId="6AE6F95C" w14:textId="77777777" w:rsidTr="0010708E">
        <w:trPr>
          <w:trHeight w:val="4795"/>
        </w:trPr>
        <w:tc>
          <w:tcPr>
            <w:tcW w:w="5904" w:type="dxa"/>
            <w:vAlign w:val="center"/>
          </w:tcPr>
          <w:p w14:paraId="07878555" w14:textId="6D1C6A50" w:rsidR="00BF0026" w:rsidRPr="0010708E" w:rsidRDefault="008E2307"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is the </w:t>
            </w:r>
            <w:r w:rsidRPr="008E2307">
              <w:rPr>
                <w:rFonts w:ascii="Calibri" w:hAnsi="Calibri"/>
                <w:b/>
                <w:bCs/>
                <w:sz w:val="28"/>
                <w:szCs w:val="28"/>
              </w:rPr>
              <w:t>Bayh-Dole Act</w:t>
            </w:r>
            <w:r w:rsidR="00BF0026" w:rsidRPr="0010708E">
              <w:rPr>
                <w:rFonts w:ascii="Calibri" w:hAnsi="Calibri"/>
                <w:b/>
                <w:bCs/>
                <w:sz w:val="28"/>
                <w:szCs w:val="28"/>
              </w:rPr>
              <w:t>?</w:t>
            </w:r>
          </w:p>
        </w:tc>
        <w:tc>
          <w:tcPr>
            <w:tcW w:w="5904" w:type="dxa"/>
            <w:vAlign w:val="center"/>
          </w:tcPr>
          <w:p w14:paraId="7512BCEE" w14:textId="27C426ED" w:rsidR="00BF0026" w:rsidRPr="0010708E" w:rsidRDefault="008E2307" w:rsidP="0010708E">
            <w:pPr>
              <w:pStyle w:val="O-BodyText"/>
              <w:spacing w:after="120"/>
              <w:ind w:right="158"/>
              <w:rPr>
                <w:rFonts w:ascii="Calibri" w:hAnsi="Calibri"/>
                <w:b/>
                <w:bCs/>
                <w:sz w:val="22"/>
                <w:szCs w:val="22"/>
              </w:rPr>
            </w:pPr>
            <w:r>
              <w:rPr>
                <w:rFonts w:ascii="Calibri" w:hAnsi="Calibri"/>
                <w:b/>
                <w:bCs/>
                <w:sz w:val="22"/>
                <w:szCs w:val="22"/>
              </w:rPr>
              <w:t>T</w:t>
            </w:r>
            <w:r w:rsidRPr="008E2307">
              <w:rPr>
                <w:rFonts w:ascii="Calibri" w:hAnsi="Calibri"/>
                <w:b/>
                <w:bCs/>
                <w:sz w:val="22"/>
                <w:szCs w:val="22"/>
              </w:rPr>
              <w:t>he Bayh-Dole Act</w:t>
            </w:r>
            <w:r>
              <w:rPr>
                <w:rFonts w:ascii="Calibri" w:hAnsi="Calibri"/>
                <w:b/>
                <w:bCs/>
                <w:sz w:val="22"/>
                <w:szCs w:val="22"/>
              </w:rPr>
              <w:t xml:space="preserve"> was passed by Congress in 1980</w:t>
            </w:r>
            <w:r w:rsidR="00556BD6">
              <w:rPr>
                <w:rFonts w:ascii="Calibri" w:hAnsi="Calibri"/>
                <w:b/>
                <w:bCs/>
                <w:sz w:val="22"/>
                <w:szCs w:val="22"/>
              </w:rPr>
              <w:t>,</w:t>
            </w:r>
            <w:r>
              <w:rPr>
                <w:rFonts w:ascii="Calibri" w:hAnsi="Calibri"/>
                <w:b/>
                <w:bCs/>
                <w:sz w:val="22"/>
                <w:szCs w:val="22"/>
              </w:rPr>
              <w:t xml:space="preserve"> and </w:t>
            </w:r>
            <w:r w:rsidRPr="008E2307">
              <w:rPr>
                <w:rFonts w:ascii="Calibri" w:hAnsi="Calibri"/>
                <w:b/>
                <w:bCs/>
                <w:sz w:val="22"/>
                <w:szCs w:val="22"/>
              </w:rPr>
              <w:t>allows small businesses, nonprofits, and</w:t>
            </w:r>
            <w:r>
              <w:rPr>
                <w:rFonts w:ascii="Calibri" w:hAnsi="Calibri"/>
                <w:b/>
                <w:bCs/>
                <w:sz w:val="22"/>
                <w:szCs w:val="22"/>
              </w:rPr>
              <w:t xml:space="preserve"> universities </w:t>
            </w:r>
            <w:r w:rsidRPr="008E2307">
              <w:rPr>
                <w:rFonts w:ascii="Calibri" w:hAnsi="Calibri"/>
                <w:b/>
                <w:bCs/>
                <w:sz w:val="22"/>
                <w:szCs w:val="22"/>
              </w:rPr>
              <w:t xml:space="preserve">to obtain patents based on federally funded research. </w:t>
            </w:r>
            <w:r w:rsidR="0095322D">
              <w:rPr>
                <w:rFonts w:ascii="Calibri" w:hAnsi="Calibri"/>
                <w:b/>
                <w:bCs/>
                <w:sz w:val="22"/>
                <w:szCs w:val="22"/>
              </w:rPr>
              <w:t xml:space="preserve"> </w:t>
            </w:r>
            <w:r w:rsidRPr="008E2307">
              <w:rPr>
                <w:rFonts w:ascii="Calibri" w:hAnsi="Calibri"/>
                <w:b/>
                <w:bCs/>
                <w:sz w:val="22"/>
                <w:szCs w:val="22"/>
              </w:rPr>
              <w:t>35 U.S.C. §§ 200, 202.</w:t>
            </w:r>
          </w:p>
        </w:tc>
      </w:tr>
      <w:tr w:rsidR="00BF0026" w14:paraId="7C2DB896" w14:textId="77777777" w:rsidTr="0010708E">
        <w:trPr>
          <w:trHeight w:val="4795"/>
        </w:trPr>
        <w:tc>
          <w:tcPr>
            <w:tcW w:w="5904" w:type="dxa"/>
            <w:vAlign w:val="center"/>
          </w:tcPr>
          <w:p w14:paraId="08876DFC" w14:textId="7683E589" w:rsidR="00BF0026" w:rsidRPr="0010708E" w:rsidRDefault="00556BD6" w:rsidP="0010708E">
            <w:pPr>
              <w:pStyle w:val="O-BodyText"/>
              <w:spacing w:afterLines="120" w:after="288"/>
              <w:ind w:right="108"/>
              <w:rPr>
                <w:rFonts w:ascii="Calibri" w:hAnsi="Calibri"/>
                <w:b/>
                <w:bCs/>
                <w:sz w:val="28"/>
                <w:szCs w:val="28"/>
              </w:rPr>
            </w:pPr>
            <w:r>
              <w:rPr>
                <w:rFonts w:ascii="Calibri" w:hAnsi="Calibri"/>
                <w:b/>
                <w:bCs/>
                <w:sz w:val="28"/>
                <w:szCs w:val="28"/>
              </w:rPr>
              <w:t xml:space="preserve">Did the </w:t>
            </w:r>
            <w:r w:rsidRPr="00556BD6">
              <w:rPr>
                <w:rFonts w:ascii="Calibri" w:hAnsi="Calibri"/>
                <w:b/>
                <w:bCs/>
                <w:sz w:val="28"/>
                <w:szCs w:val="28"/>
              </w:rPr>
              <w:t>Bayh-Dole Act relax the statutory requirements for patentability</w:t>
            </w:r>
            <w:r>
              <w:rPr>
                <w:rFonts w:ascii="Calibri" w:hAnsi="Calibri"/>
                <w:b/>
                <w:bCs/>
                <w:sz w:val="28"/>
                <w:szCs w:val="28"/>
              </w:rPr>
              <w:t>?</w:t>
            </w:r>
          </w:p>
        </w:tc>
        <w:tc>
          <w:tcPr>
            <w:tcW w:w="5904" w:type="dxa"/>
            <w:vAlign w:val="center"/>
          </w:tcPr>
          <w:p w14:paraId="4E9318DD" w14:textId="78062F64" w:rsidR="00BF0026" w:rsidRPr="0010708E" w:rsidRDefault="00556BD6" w:rsidP="0010708E">
            <w:pPr>
              <w:pStyle w:val="O-BodyText"/>
              <w:spacing w:after="120"/>
              <w:ind w:right="158"/>
              <w:rPr>
                <w:rFonts w:ascii="Calibri" w:hAnsi="Calibri"/>
                <w:b/>
                <w:bCs/>
                <w:sz w:val="22"/>
                <w:szCs w:val="22"/>
              </w:rPr>
            </w:pPr>
            <w:r>
              <w:rPr>
                <w:rFonts w:ascii="Calibri" w:hAnsi="Calibri"/>
                <w:b/>
                <w:bCs/>
                <w:sz w:val="22"/>
                <w:szCs w:val="22"/>
              </w:rPr>
              <w:t xml:space="preserve">No.  </w:t>
            </w:r>
            <w:r w:rsidRPr="00556BD6">
              <w:rPr>
                <w:rFonts w:ascii="Calibri" w:hAnsi="Calibri"/>
                <w:b/>
                <w:bCs/>
                <w:sz w:val="22"/>
                <w:szCs w:val="22"/>
              </w:rPr>
              <w:t xml:space="preserve">The Bayh-Dole Act “was not intended to relax the statutory requirements for patentability.” </w:t>
            </w:r>
            <w:r w:rsidRPr="00556BD6">
              <w:rPr>
                <w:rFonts w:ascii="Calibri" w:hAnsi="Calibri"/>
                <w:b/>
                <w:bCs/>
                <w:i/>
                <w:sz w:val="22"/>
                <w:szCs w:val="22"/>
              </w:rPr>
              <w:t>Univ. of Rochester v. G.D. Searle &amp; Co</w:t>
            </w:r>
            <w:r>
              <w:rPr>
                <w:rFonts w:ascii="Calibri" w:hAnsi="Calibri"/>
                <w:b/>
                <w:bCs/>
                <w:i/>
                <w:sz w:val="22"/>
                <w:szCs w:val="22"/>
              </w:rPr>
              <w:t>.</w:t>
            </w:r>
            <w:r w:rsidRPr="00556BD6">
              <w:rPr>
                <w:rFonts w:ascii="Calibri" w:hAnsi="Calibri"/>
                <w:b/>
                <w:bCs/>
                <w:sz w:val="22"/>
                <w:szCs w:val="22"/>
              </w:rPr>
              <w:t xml:space="preserve"> (Fed. Cir. 2004).</w:t>
            </w:r>
          </w:p>
        </w:tc>
      </w:tr>
      <w:tr w:rsidR="00BF0026" w14:paraId="0CB762EC" w14:textId="77777777" w:rsidTr="0010708E">
        <w:trPr>
          <w:trHeight w:val="4795"/>
        </w:trPr>
        <w:tc>
          <w:tcPr>
            <w:tcW w:w="5904" w:type="dxa"/>
            <w:vAlign w:val="center"/>
          </w:tcPr>
          <w:p w14:paraId="61B46C78" w14:textId="0C9F7C79" w:rsidR="00BF0026" w:rsidRPr="0010708E" w:rsidRDefault="00556BD6"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happened in </w:t>
            </w:r>
            <w:r w:rsidRPr="00556BD6">
              <w:rPr>
                <w:rFonts w:ascii="Calibri" w:hAnsi="Calibri"/>
                <w:b/>
                <w:bCs/>
                <w:i/>
                <w:sz w:val="28"/>
                <w:szCs w:val="28"/>
              </w:rPr>
              <w:t>Florida Prepaid Postsecondary Educ. Expense Bd. v. Coll. Sav</w:t>
            </w:r>
            <w:proofErr w:type="gramStart"/>
            <w:r w:rsidRPr="00556BD6">
              <w:rPr>
                <w:rFonts w:ascii="Calibri" w:hAnsi="Calibri"/>
                <w:b/>
                <w:bCs/>
                <w:i/>
                <w:sz w:val="28"/>
                <w:szCs w:val="28"/>
              </w:rPr>
              <w:t xml:space="preserve">. </w:t>
            </w:r>
            <w:proofErr w:type="gramEnd"/>
            <w:r w:rsidRPr="00556BD6">
              <w:rPr>
                <w:rFonts w:ascii="Calibri" w:hAnsi="Calibri"/>
                <w:b/>
                <w:bCs/>
                <w:i/>
                <w:sz w:val="28"/>
                <w:szCs w:val="28"/>
              </w:rPr>
              <w:t>Bank</w:t>
            </w:r>
            <w:r>
              <w:rPr>
                <w:rFonts w:ascii="Calibri" w:hAnsi="Calibri"/>
                <w:b/>
                <w:bCs/>
                <w:sz w:val="28"/>
                <w:szCs w:val="28"/>
              </w:rPr>
              <w:t xml:space="preserve"> </w:t>
            </w:r>
            <w:r w:rsidRPr="00556BD6">
              <w:rPr>
                <w:rFonts w:ascii="Calibri" w:hAnsi="Calibri"/>
                <w:b/>
                <w:bCs/>
                <w:sz w:val="28"/>
                <w:szCs w:val="28"/>
              </w:rPr>
              <w:t>(</w:t>
            </w:r>
            <w:r w:rsidR="00CD3CDF">
              <w:rPr>
                <w:rFonts w:ascii="Calibri" w:hAnsi="Calibri"/>
                <w:b/>
                <w:bCs/>
                <w:sz w:val="28"/>
                <w:szCs w:val="28"/>
              </w:rPr>
              <w:t>U.S.</w:t>
            </w:r>
            <w:r>
              <w:rPr>
                <w:rFonts w:ascii="Calibri" w:hAnsi="Calibri"/>
                <w:b/>
                <w:bCs/>
                <w:sz w:val="28"/>
                <w:szCs w:val="28"/>
              </w:rPr>
              <w:t xml:space="preserve"> </w:t>
            </w:r>
            <w:r w:rsidRPr="00556BD6">
              <w:rPr>
                <w:rFonts w:ascii="Calibri" w:hAnsi="Calibri"/>
                <w:b/>
                <w:bCs/>
                <w:sz w:val="28"/>
                <w:szCs w:val="28"/>
              </w:rPr>
              <w:t>1999)</w:t>
            </w:r>
            <w:r w:rsidR="00BF0026" w:rsidRPr="0010708E">
              <w:rPr>
                <w:rFonts w:ascii="Calibri" w:hAnsi="Calibri"/>
                <w:b/>
                <w:bCs/>
                <w:sz w:val="28"/>
                <w:szCs w:val="28"/>
              </w:rPr>
              <w:t>?</w:t>
            </w:r>
          </w:p>
        </w:tc>
        <w:tc>
          <w:tcPr>
            <w:tcW w:w="5904" w:type="dxa"/>
            <w:vAlign w:val="center"/>
          </w:tcPr>
          <w:p w14:paraId="61B23566" w14:textId="36EC5764" w:rsidR="00BF0026" w:rsidRPr="0010708E" w:rsidRDefault="00556BD6" w:rsidP="0010708E">
            <w:pPr>
              <w:pStyle w:val="O-BodyText"/>
              <w:spacing w:after="120"/>
              <w:ind w:right="158"/>
              <w:rPr>
                <w:rFonts w:ascii="Calibri" w:hAnsi="Calibri"/>
                <w:b/>
                <w:bCs/>
                <w:sz w:val="22"/>
                <w:szCs w:val="22"/>
              </w:rPr>
            </w:pPr>
            <w:r w:rsidRPr="00556BD6">
              <w:rPr>
                <w:rFonts w:ascii="Calibri" w:hAnsi="Calibri"/>
                <w:b/>
                <w:bCs/>
                <w:sz w:val="22"/>
                <w:szCs w:val="22"/>
              </w:rPr>
              <w:t xml:space="preserve">In 1999, the Supreme Court limited the circumstances in which states could be sued in federal court. </w:t>
            </w:r>
            <w:r>
              <w:rPr>
                <w:rFonts w:ascii="Calibri" w:hAnsi="Calibri"/>
                <w:b/>
                <w:bCs/>
                <w:sz w:val="22"/>
                <w:szCs w:val="22"/>
              </w:rPr>
              <w:t xml:space="preserve"> </w:t>
            </w:r>
            <w:r w:rsidRPr="00556BD6">
              <w:rPr>
                <w:rFonts w:ascii="Calibri" w:hAnsi="Calibri"/>
                <w:b/>
                <w:bCs/>
                <w:i/>
                <w:sz w:val="22"/>
                <w:szCs w:val="22"/>
              </w:rPr>
              <w:t>Florida Prepaid Postsecondary Educ. Expense Bd. v. Coll. Sav</w:t>
            </w:r>
            <w:proofErr w:type="gramStart"/>
            <w:r w:rsidRPr="00556BD6">
              <w:rPr>
                <w:rFonts w:ascii="Calibri" w:hAnsi="Calibri"/>
                <w:b/>
                <w:bCs/>
                <w:i/>
                <w:sz w:val="22"/>
                <w:szCs w:val="22"/>
              </w:rPr>
              <w:t xml:space="preserve">. </w:t>
            </w:r>
            <w:proofErr w:type="gramEnd"/>
            <w:r w:rsidRPr="00556BD6">
              <w:rPr>
                <w:rFonts w:ascii="Calibri" w:hAnsi="Calibri"/>
                <w:b/>
                <w:bCs/>
                <w:i/>
                <w:sz w:val="22"/>
                <w:szCs w:val="22"/>
              </w:rPr>
              <w:t>Bank</w:t>
            </w:r>
            <w:r w:rsidRPr="00556BD6">
              <w:rPr>
                <w:rFonts w:ascii="Calibri" w:hAnsi="Calibri"/>
                <w:b/>
                <w:bCs/>
                <w:sz w:val="22"/>
                <w:szCs w:val="22"/>
              </w:rPr>
              <w:t xml:space="preserve"> (</w:t>
            </w:r>
            <w:r w:rsidR="00CD3CDF">
              <w:rPr>
                <w:rFonts w:ascii="Calibri" w:hAnsi="Calibri"/>
                <w:b/>
                <w:bCs/>
                <w:sz w:val="22"/>
                <w:szCs w:val="22"/>
              </w:rPr>
              <w:t>U.S.</w:t>
            </w:r>
            <w:r>
              <w:rPr>
                <w:rFonts w:ascii="Calibri" w:hAnsi="Calibri"/>
                <w:b/>
                <w:bCs/>
                <w:sz w:val="22"/>
                <w:szCs w:val="22"/>
              </w:rPr>
              <w:t xml:space="preserve"> </w:t>
            </w:r>
            <w:r w:rsidRPr="00556BD6">
              <w:rPr>
                <w:rFonts w:ascii="Calibri" w:hAnsi="Calibri"/>
                <w:b/>
                <w:bCs/>
                <w:sz w:val="22"/>
                <w:szCs w:val="22"/>
              </w:rPr>
              <w:t>1999).</w:t>
            </w:r>
          </w:p>
        </w:tc>
      </w:tr>
      <w:tr w:rsidR="00BF0026" w14:paraId="42AC0470" w14:textId="77777777" w:rsidTr="0010708E">
        <w:trPr>
          <w:trHeight w:val="4795"/>
        </w:trPr>
        <w:tc>
          <w:tcPr>
            <w:tcW w:w="5904" w:type="dxa"/>
            <w:vAlign w:val="center"/>
          </w:tcPr>
          <w:p w14:paraId="725ABB8B" w14:textId="1740BD77" w:rsidR="00BF0026" w:rsidRPr="0010708E" w:rsidRDefault="00556BD6"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What led to the “university patent boom”</w:t>
            </w:r>
            <w:r w:rsidR="005A0D8C" w:rsidRPr="0010708E">
              <w:rPr>
                <w:rFonts w:ascii="Calibri" w:hAnsi="Calibri"/>
                <w:b/>
                <w:bCs/>
                <w:sz w:val="28"/>
                <w:szCs w:val="28"/>
              </w:rPr>
              <w:t>?</w:t>
            </w:r>
          </w:p>
        </w:tc>
        <w:tc>
          <w:tcPr>
            <w:tcW w:w="5904" w:type="dxa"/>
            <w:vAlign w:val="center"/>
          </w:tcPr>
          <w:p w14:paraId="6823D5F0" w14:textId="1D1AA6D1" w:rsidR="00E36557" w:rsidRPr="0010708E" w:rsidRDefault="00556BD6" w:rsidP="00E36557">
            <w:pPr>
              <w:pStyle w:val="O-BodyText"/>
              <w:spacing w:after="120"/>
              <w:ind w:right="158"/>
              <w:rPr>
                <w:rFonts w:ascii="Calibri" w:hAnsi="Calibri"/>
                <w:b/>
                <w:bCs/>
                <w:sz w:val="22"/>
                <w:szCs w:val="22"/>
              </w:rPr>
            </w:pPr>
            <w:r>
              <w:rPr>
                <w:rFonts w:ascii="Calibri" w:hAnsi="Calibri"/>
                <w:b/>
                <w:bCs/>
                <w:sz w:val="22"/>
                <w:szCs w:val="22"/>
              </w:rPr>
              <w:t xml:space="preserve">The </w:t>
            </w:r>
            <w:r w:rsidRPr="00556BD6">
              <w:rPr>
                <w:rFonts w:ascii="Calibri" w:hAnsi="Calibri"/>
                <w:b/>
                <w:bCs/>
                <w:sz w:val="22"/>
                <w:szCs w:val="22"/>
              </w:rPr>
              <w:t xml:space="preserve">twin developments </w:t>
            </w:r>
            <w:r>
              <w:rPr>
                <w:rFonts w:ascii="Calibri" w:hAnsi="Calibri"/>
                <w:b/>
                <w:bCs/>
                <w:sz w:val="22"/>
                <w:szCs w:val="22"/>
              </w:rPr>
              <w:t xml:space="preserve">of (1) the Supreme Court limiting when states could be sued in federal court, and (2) </w:t>
            </w:r>
            <w:r w:rsidRPr="00556BD6">
              <w:rPr>
                <w:rFonts w:ascii="Calibri" w:hAnsi="Calibri"/>
                <w:b/>
                <w:bCs/>
                <w:sz w:val="22"/>
                <w:szCs w:val="22"/>
              </w:rPr>
              <w:t xml:space="preserve">states </w:t>
            </w:r>
            <w:r w:rsidR="00E36557">
              <w:rPr>
                <w:rFonts w:ascii="Calibri" w:hAnsi="Calibri"/>
                <w:b/>
                <w:bCs/>
                <w:sz w:val="22"/>
                <w:szCs w:val="22"/>
              </w:rPr>
              <w:t xml:space="preserve">acting </w:t>
            </w:r>
            <w:r w:rsidRPr="00556BD6">
              <w:rPr>
                <w:rFonts w:ascii="Calibri" w:hAnsi="Calibri"/>
                <w:b/>
                <w:bCs/>
                <w:sz w:val="22"/>
                <w:szCs w:val="22"/>
              </w:rPr>
              <w:t>as commercial players in various marketplaces, including in technology fields</w:t>
            </w:r>
            <w:r w:rsidR="00E36557">
              <w:rPr>
                <w:rFonts w:ascii="Calibri" w:hAnsi="Calibri"/>
                <w:b/>
                <w:bCs/>
                <w:sz w:val="22"/>
                <w:szCs w:val="22"/>
              </w:rPr>
              <w:t>, led to the “university patent boom.”</w:t>
            </w:r>
          </w:p>
          <w:p w14:paraId="1DD9AC19" w14:textId="2CACBA16" w:rsidR="00BF0026" w:rsidRPr="0010708E" w:rsidRDefault="00BF0026" w:rsidP="00556BD6">
            <w:pPr>
              <w:pStyle w:val="O-BodyText"/>
              <w:spacing w:after="120"/>
              <w:ind w:right="158"/>
              <w:rPr>
                <w:rFonts w:ascii="Calibri" w:hAnsi="Calibri"/>
                <w:b/>
                <w:bCs/>
                <w:sz w:val="22"/>
                <w:szCs w:val="22"/>
              </w:rPr>
            </w:pPr>
          </w:p>
        </w:tc>
      </w:tr>
      <w:tr w:rsidR="00BF0026" w14:paraId="0CD1179B" w14:textId="77777777" w:rsidTr="0010708E">
        <w:trPr>
          <w:trHeight w:val="4795"/>
        </w:trPr>
        <w:tc>
          <w:tcPr>
            <w:tcW w:w="5904" w:type="dxa"/>
            <w:vAlign w:val="center"/>
          </w:tcPr>
          <w:p w14:paraId="5C330FDB" w14:textId="5943B009" w:rsidR="00BF0026" w:rsidRPr="0010708E" w:rsidRDefault="00556BD6" w:rsidP="0010708E">
            <w:pPr>
              <w:pStyle w:val="O-BodyText"/>
              <w:spacing w:afterLines="120" w:after="288"/>
              <w:ind w:right="108"/>
              <w:rPr>
                <w:rFonts w:ascii="Calibri" w:hAnsi="Calibri"/>
                <w:b/>
                <w:bCs/>
                <w:sz w:val="28"/>
                <w:szCs w:val="28"/>
              </w:rPr>
            </w:pPr>
            <w:r>
              <w:rPr>
                <w:rFonts w:ascii="Calibri" w:hAnsi="Calibri"/>
                <w:b/>
                <w:bCs/>
                <w:sz w:val="28"/>
                <w:szCs w:val="28"/>
              </w:rPr>
              <w:t>What was the “university patent boom”</w:t>
            </w:r>
            <w:r w:rsidRPr="0010708E">
              <w:rPr>
                <w:rFonts w:ascii="Calibri" w:hAnsi="Calibri"/>
                <w:b/>
                <w:bCs/>
                <w:sz w:val="28"/>
                <w:szCs w:val="28"/>
              </w:rPr>
              <w:t>?</w:t>
            </w:r>
          </w:p>
        </w:tc>
        <w:tc>
          <w:tcPr>
            <w:tcW w:w="5904" w:type="dxa"/>
            <w:vAlign w:val="center"/>
          </w:tcPr>
          <w:p w14:paraId="6FE4468A" w14:textId="520C5E0E" w:rsidR="00E36557" w:rsidRPr="00E36557" w:rsidRDefault="00E36557" w:rsidP="00E36557">
            <w:pPr>
              <w:pStyle w:val="O-BodyText"/>
              <w:rPr>
                <w:rFonts w:ascii="Calibri" w:hAnsi="Calibri"/>
                <w:b/>
                <w:bCs/>
                <w:sz w:val="22"/>
                <w:szCs w:val="22"/>
              </w:rPr>
            </w:pPr>
            <w:r>
              <w:rPr>
                <w:rFonts w:ascii="Calibri" w:hAnsi="Calibri"/>
                <w:b/>
                <w:bCs/>
                <w:sz w:val="22"/>
                <w:szCs w:val="22"/>
              </w:rPr>
              <w:t>P</w:t>
            </w:r>
            <w:r w:rsidRPr="00E36557">
              <w:rPr>
                <w:rFonts w:ascii="Calibri" w:hAnsi="Calibri"/>
                <w:b/>
                <w:bCs/>
                <w:sz w:val="22"/>
                <w:szCs w:val="22"/>
              </w:rPr>
              <w:t xml:space="preserve">ublic universities </w:t>
            </w:r>
            <w:r>
              <w:rPr>
                <w:rFonts w:ascii="Calibri" w:hAnsi="Calibri"/>
                <w:b/>
                <w:bCs/>
                <w:sz w:val="22"/>
                <w:szCs w:val="22"/>
              </w:rPr>
              <w:t>began to rely m</w:t>
            </w:r>
            <w:r w:rsidRPr="00E36557">
              <w:rPr>
                <w:rFonts w:ascii="Calibri" w:hAnsi="Calibri"/>
                <w:b/>
                <w:bCs/>
                <w:sz w:val="22"/>
                <w:szCs w:val="22"/>
              </w:rPr>
              <w:t>ore heavily on patents as a</w:t>
            </w:r>
          </w:p>
          <w:p w14:paraId="2DF4363A" w14:textId="0141B3DC" w:rsidR="005A0D8C" w:rsidRPr="0010708E" w:rsidRDefault="00E36557" w:rsidP="00E36557">
            <w:pPr>
              <w:pStyle w:val="O-BodyText"/>
              <w:spacing w:after="120"/>
              <w:ind w:right="158"/>
              <w:rPr>
                <w:rFonts w:ascii="Calibri" w:hAnsi="Calibri"/>
                <w:b/>
                <w:bCs/>
                <w:sz w:val="22"/>
                <w:szCs w:val="22"/>
              </w:rPr>
            </w:pPr>
            <w:r>
              <w:rPr>
                <w:rFonts w:ascii="Calibri" w:hAnsi="Calibri"/>
                <w:b/>
                <w:bCs/>
                <w:sz w:val="22"/>
                <w:szCs w:val="22"/>
              </w:rPr>
              <w:t xml:space="preserve">source of revenue and </w:t>
            </w:r>
            <w:r w:rsidRPr="00E36557">
              <w:rPr>
                <w:rFonts w:ascii="Calibri" w:hAnsi="Calibri"/>
                <w:b/>
                <w:bCs/>
                <w:sz w:val="22"/>
                <w:szCs w:val="22"/>
              </w:rPr>
              <w:t xml:space="preserve">became </w:t>
            </w:r>
            <w:r>
              <w:rPr>
                <w:rFonts w:ascii="Calibri" w:hAnsi="Calibri"/>
                <w:b/>
                <w:bCs/>
                <w:sz w:val="22"/>
                <w:szCs w:val="22"/>
              </w:rPr>
              <w:t xml:space="preserve">far </w:t>
            </w:r>
            <w:r w:rsidRPr="00E36557">
              <w:rPr>
                <w:rFonts w:ascii="Calibri" w:hAnsi="Calibri"/>
                <w:b/>
                <w:bCs/>
                <w:sz w:val="22"/>
                <w:szCs w:val="22"/>
              </w:rPr>
              <w:t>more aggressive licensors of technology</w:t>
            </w:r>
            <w:r>
              <w:rPr>
                <w:rFonts w:ascii="Calibri" w:hAnsi="Calibri"/>
                <w:b/>
                <w:bCs/>
                <w:sz w:val="22"/>
                <w:szCs w:val="22"/>
              </w:rPr>
              <w:t>.</w:t>
            </w:r>
          </w:p>
        </w:tc>
      </w:tr>
      <w:tr w:rsidR="005A0D8C" w14:paraId="050A779E" w14:textId="77777777" w:rsidTr="0010708E">
        <w:trPr>
          <w:trHeight w:val="4795"/>
        </w:trPr>
        <w:tc>
          <w:tcPr>
            <w:tcW w:w="5904" w:type="dxa"/>
            <w:vAlign w:val="center"/>
          </w:tcPr>
          <w:p w14:paraId="02CD88BF" w14:textId="6E4B211F" w:rsidR="005A0D8C" w:rsidRPr="0010708E" w:rsidRDefault="002040CC"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were </w:t>
            </w:r>
            <w:r w:rsidR="00F2165A">
              <w:rPr>
                <w:rFonts w:ascii="Calibri" w:hAnsi="Calibri"/>
                <w:b/>
                <w:bCs/>
                <w:sz w:val="28"/>
                <w:szCs w:val="28"/>
              </w:rPr>
              <w:t>results of the “university patent boom”</w:t>
            </w:r>
            <w:r w:rsidR="005A0D8C" w:rsidRPr="0010708E">
              <w:rPr>
                <w:rFonts w:ascii="Calibri" w:hAnsi="Calibri"/>
                <w:b/>
                <w:bCs/>
                <w:sz w:val="28"/>
                <w:szCs w:val="28"/>
              </w:rPr>
              <w:t>?</w:t>
            </w:r>
          </w:p>
        </w:tc>
        <w:tc>
          <w:tcPr>
            <w:tcW w:w="5904" w:type="dxa"/>
            <w:vAlign w:val="center"/>
          </w:tcPr>
          <w:p w14:paraId="2203C0DC" w14:textId="6507E934" w:rsidR="005A0D8C" w:rsidRPr="0010708E" w:rsidRDefault="00F2165A" w:rsidP="0010708E">
            <w:pPr>
              <w:pStyle w:val="O-BodyText"/>
              <w:spacing w:after="120"/>
              <w:ind w:right="158"/>
              <w:rPr>
                <w:rFonts w:ascii="Calibri" w:hAnsi="Calibri"/>
                <w:b/>
                <w:bCs/>
                <w:sz w:val="22"/>
                <w:szCs w:val="22"/>
              </w:rPr>
            </w:pPr>
            <w:r>
              <w:rPr>
                <w:rFonts w:ascii="Calibri" w:hAnsi="Calibri"/>
                <w:b/>
                <w:bCs/>
                <w:sz w:val="22"/>
                <w:szCs w:val="22"/>
              </w:rPr>
              <w:t>Public universities’</w:t>
            </w:r>
            <w:r w:rsidRPr="00F2165A">
              <w:rPr>
                <w:rFonts w:ascii="Calibri" w:hAnsi="Calibri"/>
                <w:b/>
                <w:bCs/>
                <w:sz w:val="22"/>
                <w:szCs w:val="22"/>
              </w:rPr>
              <w:t xml:space="preserve"> licensing regimes began to look more and more like those of for-profit entities</w:t>
            </w:r>
            <w:r>
              <w:rPr>
                <w:rFonts w:ascii="Calibri" w:hAnsi="Calibri"/>
                <w:b/>
                <w:bCs/>
                <w:sz w:val="22"/>
                <w:szCs w:val="22"/>
              </w:rPr>
              <w:t xml:space="preserve">, and </w:t>
            </w:r>
            <w:r w:rsidRPr="00F2165A">
              <w:rPr>
                <w:rFonts w:ascii="Calibri" w:hAnsi="Calibri"/>
                <w:b/>
                <w:bCs/>
                <w:sz w:val="22"/>
                <w:szCs w:val="22"/>
              </w:rPr>
              <w:t>patent infringement lawsuits by public universities grew.</w:t>
            </w:r>
          </w:p>
        </w:tc>
      </w:tr>
      <w:tr w:rsidR="009901AF" w14:paraId="5DCBF73C" w14:textId="77777777" w:rsidTr="0010708E">
        <w:trPr>
          <w:trHeight w:val="4795"/>
        </w:trPr>
        <w:tc>
          <w:tcPr>
            <w:tcW w:w="5904" w:type="dxa"/>
            <w:vAlign w:val="center"/>
          </w:tcPr>
          <w:p w14:paraId="001D6728" w14:textId="57BC10AC" w:rsidR="009901AF" w:rsidRPr="0010708E" w:rsidRDefault="002040CC"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Does </w:t>
            </w:r>
            <w:proofErr w:type="spellStart"/>
            <w:r>
              <w:rPr>
                <w:rFonts w:ascii="Calibri" w:hAnsi="Calibri"/>
                <w:b/>
                <w:bCs/>
                <w:sz w:val="28"/>
                <w:szCs w:val="28"/>
              </w:rPr>
              <w:t>UMN</w:t>
            </w:r>
            <w:proofErr w:type="spellEnd"/>
            <w:r>
              <w:rPr>
                <w:rFonts w:ascii="Calibri" w:hAnsi="Calibri"/>
                <w:b/>
                <w:bCs/>
                <w:sz w:val="28"/>
                <w:szCs w:val="28"/>
              </w:rPr>
              <w:t xml:space="preserve"> hold patents</w:t>
            </w:r>
            <w:r w:rsidR="005A0D8C" w:rsidRPr="0010708E">
              <w:rPr>
                <w:rFonts w:ascii="Calibri" w:hAnsi="Calibri"/>
                <w:b/>
                <w:bCs/>
                <w:sz w:val="28"/>
                <w:szCs w:val="28"/>
              </w:rPr>
              <w:t>?</w:t>
            </w:r>
          </w:p>
        </w:tc>
        <w:tc>
          <w:tcPr>
            <w:tcW w:w="5904" w:type="dxa"/>
            <w:vAlign w:val="center"/>
          </w:tcPr>
          <w:p w14:paraId="030B2661" w14:textId="124612B6" w:rsidR="009901AF" w:rsidRPr="0010708E" w:rsidRDefault="00C11E20" w:rsidP="0010708E">
            <w:pPr>
              <w:pStyle w:val="O-BodyText"/>
              <w:spacing w:after="120"/>
              <w:ind w:right="162"/>
              <w:rPr>
                <w:rFonts w:ascii="Calibri" w:hAnsi="Calibri"/>
                <w:b/>
                <w:bCs/>
                <w:sz w:val="22"/>
                <w:szCs w:val="22"/>
              </w:rPr>
            </w:pPr>
            <w:r>
              <w:rPr>
                <w:rFonts w:ascii="Calibri" w:hAnsi="Calibri"/>
                <w:b/>
                <w:bCs/>
                <w:sz w:val="22"/>
                <w:szCs w:val="22"/>
              </w:rPr>
              <w:t xml:space="preserve">Yes.  </w:t>
            </w:r>
            <w:proofErr w:type="spellStart"/>
            <w:r>
              <w:rPr>
                <w:rFonts w:ascii="Calibri" w:hAnsi="Calibri"/>
                <w:b/>
                <w:bCs/>
                <w:sz w:val="22"/>
                <w:szCs w:val="22"/>
              </w:rPr>
              <w:t>U</w:t>
            </w:r>
            <w:r w:rsidR="002040CC">
              <w:rPr>
                <w:rFonts w:ascii="Calibri" w:hAnsi="Calibri"/>
                <w:b/>
                <w:bCs/>
                <w:sz w:val="22"/>
                <w:szCs w:val="22"/>
              </w:rPr>
              <w:t>M</w:t>
            </w:r>
            <w:r>
              <w:rPr>
                <w:rFonts w:ascii="Calibri" w:hAnsi="Calibri"/>
                <w:b/>
                <w:bCs/>
                <w:sz w:val="22"/>
                <w:szCs w:val="22"/>
              </w:rPr>
              <w:t>N</w:t>
            </w:r>
            <w:proofErr w:type="spellEnd"/>
            <w:r w:rsidR="002040CC" w:rsidRPr="002040CC">
              <w:rPr>
                <w:rFonts w:ascii="Calibri" w:hAnsi="Calibri"/>
                <w:b/>
                <w:bCs/>
                <w:sz w:val="22"/>
                <w:szCs w:val="22"/>
              </w:rPr>
              <w:t xml:space="preserve"> has held hundreds of patents, on subject matter ranging from cancer treatments to the Honeycrisp apple</w:t>
            </w:r>
            <w:r w:rsidR="002040CC">
              <w:rPr>
                <w:rFonts w:ascii="Calibri" w:hAnsi="Calibri"/>
                <w:b/>
                <w:bCs/>
                <w:sz w:val="22"/>
                <w:szCs w:val="22"/>
              </w:rPr>
              <w:t>.</w:t>
            </w:r>
          </w:p>
        </w:tc>
      </w:tr>
      <w:tr w:rsidR="007F6511" w14:paraId="3EC5FBE1" w14:textId="77777777" w:rsidTr="0010708E">
        <w:trPr>
          <w:trHeight w:val="4795"/>
        </w:trPr>
        <w:tc>
          <w:tcPr>
            <w:tcW w:w="5904" w:type="dxa"/>
            <w:vAlign w:val="center"/>
          </w:tcPr>
          <w:p w14:paraId="4628ACF3" w14:textId="5231A611" w:rsidR="007F6511" w:rsidRPr="0010708E" w:rsidRDefault="002040CC" w:rsidP="0010708E">
            <w:pPr>
              <w:pStyle w:val="O-BodyText"/>
              <w:spacing w:afterLines="120" w:after="288"/>
              <w:ind w:right="108"/>
              <w:rPr>
                <w:rFonts w:ascii="Calibri" w:hAnsi="Calibri"/>
                <w:b/>
                <w:bCs/>
                <w:sz w:val="28"/>
                <w:szCs w:val="28"/>
              </w:rPr>
            </w:pPr>
            <w:r>
              <w:rPr>
                <w:rFonts w:ascii="Calibri" w:hAnsi="Calibri"/>
                <w:b/>
                <w:bCs/>
                <w:sz w:val="28"/>
                <w:szCs w:val="28"/>
              </w:rPr>
              <w:t xml:space="preserve">Why was the inter </w:t>
            </w:r>
            <w:proofErr w:type="spellStart"/>
            <w:r>
              <w:rPr>
                <w:rFonts w:ascii="Calibri" w:hAnsi="Calibri"/>
                <w:b/>
                <w:bCs/>
                <w:sz w:val="28"/>
                <w:szCs w:val="28"/>
              </w:rPr>
              <w:t>partes</w:t>
            </w:r>
            <w:proofErr w:type="spellEnd"/>
            <w:r>
              <w:rPr>
                <w:rFonts w:ascii="Calibri" w:hAnsi="Calibri"/>
                <w:b/>
                <w:bCs/>
                <w:sz w:val="28"/>
                <w:szCs w:val="28"/>
              </w:rPr>
              <w:t xml:space="preserve"> review process developed?</w:t>
            </w:r>
          </w:p>
        </w:tc>
        <w:tc>
          <w:tcPr>
            <w:tcW w:w="5904" w:type="dxa"/>
            <w:vAlign w:val="center"/>
          </w:tcPr>
          <w:p w14:paraId="217FCC1B" w14:textId="7FB8A5ED" w:rsidR="007F6511" w:rsidRPr="0010708E" w:rsidRDefault="002040CC" w:rsidP="0010708E">
            <w:pPr>
              <w:pStyle w:val="O-BodyText"/>
              <w:spacing w:after="120"/>
              <w:ind w:right="162"/>
              <w:rPr>
                <w:rFonts w:ascii="Calibri" w:hAnsi="Calibri"/>
                <w:b/>
                <w:bCs/>
                <w:sz w:val="22"/>
                <w:szCs w:val="22"/>
              </w:rPr>
            </w:pPr>
            <w:r w:rsidRPr="002040CC">
              <w:rPr>
                <w:rFonts w:ascii="Calibri" w:hAnsi="Calibri"/>
                <w:b/>
                <w:bCs/>
                <w:sz w:val="22"/>
                <w:szCs w:val="22"/>
              </w:rPr>
              <w:t>The pre-grant process</w:t>
            </w:r>
            <w:r>
              <w:rPr>
                <w:rFonts w:ascii="Calibri" w:hAnsi="Calibri"/>
                <w:b/>
                <w:bCs/>
                <w:sz w:val="22"/>
                <w:szCs w:val="22"/>
              </w:rPr>
              <w:t xml:space="preserve"> was</w:t>
            </w:r>
            <w:r w:rsidRPr="002040CC">
              <w:rPr>
                <w:rFonts w:ascii="Calibri" w:hAnsi="Calibri"/>
                <w:b/>
                <w:bCs/>
                <w:sz w:val="22"/>
                <w:szCs w:val="22"/>
              </w:rPr>
              <w:t xml:space="preserve"> insufficient to weed out bad patents</w:t>
            </w:r>
            <w:r>
              <w:rPr>
                <w:rFonts w:ascii="Calibri" w:hAnsi="Calibri"/>
                <w:b/>
                <w:bCs/>
                <w:sz w:val="22"/>
                <w:szCs w:val="22"/>
              </w:rPr>
              <w:t>, and m</w:t>
            </w:r>
            <w:r w:rsidRPr="002040CC">
              <w:rPr>
                <w:rFonts w:ascii="Calibri" w:hAnsi="Calibri"/>
                <w:b/>
                <w:bCs/>
                <w:sz w:val="22"/>
                <w:szCs w:val="22"/>
              </w:rPr>
              <w:t>ore than half of litigated patents were found to be invalid, at least in part</w:t>
            </w:r>
            <w:r>
              <w:rPr>
                <w:rFonts w:ascii="Calibri" w:hAnsi="Calibri"/>
                <w:b/>
                <w:bCs/>
                <w:sz w:val="22"/>
                <w:szCs w:val="22"/>
              </w:rPr>
              <w:t>.  So, C</w:t>
            </w:r>
            <w:r w:rsidRPr="002040CC">
              <w:rPr>
                <w:rFonts w:ascii="Calibri" w:hAnsi="Calibri"/>
                <w:b/>
                <w:bCs/>
                <w:sz w:val="22"/>
                <w:szCs w:val="22"/>
              </w:rPr>
              <w:t>ongress set out to enact a “viable, inexpensive, quick administrative alternative” to patent litigation</w:t>
            </w:r>
            <w:r>
              <w:rPr>
                <w:rFonts w:ascii="Calibri" w:hAnsi="Calibri"/>
                <w:b/>
                <w:bCs/>
                <w:sz w:val="22"/>
                <w:szCs w:val="22"/>
              </w:rPr>
              <w:t>.</w:t>
            </w:r>
            <w:r w:rsidR="00877B98">
              <w:rPr>
                <w:rFonts w:ascii="Calibri" w:hAnsi="Calibri"/>
                <w:b/>
                <w:bCs/>
                <w:sz w:val="22"/>
                <w:szCs w:val="22"/>
              </w:rPr>
              <w:t xml:space="preserve">  </w:t>
            </w:r>
            <w:r w:rsidR="00877B98" w:rsidRPr="00877B98">
              <w:rPr>
                <w:rFonts w:ascii="Calibri" w:hAnsi="Calibri"/>
                <w:b/>
                <w:bCs/>
                <w:sz w:val="22"/>
                <w:szCs w:val="22"/>
              </w:rPr>
              <w:t xml:space="preserve">The end result was </w:t>
            </w:r>
            <w:proofErr w:type="gramStart"/>
            <w:r w:rsidR="00877B98" w:rsidRPr="00877B98">
              <w:rPr>
                <w:rFonts w:ascii="Calibri" w:hAnsi="Calibri"/>
                <w:b/>
                <w:bCs/>
                <w:sz w:val="22"/>
                <w:szCs w:val="22"/>
              </w:rPr>
              <w:t>inter</w:t>
            </w:r>
            <w:proofErr w:type="gramEnd"/>
            <w:r w:rsidR="00877B98" w:rsidRPr="00877B98">
              <w:rPr>
                <w:rFonts w:ascii="Calibri" w:hAnsi="Calibri"/>
                <w:b/>
                <w:bCs/>
                <w:sz w:val="22"/>
                <w:szCs w:val="22"/>
              </w:rPr>
              <w:t xml:space="preserve"> </w:t>
            </w:r>
            <w:proofErr w:type="spellStart"/>
            <w:r w:rsidR="00877B98" w:rsidRPr="00877B98">
              <w:rPr>
                <w:rFonts w:ascii="Calibri" w:hAnsi="Calibri"/>
                <w:b/>
                <w:bCs/>
                <w:sz w:val="22"/>
                <w:szCs w:val="22"/>
              </w:rPr>
              <w:t>partes</w:t>
            </w:r>
            <w:proofErr w:type="spellEnd"/>
            <w:r w:rsidR="00877B98" w:rsidRPr="00877B98">
              <w:rPr>
                <w:rFonts w:ascii="Calibri" w:hAnsi="Calibri"/>
                <w:b/>
                <w:bCs/>
                <w:sz w:val="22"/>
                <w:szCs w:val="22"/>
              </w:rPr>
              <w:t xml:space="preserve"> review, created by the America Invents Act (AIA).</w:t>
            </w:r>
          </w:p>
        </w:tc>
      </w:tr>
      <w:tr w:rsidR="001F4FA3" w14:paraId="7DA4D911" w14:textId="77777777" w:rsidTr="0010708E">
        <w:trPr>
          <w:trHeight w:val="4795"/>
        </w:trPr>
        <w:tc>
          <w:tcPr>
            <w:tcW w:w="5904" w:type="dxa"/>
            <w:vAlign w:val="center"/>
          </w:tcPr>
          <w:p w14:paraId="12E1F0C7" w14:textId="292A4CFF" w:rsidR="001F4FA3" w:rsidRPr="0010708E" w:rsidRDefault="001F4FA3" w:rsidP="0010708E">
            <w:pPr>
              <w:pStyle w:val="O-BodyText"/>
              <w:spacing w:afterLines="120" w:after="288"/>
              <w:ind w:right="108"/>
              <w:rPr>
                <w:rFonts w:ascii="Calibri" w:hAnsi="Calibri"/>
                <w:b/>
                <w:bCs/>
                <w:sz w:val="28"/>
                <w:szCs w:val="28"/>
              </w:rPr>
            </w:pPr>
            <w:r w:rsidRPr="0010708E">
              <w:rPr>
                <w:rFonts w:ascii="Calibri" w:hAnsi="Calibri"/>
                <w:b/>
                <w:bCs/>
                <w:sz w:val="28"/>
                <w:szCs w:val="28"/>
              </w:rPr>
              <w:t xml:space="preserve">What </w:t>
            </w:r>
            <w:r w:rsidR="00BC3665">
              <w:rPr>
                <w:rFonts w:ascii="Calibri" w:hAnsi="Calibri"/>
                <w:b/>
                <w:bCs/>
                <w:sz w:val="28"/>
                <w:szCs w:val="28"/>
              </w:rPr>
              <w:t xml:space="preserve">was the model for the </w:t>
            </w:r>
            <w:r w:rsidR="00BC3665" w:rsidRPr="00BC3665">
              <w:rPr>
                <w:rFonts w:ascii="Calibri" w:hAnsi="Calibri"/>
                <w:b/>
                <w:bCs/>
                <w:sz w:val="28"/>
                <w:szCs w:val="28"/>
              </w:rPr>
              <w:t xml:space="preserve">inter </w:t>
            </w:r>
            <w:proofErr w:type="spellStart"/>
            <w:r w:rsidR="00BC3665" w:rsidRPr="00BC3665">
              <w:rPr>
                <w:rFonts w:ascii="Calibri" w:hAnsi="Calibri"/>
                <w:b/>
                <w:bCs/>
                <w:sz w:val="28"/>
                <w:szCs w:val="28"/>
              </w:rPr>
              <w:t>partes</w:t>
            </w:r>
            <w:proofErr w:type="spellEnd"/>
            <w:r w:rsidR="00BC3665" w:rsidRPr="00BC3665">
              <w:rPr>
                <w:rFonts w:ascii="Calibri" w:hAnsi="Calibri"/>
                <w:b/>
                <w:bCs/>
                <w:sz w:val="28"/>
                <w:szCs w:val="28"/>
              </w:rPr>
              <w:t xml:space="preserve"> review</w:t>
            </w:r>
            <w:r w:rsidR="00BC3665">
              <w:rPr>
                <w:rFonts w:ascii="Calibri" w:hAnsi="Calibri"/>
                <w:b/>
                <w:bCs/>
                <w:sz w:val="28"/>
                <w:szCs w:val="28"/>
              </w:rPr>
              <w:t xml:space="preserve"> process</w:t>
            </w:r>
            <w:r w:rsidRPr="0010708E">
              <w:rPr>
                <w:rFonts w:ascii="Calibri" w:hAnsi="Calibri"/>
                <w:b/>
                <w:bCs/>
                <w:sz w:val="28"/>
                <w:szCs w:val="28"/>
              </w:rPr>
              <w:t>?</w:t>
            </w:r>
          </w:p>
        </w:tc>
        <w:tc>
          <w:tcPr>
            <w:tcW w:w="5904" w:type="dxa"/>
            <w:vAlign w:val="center"/>
          </w:tcPr>
          <w:p w14:paraId="00DEC7D5" w14:textId="405AC5AF" w:rsidR="001F4FA3" w:rsidRPr="0010708E" w:rsidRDefault="00877B98" w:rsidP="0010708E">
            <w:pPr>
              <w:pStyle w:val="O-BodyText"/>
              <w:spacing w:after="120"/>
              <w:ind w:right="162"/>
              <w:rPr>
                <w:rFonts w:ascii="Calibri" w:eastAsia="Century Schoolbook" w:hAnsi="Calibri"/>
                <w:b/>
                <w:bCs/>
                <w:color w:val="000000"/>
                <w:sz w:val="22"/>
                <w:szCs w:val="22"/>
              </w:rPr>
            </w:pPr>
            <w:r>
              <w:rPr>
                <w:rFonts w:ascii="Calibri" w:hAnsi="Calibri"/>
                <w:b/>
                <w:bCs/>
                <w:sz w:val="22"/>
                <w:szCs w:val="22"/>
              </w:rPr>
              <w:t xml:space="preserve">Inter </w:t>
            </w:r>
            <w:proofErr w:type="spellStart"/>
            <w:r>
              <w:rPr>
                <w:rFonts w:ascii="Calibri" w:hAnsi="Calibri"/>
                <w:b/>
                <w:bCs/>
                <w:sz w:val="22"/>
                <w:szCs w:val="22"/>
              </w:rPr>
              <w:t>partes</w:t>
            </w:r>
            <w:proofErr w:type="spellEnd"/>
            <w:r>
              <w:rPr>
                <w:rFonts w:ascii="Calibri" w:hAnsi="Calibri"/>
                <w:b/>
                <w:bCs/>
                <w:sz w:val="22"/>
                <w:szCs w:val="22"/>
              </w:rPr>
              <w:t xml:space="preserve"> review was m</w:t>
            </w:r>
            <w:r w:rsidRPr="00877B98">
              <w:rPr>
                <w:rFonts w:ascii="Calibri" w:hAnsi="Calibri"/>
                <w:b/>
                <w:bCs/>
                <w:sz w:val="22"/>
                <w:szCs w:val="22"/>
              </w:rPr>
              <w:t>odeled after prior administrative processes that authorized the USPTO to reconsider and cancel patent</w:t>
            </w:r>
            <w:r>
              <w:rPr>
                <w:rFonts w:ascii="Calibri" w:hAnsi="Calibri"/>
                <w:b/>
                <w:bCs/>
                <w:sz w:val="22"/>
                <w:szCs w:val="22"/>
              </w:rPr>
              <w:t xml:space="preserve"> </w:t>
            </w:r>
            <w:r w:rsidRPr="00877B98">
              <w:rPr>
                <w:rFonts w:ascii="Calibri" w:hAnsi="Calibri"/>
                <w:b/>
                <w:bCs/>
                <w:sz w:val="22"/>
                <w:szCs w:val="22"/>
              </w:rPr>
              <w:t>claims that were wrongly issued</w:t>
            </w:r>
            <w:r>
              <w:rPr>
                <w:rFonts w:ascii="Calibri" w:hAnsi="Calibri"/>
                <w:b/>
                <w:bCs/>
                <w:sz w:val="22"/>
                <w:szCs w:val="22"/>
              </w:rPr>
              <w:t>.</w:t>
            </w:r>
          </w:p>
        </w:tc>
      </w:tr>
      <w:tr w:rsidR="001F4FA3" w14:paraId="020A2E78" w14:textId="77777777" w:rsidTr="0010708E">
        <w:trPr>
          <w:trHeight w:val="4795"/>
        </w:trPr>
        <w:tc>
          <w:tcPr>
            <w:tcW w:w="5904" w:type="dxa"/>
            <w:vAlign w:val="center"/>
          </w:tcPr>
          <w:p w14:paraId="7919B20D" w14:textId="68A4762E" w:rsidR="001F4FA3" w:rsidRPr="0010708E" w:rsidRDefault="00877B98"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Who endorsed inter </w:t>
            </w:r>
            <w:proofErr w:type="spellStart"/>
            <w:r>
              <w:rPr>
                <w:rFonts w:ascii="Calibri" w:hAnsi="Calibri"/>
                <w:b/>
                <w:bCs/>
                <w:sz w:val="28"/>
                <w:szCs w:val="28"/>
              </w:rPr>
              <w:t>partes</w:t>
            </w:r>
            <w:proofErr w:type="spellEnd"/>
            <w:r>
              <w:rPr>
                <w:rFonts w:ascii="Calibri" w:hAnsi="Calibri"/>
                <w:b/>
                <w:bCs/>
                <w:sz w:val="28"/>
                <w:szCs w:val="28"/>
              </w:rPr>
              <w:t xml:space="preserve"> review when it was enacted</w:t>
            </w:r>
            <w:r w:rsidR="001F4FA3" w:rsidRPr="0010708E">
              <w:rPr>
                <w:rFonts w:ascii="Calibri" w:hAnsi="Calibri"/>
                <w:b/>
                <w:bCs/>
                <w:sz w:val="28"/>
                <w:szCs w:val="28"/>
              </w:rPr>
              <w:t>?</w:t>
            </w:r>
          </w:p>
        </w:tc>
        <w:tc>
          <w:tcPr>
            <w:tcW w:w="5904" w:type="dxa"/>
            <w:vAlign w:val="center"/>
          </w:tcPr>
          <w:p w14:paraId="69D095A8" w14:textId="1D19215C" w:rsidR="001F4FA3" w:rsidRPr="0010708E" w:rsidRDefault="00877B98" w:rsidP="0010708E">
            <w:pPr>
              <w:pStyle w:val="O-BodyText"/>
              <w:spacing w:after="120"/>
              <w:ind w:right="162"/>
              <w:rPr>
                <w:rFonts w:ascii="Calibri" w:hAnsi="Calibri"/>
                <w:b/>
                <w:bCs/>
                <w:sz w:val="22"/>
                <w:szCs w:val="22"/>
              </w:rPr>
            </w:pPr>
            <w:proofErr w:type="spellStart"/>
            <w:r w:rsidRPr="00877B98">
              <w:rPr>
                <w:rFonts w:ascii="Calibri" w:hAnsi="Calibri"/>
                <w:b/>
                <w:bCs/>
                <w:sz w:val="22"/>
                <w:szCs w:val="22"/>
              </w:rPr>
              <w:t>IPR</w:t>
            </w:r>
            <w:proofErr w:type="spellEnd"/>
            <w:r w:rsidRPr="00877B98">
              <w:rPr>
                <w:rFonts w:ascii="Calibri" w:hAnsi="Calibri"/>
                <w:b/>
                <w:bCs/>
                <w:sz w:val="22"/>
                <w:szCs w:val="22"/>
              </w:rPr>
              <w:t xml:space="preserve"> was endorsed by entities across the technological spectrum, including </w:t>
            </w:r>
            <w:proofErr w:type="spellStart"/>
            <w:r w:rsidRPr="00877B98">
              <w:rPr>
                <w:rFonts w:ascii="Calibri" w:hAnsi="Calibri"/>
                <w:b/>
                <w:bCs/>
                <w:sz w:val="22"/>
                <w:szCs w:val="22"/>
              </w:rPr>
              <w:t>UMN</w:t>
            </w:r>
            <w:proofErr w:type="spellEnd"/>
            <w:r w:rsidRPr="00877B98">
              <w:rPr>
                <w:rFonts w:ascii="Calibri" w:hAnsi="Calibri"/>
                <w:b/>
                <w:bCs/>
                <w:sz w:val="22"/>
                <w:szCs w:val="22"/>
              </w:rPr>
              <w:t xml:space="preserve"> and one </w:t>
            </w:r>
            <w:r>
              <w:rPr>
                <w:rFonts w:ascii="Calibri" w:hAnsi="Calibri"/>
                <w:b/>
                <w:bCs/>
                <w:sz w:val="22"/>
                <w:szCs w:val="22"/>
              </w:rPr>
              <w:t xml:space="preserve">of its amici—the </w:t>
            </w:r>
            <w:r w:rsidRPr="00877B98">
              <w:rPr>
                <w:rFonts w:ascii="Calibri" w:hAnsi="Calibri"/>
                <w:b/>
                <w:bCs/>
                <w:sz w:val="22"/>
                <w:szCs w:val="22"/>
              </w:rPr>
              <w:t>Association of Public and Land Grant Universities</w:t>
            </w:r>
            <w:r>
              <w:rPr>
                <w:rFonts w:ascii="Calibri" w:hAnsi="Calibri"/>
                <w:b/>
                <w:bCs/>
                <w:sz w:val="22"/>
                <w:szCs w:val="22"/>
              </w:rPr>
              <w:t>.</w:t>
            </w:r>
          </w:p>
        </w:tc>
      </w:tr>
      <w:tr w:rsidR="005206F4" w14:paraId="73D5E005" w14:textId="77777777" w:rsidTr="0010708E">
        <w:trPr>
          <w:trHeight w:val="4795"/>
        </w:trPr>
        <w:tc>
          <w:tcPr>
            <w:tcW w:w="5904" w:type="dxa"/>
            <w:vAlign w:val="center"/>
          </w:tcPr>
          <w:p w14:paraId="2D4D9D8B" w14:textId="2F3C831D" w:rsidR="005206F4" w:rsidRPr="0010708E" w:rsidRDefault="00A966D3" w:rsidP="0010708E">
            <w:pPr>
              <w:pStyle w:val="O-BodyText"/>
              <w:spacing w:afterLines="120" w:after="288"/>
              <w:ind w:right="108"/>
              <w:rPr>
                <w:rFonts w:ascii="Calibri" w:hAnsi="Calibri"/>
                <w:b/>
                <w:bCs/>
                <w:sz w:val="28"/>
                <w:szCs w:val="28"/>
              </w:rPr>
            </w:pPr>
            <w:r>
              <w:rPr>
                <w:rFonts w:ascii="Calibri" w:hAnsi="Calibri"/>
                <w:b/>
                <w:bCs/>
                <w:sz w:val="28"/>
                <w:szCs w:val="28"/>
              </w:rPr>
              <w:t>How did this lawsuit begin</w:t>
            </w:r>
            <w:r w:rsidR="005A0D8C" w:rsidRPr="0010708E">
              <w:rPr>
                <w:rFonts w:ascii="Calibri" w:hAnsi="Calibri"/>
                <w:b/>
                <w:bCs/>
                <w:sz w:val="28"/>
                <w:szCs w:val="28"/>
              </w:rPr>
              <w:t>?</w:t>
            </w:r>
          </w:p>
        </w:tc>
        <w:tc>
          <w:tcPr>
            <w:tcW w:w="5904" w:type="dxa"/>
            <w:vAlign w:val="center"/>
          </w:tcPr>
          <w:p w14:paraId="15A19B77" w14:textId="1C50AAB8" w:rsidR="005206F4" w:rsidRPr="0010708E" w:rsidRDefault="00A966D3" w:rsidP="00C11E20">
            <w:pPr>
              <w:pStyle w:val="O-BodyText"/>
              <w:spacing w:after="120"/>
              <w:ind w:right="162"/>
              <w:rPr>
                <w:rFonts w:ascii="Calibri" w:hAnsi="Calibri"/>
                <w:b/>
                <w:bCs/>
                <w:sz w:val="22"/>
                <w:szCs w:val="22"/>
              </w:rPr>
            </w:pPr>
            <w:r w:rsidRPr="00A966D3">
              <w:rPr>
                <w:rFonts w:ascii="Calibri" w:eastAsia="Century Schoolbook" w:hAnsi="Calibri"/>
                <w:b/>
                <w:bCs/>
                <w:color w:val="000000"/>
                <w:sz w:val="22"/>
                <w:szCs w:val="22"/>
              </w:rPr>
              <w:t xml:space="preserve">In 2014, </w:t>
            </w:r>
            <w:proofErr w:type="spellStart"/>
            <w:r w:rsidRPr="00A966D3">
              <w:rPr>
                <w:rFonts w:ascii="Calibri" w:eastAsia="Century Schoolbook" w:hAnsi="Calibri"/>
                <w:b/>
                <w:bCs/>
                <w:color w:val="000000"/>
                <w:sz w:val="22"/>
                <w:szCs w:val="22"/>
              </w:rPr>
              <w:t>UMN</w:t>
            </w:r>
            <w:proofErr w:type="spellEnd"/>
            <w:r w:rsidRPr="00A966D3">
              <w:rPr>
                <w:rFonts w:ascii="Calibri" w:eastAsia="Century Schoolbook" w:hAnsi="Calibri"/>
                <w:b/>
                <w:bCs/>
                <w:color w:val="000000"/>
                <w:sz w:val="22"/>
                <w:szCs w:val="22"/>
              </w:rPr>
              <w:t xml:space="preserve"> filed lawsuits </w:t>
            </w:r>
            <w:r w:rsidR="00C11E20">
              <w:rPr>
                <w:rFonts w:ascii="Calibri" w:eastAsia="Century Schoolbook" w:hAnsi="Calibri"/>
                <w:b/>
                <w:bCs/>
                <w:color w:val="000000"/>
                <w:sz w:val="22"/>
                <w:szCs w:val="22"/>
              </w:rPr>
              <w:t xml:space="preserve">in the U.S. District Court for the District of Minnesota </w:t>
            </w:r>
            <w:r w:rsidRPr="00A966D3">
              <w:rPr>
                <w:rFonts w:ascii="Calibri" w:eastAsia="Century Schoolbook" w:hAnsi="Calibri"/>
                <w:b/>
                <w:bCs/>
                <w:color w:val="000000"/>
                <w:sz w:val="22"/>
                <w:szCs w:val="22"/>
              </w:rPr>
              <w:t>against four different wireless service</w:t>
            </w:r>
            <w:r w:rsidR="00C11E20">
              <w:rPr>
                <w:rFonts w:ascii="Calibri" w:eastAsia="Century Schoolbook" w:hAnsi="Calibri"/>
                <w:b/>
                <w:bCs/>
                <w:color w:val="000000"/>
                <w:sz w:val="22"/>
                <w:szCs w:val="22"/>
              </w:rPr>
              <w:t xml:space="preserve"> </w:t>
            </w:r>
            <w:r w:rsidRPr="00A966D3">
              <w:rPr>
                <w:rFonts w:ascii="Calibri" w:eastAsia="Century Schoolbook" w:hAnsi="Calibri"/>
                <w:b/>
                <w:bCs/>
                <w:color w:val="000000"/>
                <w:sz w:val="22"/>
                <w:szCs w:val="22"/>
              </w:rPr>
              <w:t>providers</w:t>
            </w:r>
            <w:r w:rsidR="00C11E20">
              <w:rPr>
                <w:rFonts w:ascii="Calibri" w:eastAsia="Century Schoolbook" w:hAnsi="Calibri"/>
                <w:b/>
                <w:bCs/>
                <w:color w:val="000000"/>
                <w:sz w:val="22"/>
                <w:szCs w:val="22"/>
              </w:rPr>
              <w:t xml:space="preserve">.  </w:t>
            </w:r>
            <w:proofErr w:type="spellStart"/>
            <w:r w:rsidR="00C11E20">
              <w:rPr>
                <w:rFonts w:ascii="Calibri" w:eastAsia="Century Schoolbook" w:hAnsi="Calibri"/>
                <w:b/>
                <w:bCs/>
                <w:color w:val="000000"/>
                <w:sz w:val="22"/>
                <w:szCs w:val="22"/>
              </w:rPr>
              <w:t>UMN</w:t>
            </w:r>
            <w:proofErr w:type="spellEnd"/>
            <w:r w:rsidR="00C11E20">
              <w:rPr>
                <w:rFonts w:ascii="Calibri" w:eastAsia="Century Schoolbook" w:hAnsi="Calibri"/>
                <w:b/>
                <w:bCs/>
                <w:color w:val="000000"/>
                <w:sz w:val="22"/>
                <w:szCs w:val="22"/>
              </w:rPr>
              <w:t xml:space="preserve"> </w:t>
            </w:r>
            <w:r w:rsidRPr="00A966D3">
              <w:rPr>
                <w:rFonts w:ascii="Calibri" w:eastAsia="Century Schoolbook" w:hAnsi="Calibri"/>
                <w:b/>
                <w:bCs/>
                <w:color w:val="000000"/>
                <w:sz w:val="22"/>
                <w:szCs w:val="22"/>
              </w:rPr>
              <w:t>claim</w:t>
            </w:r>
            <w:r w:rsidR="00C11E20">
              <w:rPr>
                <w:rFonts w:ascii="Calibri" w:eastAsia="Century Schoolbook" w:hAnsi="Calibri"/>
                <w:b/>
                <w:bCs/>
                <w:color w:val="000000"/>
                <w:sz w:val="22"/>
                <w:szCs w:val="22"/>
              </w:rPr>
              <w:t>ed</w:t>
            </w:r>
            <w:r w:rsidRPr="00A966D3">
              <w:rPr>
                <w:rFonts w:ascii="Calibri" w:eastAsia="Century Schoolbook" w:hAnsi="Calibri"/>
                <w:b/>
                <w:bCs/>
                <w:color w:val="000000"/>
                <w:sz w:val="22"/>
                <w:szCs w:val="22"/>
              </w:rPr>
              <w:t xml:space="preserve"> that technology </w:t>
            </w:r>
            <w:r w:rsidR="00C11E20">
              <w:rPr>
                <w:rFonts w:ascii="Calibri" w:eastAsia="Century Schoolbook" w:hAnsi="Calibri"/>
                <w:b/>
                <w:bCs/>
                <w:color w:val="000000"/>
                <w:sz w:val="22"/>
                <w:szCs w:val="22"/>
              </w:rPr>
              <w:t>used for their 4G LTE networks—</w:t>
            </w:r>
            <w:r w:rsidRPr="00A966D3">
              <w:rPr>
                <w:rFonts w:ascii="Calibri" w:eastAsia="Century Schoolbook" w:hAnsi="Calibri"/>
                <w:b/>
                <w:bCs/>
                <w:color w:val="000000"/>
                <w:sz w:val="22"/>
                <w:szCs w:val="22"/>
              </w:rPr>
              <w:t xml:space="preserve">including technology supplied by Ericsson—infringed </w:t>
            </w:r>
            <w:proofErr w:type="spellStart"/>
            <w:r w:rsidRPr="00A966D3">
              <w:rPr>
                <w:rFonts w:ascii="Calibri" w:eastAsia="Century Schoolbook" w:hAnsi="Calibri"/>
                <w:b/>
                <w:bCs/>
                <w:color w:val="000000"/>
                <w:sz w:val="22"/>
                <w:szCs w:val="22"/>
              </w:rPr>
              <w:t>UMN’s</w:t>
            </w:r>
            <w:proofErr w:type="spellEnd"/>
            <w:r w:rsidRPr="00A966D3">
              <w:rPr>
                <w:rFonts w:ascii="Calibri" w:eastAsia="Century Schoolbook" w:hAnsi="Calibri"/>
                <w:b/>
                <w:bCs/>
                <w:color w:val="000000"/>
                <w:sz w:val="22"/>
                <w:szCs w:val="22"/>
              </w:rPr>
              <w:t xml:space="preserve"> patents.</w:t>
            </w:r>
          </w:p>
        </w:tc>
      </w:tr>
      <w:tr w:rsidR="00C11E20" w14:paraId="1756CB1D" w14:textId="77777777" w:rsidTr="0010708E">
        <w:trPr>
          <w:trHeight w:val="4795"/>
        </w:trPr>
        <w:tc>
          <w:tcPr>
            <w:tcW w:w="5904" w:type="dxa"/>
            <w:vAlign w:val="center"/>
          </w:tcPr>
          <w:p w14:paraId="3D3EC474" w14:textId="00D235E8" w:rsidR="00C11E20" w:rsidRDefault="00C11E20" w:rsidP="0010708E">
            <w:pPr>
              <w:pStyle w:val="O-BodyText"/>
              <w:spacing w:afterLines="120" w:after="288"/>
              <w:ind w:right="108"/>
              <w:rPr>
                <w:rFonts w:ascii="Calibri" w:hAnsi="Calibri"/>
                <w:b/>
                <w:bCs/>
                <w:sz w:val="28"/>
                <w:szCs w:val="28"/>
              </w:rPr>
            </w:pPr>
            <w:r>
              <w:rPr>
                <w:rFonts w:ascii="Calibri" w:hAnsi="Calibri"/>
                <w:b/>
                <w:bCs/>
                <w:sz w:val="28"/>
                <w:szCs w:val="28"/>
              </w:rPr>
              <w:t xml:space="preserve">Which wireless service providers did </w:t>
            </w:r>
            <w:proofErr w:type="spellStart"/>
            <w:r>
              <w:rPr>
                <w:rFonts w:ascii="Calibri" w:hAnsi="Calibri"/>
                <w:b/>
                <w:bCs/>
                <w:sz w:val="28"/>
                <w:szCs w:val="28"/>
              </w:rPr>
              <w:t>UMN</w:t>
            </w:r>
            <w:proofErr w:type="spellEnd"/>
            <w:r>
              <w:rPr>
                <w:rFonts w:ascii="Calibri" w:hAnsi="Calibri"/>
                <w:b/>
                <w:bCs/>
                <w:sz w:val="28"/>
                <w:szCs w:val="28"/>
              </w:rPr>
              <w:t xml:space="preserve"> originally sue for patent infringement?</w:t>
            </w:r>
          </w:p>
        </w:tc>
        <w:tc>
          <w:tcPr>
            <w:tcW w:w="5904" w:type="dxa"/>
            <w:vAlign w:val="center"/>
          </w:tcPr>
          <w:p w14:paraId="2C035814" w14:textId="6BBCBC44" w:rsidR="00C11E20" w:rsidRPr="00C11E20" w:rsidRDefault="00C11E20" w:rsidP="00C11E20">
            <w:pPr>
              <w:pStyle w:val="O-BodyText"/>
              <w:spacing w:after="120"/>
              <w:ind w:right="162"/>
              <w:rPr>
                <w:rFonts w:ascii="Calibri" w:eastAsia="Century Schoolbook" w:hAnsi="Calibri"/>
                <w:b/>
                <w:bCs/>
                <w:color w:val="000000"/>
                <w:sz w:val="22"/>
                <w:szCs w:val="22"/>
              </w:rPr>
            </w:pPr>
            <w:r w:rsidRPr="00C11E20">
              <w:rPr>
                <w:rFonts w:ascii="Calibri" w:eastAsia="Century Schoolbook" w:hAnsi="Calibri"/>
                <w:b/>
                <w:bCs/>
                <w:color w:val="000000"/>
                <w:sz w:val="22"/>
                <w:szCs w:val="22"/>
              </w:rPr>
              <w:t xml:space="preserve">AT&amp;T, Sprint, T-Mobile, and </w:t>
            </w:r>
            <w:proofErr w:type="spellStart"/>
            <w:r w:rsidRPr="00C11E20">
              <w:rPr>
                <w:rFonts w:ascii="Calibri" w:eastAsia="Century Schoolbook" w:hAnsi="Calibri"/>
                <w:b/>
                <w:bCs/>
                <w:color w:val="000000"/>
                <w:sz w:val="22"/>
                <w:szCs w:val="22"/>
              </w:rPr>
              <w:t>Cellco</w:t>
            </w:r>
            <w:proofErr w:type="spellEnd"/>
            <w:r w:rsidRPr="00C11E20">
              <w:rPr>
                <w:rFonts w:ascii="Calibri" w:eastAsia="Century Schoolbook" w:hAnsi="Calibri"/>
                <w:b/>
                <w:bCs/>
                <w:color w:val="000000"/>
                <w:sz w:val="22"/>
                <w:szCs w:val="22"/>
              </w:rPr>
              <w:t>.</w:t>
            </w:r>
          </w:p>
        </w:tc>
      </w:tr>
      <w:tr w:rsidR="00616887" w14:paraId="5AF870D3" w14:textId="77777777" w:rsidTr="0010708E">
        <w:trPr>
          <w:trHeight w:val="4795"/>
        </w:trPr>
        <w:tc>
          <w:tcPr>
            <w:tcW w:w="5904" w:type="dxa"/>
            <w:vAlign w:val="center"/>
          </w:tcPr>
          <w:p w14:paraId="62EB7A84" w14:textId="46DC3129" w:rsidR="00616887" w:rsidRPr="0010708E" w:rsidRDefault="00C11E20"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Did </w:t>
            </w:r>
            <w:proofErr w:type="spellStart"/>
            <w:r>
              <w:rPr>
                <w:rFonts w:ascii="Calibri" w:hAnsi="Calibri"/>
                <w:b/>
                <w:bCs/>
                <w:sz w:val="28"/>
                <w:szCs w:val="28"/>
              </w:rPr>
              <w:t>UMN</w:t>
            </w:r>
            <w:proofErr w:type="spellEnd"/>
            <w:r>
              <w:rPr>
                <w:rFonts w:ascii="Calibri" w:hAnsi="Calibri"/>
                <w:b/>
                <w:bCs/>
                <w:sz w:val="28"/>
                <w:szCs w:val="28"/>
              </w:rPr>
              <w:t xml:space="preserve"> sue any other service providers</w:t>
            </w:r>
            <w:r w:rsidR="00616887" w:rsidRPr="0010708E">
              <w:rPr>
                <w:rFonts w:ascii="Calibri" w:hAnsi="Calibri"/>
                <w:b/>
                <w:bCs/>
                <w:sz w:val="28"/>
                <w:szCs w:val="28"/>
              </w:rPr>
              <w:t>?</w:t>
            </w:r>
          </w:p>
        </w:tc>
        <w:tc>
          <w:tcPr>
            <w:tcW w:w="5904" w:type="dxa"/>
            <w:vAlign w:val="center"/>
          </w:tcPr>
          <w:p w14:paraId="7EC8086E" w14:textId="2A862C8E" w:rsidR="00616887" w:rsidRPr="0010708E" w:rsidRDefault="00C11E20" w:rsidP="0010708E">
            <w:pPr>
              <w:pStyle w:val="O-BodyText"/>
              <w:spacing w:after="120"/>
              <w:ind w:right="162"/>
              <w:rPr>
                <w:rFonts w:ascii="Calibri" w:eastAsia="Century Schoolbook" w:hAnsi="Calibri"/>
                <w:b/>
                <w:bCs/>
                <w:color w:val="000000"/>
                <w:sz w:val="22"/>
                <w:szCs w:val="22"/>
              </w:rPr>
            </w:pPr>
            <w:r>
              <w:rPr>
                <w:rFonts w:ascii="Calibri" w:hAnsi="Calibri"/>
                <w:b/>
                <w:bCs/>
                <w:sz w:val="22"/>
                <w:szCs w:val="22"/>
              </w:rPr>
              <w:t xml:space="preserve">Yes.  In 2016, </w:t>
            </w:r>
            <w:proofErr w:type="spellStart"/>
            <w:r>
              <w:rPr>
                <w:rFonts w:ascii="Calibri" w:hAnsi="Calibri"/>
                <w:b/>
                <w:bCs/>
                <w:sz w:val="22"/>
                <w:szCs w:val="22"/>
              </w:rPr>
              <w:t>UMN</w:t>
            </w:r>
            <w:proofErr w:type="spellEnd"/>
            <w:r>
              <w:rPr>
                <w:rFonts w:ascii="Calibri" w:hAnsi="Calibri"/>
                <w:b/>
                <w:bCs/>
                <w:sz w:val="22"/>
                <w:szCs w:val="22"/>
              </w:rPr>
              <w:t xml:space="preserve"> filed patent infringement suits against LSI Corporation, Avago Technologies, and Gilead Sciences.</w:t>
            </w:r>
          </w:p>
        </w:tc>
      </w:tr>
      <w:tr w:rsidR="005206F4" w14:paraId="241E80ED" w14:textId="77777777" w:rsidTr="0010708E">
        <w:trPr>
          <w:trHeight w:val="4795"/>
        </w:trPr>
        <w:tc>
          <w:tcPr>
            <w:tcW w:w="5904" w:type="dxa"/>
            <w:vAlign w:val="center"/>
          </w:tcPr>
          <w:p w14:paraId="29FB78D0" w14:textId="315917A2" w:rsidR="005206F4" w:rsidRPr="0010708E" w:rsidRDefault="00C11E20" w:rsidP="0010708E">
            <w:pPr>
              <w:pStyle w:val="O-BodyText"/>
              <w:spacing w:afterLines="120" w:after="288"/>
              <w:ind w:right="108"/>
              <w:rPr>
                <w:rFonts w:ascii="Calibri" w:hAnsi="Calibri"/>
                <w:b/>
                <w:bCs/>
                <w:sz w:val="28"/>
                <w:szCs w:val="28"/>
              </w:rPr>
            </w:pPr>
            <w:r>
              <w:rPr>
                <w:rFonts w:ascii="Calibri" w:hAnsi="Calibri"/>
                <w:b/>
                <w:bCs/>
                <w:sz w:val="28"/>
                <w:szCs w:val="28"/>
              </w:rPr>
              <w:t xml:space="preserve">How did Ericsson become involved in </w:t>
            </w:r>
            <w:r w:rsidR="00893D01">
              <w:rPr>
                <w:rFonts w:ascii="Calibri" w:hAnsi="Calibri"/>
                <w:b/>
                <w:bCs/>
                <w:sz w:val="28"/>
                <w:szCs w:val="28"/>
              </w:rPr>
              <w:t>this litigation</w:t>
            </w:r>
            <w:r w:rsidR="005A0D8C" w:rsidRPr="0010708E">
              <w:rPr>
                <w:rFonts w:ascii="Calibri" w:hAnsi="Calibri"/>
                <w:b/>
                <w:bCs/>
                <w:sz w:val="28"/>
                <w:szCs w:val="28"/>
              </w:rPr>
              <w:t>?</w:t>
            </w:r>
          </w:p>
        </w:tc>
        <w:tc>
          <w:tcPr>
            <w:tcW w:w="5904" w:type="dxa"/>
            <w:vAlign w:val="center"/>
          </w:tcPr>
          <w:p w14:paraId="2F567DA2" w14:textId="6265FBF5" w:rsidR="005206F4" w:rsidRPr="0010708E" w:rsidRDefault="00893D01" w:rsidP="0010708E">
            <w:pPr>
              <w:pStyle w:val="O-BodyText"/>
              <w:spacing w:after="120"/>
              <w:ind w:right="162"/>
              <w:rPr>
                <w:rFonts w:ascii="Calibri" w:hAnsi="Calibri"/>
                <w:b/>
                <w:bCs/>
                <w:sz w:val="22"/>
                <w:szCs w:val="22"/>
              </w:rPr>
            </w:pPr>
            <w:r w:rsidRPr="00893D01">
              <w:rPr>
                <w:rFonts w:ascii="Calibri" w:eastAsia="Century Schoolbook" w:hAnsi="Calibri"/>
                <w:b/>
                <w:bCs/>
                <w:color w:val="000000"/>
                <w:sz w:val="22"/>
                <w:szCs w:val="22"/>
              </w:rPr>
              <w:t xml:space="preserve">Ericsson intervened as a defendant to dispute </w:t>
            </w:r>
            <w:proofErr w:type="spellStart"/>
            <w:r w:rsidRPr="00893D01">
              <w:rPr>
                <w:rFonts w:ascii="Calibri" w:eastAsia="Century Schoolbook" w:hAnsi="Calibri"/>
                <w:b/>
                <w:bCs/>
                <w:color w:val="000000"/>
                <w:sz w:val="22"/>
                <w:szCs w:val="22"/>
              </w:rPr>
              <w:t>UMN’s</w:t>
            </w:r>
            <w:proofErr w:type="spellEnd"/>
            <w:r w:rsidRPr="00893D01">
              <w:rPr>
                <w:rFonts w:ascii="Calibri" w:eastAsia="Century Schoolbook" w:hAnsi="Calibri"/>
                <w:b/>
                <w:bCs/>
                <w:color w:val="000000"/>
                <w:sz w:val="22"/>
                <w:szCs w:val="22"/>
              </w:rPr>
              <w:t xml:space="preserve"> claims</w:t>
            </w:r>
            <w:r w:rsidR="00E2483D">
              <w:rPr>
                <w:rFonts w:ascii="Calibri" w:eastAsia="Century Schoolbook" w:hAnsi="Calibri"/>
                <w:b/>
                <w:bCs/>
                <w:color w:val="000000"/>
                <w:sz w:val="22"/>
                <w:szCs w:val="22"/>
              </w:rPr>
              <w:t xml:space="preserve">.  </w:t>
            </w:r>
            <w:r w:rsidR="00E2483D" w:rsidRPr="00E2483D">
              <w:rPr>
                <w:rFonts w:ascii="Calibri" w:hAnsi="Calibri"/>
                <w:b/>
                <w:bCs/>
                <w:sz w:val="22"/>
                <w:szCs w:val="22"/>
              </w:rPr>
              <w:t xml:space="preserve">As part of its defense, Ericsson petitioned for </w:t>
            </w:r>
            <w:proofErr w:type="spellStart"/>
            <w:r w:rsidR="00E2483D" w:rsidRPr="00E2483D">
              <w:rPr>
                <w:rFonts w:ascii="Calibri" w:hAnsi="Calibri"/>
                <w:b/>
                <w:bCs/>
                <w:sz w:val="22"/>
                <w:szCs w:val="22"/>
              </w:rPr>
              <w:t>IPR</w:t>
            </w:r>
            <w:proofErr w:type="spellEnd"/>
            <w:r w:rsidR="00E2483D" w:rsidRPr="00E2483D">
              <w:rPr>
                <w:rFonts w:ascii="Calibri" w:hAnsi="Calibri"/>
                <w:b/>
                <w:bCs/>
                <w:sz w:val="22"/>
                <w:szCs w:val="22"/>
              </w:rPr>
              <w:t xml:space="preserve"> of </w:t>
            </w:r>
            <w:proofErr w:type="spellStart"/>
            <w:r w:rsidR="00E2483D" w:rsidRPr="00E2483D">
              <w:rPr>
                <w:rFonts w:ascii="Calibri" w:hAnsi="Calibri"/>
                <w:b/>
                <w:bCs/>
                <w:sz w:val="22"/>
                <w:szCs w:val="22"/>
              </w:rPr>
              <w:t>UMN’s</w:t>
            </w:r>
            <w:proofErr w:type="spellEnd"/>
            <w:r w:rsidR="00E2483D" w:rsidRPr="00E2483D">
              <w:rPr>
                <w:rFonts w:ascii="Calibri" w:hAnsi="Calibri"/>
                <w:b/>
                <w:bCs/>
                <w:sz w:val="22"/>
                <w:szCs w:val="22"/>
              </w:rPr>
              <w:t xml:space="preserve"> patents, asserting that the patents never should have issued </w:t>
            </w:r>
            <w:proofErr w:type="gramStart"/>
            <w:r w:rsidR="00E2483D" w:rsidRPr="00E2483D">
              <w:rPr>
                <w:rFonts w:ascii="Calibri" w:hAnsi="Calibri"/>
                <w:b/>
                <w:bCs/>
                <w:sz w:val="22"/>
                <w:szCs w:val="22"/>
              </w:rPr>
              <w:t>in light of</w:t>
            </w:r>
            <w:proofErr w:type="gramEnd"/>
            <w:r w:rsidR="00E2483D" w:rsidRPr="00E2483D">
              <w:rPr>
                <w:rFonts w:ascii="Calibri" w:hAnsi="Calibri"/>
                <w:b/>
                <w:bCs/>
                <w:sz w:val="22"/>
                <w:szCs w:val="22"/>
              </w:rPr>
              <w:t xml:space="preserve"> the prior art</w:t>
            </w:r>
            <w:r w:rsidR="00E2483D">
              <w:rPr>
                <w:rFonts w:ascii="Calibri" w:hAnsi="Calibri"/>
                <w:b/>
                <w:bCs/>
                <w:sz w:val="22"/>
                <w:szCs w:val="22"/>
              </w:rPr>
              <w:t>.</w:t>
            </w:r>
          </w:p>
        </w:tc>
      </w:tr>
      <w:tr w:rsidR="0028302D" w14:paraId="299C84EE" w14:textId="77777777" w:rsidTr="0010708E">
        <w:trPr>
          <w:trHeight w:val="4795"/>
        </w:trPr>
        <w:tc>
          <w:tcPr>
            <w:tcW w:w="5904" w:type="dxa"/>
            <w:vAlign w:val="center"/>
          </w:tcPr>
          <w:p w14:paraId="4200EAD3" w14:textId="337094C8" w:rsidR="0028302D" w:rsidRDefault="0028302D" w:rsidP="0010708E">
            <w:pPr>
              <w:pStyle w:val="O-BodyText"/>
              <w:spacing w:afterLines="120" w:after="288"/>
              <w:ind w:right="108"/>
              <w:rPr>
                <w:rFonts w:ascii="Calibri" w:hAnsi="Calibri"/>
                <w:b/>
                <w:bCs/>
                <w:sz w:val="28"/>
                <w:szCs w:val="28"/>
              </w:rPr>
            </w:pPr>
            <w:r>
              <w:rPr>
                <w:rFonts w:ascii="Calibri" w:hAnsi="Calibri"/>
                <w:b/>
                <w:bCs/>
                <w:sz w:val="28"/>
                <w:szCs w:val="28"/>
              </w:rPr>
              <w:t>When did Ericsson move to intervene in the litigation?</w:t>
            </w:r>
          </w:p>
        </w:tc>
        <w:tc>
          <w:tcPr>
            <w:tcW w:w="5904" w:type="dxa"/>
            <w:vAlign w:val="center"/>
          </w:tcPr>
          <w:p w14:paraId="383D7ACB" w14:textId="149B8733" w:rsidR="0028302D" w:rsidRPr="00893D01" w:rsidRDefault="0028302D" w:rsidP="0010708E">
            <w:pPr>
              <w:pStyle w:val="O-BodyText"/>
              <w:spacing w:after="120"/>
              <w:ind w:right="162"/>
              <w:rPr>
                <w:rFonts w:ascii="Calibri" w:eastAsia="Century Schoolbook" w:hAnsi="Calibri"/>
                <w:b/>
                <w:bCs/>
                <w:color w:val="000000"/>
                <w:sz w:val="22"/>
                <w:szCs w:val="22"/>
              </w:rPr>
            </w:pPr>
            <w:r w:rsidRPr="00394B7B">
              <w:rPr>
                <w:rFonts w:ascii="Calibri" w:eastAsia="Century Schoolbook" w:hAnsi="Calibri"/>
                <w:b/>
                <w:bCs/>
                <w:color w:val="000000"/>
                <w:sz w:val="22"/>
                <w:szCs w:val="22"/>
                <w:highlight w:val="yellow"/>
              </w:rPr>
              <w:t xml:space="preserve">January 21, 2016.  </w:t>
            </w:r>
            <w:proofErr w:type="spellStart"/>
            <w:r w:rsidRPr="00394B7B">
              <w:rPr>
                <w:rFonts w:ascii="Calibri" w:eastAsia="Century Schoolbook" w:hAnsi="Calibri"/>
                <w:b/>
                <w:bCs/>
                <w:color w:val="000000"/>
                <w:sz w:val="22"/>
                <w:szCs w:val="22"/>
                <w:highlight w:val="yellow"/>
              </w:rPr>
              <w:t>UMN</w:t>
            </w:r>
            <w:proofErr w:type="spellEnd"/>
            <w:r w:rsidRPr="00394B7B">
              <w:rPr>
                <w:rFonts w:ascii="Calibri" w:eastAsia="Century Schoolbook" w:hAnsi="Calibri"/>
                <w:b/>
                <w:bCs/>
                <w:color w:val="000000"/>
                <w:sz w:val="22"/>
                <w:szCs w:val="22"/>
                <w:highlight w:val="yellow"/>
              </w:rPr>
              <w:t xml:space="preserve"> Br. </w:t>
            </w:r>
            <w:r w:rsidR="00394B7B" w:rsidRPr="00394B7B">
              <w:rPr>
                <w:rFonts w:ascii="Calibri" w:eastAsia="Century Schoolbook" w:hAnsi="Calibri"/>
                <w:b/>
                <w:bCs/>
                <w:color w:val="000000"/>
                <w:sz w:val="22"/>
                <w:szCs w:val="22"/>
                <w:highlight w:val="yellow"/>
              </w:rPr>
              <w:t>13.</w:t>
            </w:r>
          </w:p>
        </w:tc>
      </w:tr>
      <w:tr w:rsidR="00736E3A" w14:paraId="666B2B2A" w14:textId="77777777" w:rsidTr="0010708E">
        <w:trPr>
          <w:trHeight w:val="4795"/>
        </w:trPr>
        <w:tc>
          <w:tcPr>
            <w:tcW w:w="5904" w:type="dxa"/>
            <w:vAlign w:val="center"/>
          </w:tcPr>
          <w:p w14:paraId="4966528F" w14:textId="1FBDB3E5" w:rsidR="00736E3A" w:rsidRPr="0010708E" w:rsidRDefault="00AF26C9"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Describe the </w:t>
            </w:r>
            <w:proofErr w:type="spellStart"/>
            <w:r w:rsidR="00E2483D">
              <w:rPr>
                <w:rFonts w:ascii="Calibri" w:hAnsi="Calibri"/>
                <w:b/>
                <w:bCs/>
                <w:sz w:val="28"/>
                <w:szCs w:val="28"/>
              </w:rPr>
              <w:t>UMN</w:t>
            </w:r>
            <w:proofErr w:type="spellEnd"/>
            <w:r w:rsidR="00E2483D">
              <w:rPr>
                <w:rFonts w:ascii="Calibri" w:hAnsi="Calibri"/>
                <w:b/>
                <w:bCs/>
                <w:sz w:val="28"/>
                <w:szCs w:val="28"/>
              </w:rPr>
              <w:t xml:space="preserve"> patents </w:t>
            </w:r>
            <w:r>
              <w:rPr>
                <w:rFonts w:ascii="Calibri" w:hAnsi="Calibri"/>
                <w:b/>
                <w:bCs/>
                <w:sz w:val="28"/>
                <w:szCs w:val="28"/>
              </w:rPr>
              <w:t>at issue in this litigation</w:t>
            </w:r>
            <w:r w:rsidR="005A0D8C" w:rsidRPr="0010708E">
              <w:rPr>
                <w:rFonts w:ascii="Calibri" w:hAnsi="Calibri"/>
                <w:b/>
                <w:bCs/>
                <w:sz w:val="28"/>
                <w:szCs w:val="28"/>
              </w:rPr>
              <w:t>?</w:t>
            </w:r>
          </w:p>
        </w:tc>
        <w:tc>
          <w:tcPr>
            <w:tcW w:w="5904" w:type="dxa"/>
            <w:vAlign w:val="center"/>
          </w:tcPr>
          <w:p w14:paraId="757A0DAA" w14:textId="1F89839C" w:rsidR="00736E3A" w:rsidRPr="0010708E" w:rsidRDefault="00AF26C9" w:rsidP="0010708E">
            <w:pPr>
              <w:pStyle w:val="O-BodyText"/>
              <w:spacing w:after="120"/>
              <w:ind w:right="162"/>
              <w:rPr>
                <w:rFonts w:ascii="Calibri" w:hAnsi="Calibri"/>
                <w:b/>
                <w:bCs/>
                <w:sz w:val="22"/>
                <w:szCs w:val="22"/>
              </w:rPr>
            </w:pPr>
            <w:proofErr w:type="spellStart"/>
            <w:r>
              <w:rPr>
                <w:rFonts w:ascii="Calibri" w:hAnsi="Calibri"/>
                <w:b/>
                <w:bCs/>
                <w:sz w:val="22"/>
                <w:szCs w:val="22"/>
              </w:rPr>
              <w:t>UMN’s</w:t>
            </w:r>
            <w:proofErr w:type="spellEnd"/>
            <w:r w:rsidRPr="00AF26C9">
              <w:rPr>
                <w:rFonts w:ascii="Calibri" w:hAnsi="Calibri"/>
                <w:b/>
                <w:bCs/>
                <w:sz w:val="22"/>
                <w:szCs w:val="22"/>
              </w:rPr>
              <w:t xml:space="preserve"> asserted patents relate to methods of encoding wireless communication data to address problems with their transmission, such as fading signal strength</w:t>
            </w:r>
            <w:r>
              <w:rPr>
                <w:rFonts w:ascii="Calibri" w:hAnsi="Calibri"/>
                <w:b/>
                <w:bCs/>
                <w:sz w:val="22"/>
                <w:szCs w:val="22"/>
              </w:rPr>
              <w:t>.</w:t>
            </w:r>
          </w:p>
        </w:tc>
      </w:tr>
      <w:tr w:rsidR="00736E3A" w14:paraId="129EBEE0" w14:textId="77777777" w:rsidTr="0010708E">
        <w:trPr>
          <w:trHeight w:val="4795"/>
        </w:trPr>
        <w:tc>
          <w:tcPr>
            <w:tcW w:w="5904" w:type="dxa"/>
            <w:vAlign w:val="center"/>
          </w:tcPr>
          <w:p w14:paraId="7FABD083" w14:textId="0B6AEA83" w:rsidR="00736E3A" w:rsidRPr="0010708E" w:rsidRDefault="00AF26C9"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did Ericsson assert </w:t>
            </w:r>
            <w:proofErr w:type="gramStart"/>
            <w:r>
              <w:rPr>
                <w:rFonts w:ascii="Calibri" w:hAnsi="Calibri"/>
                <w:b/>
                <w:bCs/>
                <w:sz w:val="28"/>
                <w:szCs w:val="28"/>
              </w:rPr>
              <w:t>regarding</w:t>
            </w:r>
            <w:proofErr w:type="gramEnd"/>
            <w:r>
              <w:rPr>
                <w:rFonts w:ascii="Calibri" w:hAnsi="Calibri"/>
                <w:b/>
                <w:bCs/>
                <w:sz w:val="28"/>
                <w:szCs w:val="28"/>
              </w:rPr>
              <w:t xml:space="preserve"> </w:t>
            </w:r>
            <w:proofErr w:type="spellStart"/>
            <w:r>
              <w:rPr>
                <w:rFonts w:ascii="Calibri" w:hAnsi="Calibri"/>
                <w:b/>
                <w:bCs/>
                <w:sz w:val="28"/>
                <w:szCs w:val="28"/>
              </w:rPr>
              <w:t>UMN’s</w:t>
            </w:r>
            <w:proofErr w:type="spellEnd"/>
            <w:r>
              <w:rPr>
                <w:rFonts w:ascii="Calibri" w:hAnsi="Calibri"/>
                <w:b/>
                <w:bCs/>
                <w:sz w:val="28"/>
                <w:szCs w:val="28"/>
              </w:rPr>
              <w:t xml:space="preserve"> patents</w:t>
            </w:r>
            <w:r w:rsidR="001A1F7F" w:rsidRPr="0010708E">
              <w:rPr>
                <w:rFonts w:ascii="Calibri" w:hAnsi="Calibri"/>
                <w:b/>
                <w:bCs/>
                <w:sz w:val="28"/>
                <w:szCs w:val="28"/>
              </w:rPr>
              <w:t>?</w:t>
            </w:r>
          </w:p>
        </w:tc>
        <w:tc>
          <w:tcPr>
            <w:tcW w:w="5904" w:type="dxa"/>
            <w:vAlign w:val="center"/>
          </w:tcPr>
          <w:p w14:paraId="7D6B2606" w14:textId="1C66311C" w:rsidR="00736E3A" w:rsidRPr="0010708E" w:rsidRDefault="00AF26C9" w:rsidP="0010708E">
            <w:pPr>
              <w:pStyle w:val="O-BodyText"/>
              <w:spacing w:after="120"/>
              <w:ind w:right="162"/>
              <w:rPr>
                <w:rFonts w:ascii="Calibri" w:hAnsi="Calibri"/>
                <w:b/>
                <w:bCs/>
                <w:sz w:val="22"/>
                <w:szCs w:val="22"/>
              </w:rPr>
            </w:pPr>
            <w:r w:rsidRPr="00AF26C9">
              <w:rPr>
                <w:rFonts w:ascii="Calibri" w:hAnsi="Calibri"/>
                <w:b/>
                <w:bCs/>
                <w:sz w:val="22"/>
                <w:szCs w:val="22"/>
              </w:rPr>
              <w:t xml:space="preserve">Ericsson explained that many of </w:t>
            </w:r>
            <w:proofErr w:type="spellStart"/>
            <w:r w:rsidR="00813FEF">
              <w:rPr>
                <w:rFonts w:ascii="Calibri" w:hAnsi="Calibri"/>
                <w:b/>
                <w:bCs/>
                <w:sz w:val="22"/>
                <w:szCs w:val="22"/>
              </w:rPr>
              <w:t>UMN’s</w:t>
            </w:r>
            <w:proofErr w:type="spellEnd"/>
            <w:r w:rsidR="00813FEF">
              <w:rPr>
                <w:rFonts w:ascii="Calibri" w:hAnsi="Calibri"/>
                <w:b/>
                <w:bCs/>
                <w:sz w:val="22"/>
                <w:szCs w:val="22"/>
              </w:rPr>
              <w:t xml:space="preserve"> patent</w:t>
            </w:r>
            <w:r w:rsidRPr="00AF26C9">
              <w:rPr>
                <w:rFonts w:ascii="Calibri" w:hAnsi="Calibri"/>
                <w:b/>
                <w:bCs/>
                <w:sz w:val="22"/>
                <w:szCs w:val="22"/>
              </w:rPr>
              <w:t xml:space="preserve"> claims were fully anticipated while the rest simply combined known modulation techniques and well-understood mathematical operations</w:t>
            </w:r>
            <w:r>
              <w:rPr>
                <w:rFonts w:ascii="Calibri" w:hAnsi="Calibri"/>
                <w:b/>
                <w:bCs/>
                <w:sz w:val="22"/>
                <w:szCs w:val="22"/>
              </w:rPr>
              <w:t>.</w:t>
            </w:r>
          </w:p>
        </w:tc>
      </w:tr>
      <w:tr w:rsidR="00394B7B" w14:paraId="5FA8B8AF" w14:textId="77777777" w:rsidTr="0010708E">
        <w:trPr>
          <w:trHeight w:val="4795"/>
        </w:trPr>
        <w:tc>
          <w:tcPr>
            <w:tcW w:w="5904" w:type="dxa"/>
            <w:vAlign w:val="center"/>
          </w:tcPr>
          <w:p w14:paraId="47BE7D0E" w14:textId="28946893" w:rsidR="00394B7B" w:rsidRDefault="00394B7B" w:rsidP="0010708E">
            <w:pPr>
              <w:pStyle w:val="O-BodyText"/>
              <w:spacing w:afterLines="120" w:after="288"/>
              <w:ind w:right="108"/>
              <w:rPr>
                <w:rFonts w:ascii="Calibri" w:hAnsi="Calibri"/>
                <w:b/>
                <w:bCs/>
                <w:sz w:val="28"/>
                <w:szCs w:val="28"/>
              </w:rPr>
            </w:pPr>
            <w:r>
              <w:rPr>
                <w:rFonts w:ascii="Calibri" w:hAnsi="Calibri"/>
                <w:b/>
                <w:bCs/>
                <w:sz w:val="28"/>
                <w:szCs w:val="28"/>
              </w:rPr>
              <w:t xml:space="preserve">Did </w:t>
            </w:r>
            <w:proofErr w:type="gramStart"/>
            <w:r>
              <w:rPr>
                <w:rFonts w:ascii="Calibri" w:hAnsi="Calibri"/>
                <w:b/>
                <w:bCs/>
                <w:sz w:val="28"/>
                <w:szCs w:val="28"/>
              </w:rPr>
              <w:t>all of</w:t>
            </w:r>
            <w:proofErr w:type="gramEnd"/>
            <w:r>
              <w:rPr>
                <w:rFonts w:ascii="Calibri" w:hAnsi="Calibri"/>
                <w:b/>
                <w:bCs/>
                <w:sz w:val="28"/>
                <w:szCs w:val="28"/>
              </w:rPr>
              <w:t xml:space="preserve"> the </w:t>
            </w:r>
            <w:r w:rsidRPr="00394B7B">
              <w:rPr>
                <w:rFonts w:ascii="Calibri" w:hAnsi="Calibri"/>
                <w:b/>
                <w:bCs/>
                <w:sz w:val="28"/>
                <w:szCs w:val="28"/>
              </w:rPr>
              <w:t xml:space="preserve">defendants to the LSI, Ericsson, and Gilead Litigations challenge the </w:t>
            </w:r>
            <w:r>
              <w:rPr>
                <w:rFonts w:ascii="Calibri" w:hAnsi="Calibri"/>
                <w:b/>
                <w:bCs/>
                <w:sz w:val="28"/>
                <w:szCs w:val="28"/>
              </w:rPr>
              <w:t>asserted patents in those cases?</w:t>
            </w:r>
          </w:p>
        </w:tc>
        <w:tc>
          <w:tcPr>
            <w:tcW w:w="5904" w:type="dxa"/>
            <w:vAlign w:val="center"/>
          </w:tcPr>
          <w:p w14:paraId="71D05062" w14:textId="79025887" w:rsidR="00394B7B" w:rsidRPr="00AF26C9" w:rsidRDefault="00394B7B" w:rsidP="0010708E">
            <w:pPr>
              <w:pStyle w:val="O-BodyText"/>
              <w:spacing w:after="120"/>
              <w:ind w:right="162"/>
              <w:rPr>
                <w:rFonts w:ascii="Calibri" w:hAnsi="Calibri"/>
                <w:b/>
                <w:bCs/>
                <w:sz w:val="22"/>
                <w:szCs w:val="22"/>
              </w:rPr>
            </w:pPr>
            <w:r w:rsidRPr="00394B7B">
              <w:rPr>
                <w:rFonts w:ascii="Calibri" w:hAnsi="Calibri"/>
                <w:b/>
                <w:bCs/>
                <w:sz w:val="22"/>
                <w:szCs w:val="22"/>
                <w:highlight w:val="yellow"/>
              </w:rPr>
              <w:t xml:space="preserve">Yes.  </w:t>
            </w:r>
            <w:proofErr w:type="spellStart"/>
            <w:r w:rsidRPr="00394B7B">
              <w:rPr>
                <w:rFonts w:ascii="Calibri" w:hAnsi="Calibri"/>
                <w:b/>
                <w:bCs/>
                <w:sz w:val="22"/>
                <w:szCs w:val="22"/>
                <w:highlight w:val="yellow"/>
              </w:rPr>
              <w:t>UMN</w:t>
            </w:r>
            <w:proofErr w:type="spellEnd"/>
            <w:r w:rsidRPr="00394B7B">
              <w:rPr>
                <w:rFonts w:ascii="Calibri" w:hAnsi="Calibri"/>
                <w:b/>
                <w:bCs/>
                <w:sz w:val="22"/>
                <w:szCs w:val="22"/>
                <w:highlight w:val="yellow"/>
              </w:rPr>
              <w:t xml:space="preserve"> Br. 13.</w:t>
            </w:r>
          </w:p>
        </w:tc>
      </w:tr>
      <w:tr w:rsidR="00394B7B" w14:paraId="0BD189FA" w14:textId="77777777" w:rsidTr="0010708E">
        <w:trPr>
          <w:trHeight w:val="4795"/>
        </w:trPr>
        <w:tc>
          <w:tcPr>
            <w:tcW w:w="5904" w:type="dxa"/>
            <w:vAlign w:val="center"/>
          </w:tcPr>
          <w:p w14:paraId="6F0DD6CE" w14:textId="6004DC12" w:rsidR="00394B7B" w:rsidRDefault="00394B7B"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Did </w:t>
            </w:r>
            <w:proofErr w:type="gramStart"/>
            <w:r>
              <w:rPr>
                <w:rFonts w:ascii="Calibri" w:hAnsi="Calibri"/>
                <w:b/>
                <w:bCs/>
                <w:sz w:val="28"/>
                <w:szCs w:val="28"/>
              </w:rPr>
              <w:t>all of</w:t>
            </w:r>
            <w:proofErr w:type="gramEnd"/>
            <w:r>
              <w:rPr>
                <w:rFonts w:ascii="Calibri" w:hAnsi="Calibri"/>
                <w:b/>
                <w:bCs/>
                <w:sz w:val="28"/>
                <w:szCs w:val="28"/>
              </w:rPr>
              <w:t xml:space="preserve"> the </w:t>
            </w:r>
            <w:r w:rsidRPr="00394B7B">
              <w:rPr>
                <w:rFonts w:ascii="Calibri" w:hAnsi="Calibri"/>
                <w:b/>
                <w:bCs/>
                <w:sz w:val="28"/>
                <w:szCs w:val="28"/>
              </w:rPr>
              <w:t xml:space="preserve">defendants to the LSI, Ericsson, and Gilead Litigations </w:t>
            </w:r>
            <w:r>
              <w:rPr>
                <w:rFonts w:ascii="Calibri" w:hAnsi="Calibri"/>
                <w:b/>
                <w:bCs/>
                <w:sz w:val="28"/>
                <w:szCs w:val="28"/>
              </w:rPr>
              <w:t xml:space="preserve">file </w:t>
            </w:r>
            <w:proofErr w:type="spellStart"/>
            <w:r>
              <w:rPr>
                <w:rFonts w:ascii="Calibri" w:hAnsi="Calibri"/>
                <w:b/>
                <w:bCs/>
                <w:sz w:val="28"/>
                <w:szCs w:val="28"/>
              </w:rPr>
              <w:t>IPRs</w:t>
            </w:r>
            <w:proofErr w:type="spellEnd"/>
            <w:r>
              <w:rPr>
                <w:rFonts w:ascii="Calibri" w:hAnsi="Calibri"/>
                <w:b/>
                <w:bCs/>
                <w:sz w:val="28"/>
                <w:szCs w:val="28"/>
              </w:rPr>
              <w:t xml:space="preserve"> at the </w:t>
            </w:r>
            <w:proofErr w:type="spellStart"/>
            <w:r>
              <w:rPr>
                <w:rFonts w:ascii="Calibri" w:hAnsi="Calibri"/>
                <w:b/>
                <w:bCs/>
                <w:sz w:val="28"/>
                <w:szCs w:val="28"/>
              </w:rPr>
              <w:t>PTAB</w:t>
            </w:r>
            <w:proofErr w:type="spellEnd"/>
            <w:r>
              <w:rPr>
                <w:rFonts w:ascii="Calibri" w:hAnsi="Calibri"/>
                <w:b/>
                <w:bCs/>
                <w:sz w:val="28"/>
                <w:szCs w:val="28"/>
              </w:rPr>
              <w:t>?</w:t>
            </w:r>
          </w:p>
        </w:tc>
        <w:tc>
          <w:tcPr>
            <w:tcW w:w="5904" w:type="dxa"/>
            <w:vAlign w:val="center"/>
          </w:tcPr>
          <w:p w14:paraId="00F68178" w14:textId="7EA3FD3E" w:rsidR="00394B7B" w:rsidRPr="00394B7B" w:rsidRDefault="00394B7B" w:rsidP="0010708E">
            <w:pPr>
              <w:pStyle w:val="O-BodyText"/>
              <w:spacing w:after="120"/>
              <w:ind w:right="162"/>
              <w:rPr>
                <w:rFonts w:ascii="Calibri" w:hAnsi="Calibri"/>
                <w:b/>
                <w:bCs/>
                <w:sz w:val="22"/>
                <w:szCs w:val="22"/>
                <w:highlight w:val="yellow"/>
              </w:rPr>
            </w:pPr>
            <w:r w:rsidRPr="00394B7B">
              <w:rPr>
                <w:rFonts w:ascii="Calibri" w:hAnsi="Calibri"/>
                <w:b/>
                <w:bCs/>
                <w:sz w:val="22"/>
                <w:szCs w:val="22"/>
                <w:highlight w:val="yellow"/>
              </w:rPr>
              <w:t xml:space="preserve">Yes.  </w:t>
            </w:r>
            <w:r w:rsidR="00835465" w:rsidRPr="00835465">
              <w:rPr>
                <w:rFonts w:ascii="Calibri" w:hAnsi="Calibri"/>
                <w:b/>
                <w:bCs/>
                <w:sz w:val="22"/>
                <w:szCs w:val="22"/>
                <w:highlight w:val="yellow"/>
              </w:rPr>
              <w:t xml:space="preserve">LSI filed an </w:t>
            </w:r>
            <w:proofErr w:type="spellStart"/>
            <w:r w:rsidR="00835465" w:rsidRPr="00835465">
              <w:rPr>
                <w:rFonts w:ascii="Calibri" w:hAnsi="Calibri"/>
                <w:b/>
                <w:bCs/>
                <w:sz w:val="22"/>
                <w:szCs w:val="22"/>
                <w:highlight w:val="yellow"/>
              </w:rPr>
              <w:t>IPR</w:t>
            </w:r>
            <w:proofErr w:type="spellEnd"/>
            <w:r w:rsidR="00835465" w:rsidRPr="00835465">
              <w:rPr>
                <w:rFonts w:ascii="Calibri" w:hAnsi="Calibri"/>
                <w:b/>
                <w:bCs/>
                <w:sz w:val="22"/>
                <w:szCs w:val="22"/>
                <w:highlight w:val="yellow"/>
              </w:rPr>
              <w:t xml:space="preserve"> petition challenging one </w:t>
            </w:r>
            <w:proofErr w:type="spellStart"/>
            <w:r w:rsidR="00835465" w:rsidRPr="00835465">
              <w:rPr>
                <w:rFonts w:ascii="Calibri" w:hAnsi="Calibri"/>
                <w:b/>
                <w:bCs/>
                <w:sz w:val="22"/>
                <w:szCs w:val="22"/>
                <w:highlight w:val="yellow"/>
              </w:rPr>
              <w:t>UMN</w:t>
            </w:r>
            <w:proofErr w:type="spellEnd"/>
            <w:r w:rsidR="00835465" w:rsidRPr="00835465">
              <w:rPr>
                <w:rFonts w:ascii="Calibri" w:hAnsi="Calibri"/>
                <w:b/>
                <w:bCs/>
                <w:sz w:val="22"/>
                <w:szCs w:val="22"/>
                <w:highlight w:val="yellow"/>
              </w:rPr>
              <w:t xml:space="preserve"> patent.</w:t>
            </w:r>
            <w:r w:rsidR="00970503">
              <w:rPr>
                <w:rFonts w:ascii="Calibri" w:hAnsi="Calibri"/>
                <w:b/>
                <w:bCs/>
                <w:sz w:val="22"/>
                <w:szCs w:val="22"/>
                <w:highlight w:val="yellow"/>
              </w:rPr>
              <w:t xml:space="preserve">  </w:t>
            </w:r>
            <w:r w:rsidR="00835465" w:rsidRPr="00835465">
              <w:rPr>
                <w:rFonts w:ascii="Calibri" w:hAnsi="Calibri"/>
                <w:b/>
                <w:bCs/>
                <w:sz w:val="22"/>
                <w:szCs w:val="22"/>
                <w:highlight w:val="yellow"/>
              </w:rPr>
              <w:t xml:space="preserve">Ericsson filed six </w:t>
            </w:r>
            <w:proofErr w:type="spellStart"/>
            <w:r w:rsidR="00835465" w:rsidRPr="00835465">
              <w:rPr>
                <w:rFonts w:ascii="Calibri" w:hAnsi="Calibri"/>
                <w:b/>
                <w:bCs/>
                <w:sz w:val="22"/>
                <w:szCs w:val="22"/>
                <w:highlight w:val="yellow"/>
              </w:rPr>
              <w:t>IPR</w:t>
            </w:r>
            <w:proofErr w:type="spellEnd"/>
            <w:r w:rsidR="00835465" w:rsidRPr="00835465">
              <w:rPr>
                <w:rFonts w:ascii="Calibri" w:hAnsi="Calibri"/>
                <w:b/>
                <w:bCs/>
                <w:sz w:val="22"/>
                <w:szCs w:val="22"/>
                <w:highlight w:val="yellow"/>
              </w:rPr>
              <w:t xml:space="preserve"> petitions</w:t>
            </w:r>
            <w:r w:rsidR="00835465">
              <w:rPr>
                <w:rFonts w:ascii="Calibri" w:hAnsi="Calibri"/>
                <w:b/>
                <w:bCs/>
                <w:sz w:val="22"/>
                <w:szCs w:val="22"/>
                <w:highlight w:val="yellow"/>
              </w:rPr>
              <w:t xml:space="preserve"> </w:t>
            </w:r>
            <w:r w:rsidR="00835465" w:rsidRPr="00835465">
              <w:rPr>
                <w:rFonts w:ascii="Calibri" w:hAnsi="Calibri"/>
                <w:b/>
                <w:bCs/>
                <w:sz w:val="22"/>
                <w:szCs w:val="22"/>
                <w:highlight w:val="yellow"/>
              </w:rPr>
              <w:t xml:space="preserve">challenging five </w:t>
            </w:r>
            <w:proofErr w:type="spellStart"/>
            <w:r w:rsidR="00835465" w:rsidRPr="00835465">
              <w:rPr>
                <w:rFonts w:ascii="Calibri" w:hAnsi="Calibri"/>
                <w:b/>
                <w:bCs/>
                <w:sz w:val="22"/>
                <w:szCs w:val="22"/>
                <w:highlight w:val="yellow"/>
              </w:rPr>
              <w:t>UMN</w:t>
            </w:r>
            <w:proofErr w:type="spellEnd"/>
            <w:r w:rsidR="00835465" w:rsidRPr="00835465">
              <w:rPr>
                <w:rFonts w:ascii="Calibri" w:hAnsi="Calibri"/>
                <w:b/>
                <w:bCs/>
                <w:sz w:val="22"/>
                <w:szCs w:val="22"/>
                <w:highlight w:val="yellow"/>
              </w:rPr>
              <w:t xml:space="preserve"> patents. </w:t>
            </w:r>
            <w:r w:rsidR="00835465">
              <w:rPr>
                <w:rFonts w:ascii="Calibri" w:hAnsi="Calibri"/>
                <w:b/>
                <w:bCs/>
                <w:sz w:val="22"/>
                <w:szCs w:val="22"/>
                <w:highlight w:val="yellow"/>
              </w:rPr>
              <w:t xml:space="preserve"> </w:t>
            </w:r>
            <w:r w:rsidR="00835465" w:rsidRPr="00835465">
              <w:rPr>
                <w:rFonts w:ascii="Calibri" w:hAnsi="Calibri"/>
                <w:b/>
                <w:bCs/>
                <w:sz w:val="22"/>
                <w:szCs w:val="22"/>
                <w:highlight w:val="yellow"/>
              </w:rPr>
              <w:t xml:space="preserve">Gilead filed four </w:t>
            </w:r>
            <w:proofErr w:type="spellStart"/>
            <w:r w:rsidR="00835465" w:rsidRPr="00835465">
              <w:rPr>
                <w:rFonts w:ascii="Calibri" w:hAnsi="Calibri"/>
                <w:b/>
                <w:bCs/>
                <w:sz w:val="22"/>
                <w:szCs w:val="22"/>
                <w:highlight w:val="yellow"/>
              </w:rPr>
              <w:t>IPR</w:t>
            </w:r>
            <w:proofErr w:type="spellEnd"/>
            <w:r w:rsidR="00835465" w:rsidRPr="00835465">
              <w:rPr>
                <w:rFonts w:ascii="Calibri" w:hAnsi="Calibri"/>
                <w:b/>
                <w:bCs/>
                <w:sz w:val="22"/>
                <w:szCs w:val="22"/>
                <w:highlight w:val="yellow"/>
              </w:rPr>
              <w:t xml:space="preserve"> petitions challenging a different </w:t>
            </w:r>
            <w:proofErr w:type="spellStart"/>
            <w:r w:rsidR="00835465" w:rsidRPr="00835465">
              <w:rPr>
                <w:rFonts w:ascii="Calibri" w:hAnsi="Calibri"/>
                <w:b/>
                <w:bCs/>
                <w:sz w:val="22"/>
                <w:szCs w:val="22"/>
                <w:highlight w:val="yellow"/>
              </w:rPr>
              <w:t>UMN</w:t>
            </w:r>
            <w:proofErr w:type="spellEnd"/>
            <w:r w:rsidR="00835465" w:rsidRPr="00835465">
              <w:rPr>
                <w:rFonts w:ascii="Calibri" w:hAnsi="Calibri"/>
                <w:b/>
                <w:bCs/>
                <w:sz w:val="22"/>
                <w:szCs w:val="22"/>
                <w:highlight w:val="yellow"/>
              </w:rPr>
              <w:t xml:space="preserve"> patent.</w:t>
            </w:r>
            <w:r w:rsidR="00970503">
              <w:rPr>
                <w:rFonts w:ascii="Calibri" w:hAnsi="Calibri"/>
                <w:b/>
                <w:bCs/>
                <w:sz w:val="22"/>
                <w:szCs w:val="22"/>
                <w:highlight w:val="yellow"/>
              </w:rPr>
              <w:t xml:space="preserve">  </w:t>
            </w:r>
            <w:r w:rsidR="00970503" w:rsidRPr="00970503">
              <w:rPr>
                <w:rFonts w:ascii="Calibri" w:hAnsi="Calibri"/>
                <w:b/>
                <w:bCs/>
                <w:sz w:val="22"/>
                <w:szCs w:val="22"/>
                <w:highlight w:val="yellow"/>
              </w:rPr>
              <w:t xml:space="preserve">The Ericsson, LSI, and Gilead </w:t>
            </w:r>
            <w:proofErr w:type="spellStart"/>
            <w:r w:rsidR="00970503" w:rsidRPr="00970503">
              <w:rPr>
                <w:rFonts w:ascii="Calibri" w:hAnsi="Calibri"/>
                <w:b/>
                <w:bCs/>
                <w:sz w:val="22"/>
                <w:szCs w:val="22"/>
                <w:highlight w:val="yellow"/>
              </w:rPr>
              <w:t>IPR</w:t>
            </w:r>
            <w:proofErr w:type="spellEnd"/>
            <w:r w:rsidR="00970503" w:rsidRPr="00970503">
              <w:rPr>
                <w:rFonts w:ascii="Calibri" w:hAnsi="Calibri"/>
                <w:b/>
                <w:bCs/>
                <w:sz w:val="22"/>
                <w:szCs w:val="22"/>
                <w:highlight w:val="yellow"/>
              </w:rPr>
              <w:t xml:space="preserve"> petitions were assigned to different panels of Board judges </w:t>
            </w:r>
            <w:proofErr w:type="spellStart"/>
            <w:r w:rsidR="00970503">
              <w:rPr>
                <w:rFonts w:ascii="Calibri" w:hAnsi="Calibri"/>
                <w:b/>
                <w:bCs/>
                <w:sz w:val="22"/>
                <w:szCs w:val="22"/>
                <w:highlight w:val="yellow"/>
              </w:rPr>
              <w:t>UMN</w:t>
            </w:r>
            <w:proofErr w:type="spellEnd"/>
            <w:r w:rsidR="00970503">
              <w:rPr>
                <w:rFonts w:ascii="Calibri" w:hAnsi="Calibri"/>
                <w:b/>
                <w:bCs/>
                <w:sz w:val="22"/>
                <w:szCs w:val="22"/>
                <w:highlight w:val="yellow"/>
              </w:rPr>
              <w:t xml:space="preserve"> Br. 13–14.</w:t>
            </w:r>
          </w:p>
        </w:tc>
      </w:tr>
      <w:tr w:rsidR="00D76444" w14:paraId="13D49FD1" w14:textId="77777777" w:rsidTr="0010708E">
        <w:trPr>
          <w:trHeight w:val="4795"/>
        </w:trPr>
        <w:tc>
          <w:tcPr>
            <w:tcW w:w="5904" w:type="dxa"/>
            <w:vAlign w:val="center"/>
          </w:tcPr>
          <w:p w14:paraId="7E50FEFF" w14:textId="7E3F799E" w:rsidR="00D76444" w:rsidRPr="0010708E" w:rsidRDefault="00C768E1" w:rsidP="0010708E">
            <w:pPr>
              <w:pStyle w:val="O-BodyText"/>
              <w:spacing w:afterLines="120" w:after="288"/>
              <w:ind w:right="108"/>
              <w:rPr>
                <w:rFonts w:ascii="Calibri" w:hAnsi="Calibri"/>
                <w:b/>
                <w:bCs/>
                <w:sz w:val="28"/>
                <w:szCs w:val="28"/>
              </w:rPr>
            </w:pPr>
            <w:r>
              <w:rPr>
                <w:rFonts w:ascii="Calibri" w:hAnsi="Calibri"/>
                <w:b/>
                <w:bCs/>
                <w:sz w:val="28"/>
                <w:szCs w:val="28"/>
              </w:rPr>
              <w:t>What did the district court do after Ericsson intervened</w:t>
            </w:r>
            <w:r w:rsidR="00D76444" w:rsidRPr="0010708E">
              <w:rPr>
                <w:rFonts w:ascii="Calibri" w:hAnsi="Calibri"/>
                <w:b/>
                <w:bCs/>
                <w:sz w:val="28"/>
                <w:szCs w:val="28"/>
              </w:rPr>
              <w:t>?</w:t>
            </w:r>
          </w:p>
        </w:tc>
        <w:tc>
          <w:tcPr>
            <w:tcW w:w="5904" w:type="dxa"/>
            <w:vAlign w:val="center"/>
          </w:tcPr>
          <w:p w14:paraId="6485DB09" w14:textId="60A71052" w:rsidR="00C768E1" w:rsidRPr="00C768E1" w:rsidRDefault="00C768E1" w:rsidP="00C768E1">
            <w:pPr>
              <w:pStyle w:val="O-BodyText"/>
              <w:spacing w:after="120"/>
              <w:ind w:right="162"/>
              <w:rPr>
                <w:rFonts w:ascii="Calibri" w:hAnsi="Calibri"/>
                <w:b/>
                <w:bCs/>
                <w:sz w:val="22"/>
                <w:szCs w:val="22"/>
              </w:rPr>
            </w:pPr>
            <w:r w:rsidRPr="00C768E1">
              <w:rPr>
                <w:rFonts w:ascii="Calibri" w:hAnsi="Calibri"/>
                <w:b/>
                <w:bCs/>
                <w:sz w:val="22"/>
                <w:szCs w:val="22"/>
              </w:rPr>
              <w:t xml:space="preserve">The district court </w:t>
            </w:r>
            <w:r>
              <w:rPr>
                <w:rFonts w:ascii="Calibri" w:hAnsi="Calibri"/>
                <w:b/>
                <w:bCs/>
                <w:sz w:val="22"/>
                <w:szCs w:val="22"/>
              </w:rPr>
              <w:t xml:space="preserve">stayed the </w:t>
            </w:r>
            <w:r w:rsidRPr="00C768E1">
              <w:rPr>
                <w:rFonts w:ascii="Calibri" w:hAnsi="Calibri"/>
                <w:b/>
                <w:bCs/>
                <w:sz w:val="22"/>
                <w:szCs w:val="22"/>
              </w:rPr>
              <w:t>proceedings pending Ericsson’s</w:t>
            </w:r>
            <w:r>
              <w:rPr>
                <w:rFonts w:ascii="Calibri" w:hAnsi="Calibri"/>
                <w:b/>
                <w:bCs/>
                <w:sz w:val="22"/>
                <w:szCs w:val="22"/>
              </w:rPr>
              <w:t xml:space="preserve"> </w:t>
            </w:r>
            <w:proofErr w:type="spellStart"/>
            <w:r w:rsidRPr="00C768E1">
              <w:rPr>
                <w:rFonts w:ascii="Calibri" w:hAnsi="Calibri"/>
                <w:b/>
                <w:bCs/>
                <w:sz w:val="22"/>
                <w:szCs w:val="22"/>
              </w:rPr>
              <w:t>IPRs</w:t>
            </w:r>
            <w:proofErr w:type="spellEnd"/>
            <w:r w:rsidRPr="00C768E1">
              <w:rPr>
                <w:rFonts w:ascii="Calibri" w:hAnsi="Calibri"/>
                <w:b/>
                <w:bCs/>
                <w:sz w:val="22"/>
                <w:szCs w:val="22"/>
              </w:rPr>
              <w:t>, explaining that the parties’ dispute would simply “</w:t>
            </w:r>
            <w:proofErr w:type="gramStart"/>
            <w:r w:rsidRPr="00C768E1">
              <w:rPr>
                <w:rFonts w:ascii="Calibri" w:hAnsi="Calibri"/>
                <w:b/>
                <w:bCs/>
                <w:sz w:val="22"/>
                <w:szCs w:val="22"/>
              </w:rPr>
              <w:t>shift[</w:t>
            </w:r>
            <w:proofErr w:type="gramEnd"/>
            <w:r w:rsidRPr="00C768E1">
              <w:rPr>
                <w:rFonts w:ascii="Calibri" w:hAnsi="Calibri"/>
                <w:b/>
                <w:bCs/>
                <w:sz w:val="22"/>
                <w:szCs w:val="22"/>
              </w:rPr>
              <w:t>]</w:t>
            </w:r>
            <w:r>
              <w:rPr>
                <w:rFonts w:ascii="Calibri" w:hAnsi="Calibri"/>
                <w:b/>
                <w:bCs/>
                <w:sz w:val="22"/>
                <w:szCs w:val="22"/>
              </w:rPr>
              <w:t xml:space="preserve"> </w:t>
            </w:r>
            <w:r w:rsidRPr="00C768E1">
              <w:rPr>
                <w:rFonts w:ascii="Calibri" w:hAnsi="Calibri"/>
                <w:b/>
                <w:bCs/>
                <w:sz w:val="22"/>
                <w:szCs w:val="22"/>
              </w:rPr>
              <w:t>temporarily from this forum to the USPTO.”</w:t>
            </w:r>
            <w:r w:rsidR="00874D14">
              <w:rPr>
                <w:rFonts w:ascii="Calibri" w:hAnsi="Calibri"/>
                <w:b/>
                <w:bCs/>
                <w:sz w:val="22"/>
                <w:szCs w:val="22"/>
              </w:rPr>
              <w:t xml:space="preserve">  </w:t>
            </w:r>
            <w:r w:rsidR="00874D14" w:rsidRPr="00874D14">
              <w:rPr>
                <w:rFonts w:ascii="Calibri" w:hAnsi="Calibri"/>
                <w:b/>
                <w:bCs/>
                <w:sz w:val="22"/>
                <w:szCs w:val="22"/>
                <w:highlight w:val="yellow"/>
              </w:rPr>
              <w:t xml:space="preserve">[From </w:t>
            </w:r>
            <w:proofErr w:type="spellStart"/>
            <w:r w:rsidR="00874D14" w:rsidRPr="00874D14">
              <w:rPr>
                <w:rFonts w:ascii="Calibri" w:hAnsi="Calibri"/>
                <w:b/>
                <w:bCs/>
                <w:sz w:val="22"/>
                <w:szCs w:val="22"/>
                <w:highlight w:val="yellow"/>
              </w:rPr>
              <w:t>UMN’s</w:t>
            </w:r>
            <w:proofErr w:type="spellEnd"/>
            <w:r w:rsidR="00874D14" w:rsidRPr="00874D14">
              <w:rPr>
                <w:rFonts w:ascii="Calibri" w:hAnsi="Calibri"/>
                <w:b/>
                <w:bCs/>
                <w:sz w:val="22"/>
                <w:szCs w:val="22"/>
                <w:highlight w:val="yellow"/>
              </w:rPr>
              <w:t xml:space="preserve"> Brief:  The LSI, Ericsson, and Gilead Litigations were stayed pending resolution of the </w:t>
            </w:r>
            <w:proofErr w:type="spellStart"/>
            <w:r w:rsidR="00874D14" w:rsidRPr="00874D14">
              <w:rPr>
                <w:rFonts w:ascii="Calibri" w:hAnsi="Calibri"/>
                <w:b/>
                <w:bCs/>
                <w:sz w:val="22"/>
                <w:szCs w:val="22"/>
                <w:highlight w:val="yellow"/>
              </w:rPr>
              <w:t>IPRs</w:t>
            </w:r>
            <w:proofErr w:type="spellEnd"/>
            <w:r w:rsidR="00874D14" w:rsidRPr="00874D14">
              <w:rPr>
                <w:rFonts w:ascii="Calibri" w:hAnsi="Calibri"/>
                <w:b/>
                <w:bCs/>
                <w:sz w:val="22"/>
                <w:szCs w:val="22"/>
                <w:highlight w:val="yellow"/>
              </w:rPr>
              <w:t xml:space="preserve">.  </w:t>
            </w:r>
            <w:proofErr w:type="spellStart"/>
            <w:r w:rsidR="00874D14" w:rsidRPr="00874D14">
              <w:rPr>
                <w:rFonts w:ascii="Calibri" w:hAnsi="Calibri"/>
                <w:b/>
                <w:bCs/>
                <w:sz w:val="22"/>
                <w:szCs w:val="22"/>
                <w:highlight w:val="yellow"/>
              </w:rPr>
              <w:t>UMN</w:t>
            </w:r>
            <w:proofErr w:type="spellEnd"/>
            <w:r w:rsidR="00874D14" w:rsidRPr="00874D14">
              <w:rPr>
                <w:rFonts w:ascii="Calibri" w:hAnsi="Calibri"/>
                <w:b/>
                <w:bCs/>
                <w:sz w:val="22"/>
                <w:szCs w:val="22"/>
                <w:highlight w:val="yellow"/>
              </w:rPr>
              <w:t xml:space="preserve"> Br. 15.]</w:t>
            </w:r>
          </w:p>
          <w:p w14:paraId="045389A8" w14:textId="2DE764F8" w:rsidR="00D76444" w:rsidRPr="0010708E" w:rsidRDefault="00D76444" w:rsidP="0010708E">
            <w:pPr>
              <w:pStyle w:val="O-BodyText"/>
              <w:spacing w:after="120"/>
              <w:ind w:right="162"/>
              <w:rPr>
                <w:rFonts w:ascii="Calibri" w:hAnsi="Calibri"/>
                <w:b/>
                <w:bCs/>
                <w:sz w:val="22"/>
                <w:szCs w:val="22"/>
              </w:rPr>
            </w:pPr>
          </w:p>
        </w:tc>
      </w:tr>
      <w:tr w:rsidR="00770FB8" w14:paraId="6D41BCFD" w14:textId="77777777" w:rsidTr="0010708E">
        <w:trPr>
          <w:trHeight w:val="4795"/>
        </w:trPr>
        <w:tc>
          <w:tcPr>
            <w:tcW w:w="5904" w:type="dxa"/>
            <w:vAlign w:val="center"/>
          </w:tcPr>
          <w:p w14:paraId="26D8BDCC" w14:textId="5DD2CC97" w:rsidR="00770FB8" w:rsidRPr="0010708E" w:rsidRDefault="000904A9" w:rsidP="0010708E">
            <w:pPr>
              <w:pStyle w:val="O-BodyText"/>
              <w:spacing w:afterLines="120" w:after="288"/>
              <w:ind w:right="108"/>
              <w:rPr>
                <w:rFonts w:ascii="Calibri" w:hAnsi="Calibri"/>
                <w:b/>
                <w:bCs/>
                <w:sz w:val="28"/>
                <w:szCs w:val="28"/>
              </w:rPr>
            </w:pPr>
            <w:r>
              <w:rPr>
                <w:rFonts w:ascii="Calibri" w:hAnsi="Calibri"/>
                <w:b/>
                <w:bCs/>
                <w:sz w:val="28"/>
                <w:szCs w:val="28"/>
              </w:rPr>
              <w:t xml:space="preserve">How did </w:t>
            </w:r>
            <w:proofErr w:type="spellStart"/>
            <w:r>
              <w:rPr>
                <w:rFonts w:ascii="Calibri" w:hAnsi="Calibri"/>
                <w:b/>
                <w:bCs/>
                <w:sz w:val="28"/>
                <w:szCs w:val="28"/>
              </w:rPr>
              <w:t>UMN</w:t>
            </w:r>
            <w:proofErr w:type="spellEnd"/>
            <w:r>
              <w:rPr>
                <w:rFonts w:ascii="Calibri" w:hAnsi="Calibri"/>
                <w:b/>
                <w:bCs/>
                <w:sz w:val="28"/>
                <w:szCs w:val="28"/>
              </w:rPr>
              <w:t xml:space="preserve"> try to exempt its patents from </w:t>
            </w:r>
            <w:proofErr w:type="spellStart"/>
            <w:r>
              <w:rPr>
                <w:rFonts w:ascii="Calibri" w:hAnsi="Calibri"/>
                <w:b/>
                <w:bCs/>
                <w:sz w:val="28"/>
                <w:szCs w:val="28"/>
              </w:rPr>
              <w:t>IPR</w:t>
            </w:r>
            <w:proofErr w:type="spellEnd"/>
            <w:r w:rsidR="00770FB8" w:rsidRPr="0010708E">
              <w:rPr>
                <w:rFonts w:ascii="Calibri" w:hAnsi="Calibri"/>
                <w:b/>
                <w:bCs/>
                <w:sz w:val="28"/>
                <w:szCs w:val="28"/>
              </w:rPr>
              <w:t>?</w:t>
            </w:r>
          </w:p>
        </w:tc>
        <w:tc>
          <w:tcPr>
            <w:tcW w:w="5904" w:type="dxa"/>
            <w:vAlign w:val="center"/>
          </w:tcPr>
          <w:p w14:paraId="63F5F195" w14:textId="725F07BA" w:rsidR="00770FB8" w:rsidRPr="0010708E" w:rsidRDefault="000904A9" w:rsidP="000904A9">
            <w:pPr>
              <w:pStyle w:val="O-BodyText"/>
              <w:spacing w:after="120"/>
              <w:ind w:right="162"/>
              <w:rPr>
                <w:rFonts w:ascii="Calibri" w:hAnsi="Calibri"/>
                <w:b/>
                <w:bCs/>
                <w:sz w:val="22"/>
                <w:szCs w:val="22"/>
              </w:rPr>
            </w:pPr>
            <w:proofErr w:type="spellStart"/>
            <w:r w:rsidRPr="000904A9">
              <w:rPr>
                <w:rFonts w:ascii="Calibri" w:hAnsi="Calibri"/>
                <w:b/>
                <w:bCs/>
                <w:sz w:val="22"/>
                <w:szCs w:val="22"/>
              </w:rPr>
              <w:t>UMN</w:t>
            </w:r>
            <w:proofErr w:type="spellEnd"/>
            <w:r w:rsidRPr="000904A9">
              <w:rPr>
                <w:rFonts w:ascii="Calibri" w:hAnsi="Calibri"/>
                <w:b/>
                <w:bCs/>
                <w:sz w:val="22"/>
                <w:szCs w:val="22"/>
              </w:rPr>
              <w:t xml:space="preserve"> invoked state</w:t>
            </w:r>
            <w:r>
              <w:rPr>
                <w:rFonts w:ascii="Calibri" w:hAnsi="Calibri"/>
                <w:b/>
                <w:bCs/>
                <w:sz w:val="22"/>
                <w:szCs w:val="22"/>
              </w:rPr>
              <w:t xml:space="preserve"> </w:t>
            </w:r>
            <w:r w:rsidRPr="000904A9">
              <w:rPr>
                <w:rFonts w:ascii="Calibri" w:hAnsi="Calibri"/>
                <w:b/>
                <w:bCs/>
                <w:sz w:val="22"/>
                <w:szCs w:val="22"/>
              </w:rPr>
              <w:t xml:space="preserve">sovereign immunity to </w:t>
            </w:r>
            <w:r>
              <w:rPr>
                <w:rFonts w:ascii="Calibri" w:hAnsi="Calibri"/>
                <w:b/>
                <w:bCs/>
                <w:sz w:val="22"/>
                <w:szCs w:val="22"/>
              </w:rPr>
              <w:t xml:space="preserve">try to </w:t>
            </w:r>
            <w:r w:rsidRPr="000904A9">
              <w:rPr>
                <w:rFonts w:ascii="Calibri" w:hAnsi="Calibri"/>
                <w:b/>
                <w:bCs/>
                <w:sz w:val="22"/>
                <w:szCs w:val="22"/>
              </w:rPr>
              <w:t xml:space="preserve">exempt its patents from </w:t>
            </w:r>
            <w:proofErr w:type="spellStart"/>
            <w:r w:rsidRPr="000904A9">
              <w:rPr>
                <w:rFonts w:ascii="Calibri" w:hAnsi="Calibri"/>
                <w:b/>
                <w:bCs/>
                <w:sz w:val="22"/>
                <w:szCs w:val="22"/>
              </w:rPr>
              <w:t>IPR</w:t>
            </w:r>
            <w:proofErr w:type="spellEnd"/>
            <w:r w:rsidRPr="000904A9">
              <w:rPr>
                <w:rFonts w:ascii="Calibri" w:hAnsi="Calibri"/>
                <w:b/>
                <w:bCs/>
                <w:sz w:val="22"/>
                <w:szCs w:val="22"/>
              </w:rPr>
              <w:t>, even as it sought to enforce the same patents in district court</w:t>
            </w:r>
            <w:r>
              <w:rPr>
                <w:rFonts w:ascii="Calibri" w:hAnsi="Calibri"/>
                <w:b/>
                <w:bCs/>
                <w:sz w:val="22"/>
                <w:szCs w:val="22"/>
              </w:rPr>
              <w:t>.</w:t>
            </w:r>
          </w:p>
        </w:tc>
      </w:tr>
      <w:tr w:rsidR="00736E3A" w14:paraId="3C6C559D" w14:textId="77777777" w:rsidTr="0010708E">
        <w:trPr>
          <w:trHeight w:val="4795"/>
        </w:trPr>
        <w:tc>
          <w:tcPr>
            <w:tcW w:w="5904" w:type="dxa"/>
            <w:vAlign w:val="center"/>
          </w:tcPr>
          <w:p w14:paraId="70D45574" w14:textId="71061F8F" w:rsidR="00736E3A" w:rsidRPr="0010708E" w:rsidRDefault="00770FB8" w:rsidP="0010708E">
            <w:pPr>
              <w:pStyle w:val="O-BodyText"/>
              <w:spacing w:afterLines="120" w:after="288"/>
              <w:ind w:right="108"/>
              <w:rPr>
                <w:rFonts w:ascii="Calibri" w:hAnsi="Calibri"/>
                <w:b/>
                <w:bCs/>
                <w:sz w:val="28"/>
                <w:szCs w:val="28"/>
              </w:rPr>
            </w:pPr>
            <w:r w:rsidRPr="0010708E">
              <w:rPr>
                <w:rFonts w:ascii="Calibri" w:hAnsi="Calibri"/>
                <w:b/>
                <w:bCs/>
                <w:sz w:val="28"/>
                <w:szCs w:val="28"/>
              </w:rPr>
              <w:lastRenderedPageBreak/>
              <w:t xml:space="preserve">What </w:t>
            </w:r>
            <w:r w:rsidR="005A31FC">
              <w:rPr>
                <w:rFonts w:ascii="Calibri" w:hAnsi="Calibri"/>
                <w:b/>
                <w:bCs/>
                <w:sz w:val="28"/>
                <w:szCs w:val="28"/>
              </w:rPr>
              <w:t xml:space="preserve">did Ericsson argue regarding </w:t>
            </w:r>
            <w:proofErr w:type="spellStart"/>
            <w:r w:rsidR="005A31FC">
              <w:rPr>
                <w:rFonts w:ascii="Calibri" w:hAnsi="Calibri"/>
                <w:b/>
                <w:bCs/>
                <w:sz w:val="28"/>
                <w:szCs w:val="28"/>
              </w:rPr>
              <w:t>UMN’s</w:t>
            </w:r>
            <w:proofErr w:type="spellEnd"/>
            <w:r w:rsidR="005A31FC">
              <w:rPr>
                <w:rFonts w:ascii="Calibri" w:hAnsi="Calibri"/>
                <w:b/>
                <w:bCs/>
                <w:sz w:val="28"/>
                <w:szCs w:val="28"/>
              </w:rPr>
              <w:t xml:space="preserve"> immunity claim</w:t>
            </w:r>
            <w:r w:rsidR="001A1F7F" w:rsidRPr="0010708E">
              <w:rPr>
                <w:rFonts w:ascii="Calibri" w:hAnsi="Calibri"/>
                <w:b/>
                <w:bCs/>
                <w:sz w:val="28"/>
                <w:szCs w:val="28"/>
              </w:rPr>
              <w:t>?</w:t>
            </w:r>
          </w:p>
        </w:tc>
        <w:tc>
          <w:tcPr>
            <w:tcW w:w="5904" w:type="dxa"/>
            <w:vAlign w:val="center"/>
          </w:tcPr>
          <w:p w14:paraId="72854CAF" w14:textId="21197127" w:rsidR="009F129D" w:rsidRDefault="005A31FC" w:rsidP="00FD321A">
            <w:pPr>
              <w:pStyle w:val="O-BodyText"/>
              <w:spacing w:after="120"/>
              <w:ind w:right="162"/>
              <w:rPr>
                <w:rFonts w:ascii="Calibri" w:hAnsi="Calibri"/>
                <w:b/>
                <w:sz w:val="22"/>
                <w:szCs w:val="22"/>
              </w:rPr>
            </w:pPr>
            <w:r w:rsidRPr="005A31FC">
              <w:rPr>
                <w:rFonts w:ascii="Calibri" w:hAnsi="Calibri"/>
                <w:b/>
                <w:sz w:val="22"/>
                <w:szCs w:val="22"/>
              </w:rPr>
              <w:t xml:space="preserve">Ericsson </w:t>
            </w:r>
            <w:r>
              <w:rPr>
                <w:rFonts w:ascii="Calibri" w:hAnsi="Calibri"/>
                <w:b/>
                <w:sz w:val="22"/>
                <w:szCs w:val="22"/>
              </w:rPr>
              <w:t>argued</w:t>
            </w:r>
            <w:r w:rsidRPr="005A31FC">
              <w:rPr>
                <w:rFonts w:ascii="Calibri" w:hAnsi="Calibri"/>
                <w:b/>
                <w:sz w:val="22"/>
                <w:szCs w:val="22"/>
              </w:rPr>
              <w:t xml:space="preserve"> that </w:t>
            </w:r>
            <w:proofErr w:type="spellStart"/>
            <w:r w:rsidRPr="005A31FC">
              <w:rPr>
                <w:rFonts w:ascii="Calibri" w:hAnsi="Calibri"/>
                <w:b/>
                <w:sz w:val="22"/>
                <w:szCs w:val="22"/>
              </w:rPr>
              <w:t>UMN</w:t>
            </w:r>
            <w:proofErr w:type="spellEnd"/>
            <w:r w:rsidRPr="005A31FC">
              <w:rPr>
                <w:rFonts w:ascii="Calibri" w:hAnsi="Calibri"/>
                <w:b/>
                <w:sz w:val="22"/>
                <w:szCs w:val="22"/>
              </w:rPr>
              <w:t xml:space="preserve"> could not invoke </w:t>
            </w:r>
            <w:r w:rsidR="009F129D">
              <w:rPr>
                <w:rFonts w:ascii="Calibri" w:hAnsi="Calibri"/>
                <w:b/>
                <w:sz w:val="22"/>
                <w:szCs w:val="22"/>
              </w:rPr>
              <w:t xml:space="preserve">state sovereign </w:t>
            </w:r>
            <w:r w:rsidRPr="005A31FC">
              <w:rPr>
                <w:rFonts w:ascii="Calibri" w:hAnsi="Calibri"/>
                <w:b/>
                <w:sz w:val="22"/>
                <w:szCs w:val="22"/>
              </w:rPr>
              <w:t>immunity</w:t>
            </w:r>
            <w:r w:rsidR="009F129D">
              <w:rPr>
                <w:rFonts w:ascii="Calibri" w:hAnsi="Calibri"/>
                <w:b/>
                <w:sz w:val="22"/>
                <w:szCs w:val="22"/>
              </w:rPr>
              <w:t xml:space="preserve"> because:</w:t>
            </w:r>
          </w:p>
          <w:p w14:paraId="367446B8" w14:textId="192162EB" w:rsidR="009F129D" w:rsidRDefault="005A31FC" w:rsidP="00A859E4">
            <w:pPr>
              <w:pStyle w:val="O-BodyText"/>
              <w:numPr>
                <w:ilvl w:val="0"/>
                <w:numId w:val="11"/>
              </w:numPr>
              <w:spacing w:after="120"/>
              <w:ind w:right="162"/>
              <w:rPr>
                <w:rFonts w:ascii="Calibri" w:hAnsi="Calibri"/>
                <w:b/>
                <w:sz w:val="22"/>
                <w:szCs w:val="22"/>
              </w:rPr>
            </w:pPr>
            <w:r>
              <w:rPr>
                <w:rFonts w:ascii="Calibri" w:hAnsi="Calibri"/>
                <w:b/>
                <w:sz w:val="22"/>
                <w:szCs w:val="22"/>
              </w:rPr>
              <w:t>S</w:t>
            </w:r>
            <w:r w:rsidRPr="005A31FC">
              <w:rPr>
                <w:rFonts w:ascii="Calibri" w:hAnsi="Calibri"/>
                <w:b/>
                <w:sz w:val="22"/>
                <w:szCs w:val="22"/>
              </w:rPr>
              <w:t xml:space="preserve">tate sovereign immunity is never available in </w:t>
            </w:r>
            <w:proofErr w:type="spellStart"/>
            <w:r w:rsidRPr="005A31FC">
              <w:rPr>
                <w:rFonts w:ascii="Calibri" w:hAnsi="Calibri"/>
                <w:b/>
                <w:sz w:val="22"/>
                <w:szCs w:val="22"/>
              </w:rPr>
              <w:t>IPR</w:t>
            </w:r>
            <w:proofErr w:type="spellEnd"/>
            <w:proofErr w:type="gramStart"/>
            <w:r w:rsidR="009F129D">
              <w:rPr>
                <w:rFonts w:ascii="Calibri" w:hAnsi="Calibri"/>
                <w:b/>
                <w:sz w:val="22"/>
                <w:szCs w:val="22"/>
              </w:rPr>
              <w:t xml:space="preserve">. </w:t>
            </w:r>
            <w:proofErr w:type="gramEnd"/>
            <w:r w:rsidR="009F129D">
              <w:rPr>
                <w:rFonts w:ascii="Calibri" w:hAnsi="Calibri"/>
                <w:b/>
                <w:i/>
                <w:sz w:val="22"/>
                <w:szCs w:val="22"/>
              </w:rPr>
              <w:t>See</w:t>
            </w:r>
            <w:r w:rsidR="009F129D">
              <w:rPr>
                <w:rFonts w:ascii="Calibri" w:hAnsi="Calibri"/>
                <w:b/>
                <w:sz w:val="22"/>
                <w:szCs w:val="22"/>
              </w:rPr>
              <w:t xml:space="preserve"> </w:t>
            </w:r>
            <w:r w:rsidR="009F129D">
              <w:rPr>
                <w:rFonts w:ascii="Calibri" w:hAnsi="Calibri"/>
                <w:b/>
                <w:i/>
                <w:sz w:val="22"/>
                <w:szCs w:val="22"/>
              </w:rPr>
              <w:t>FMC</w:t>
            </w:r>
            <w:r w:rsidR="009F129D">
              <w:rPr>
                <w:rFonts w:ascii="Calibri" w:hAnsi="Calibri"/>
                <w:b/>
                <w:sz w:val="22"/>
                <w:szCs w:val="22"/>
              </w:rPr>
              <w:t xml:space="preserve"> (</w:t>
            </w:r>
            <w:r w:rsidR="00CD3CDF">
              <w:rPr>
                <w:rFonts w:ascii="Calibri" w:hAnsi="Calibri"/>
                <w:b/>
                <w:sz w:val="22"/>
                <w:szCs w:val="22"/>
              </w:rPr>
              <w:t>U.S.</w:t>
            </w:r>
            <w:r w:rsidR="009F129D">
              <w:rPr>
                <w:rFonts w:ascii="Calibri" w:hAnsi="Calibri"/>
                <w:b/>
                <w:sz w:val="22"/>
                <w:szCs w:val="22"/>
              </w:rPr>
              <w:t xml:space="preserve"> 2002). </w:t>
            </w:r>
          </w:p>
          <w:p w14:paraId="1CDF4525" w14:textId="5ECB97C4" w:rsidR="001A1F7F" w:rsidRPr="00FD321A" w:rsidRDefault="009F129D" w:rsidP="00A859E4">
            <w:pPr>
              <w:pStyle w:val="O-BodyText"/>
              <w:numPr>
                <w:ilvl w:val="0"/>
                <w:numId w:val="11"/>
              </w:numPr>
              <w:spacing w:after="120"/>
              <w:ind w:right="162"/>
              <w:rPr>
                <w:rFonts w:ascii="Calibri" w:hAnsi="Calibri"/>
                <w:b/>
                <w:sz w:val="22"/>
                <w:szCs w:val="22"/>
              </w:rPr>
            </w:pPr>
            <w:proofErr w:type="spellStart"/>
            <w:r w:rsidRPr="009F129D">
              <w:rPr>
                <w:rFonts w:ascii="Calibri" w:hAnsi="Calibri"/>
                <w:b/>
                <w:sz w:val="22"/>
                <w:szCs w:val="22"/>
              </w:rPr>
              <w:t>UMN</w:t>
            </w:r>
            <w:proofErr w:type="spellEnd"/>
            <w:r w:rsidRPr="009F129D">
              <w:rPr>
                <w:rFonts w:ascii="Calibri" w:hAnsi="Calibri"/>
                <w:b/>
                <w:sz w:val="22"/>
                <w:szCs w:val="22"/>
              </w:rPr>
              <w:t xml:space="preserve"> waived any such immunity by litigating its infringement actions in district court.</w:t>
            </w:r>
          </w:p>
        </w:tc>
      </w:tr>
      <w:tr w:rsidR="00C92AB0" w14:paraId="379CFC8F" w14:textId="77777777" w:rsidTr="0010708E">
        <w:trPr>
          <w:trHeight w:val="4795"/>
        </w:trPr>
        <w:tc>
          <w:tcPr>
            <w:tcW w:w="5904" w:type="dxa"/>
            <w:vAlign w:val="center"/>
          </w:tcPr>
          <w:p w14:paraId="09315BC2" w14:textId="0D33210F" w:rsidR="00C92AB0" w:rsidRPr="0010708E" w:rsidRDefault="005A31FC" w:rsidP="0010708E">
            <w:pPr>
              <w:pStyle w:val="O-BodyText"/>
              <w:spacing w:afterLines="120" w:after="288"/>
              <w:ind w:right="108"/>
              <w:rPr>
                <w:rFonts w:ascii="Calibri" w:hAnsi="Calibri"/>
                <w:b/>
                <w:bCs/>
                <w:sz w:val="28"/>
                <w:szCs w:val="28"/>
              </w:rPr>
            </w:pPr>
            <w:r>
              <w:rPr>
                <w:rFonts w:ascii="Calibri" w:hAnsi="Calibri"/>
                <w:b/>
                <w:bCs/>
                <w:sz w:val="28"/>
                <w:szCs w:val="28"/>
              </w:rPr>
              <w:t xml:space="preserve">Why is </w:t>
            </w:r>
            <w:r w:rsidR="009F129D">
              <w:rPr>
                <w:rFonts w:ascii="Calibri" w:hAnsi="Calibri"/>
                <w:b/>
                <w:bCs/>
                <w:sz w:val="28"/>
                <w:szCs w:val="28"/>
              </w:rPr>
              <w:t>s</w:t>
            </w:r>
            <w:r w:rsidR="009F129D" w:rsidRPr="009F129D">
              <w:rPr>
                <w:rFonts w:ascii="Calibri" w:hAnsi="Calibri"/>
                <w:b/>
                <w:bCs/>
                <w:sz w:val="28"/>
                <w:szCs w:val="28"/>
              </w:rPr>
              <w:t xml:space="preserve">tate sovereign immunity </w:t>
            </w:r>
            <w:r w:rsidR="009F129D">
              <w:rPr>
                <w:rFonts w:ascii="Calibri" w:hAnsi="Calibri"/>
                <w:b/>
                <w:bCs/>
                <w:sz w:val="28"/>
                <w:szCs w:val="28"/>
              </w:rPr>
              <w:t>not</w:t>
            </w:r>
            <w:r w:rsidR="009F129D" w:rsidRPr="009F129D">
              <w:rPr>
                <w:rFonts w:ascii="Calibri" w:hAnsi="Calibri"/>
                <w:b/>
                <w:bCs/>
                <w:sz w:val="28"/>
                <w:szCs w:val="28"/>
              </w:rPr>
              <w:t xml:space="preserve"> available in </w:t>
            </w:r>
            <w:proofErr w:type="spellStart"/>
            <w:r w:rsidR="009F129D" w:rsidRPr="009F129D">
              <w:rPr>
                <w:rFonts w:ascii="Calibri" w:hAnsi="Calibri"/>
                <w:b/>
                <w:bCs/>
                <w:sz w:val="28"/>
                <w:szCs w:val="28"/>
              </w:rPr>
              <w:t>IPR</w:t>
            </w:r>
            <w:proofErr w:type="spellEnd"/>
            <w:r w:rsidR="00C92AB0" w:rsidRPr="0010708E">
              <w:rPr>
                <w:rFonts w:ascii="Calibri" w:hAnsi="Calibri"/>
                <w:b/>
                <w:bCs/>
                <w:sz w:val="28"/>
                <w:szCs w:val="28"/>
              </w:rPr>
              <w:t>?</w:t>
            </w:r>
          </w:p>
        </w:tc>
        <w:tc>
          <w:tcPr>
            <w:tcW w:w="5904" w:type="dxa"/>
            <w:vAlign w:val="center"/>
          </w:tcPr>
          <w:p w14:paraId="4599C811" w14:textId="1981EC3F" w:rsidR="00C92AB0" w:rsidRPr="0010708E" w:rsidRDefault="009F129D" w:rsidP="0010708E">
            <w:pPr>
              <w:pStyle w:val="O-BodyText"/>
              <w:spacing w:after="120"/>
              <w:ind w:right="162"/>
              <w:rPr>
                <w:rFonts w:ascii="Calibri" w:hAnsi="Calibri"/>
                <w:b/>
                <w:bCs/>
                <w:sz w:val="22"/>
                <w:szCs w:val="22"/>
              </w:rPr>
            </w:pPr>
            <w:r w:rsidRPr="009F129D">
              <w:rPr>
                <w:rFonts w:ascii="Calibri" w:hAnsi="Calibri"/>
                <w:b/>
                <w:bCs/>
                <w:sz w:val="22"/>
                <w:szCs w:val="22"/>
              </w:rPr>
              <w:t xml:space="preserve">Sovereign immunity does not ordinarily extend beyond Article III courts, and </w:t>
            </w:r>
            <w:proofErr w:type="spellStart"/>
            <w:r w:rsidRPr="009F129D">
              <w:rPr>
                <w:rFonts w:ascii="Calibri" w:hAnsi="Calibri"/>
                <w:b/>
                <w:bCs/>
                <w:sz w:val="22"/>
                <w:szCs w:val="22"/>
              </w:rPr>
              <w:t>IPR</w:t>
            </w:r>
            <w:proofErr w:type="spellEnd"/>
            <w:r w:rsidRPr="009F129D">
              <w:rPr>
                <w:rFonts w:ascii="Calibri" w:hAnsi="Calibri"/>
                <w:b/>
                <w:bCs/>
                <w:sz w:val="22"/>
                <w:szCs w:val="22"/>
              </w:rPr>
              <w:t xml:space="preserve"> is not sufficiently </w:t>
            </w:r>
            <w:proofErr w:type="gramStart"/>
            <w:r w:rsidRPr="009F129D">
              <w:rPr>
                <w:rFonts w:ascii="Calibri" w:hAnsi="Calibri"/>
                <w:b/>
                <w:bCs/>
                <w:sz w:val="22"/>
                <w:szCs w:val="22"/>
              </w:rPr>
              <w:t>similar to</w:t>
            </w:r>
            <w:proofErr w:type="gramEnd"/>
            <w:r w:rsidRPr="009F129D">
              <w:rPr>
                <w:rFonts w:ascii="Calibri" w:hAnsi="Calibri"/>
                <w:b/>
                <w:bCs/>
                <w:sz w:val="22"/>
                <w:szCs w:val="22"/>
              </w:rPr>
              <w:t xml:space="preserve"> a civil lawsuit to fall within the exception </w:t>
            </w:r>
            <w:r>
              <w:rPr>
                <w:rFonts w:ascii="Calibri" w:hAnsi="Calibri"/>
                <w:b/>
                <w:bCs/>
                <w:sz w:val="22"/>
                <w:szCs w:val="22"/>
              </w:rPr>
              <w:t xml:space="preserve">recognized in </w:t>
            </w:r>
            <w:r w:rsidRPr="009F129D">
              <w:rPr>
                <w:rFonts w:ascii="Calibri" w:hAnsi="Calibri"/>
                <w:b/>
                <w:bCs/>
                <w:i/>
                <w:sz w:val="22"/>
                <w:szCs w:val="22"/>
              </w:rPr>
              <w:t>FMC</w:t>
            </w:r>
            <w:r>
              <w:rPr>
                <w:rFonts w:ascii="Calibri" w:hAnsi="Calibri"/>
                <w:b/>
                <w:bCs/>
                <w:sz w:val="22"/>
                <w:szCs w:val="22"/>
              </w:rPr>
              <w:t xml:space="preserve"> (</w:t>
            </w:r>
            <w:r w:rsidR="00CD3CDF">
              <w:rPr>
                <w:rFonts w:ascii="Calibri" w:hAnsi="Calibri"/>
                <w:b/>
                <w:bCs/>
                <w:sz w:val="22"/>
                <w:szCs w:val="22"/>
              </w:rPr>
              <w:t>U.S.</w:t>
            </w:r>
            <w:r>
              <w:rPr>
                <w:rFonts w:ascii="Calibri" w:hAnsi="Calibri"/>
                <w:b/>
                <w:bCs/>
                <w:sz w:val="22"/>
                <w:szCs w:val="22"/>
              </w:rPr>
              <w:t xml:space="preserve"> 2002).</w:t>
            </w:r>
          </w:p>
        </w:tc>
      </w:tr>
      <w:tr w:rsidR="00C92AB0" w14:paraId="06685B06" w14:textId="77777777" w:rsidTr="0010708E">
        <w:trPr>
          <w:trHeight w:val="4795"/>
        </w:trPr>
        <w:tc>
          <w:tcPr>
            <w:tcW w:w="5904" w:type="dxa"/>
            <w:vAlign w:val="center"/>
          </w:tcPr>
          <w:p w14:paraId="1AEFD651" w14:textId="392C43CE" w:rsidR="00C92AB0" w:rsidRPr="0010708E" w:rsidRDefault="00532E01" w:rsidP="0010708E">
            <w:pPr>
              <w:pStyle w:val="O-BodyText"/>
              <w:spacing w:afterLines="120" w:after="288"/>
              <w:ind w:right="108"/>
              <w:rPr>
                <w:rFonts w:ascii="Calibri" w:hAnsi="Calibri"/>
                <w:b/>
                <w:bCs/>
                <w:sz w:val="28"/>
                <w:szCs w:val="28"/>
              </w:rPr>
            </w:pPr>
            <w:r>
              <w:rPr>
                <w:rFonts w:ascii="Calibri" w:hAnsi="Calibri"/>
                <w:b/>
                <w:bCs/>
                <w:sz w:val="28"/>
                <w:szCs w:val="28"/>
              </w:rPr>
              <w:t xml:space="preserve">Why does Ericsson argue that </w:t>
            </w:r>
            <w:proofErr w:type="spellStart"/>
            <w:r>
              <w:rPr>
                <w:rFonts w:ascii="Calibri" w:hAnsi="Calibri"/>
                <w:b/>
                <w:bCs/>
                <w:sz w:val="28"/>
                <w:szCs w:val="28"/>
              </w:rPr>
              <w:t>UMN</w:t>
            </w:r>
            <w:proofErr w:type="spellEnd"/>
            <w:r>
              <w:rPr>
                <w:rFonts w:ascii="Calibri" w:hAnsi="Calibri"/>
                <w:b/>
                <w:bCs/>
                <w:sz w:val="28"/>
                <w:szCs w:val="28"/>
              </w:rPr>
              <w:t xml:space="preserve"> waived its state sovereign immunity claim</w:t>
            </w:r>
            <w:r w:rsidR="00C92AB0" w:rsidRPr="0010708E">
              <w:rPr>
                <w:rFonts w:ascii="Calibri" w:hAnsi="Calibri"/>
                <w:b/>
                <w:bCs/>
                <w:sz w:val="28"/>
                <w:szCs w:val="28"/>
              </w:rPr>
              <w:t>?</w:t>
            </w:r>
          </w:p>
        </w:tc>
        <w:tc>
          <w:tcPr>
            <w:tcW w:w="5904" w:type="dxa"/>
            <w:vAlign w:val="center"/>
          </w:tcPr>
          <w:p w14:paraId="7DFDA322" w14:textId="7863FEA8" w:rsidR="00C92AB0" w:rsidRPr="0010708E" w:rsidRDefault="00532E01" w:rsidP="0010708E">
            <w:pPr>
              <w:pStyle w:val="O-BodyText"/>
              <w:spacing w:after="120"/>
              <w:ind w:right="162"/>
              <w:rPr>
                <w:rFonts w:ascii="Calibri" w:hAnsi="Calibri"/>
                <w:b/>
                <w:bCs/>
                <w:sz w:val="22"/>
                <w:szCs w:val="22"/>
              </w:rPr>
            </w:pPr>
            <w:proofErr w:type="spellStart"/>
            <w:r w:rsidRPr="00532E01">
              <w:rPr>
                <w:rFonts w:ascii="Calibri" w:hAnsi="Calibri"/>
                <w:b/>
                <w:bCs/>
                <w:sz w:val="22"/>
                <w:szCs w:val="22"/>
              </w:rPr>
              <w:t>UMN</w:t>
            </w:r>
            <w:proofErr w:type="spellEnd"/>
            <w:r w:rsidRPr="00532E01">
              <w:rPr>
                <w:rFonts w:ascii="Calibri" w:hAnsi="Calibri"/>
                <w:b/>
                <w:bCs/>
                <w:sz w:val="22"/>
                <w:szCs w:val="22"/>
              </w:rPr>
              <w:t xml:space="preserve"> waived </w:t>
            </w:r>
            <w:r w:rsidR="00262592">
              <w:rPr>
                <w:rFonts w:ascii="Calibri" w:hAnsi="Calibri"/>
                <w:b/>
                <w:bCs/>
                <w:sz w:val="22"/>
                <w:szCs w:val="22"/>
              </w:rPr>
              <w:t>state sovereign</w:t>
            </w:r>
            <w:r w:rsidRPr="00532E01">
              <w:rPr>
                <w:rFonts w:ascii="Calibri" w:hAnsi="Calibri"/>
                <w:b/>
                <w:bCs/>
                <w:sz w:val="22"/>
                <w:szCs w:val="22"/>
              </w:rPr>
              <w:t xml:space="preserve"> immunity by litigating its infringement actions in district court</w:t>
            </w:r>
            <w:r>
              <w:rPr>
                <w:rFonts w:ascii="Calibri" w:hAnsi="Calibri"/>
                <w:b/>
                <w:bCs/>
                <w:sz w:val="22"/>
                <w:szCs w:val="22"/>
              </w:rPr>
              <w:t>.</w:t>
            </w:r>
            <w:r w:rsidR="00D15067">
              <w:rPr>
                <w:rFonts w:ascii="Calibri" w:hAnsi="Calibri"/>
                <w:b/>
                <w:bCs/>
                <w:sz w:val="22"/>
                <w:szCs w:val="22"/>
              </w:rPr>
              <w:t xml:space="preserve">  The </w:t>
            </w:r>
            <w:r w:rsidR="00D15067" w:rsidRPr="00D15067">
              <w:rPr>
                <w:rFonts w:ascii="Calibri" w:hAnsi="Calibri"/>
                <w:b/>
                <w:bCs/>
                <w:sz w:val="22"/>
                <w:szCs w:val="22"/>
              </w:rPr>
              <w:t xml:space="preserve">Supreme Court </w:t>
            </w:r>
            <w:r w:rsidR="00D15067">
              <w:rPr>
                <w:rFonts w:ascii="Calibri" w:hAnsi="Calibri"/>
                <w:b/>
                <w:bCs/>
                <w:sz w:val="22"/>
                <w:szCs w:val="22"/>
              </w:rPr>
              <w:t>has forbidden</w:t>
            </w:r>
            <w:r w:rsidR="00D15067" w:rsidRPr="00D15067">
              <w:rPr>
                <w:rFonts w:ascii="Calibri" w:hAnsi="Calibri"/>
                <w:b/>
                <w:bCs/>
                <w:sz w:val="22"/>
                <w:szCs w:val="22"/>
              </w:rPr>
              <w:t xml:space="preserve"> states from using sovereign immunity to gain litigation advantages</w:t>
            </w:r>
            <w:r w:rsidR="00D15067">
              <w:rPr>
                <w:rFonts w:ascii="Calibri" w:hAnsi="Calibri"/>
                <w:b/>
                <w:bCs/>
                <w:sz w:val="22"/>
                <w:szCs w:val="22"/>
              </w:rPr>
              <w:t xml:space="preserve">.  </w:t>
            </w:r>
            <w:r w:rsidR="00E42877" w:rsidRPr="00E42877">
              <w:rPr>
                <w:rFonts w:ascii="Calibri" w:hAnsi="Calibri"/>
                <w:b/>
                <w:bCs/>
                <w:i/>
                <w:sz w:val="22"/>
                <w:szCs w:val="22"/>
                <w:highlight w:val="yellow"/>
              </w:rPr>
              <w:t>Clark v. Barnard</w:t>
            </w:r>
            <w:r w:rsidR="00E42877" w:rsidRPr="00E42877">
              <w:rPr>
                <w:rFonts w:ascii="Calibri" w:hAnsi="Calibri"/>
                <w:b/>
                <w:bCs/>
                <w:sz w:val="22"/>
                <w:szCs w:val="22"/>
                <w:highlight w:val="yellow"/>
              </w:rPr>
              <w:t xml:space="preserve"> (U.S. 1883); </w:t>
            </w:r>
            <w:r w:rsidR="00E42877" w:rsidRPr="00E42877">
              <w:rPr>
                <w:rFonts w:ascii="Calibri" w:hAnsi="Calibri"/>
                <w:b/>
                <w:bCs/>
                <w:i/>
                <w:sz w:val="22"/>
                <w:szCs w:val="22"/>
                <w:highlight w:val="yellow"/>
              </w:rPr>
              <w:t>Gunter v. Atlantic Coast Line Railroad</w:t>
            </w:r>
            <w:r w:rsidR="00E42877" w:rsidRPr="00E42877">
              <w:rPr>
                <w:rFonts w:ascii="Calibri" w:hAnsi="Calibri"/>
                <w:b/>
                <w:bCs/>
                <w:sz w:val="22"/>
                <w:szCs w:val="22"/>
                <w:highlight w:val="yellow"/>
              </w:rPr>
              <w:t xml:space="preserve"> (U.S. 1906); </w:t>
            </w:r>
            <w:r w:rsidR="00E42877" w:rsidRPr="00E42877">
              <w:rPr>
                <w:rFonts w:ascii="Calibri" w:hAnsi="Calibri"/>
                <w:b/>
                <w:bCs/>
                <w:i/>
                <w:sz w:val="22"/>
                <w:szCs w:val="22"/>
                <w:highlight w:val="yellow"/>
              </w:rPr>
              <w:t>Gardner v. New Jersey</w:t>
            </w:r>
            <w:r w:rsidR="00E42877" w:rsidRPr="00E42877">
              <w:rPr>
                <w:rFonts w:ascii="Calibri" w:hAnsi="Calibri"/>
                <w:b/>
                <w:bCs/>
                <w:sz w:val="22"/>
                <w:szCs w:val="22"/>
                <w:highlight w:val="yellow"/>
              </w:rPr>
              <w:t xml:space="preserve"> (U.S. 1947); </w:t>
            </w:r>
            <w:proofErr w:type="spellStart"/>
            <w:r w:rsidR="00E42877" w:rsidRPr="00E42877">
              <w:rPr>
                <w:rFonts w:ascii="Calibri" w:hAnsi="Calibri"/>
                <w:b/>
                <w:bCs/>
                <w:i/>
                <w:sz w:val="22"/>
                <w:szCs w:val="22"/>
                <w:highlight w:val="yellow"/>
              </w:rPr>
              <w:t>Lapides</w:t>
            </w:r>
            <w:proofErr w:type="spellEnd"/>
            <w:r w:rsidR="00E42877" w:rsidRPr="00E42877">
              <w:rPr>
                <w:rFonts w:ascii="Calibri" w:hAnsi="Calibri"/>
                <w:b/>
                <w:bCs/>
                <w:i/>
                <w:sz w:val="22"/>
                <w:szCs w:val="22"/>
                <w:highlight w:val="yellow"/>
              </w:rPr>
              <w:t xml:space="preserve"> v. Bd. of Regents of Univ. Sys</w:t>
            </w:r>
            <w:proofErr w:type="gramStart"/>
            <w:r w:rsidR="00E42877" w:rsidRPr="00E42877">
              <w:rPr>
                <w:rFonts w:ascii="Calibri" w:hAnsi="Calibri"/>
                <w:b/>
                <w:bCs/>
                <w:i/>
                <w:sz w:val="22"/>
                <w:szCs w:val="22"/>
                <w:highlight w:val="yellow"/>
              </w:rPr>
              <w:t xml:space="preserve">. </w:t>
            </w:r>
            <w:proofErr w:type="gramEnd"/>
            <w:r w:rsidR="00E42877" w:rsidRPr="00E42877">
              <w:rPr>
                <w:rFonts w:ascii="Calibri" w:hAnsi="Calibri"/>
                <w:b/>
                <w:bCs/>
                <w:i/>
                <w:sz w:val="22"/>
                <w:szCs w:val="22"/>
                <w:highlight w:val="yellow"/>
              </w:rPr>
              <w:t>of Ga.</w:t>
            </w:r>
            <w:r w:rsidR="00E42877" w:rsidRPr="00E42877">
              <w:rPr>
                <w:rFonts w:ascii="Calibri" w:hAnsi="Calibri"/>
                <w:b/>
                <w:bCs/>
                <w:sz w:val="22"/>
                <w:szCs w:val="22"/>
                <w:highlight w:val="yellow"/>
              </w:rPr>
              <w:t xml:space="preserve"> (U.S. 2002)</w:t>
            </w:r>
            <w:r w:rsidR="00D15067" w:rsidRPr="00E42877">
              <w:rPr>
                <w:rFonts w:ascii="Calibri" w:hAnsi="Calibri"/>
                <w:b/>
                <w:bCs/>
                <w:sz w:val="22"/>
                <w:szCs w:val="22"/>
                <w:highlight w:val="yellow"/>
              </w:rPr>
              <w:t>.</w:t>
            </w:r>
          </w:p>
        </w:tc>
      </w:tr>
      <w:tr w:rsidR="00443040" w14:paraId="3864DD1C" w14:textId="77777777" w:rsidTr="0010708E">
        <w:trPr>
          <w:trHeight w:val="4795"/>
        </w:trPr>
        <w:tc>
          <w:tcPr>
            <w:tcW w:w="5904" w:type="dxa"/>
            <w:vAlign w:val="center"/>
          </w:tcPr>
          <w:p w14:paraId="416103D1" w14:textId="04DB7875" w:rsidR="00443040" w:rsidRDefault="00443040"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Are </w:t>
            </w:r>
            <w:proofErr w:type="spellStart"/>
            <w:r w:rsidRPr="00443040">
              <w:rPr>
                <w:rFonts w:ascii="Calibri" w:hAnsi="Calibri"/>
                <w:b/>
                <w:bCs/>
                <w:sz w:val="28"/>
                <w:szCs w:val="28"/>
              </w:rPr>
              <w:t>IPRs</w:t>
            </w:r>
            <w:proofErr w:type="spellEnd"/>
            <w:r w:rsidRPr="00443040">
              <w:rPr>
                <w:rFonts w:ascii="Calibri" w:hAnsi="Calibri"/>
                <w:b/>
                <w:bCs/>
                <w:sz w:val="28"/>
                <w:szCs w:val="28"/>
              </w:rPr>
              <w:t xml:space="preserve"> are adversarial proceedings</w:t>
            </w:r>
            <w:r>
              <w:rPr>
                <w:rFonts w:ascii="Calibri" w:hAnsi="Calibri"/>
                <w:b/>
                <w:bCs/>
                <w:sz w:val="28"/>
                <w:szCs w:val="28"/>
              </w:rPr>
              <w:t xml:space="preserve"> or </w:t>
            </w:r>
            <w:r w:rsidRPr="00443040">
              <w:rPr>
                <w:rFonts w:ascii="Calibri" w:hAnsi="Calibri"/>
                <w:b/>
                <w:bCs/>
                <w:sz w:val="28"/>
                <w:szCs w:val="28"/>
              </w:rPr>
              <w:t>administrative actions by the Board or PTO against the pate</w:t>
            </w:r>
            <w:r>
              <w:rPr>
                <w:rFonts w:ascii="Calibri" w:hAnsi="Calibri"/>
                <w:b/>
                <w:bCs/>
                <w:sz w:val="28"/>
                <w:szCs w:val="28"/>
              </w:rPr>
              <w:t>ntee?</w:t>
            </w:r>
          </w:p>
        </w:tc>
        <w:tc>
          <w:tcPr>
            <w:tcW w:w="5904" w:type="dxa"/>
            <w:vAlign w:val="center"/>
          </w:tcPr>
          <w:p w14:paraId="41DC3833" w14:textId="2155FAE1" w:rsidR="00443040" w:rsidRPr="00532E01" w:rsidRDefault="001772C8" w:rsidP="0010708E">
            <w:pPr>
              <w:pStyle w:val="O-BodyText"/>
              <w:spacing w:after="120"/>
              <w:ind w:right="162"/>
              <w:rPr>
                <w:rFonts w:ascii="Calibri" w:hAnsi="Calibri"/>
                <w:b/>
                <w:bCs/>
                <w:sz w:val="22"/>
                <w:szCs w:val="22"/>
              </w:rPr>
            </w:pPr>
            <w:r w:rsidRPr="001772C8">
              <w:rPr>
                <w:rFonts w:ascii="Calibri" w:hAnsi="Calibri"/>
                <w:b/>
                <w:bCs/>
                <w:sz w:val="22"/>
                <w:szCs w:val="22"/>
                <w:highlight w:val="yellow"/>
              </w:rPr>
              <w:t xml:space="preserve">From </w:t>
            </w:r>
            <w:proofErr w:type="spellStart"/>
            <w:r w:rsidRPr="001772C8">
              <w:rPr>
                <w:rFonts w:ascii="Calibri" w:hAnsi="Calibri"/>
                <w:b/>
                <w:bCs/>
                <w:sz w:val="22"/>
                <w:szCs w:val="22"/>
                <w:highlight w:val="yellow"/>
              </w:rPr>
              <w:t>UMN’s</w:t>
            </w:r>
            <w:proofErr w:type="spellEnd"/>
            <w:r w:rsidRPr="001772C8">
              <w:rPr>
                <w:rFonts w:ascii="Calibri" w:hAnsi="Calibri"/>
                <w:b/>
                <w:bCs/>
                <w:sz w:val="22"/>
                <w:szCs w:val="22"/>
                <w:highlight w:val="yellow"/>
              </w:rPr>
              <w:t xml:space="preserve"> Brief:  B</w:t>
            </w:r>
            <w:r w:rsidR="00443040" w:rsidRPr="001772C8">
              <w:rPr>
                <w:rFonts w:ascii="Calibri" w:hAnsi="Calibri"/>
                <w:b/>
                <w:bCs/>
                <w:sz w:val="22"/>
                <w:szCs w:val="22"/>
                <w:highlight w:val="yellow"/>
              </w:rPr>
              <w:t xml:space="preserve">oth the statute that created the </w:t>
            </w:r>
            <w:proofErr w:type="spellStart"/>
            <w:r w:rsidR="00443040" w:rsidRPr="001772C8">
              <w:rPr>
                <w:rFonts w:ascii="Calibri" w:hAnsi="Calibri"/>
                <w:b/>
                <w:bCs/>
                <w:sz w:val="22"/>
                <w:szCs w:val="22"/>
                <w:highlight w:val="yellow"/>
              </w:rPr>
              <w:t>IPR</w:t>
            </w:r>
            <w:proofErr w:type="spellEnd"/>
            <w:r w:rsidR="00443040" w:rsidRPr="001772C8">
              <w:rPr>
                <w:rFonts w:ascii="Calibri" w:hAnsi="Calibri"/>
                <w:b/>
                <w:bCs/>
                <w:sz w:val="22"/>
                <w:szCs w:val="22"/>
                <w:highlight w:val="yellow"/>
              </w:rPr>
              <w:t xml:space="preserve"> process and case law interpreting the statute establish that an </w:t>
            </w:r>
            <w:proofErr w:type="spellStart"/>
            <w:r w:rsidR="00443040" w:rsidRPr="001772C8">
              <w:rPr>
                <w:rFonts w:ascii="Calibri" w:hAnsi="Calibri"/>
                <w:b/>
                <w:bCs/>
                <w:sz w:val="22"/>
                <w:szCs w:val="22"/>
                <w:highlight w:val="yellow"/>
              </w:rPr>
              <w:t>IPR</w:t>
            </w:r>
            <w:proofErr w:type="spellEnd"/>
            <w:r w:rsidR="00443040" w:rsidRPr="001772C8">
              <w:rPr>
                <w:rFonts w:ascii="Calibri" w:hAnsi="Calibri"/>
                <w:b/>
                <w:bCs/>
                <w:sz w:val="22"/>
                <w:szCs w:val="22"/>
                <w:highlight w:val="yellow"/>
              </w:rPr>
              <w:t xml:space="preserve"> is an adversarial proceeding against the patent owner brought by a petitioner – not by the Board</w:t>
            </w:r>
            <w:r w:rsidRPr="001772C8">
              <w:rPr>
                <w:rFonts w:ascii="Calibri" w:hAnsi="Calibri"/>
                <w:b/>
                <w:bCs/>
                <w:sz w:val="22"/>
                <w:szCs w:val="22"/>
                <w:highlight w:val="yellow"/>
              </w:rPr>
              <w:t xml:space="preserve">.  </w:t>
            </w:r>
            <w:proofErr w:type="spellStart"/>
            <w:r w:rsidRPr="001772C8">
              <w:rPr>
                <w:rFonts w:ascii="Calibri" w:hAnsi="Calibri"/>
                <w:b/>
                <w:bCs/>
                <w:sz w:val="22"/>
                <w:szCs w:val="22"/>
                <w:highlight w:val="yellow"/>
              </w:rPr>
              <w:t>UMN</w:t>
            </w:r>
            <w:proofErr w:type="spellEnd"/>
            <w:r w:rsidRPr="001772C8">
              <w:rPr>
                <w:rFonts w:ascii="Calibri" w:hAnsi="Calibri"/>
                <w:b/>
                <w:bCs/>
                <w:sz w:val="22"/>
                <w:szCs w:val="22"/>
                <w:highlight w:val="yellow"/>
              </w:rPr>
              <w:t xml:space="preserve"> Br. 23.</w:t>
            </w:r>
          </w:p>
        </w:tc>
      </w:tr>
      <w:tr w:rsidR="008D024D" w14:paraId="114485F6" w14:textId="77777777" w:rsidTr="0010708E">
        <w:trPr>
          <w:trHeight w:val="4795"/>
        </w:trPr>
        <w:tc>
          <w:tcPr>
            <w:tcW w:w="5904" w:type="dxa"/>
            <w:vAlign w:val="center"/>
          </w:tcPr>
          <w:p w14:paraId="303B566B" w14:textId="03AEFDEE" w:rsidR="008D024D" w:rsidRDefault="008D024D"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were the </w:t>
            </w:r>
            <w:proofErr w:type="spellStart"/>
            <w:r>
              <w:rPr>
                <w:rFonts w:ascii="Calibri" w:hAnsi="Calibri"/>
                <w:b/>
                <w:bCs/>
                <w:sz w:val="28"/>
                <w:szCs w:val="28"/>
              </w:rPr>
              <w:t>PTAB’s</w:t>
            </w:r>
            <w:proofErr w:type="spellEnd"/>
            <w:r>
              <w:rPr>
                <w:rFonts w:ascii="Calibri" w:hAnsi="Calibri"/>
                <w:b/>
                <w:bCs/>
                <w:sz w:val="28"/>
                <w:szCs w:val="28"/>
              </w:rPr>
              <w:t xml:space="preserve"> findings?</w:t>
            </w:r>
          </w:p>
        </w:tc>
        <w:tc>
          <w:tcPr>
            <w:tcW w:w="5904" w:type="dxa"/>
            <w:vAlign w:val="center"/>
          </w:tcPr>
          <w:p w14:paraId="6F6F05F5" w14:textId="198137A6" w:rsidR="008D024D" w:rsidRPr="001772C8" w:rsidRDefault="008D024D" w:rsidP="0010708E">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w:t>
            </w:r>
            <w:proofErr w:type="spellStart"/>
            <w:r>
              <w:rPr>
                <w:rFonts w:ascii="Calibri" w:hAnsi="Calibri"/>
                <w:b/>
                <w:bCs/>
                <w:sz w:val="22"/>
                <w:szCs w:val="22"/>
                <w:highlight w:val="yellow"/>
              </w:rPr>
              <w:t>UMN’s</w:t>
            </w:r>
            <w:proofErr w:type="spellEnd"/>
            <w:r>
              <w:rPr>
                <w:rFonts w:ascii="Calibri" w:hAnsi="Calibri"/>
                <w:b/>
                <w:bCs/>
                <w:sz w:val="22"/>
                <w:szCs w:val="22"/>
                <w:highlight w:val="yellow"/>
              </w:rPr>
              <w:t xml:space="preserve"> Brief:  T</w:t>
            </w:r>
            <w:r w:rsidRPr="008D024D">
              <w:rPr>
                <w:rFonts w:ascii="Calibri" w:hAnsi="Calibri"/>
                <w:b/>
                <w:bCs/>
                <w:sz w:val="22"/>
                <w:szCs w:val="22"/>
                <w:highlight w:val="yellow"/>
              </w:rPr>
              <w:t xml:space="preserve">he Board found that (1) </w:t>
            </w:r>
            <w:proofErr w:type="spellStart"/>
            <w:r w:rsidRPr="008D024D">
              <w:rPr>
                <w:rFonts w:ascii="Calibri" w:hAnsi="Calibri"/>
                <w:b/>
                <w:bCs/>
                <w:sz w:val="22"/>
                <w:szCs w:val="22"/>
                <w:highlight w:val="yellow"/>
              </w:rPr>
              <w:t>UMN</w:t>
            </w:r>
            <w:proofErr w:type="spellEnd"/>
            <w:r w:rsidRPr="008D024D">
              <w:rPr>
                <w:rFonts w:ascii="Calibri" w:hAnsi="Calibri"/>
                <w:b/>
                <w:bCs/>
                <w:sz w:val="22"/>
                <w:szCs w:val="22"/>
                <w:highlight w:val="yellow"/>
              </w:rPr>
              <w:t xml:space="preserve"> is the type of state instrumentality that can invoke Minnesota’s sovereign immunity, (2) </w:t>
            </w:r>
            <w:proofErr w:type="spellStart"/>
            <w:r w:rsidRPr="008D024D">
              <w:rPr>
                <w:rFonts w:ascii="Calibri" w:hAnsi="Calibri"/>
                <w:b/>
                <w:bCs/>
                <w:sz w:val="22"/>
                <w:szCs w:val="22"/>
                <w:highlight w:val="yellow"/>
              </w:rPr>
              <w:t>IPRs</w:t>
            </w:r>
            <w:proofErr w:type="spellEnd"/>
            <w:r w:rsidRPr="008D024D">
              <w:rPr>
                <w:rFonts w:ascii="Calibri" w:hAnsi="Calibri"/>
                <w:b/>
                <w:bCs/>
                <w:sz w:val="22"/>
                <w:szCs w:val="22"/>
                <w:highlight w:val="yellow"/>
              </w:rPr>
              <w:t xml:space="preserve"> involve adverse parties, and (3) </w:t>
            </w:r>
            <w:proofErr w:type="spellStart"/>
            <w:r w:rsidRPr="008D024D">
              <w:rPr>
                <w:rFonts w:ascii="Calibri" w:hAnsi="Calibri"/>
                <w:b/>
                <w:bCs/>
                <w:sz w:val="22"/>
                <w:szCs w:val="22"/>
                <w:highlight w:val="yellow"/>
              </w:rPr>
              <w:t>IPRs</w:t>
            </w:r>
            <w:proofErr w:type="spellEnd"/>
            <w:r w:rsidRPr="008D024D">
              <w:rPr>
                <w:rFonts w:ascii="Calibri" w:hAnsi="Calibri"/>
                <w:b/>
                <w:bCs/>
                <w:sz w:val="22"/>
                <w:szCs w:val="22"/>
                <w:highlight w:val="yellow"/>
              </w:rPr>
              <w:t xml:space="preserve"> are the type of adjudicatory administrative proceedings to which state sovereign immunity applies under </w:t>
            </w:r>
            <w:r w:rsidRPr="008D024D">
              <w:rPr>
                <w:rFonts w:ascii="Calibri" w:hAnsi="Calibri"/>
                <w:b/>
                <w:bCs/>
                <w:i/>
                <w:sz w:val="22"/>
                <w:szCs w:val="22"/>
                <w:highlight w:val="yellow"/>
              </w:rPr>
              <w:t>FMC</w:t>
            </w:r>
            <w:proofErr w:type="gramStart"/>
            <w:r w:rsidRPr="008D024D">
              <w:rPr>
                <w:rFonts w:ascii="Calibri" w:hAnsi="Calibri"/>
                <w:b/>
                <w:bCs/>
                <w:sz w:val="22"/>
                <w:szCs w:val="22"/>
                <w:highlight w:val="yellow"/>
              </w:rPr>
              <w:t xml:space="preserve">. </w:t>
            </w:r>
            <w:proofErr w:type="gramEnd"/>
            <w:r w:rsidRPr="008D024D">
              <w:rPr>
                <w:rFonts w:ascii="Calibri" w:hAnsi="Calibri"/>
                <w:b/>
                <w:bCs/>
                <w:sz w:val="22"/>
                <w:szCs w:val="22"/>
                <w:highlight w:val="yellow"/>
              </w:rPr>
              <w:t>Appx5.</w:t>
            </w:r>
            <w:r>
              <w:rPr>
                <w:rFonts w:ascii="Calibri" w:hAnsi="Calibri"/>
                <w:b/>
                <w:bCs/>
                <w:sz w:val="22"/>
                <w:szCs w:val="22"/>
                <w:highlight w:val="yellow"/>
              </w:rPr>
              <w:t xml:space="preserve">  </w:t>
            </w:r>
            <w:proofErr w:type="spellStart"/>
            <w:r>
              <w:rPr>
                <w:rFonts w:ascii="Calibri" w:hAnsi="Calibri"/>
                <w:b/>
                <w:bCs/>
                <w:sz w:val="22"/>
                <w:szCs w:val="22"/>
                <w:highlight w:val="yellow"/>
              </w:rPr>
              <w:t>UMN</w:t>
            </w:r>
            <w:proofErr w:type="spellEnd"/>
            <w:r>
              <w:rPr>
                <w:rFonts w:ascii="Calibri" w:hAnsi="Calibri"/>
                <w:b/>
                <w:bCs/>
                <w:sz w:val="22"/>
                <w:szCs w:val="22"/>
                <w:highlight w:val="yellow"/>
              </w:rPr>
              <w:t xml:space="preserve"> Br. 22.</w:t>
            </w:r>
          </w:p>
        </w:tc>
      </w:tr>
      <w:tr w:rsidR="00FE5B6A" w14:paraId="2457AC2E" w14:textId="77777777" w:rsidTr="0010708E">
        <w:trPr>
          <w:trHeight w:val="4795"/>
        </w:trPr>
        <w:tc>
          <w:tcPr>
            <w:tcW w:w="5904" w:type="dxa"/>
            <w:vAlign w:val="center"/>
          </w:tcPr>
          <w:p w14:paraId="739770D0" w14:textId="191D97B8" w:rsidR="00FE5B6A" w:rsidRDefault="00FE5B6A" w:rsidP="0010708E">
            <w:pPr>
              <w:pStyle w:val="O-BodyText"/>
              <w:spacing w:afterLines="120" w:after="288"/>
              <w:ind w:right="108"/>
              <w:rPr>
                <w:rFonts w:ascii="Calibri" w:hAnsi="Calibri"/>
                <w:b/>
                <w:bCs/>
                <w:sz w:val="28"/>
                <w:szCs w:val="28"/>
              </w:rPr>
            </w:pPr>
            <w:r>
              <w:rPr>
                <w:rFonts w:ascii="Calibri" w:hAnsi="Calibri"/>
                <w:b/>
                <w:bCs/>
                <w:sz w:val="28"/>
                <w:szCs w:val="28"/>
              </w:rPr>
              <w:t xml:space="preserve">Was the </w:t>
            </w:r>
            <w:proofErr w:type="spellStart"/>
            <w:r>
              <w:rPr>
                <w:rFonts w:ascii="Calibri" w:hAnsi="Calibri"/>
                <w:b/>
                <w:bCs/>
                <w:sz w:val="28"/>
                <w:szCs w:val="28"/>
              </w:rPr>
              <w:t>PTAB</w:t>
            </w:r>
            <w:proofErr w:type="spellEnd"/>
            <w:r>
              <w:rPr>
                <w:rFonts w:ascii="Calibri" w:hAnsi="Calibri"/>
                <w:b/>
                <w:bCs/>
                <w:sz w:val="28"/>
                <w:szCs w:val="28"/>
              </w:rPr>
              <w:t xml:space="preserve"> correct in finding </w:t>
            </w:r>
            <w:r w:rsidRPr="00FE5B6A">
              <w:rPr>
                <w:rFonts w:ascii="Calibri" w:hAnsi="Calibri"/>
                <w:b/>
                <w:bCs/>
                <w:sz w:val="28"/>
                <w:szCs w:val="28"/>
              </w:rPr>
              <w:t xml:space="preserve">that </w:t>
            </w:r>
            <w:proofErr w:type="spellStart"/>
            <w:r w:rsidRPr="00FE5B6A">
              <w:rPr>
                <w:rFonts w:ascii="Calibri" w:hAnsi="Calibri"/>
                <w:b/>
                <w:bCs/>
                <w:sz w:val="28"/>
                <w:szCs w:val="28"/>
              </w:rPr>
              <w:t>IPRs</w:t>
            </w:r>
            <w:proofErr w:type="spellEnd"/>
            <w:r w:rsidRPr="00FE5B6A">
              <w:rPr>
                <w:rFonts w:ascii="Calibri" w:hAnsi="Calibri"/>
                <w:b/>
                <w:bCs/>
                <w:sz w:val="28"/>
                <w:szCs w:val="28"/>
              </w:rPr>
              <w:t xml:space="preserve"> are adversarial proceedings between patent owner and petitioner</w:t>
            </w:r>
            <w:r>
              <w:rPr>
                <w:rFonts w:ascii="Calibri" w:hAnsi="Calibri"/>
                <w:b/>
                <w:bCs/>
                <w:sz w:val="28"/>
                <w:szCs w:val="28"/>
              </w:rPr>
              <w:t>?</w:t>
            </w:r>
          </w:p>
        </w:tc>
        <w:tc>
          <w:tcPr>
            <w:tcW w:w="5904" w:type="dxa"/>
            <w:vAlign w:val="center"/>
          </w:tcPr>
          <w:p w14:paraId="13CFC224" w14:textId="5F57F497" w:rsidR="00FE5B6A" w:rsidRDefault="00FE5B6A" w:rsidP="0010708E">
            <w:pPr>
              <w:pStyle w:val="O-BodyText"/>
              <w:spacing w:after="120"/>
              <w:ind w:right="162"/>
              <w:rPr>
                <w:rFonts w:ascii="Calibri" w:hAnsi="Calibri"/>
                <w:b/>
                <w:bCs/>
                <w:sz w:val="22"/>
                <w:szCs w:val="22"/>
                <w:highlight w:val="yellow"/>
              </w:rPr>
            </w:pPr>
            <w:r>
              <w:rPr>
                <w:rFonts w:ascii="Calibri" w:hAnsi="Calibri"/>
                <w:b/>
                <w:bCs/>
                <w:sz w:val="22"/>
                <w:szCs w:val="22"/>
                <w:highlight w:val="yellow"/>
              </w:rPr>
              <w:t>[Explain.]</w:t>
            </w:r>
          </w:p>
        </w:tc>
      </w:tr>
      <w:tr w:rsidR="0083528C" w14:paraId="65A25D92" w14:textId="77777777" w:rsidTr="0010708E">
        <w:trPr>
          <w:trHeight w:val="4795"/>
        </w:trPr>
        <w:tc>
          <w:tcPr>
            <w:tcW w:w="5904" w:type="dxa"/>
            <w:vAlign w:val="center"/>
          </w:tcPr>
          <w:p w14:paraId="6A949891" w14:textId="6014411C" w:rsidR="0083528C" w:rsidRDefault="0083528C"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Why did the </w:t>
            </w:r>
            <w:proofErr w:type="spellStart"/>
            <w:r>
              <w:rPr>
                <w:rFonts w:ascii="Calibri" w:hAnsi="Calibri"/>
                <w:b/>
                <w:bCs/>
                <w:sz w:val="28"/>
                <w:szCs w:val="28"/>
              </w:rPr>
              <w:t>PTAB</w:t>
            </w:r>
            <w:proofErr w:type="spellEnd"/>
            <w:r>
              <w:rPr>
                <w:rFonts w:ascii="Calibri" w:hAnsi="Calibri"/>
                <w:b/>
                <w:bCs/>
                <w:sz w:val="28"/>
                <w:szCs w:val="28"/>
              </w:rPr>
              <w:t xml:space="preserve"> expand the </w:t>
            </w:r>
            <w:proofErr w:type="gramStart"/>
            <w:r>
              <w:rPr>
                <w:rFonts w:ascii="Calibri" w:hAnsi="Calibri"/>
                <w:b/>
                <w:bCs/>
                <w:sz w:val="28"/>
                <w:szCs w:val="28"/>
              </w:rPr>
              <w:t>originally-designated</w:t>
            </w:r>
            <w:proofErr w:type="gramEnd"/>
            <w:r>
              <w:rPr>
                <w:rFonts w:ascii="Calibri" w:hAnsi="Calibri"/>
                <w:b/>
                <w:bCs/>
                <w:sz w:val="28"/>
                <w:szCs w:val="28"/>
              </w:rPr>
              <w:t xml:space="preserve"> panels in these appeals?</w:t>
            </w:r>
          </w:p>
        </w:tc>
        <w:tc>
          <w:tcPr>
            <w:tcW w:w="5904" w:type="dxa"/>
            <w:vAlign w:val="center"/>
          </w:tcPr>
          <w:p w14:paraId="61ADDA73" w14:textId="15204818" w:rsidR="0083528C" w:rsidRPr="00532E01" w:rsidRDefault="0083528C" w:rsidP="0010708E">
            <w:pPr>
              <w:pStyle w:val="O-BodyText"/>
              <w:spacing w:after="120"/>
              <w:ind w:right="162"/>
              <w:rPr>
                <w:rFonts w:ascii="Calibri" w:hAnsi="Calibri"/>
                <w:b/>
                <w:bCs/>
                <w:sz w:val="22"/>
                <w:szCs w:val="22"/>
              </w:rPr>
            </w:pPr>
            <w:r w:rsidRPr="0083528C">
              <w:rPr>
                <w:rFonts w:ascii="Calibri" w:hAnsi="Calibri"/>
                <w:b/>
                <w:bCs/>
                <w:sz w:val="22"/>
                <w:szCs w:val="22"/>
                <w:highlight w:val="yellow"/>
              </w:rPr>
              <w:t xml:space="preserve">Noting “the exceptional nature of the issues presented,” the Board expanded the </w:t>
            </w:r>
            <w:proofErr w:type="gramStart"/>
            <w:r w:rsidRPr="0083528C">
              <w:rPr>
                <w:rFonts w:ascii="Calibri" w:hAnsi="Calibri"/>
                <w:b/>
                <w:bCs/>
                <w:sz w:val="22"/>
                <w:szCs w:val="22"/>
                <w:highlight w:val="yellow"/>
              </w:rPr>
              <w:t>originally-designated</w:t>
            </w:r>
            <w:proofErr w:type="gramEnd"/>
            <w:r w:rsidRPr="0083528C">
              <w:rPr>
                <w:rFonts w:ascii="Calibri" w:hAnsi="Calibri"/>
                <w:b/>
                <w:bCs/>
                <w:sz w:val="22"/>
                <w:szCs w:val="22"/>
                <w:highlight w:val="yellow"/>
              </w:rPr>
              <w:t xml:space="preserve"> panels from three judges to seven, by adding to each original panel the Chief Judge, the Deputy Chief Judge, and two Vice Chief Judges. Appx2-3, Appx19-21.  </w:t>
            </w:r>
            <w:proofErr w:type="spellStart"/>
            <w:r w:rsidRPr="0083528C">
              <w:rPr>
                <w:rFonts w:ascii="Calibri" w:hAnsi="Calibri"/>
                <w:b/>
                <w:bCs/>
                <w:sz w:val="22"/>
                <w:szCs w:val="22"/>
                <w:highlight w:val="yellow"/>
              </w:rPr>
              <w:t>UMN</w:t>
            </w:r>
            <w:proofErr w:type="spellEnd"/>
            <w:r w:rsidRPr="0083528C">
              <w:rPr>
                <w:rFonts w:ascii="Calibri" w:hAnsi="Calibri"/>
                <w:b/>
                <w:bCs/>
                <w:sz w:val="22"/>
                <w:szCs w:val="22"/>
                <w:highlight w:val="yellow"/>
              </w:rPr>
              <w:t xml:space="preserve"> Br. 14.</w:t>
            </w:r>
          </w:p>
        </w:tc>
      </w:tr>
      <w:tr w:rsidR="00C92AB0" w14:paraId="7B189189" w14:textId="77777777" w:rsidTr="0010708E">
        <w:trPr>
          <w:trHeight w:val="4795"/>
        </w:trPr>
        <w:tc>
          <w:tcPr>
            <w:tcW w:w="5904" w:type="dxa"/>
            <w:vAlign w:val="center"/>
          </w:tcPr>
          <w:p w14:paraId="1B9A6549" w14:textId="1E059535" w:rsidR="00C92AB0" w:rsidRPr="0010708E" w:rsidRDefault="00C92AB0" w:rsidP="0010708E">
            <w:pPr>
              <w:pStyle w:val="O-BodyText"/>
              <w:spacing w:afterLines="120" w:after="288"/>
              <w:ind w:right="108"/>
              <w:rPr>
                <w:rFonts w:ascii="Calibri" w:hAnsi="Calibri"/>
                <w:b/>
                <w:bCs/>
                <w:sz w:val="28"/>
                <w:szCs w:val="28"/>
              </w:rPr>
            </w:pPr>
            <w:r w:rsidRPr="0010708E">
              <w:rPr>
                <w:rFonts w:ascii="Calibri" w:hAnsi="Calibri"/>
                <w:b/>
                <w:bCs/>
                <w:sz w:val="28"/>
                <w:szCs w:val="28"/>
              </w:rPr>
              <w:t xml:space="preserve">What </w:t>
            </w:r>
            <w:r w:rsidR="00D15067">
              <w:rPr>
                <w:rFonts w:ascii="Calibri" w:hAnsi="Calibri"/>
                <w:b/>
                <w:bCs/>
                <w:sz w:val="28"/>
                <w:szCs w:val="28"/>
              </w:rPr>
              <w:t xml:space="preserve">did the </w:t>
            </w:r>
            <w:proofErr w:type="spellStart"/>
            <w:r w:rsidR="00D15067">
              <w:rPr>
                <w:rFonts w:ascii="Calibri" w:hAnsi="Calibri"/>
                <w:b/>
                <w:bCs/>
                <w:sz w:val="28"/>
                <w:szCs w:val="28"/>
              </w:rPr>
              <w:t>PTAB</w:t>
            </w:r>
            <w:proofErr w:type="spellEnd"/>
            <w:r w:rsidR="00D15067">
              <w:rPr>
                <w:rFonts w:ascii="Calibri" w:hAnsi="Calibri"/>
                <w:b/>
                <w:bCs/>
                <w:sz w:val="28"/>
                <w:szCs w:val="28"/>
              </w:rPr>
              <w:t xml:space="preserve"> decide</w:t>
            </w:r>
            <w:r w:rsidRPr="0010708E">
              <w:rPr>
                <w:rFonts w:ascii="Calibri" w:hAnsi="Calibri"/>
                <w:b/>
                <w:bCs/>
                <w:sz w:val="28"/>
                <w:szCs w:val="28"/>
              </w:rPr>
              <w:t>?</w:t>
            </w:r>
          </w:p>
        </w:tc>
        <w:tc>
          <w:tcPr>
            <w:tcW w:w="5904" w:type="dxa"/>
            <w:vAlign w:val="center"/>
          </w:tcPr>
          <w:p w14:paraId="0D2C6482" w14:textId="4EE7CED5" w:rsidR="00C92AB0" w:rsidRPr="0010708E" w:rsidRDefault="00D15067" w:rsidP="0010708E">
            <w:pPr>
              <w:pStyle w:val="O-BodyText"/>
              <w:spacing w:after="120"/>
              <w:ind w:right="162"/>
              <w:rPr>
                <w:rFonts w:ascii="Calibri" w:hAnsi="Calibri"/>
                <w:b/>
                <w:bCs/>
                <w:sz w:val="22"/>
                <w:szCs w:val="22"/>
              </w:rPr>
            </w:pPr>
            <w:proofErr w:type="gramStart"/>
            <w:r w:rsidRPr="00D15067">
              <w:rPr>
                <w:rFonts w:ascii="Calibri" w:hAnsi="Calibri"/>
                <w:b/>
                <w:bCs/>
                <w:sz w:val="22"/>
                <w:szCs w:val="22"/>
              </w:rPr>
              <w:t>The majority of</w:t>
            </w:r>
            <w:proofErr w:type="gramEnd"/>
            <w:r w:rsidRPr="00D15067">
              <w:rPr>
                <w:rFonts w:ascii="Calibri" w:hAnsi="Calibri"/>
                <w:b/>
                <w:bCs/>
                <w:sz w:val="22"/>
                <w:szCs w:val="22"/>
              </w:rPr>
              <w:t xml:space="preserve"> the panel held that state sovereign immunity may extend to </w:t>
            </w:r>
            <w:proofErr w:type="spellStart"/>
            <w:r w:rsidRPr="00D15067">
              <w:rPr>
                <w:rFonts w:ascii="Calibri" w:hAnsi="Calibri"/>
                <w:b/>
                <w:bCs/>
                <w:sz w:val="22"/>
                <w:szCs w:val="22"/>
              </w:rPr>
              <w:t>IPR</w:t>
            </w:r>
            <w:proofErr w:type="spellEnd"/>
            <w:r w:rsidRPr="00D15067">
              <w:rPr>
                <w:rFonts w:ascii="Calibri" w:hAnsi="Calibri"/>
                <w:b/>
                <w:bCs/>
                <w:sz w:val="22"/>
                <w:szCs w:val="22"/>
              </w:rPr>
              <w:t xml:space="preserve">, </w:t>
            </w:r>
            <w:r>
              <w:rPr>
                <w:rFonts w:ascii="Calibri" w:hAnsi="Calibri"/>
                <w:b/>
                <w:bCs/>
                <w:sz w:val="22"/>
                <w:szCs w:val="22"/>
              </w:rPr>
              <w:t xml:space="preserve">but that </w:t>
            </w:r>
            <w:proofErr w:type="spellStart"/>
            <w:r w:rsidRPr="00D15067">
              <w:rPr>
                <w:rFonts w:ascii="Calibri" w:hAnsi="Calibri"/>
                <w:b/>
                <w:bCs/>
                <w:sz w:val="22"/>
                <w:szCs w:val="22"/>
              </w:rPr>
              <w:t>UMN</w:t>
            </w:r>
            <w:proofErr w:type="spellEnd"/>
            <w:r w:rsidRPr="00D15067">
              <w:rPr>
                <w:rFonts w:ascii="Calibri" w:hAnsi="Calibri"/>
                <w:b/>
                <w:bCs/>
                <w:sz w:val="22"/>
                <w:szCs w:val="22"/>
              </w:rPr>
              <w:t xml:space="preserve"> waived immunity b</w:t>
            </w:r>
            <w:r w:rsidR="003B0A93">
              <w:rPr>
                <w:rFonts w:ascii="Calibri" w:hAnsi="Calibri"/>
                <w:b/>
                <w:bCs/>
                <w:sz w:val="22"/>
                <w:szCs w:val="22"/>
              </w:rPr>
              <w:t>y litigating in district court.</w:t>
            </w:r>
            <w:r w:rsidR="00874D14">
              <w:rPr>
                <w:rFonts w:ascii="Calibri" w:hAnsi="Calibri"/>
                <w:b/>
                <w:bCs/>
                <w:sz w:val="22"/>
                <w:szCs w:val="22"/>
              </w:rPr>
              <w:t xml:space="preserve">  </w:t>
            </w:r>
            <w:r w:rsidR="00874D14" w:rsidRPr="00874D14">
              <w:rPr>
                <w:rFonts w:ascii="Calibri" w:hAnsi="Calibri"/>
                <w:b/>
                <w:bCs/>
                <w:sz w:val="22"/>
                <w:szCs w:val="22"/>
                <w:highlight w:val="yellow"/>
              </w:rPr>
              <w:t xml:space="preserve">The Board issued substantively identical decisions in the Ericsson </w:t>
            </w:r>
            <w:proofErr w:type="spellStart"/>
            <w:r w:rsidR="00874D14" w:rsidRPr="00874D14">
              <w:rPr>
                <w:rFonts w:ascii="Calibri" w:hAnsi="Calibri"/>
                <w:b/>
                <w:bCs/>
                <w:sz w:val="22"/>
                <w:szCs w:val="22"/>
                <w:highlight w:val="yellow"/>
              </w:rPr>
              <w:t>IPRs</w:t>
            </w:r>
            <w:proofErr w:type="spellEnd"/>
            <w:r w:rsidR="00874D14" w:rsidRPr="00874D14">
              <w:rPr>
                <w:rFonts w:ascii="Calibri" w:hAnsi="Calibri"/>
                <w:b/>
                <w:bCs/>
                <w:sz w:val="22"/>
                <w:szCs w:val="22"/>
                <w:highlight w:val="yellow"/>
              </w:rPr>
              <w:t xml:space="preserve"> and the LSI </w:t>
            </w:r>
            <w:proofErr w:type="spellStart"/>
            <w:r w:rsidR="00874D14" w:rsidRPr="00874D14">
              <w:rPr>
                <w:rFonts w:ascii="Calibri" w:hAnsi="Calibri"/>
                <w:b/>
                <w:bCs/>
                <w:sz w:val="22"/>
                <w:szCs w:val="22"/>
                <w:highlight w:val="yellow"/>
              </w:rPr>
              <w:t>IPR</w:t>
            </w:r>
            <w:proofErr w:type="spellEnd"/>
            <w:r w:rsidR="00874D14" w:rsidRPr="00874D14">
              <w:rPr>
                <w:rFonts w:ascii="Calibri" w:hAnsi="Calibri"/>
                <w:b/>
                <w:bCs/>
                <w:sz w:val="22"/>
                <w:szCs w:val="22"/>
                <w:highlight w:val="yellow"/>
              </w:rPr>
              <w:t xml:space="preserve"> and denied all the motions to dismiss</w:t>
            </w:r>
            <w:proofErr w:type="gramStart"/>
            <w:r w:rsidR="00874D14" w:rsidRPr="00874D14">
              <w:rPr>
                <w:rFonts w:ascii="Calibri" w:hAnsi="Calibri"/>
                <w:b/>
                <w:bCs/>
                <w:sz w:val="22"/>
                <w:szCs w:val="22"/>
                <w:highlight w:val="yellow"/>
              </w:rPr>
              <w:t xml:space="preserve">. </w:t>
            </w:r>
            <w:proofErr w:type="gramEnd"/>
            <w:r w:rsidR="00874D14" w:rsidRPr="00874D14">
              <w:rPr>
                <w:rFonts w:ascii="Calibri" w:hAnsi="Calibri"/>
                <w:b/>
                <w:bCs/>
                <w:sz w:val="22"/>
                <w:szCs w:val="22"/>
                <w:highlight w:val="yellow"/>
              </w:rPr>
              <w:t xml:space="preserve">Appx1-36.  </w:t>
            </w:r>
            <w:proofErr w:type="spellStart"/>
            <w:r w:rsidR="00874D14" w:rsidRPr="00874D14">
              <w:rPr>
                <w:rFonts w:ascii="Calibri" w:hAnsi="Calibri"/>
                <w:b/>
                <w:bCs/>
                <w:sz w:val="22"/>
                <w:szCs w:val="22"/>
                <w:highlight w:val="yellow"/>
              </w:rPr>
              <w:t>UMN</w:t>
            </w:r>
            <w:proofErr w:type="spellEnd"/>
            <w:r w:rsidR="00874D14" w:rsidRPr="00874D14">
              <w:rPr>
                <w:rFonts w:ascii="Calibri" w:hAnsi="Calibri"/>
                <w:b/>
                <w:bCs/>
                <w:sz w:val="22"/>
                <w:szCs w:val="22"/>
                <w:highlight w:val="yellow"/>
              </w:rPr>
              <w:t xml:space="preserve"> Br. 14.</w:t>
            </w:r>
          </w:p>
        </w:tc>
      </w:tr>
      <w:tr w:rsidR="00C92AB0" w14:paraId="17EE55AB" w14:textId="77777777" w:rsidTr="0010708E">
        <w:trPr>
          <w:trHeight w:val="4795"/>
        </w:trPr>
        <w:tc>
          <w:tcPr>
            <w:tcW w:w="5904" w:type="dxa"/>
            <w:vAlign w:val="center"/>
          </w:tcPr>
          <w:p w14:paraId="566A3235" w14:textId="580BA62E" w:rsidR="00C92AB0" w:rsidRPr="0010708E" w:rsidRDefault="00C92AB0" w:rsidP="0010708E">
            <w:pPr>
              <w:pStyle w:val="O-BodyText"/>
              <w:spacing w:afterLines="120" w:after="288"/>
              <w:ind w:right="108"/>
              <w:rPr>
                <w:rFonts w:ascii="Calibri" w:hAnsi="Calibri"/>
                <w:b/>
                <w:bCs/>
                <w:sz w:val="28"/>
                <w:szCs w:val="28"/>
              </w:rPr>
            </w:pPr>
            <w:r w:rsidRPr="0010708E">
              <w:rPr>
                <w:rFonts w:ascii="Calibri" w:hAnsi="Calibri"/>
                <w:b/>
                <w:bCs/>
                <w:sz w:val="28"/>
                <w:szCs w:val="28"/>
              </w:rPr>
              <w:t xml:space="preserve">What </w:t>
            </w:r>
            <w:r w:rsidR="003B0A93">
              <w:rPr>
                <w:rFonts w:ascii="Calibri" w:hAnsi="Calibri"/>
                <w:b/>
                <w:bCs/>
                <w:sz w:val="28"/>
                <w:szCs w:val="28"/>
              </w:rPr>
              <w:t xml:space="preserve">did Administrative </w:t>
            </w:r>
            <w:r w:rsidR="003B0A93" w:rsidRPr="003B0A93">
              <w:rPr>
                <w:rFonts w:ascii="Calibri" w:hAnsi="Calibri"/>
                <w:b/>
                <w:bCs/>
                <w:sz w:val="28"/>
                <w:szCs w:val="28"/>
              </w:rPr>
              <w:t>Patent Judge Bisk</w:t>
            </w:r>
            <w:r w:rsidR="003B0A93">
              <w:rPr>
                <w:rFonts w:ascii="Calibri" w:hAnsi="Calibri"/>
                <w:b/>
                <w:bCs/>
                <w:sz w:val="28"/>
                <w:szCs w:val="28"/>
              </w:rPr>
              <w:t xml:space="preserve"> say in her concurrence</w:t>
            </w:r>
            <w:r w:rsidRPr="0010708E">
              <w:rPr>
                <w:rFonts w:ascii="Calibri" w:hAnsi="Calibri"/>
                <w:b/>
                <w:bCs/>
                <w:sz w:val="28"/>
                <w:szCs w:val="28"/>
              </w:rPr>
              <w:t>?</w:t>
            </w:r>
          </w:p>
        </w:tc>
        <w:tc>
          <w:tcPr>
            <w:tcW w:w="5904" w:type="dxa"/>
            <w:vAlign w:val="center"/>
          </w:tcPr>
          <w:p w14:paraId="431501AE" w14:textId="0DB6652D" w:rsidR="00C92AB0" w:rsidRPr="0010708E" w:rsidRDefault="003B0A93" w:rsidP="0010708E">
            <w:pPr>
              <w:pStyle w:val="O-BodyText"/>
              <w:spacing w:after="120"/>
              <w:ind w:right="162"/>
              <w:rPr>
                <w:rFonts w:ascii="Calibri" w:hAnsi="Calibri"/>
                <w:b/>
                <w:bCs/>
                <w:sz w:val="22"/>
                <w:szCs w:val="22"/>
              </w:rPr>
            </w:pPr>
            <w:r w:rsidRPr="003B0A93">
              <w:rPr>
                <w:rFonts w:ascii="Calibri" w:hAnsi="Calibri"/>
                <w:b/>
                <w:bCs/>
                <w:sz w:val="22"/>
                <w:szCs w:val="22"/>
              </w:rPr>
              <w:t>Administrative</w:t>
            </w:r>
            <w:r w:rsidRPr="003B0A93">
              <w:rPr>
                <w:rFonts w:ascii="Calibri" w:hAnsi="Calibri"/>
                <w:b/>
                <w:bCs/>
                <w:sz w:val="28"/>
                <w:szCs w:val="28"/>
              </w:rPr>
              <w:t xml:space="preserve"> </w:t>
            </w:r>
            <w:r w:rsidRPr="003B0A93">
              <w:rPr>
                <w:rFonts w:ascii="Calibri" w:hAnsi="Calibri"/>
                <w:b/>
                <w:bCs/>
                <w:sz w:val="22"/>
                <w:szCs w:val="22"/>
              </w:rPr>
              <w:t>Patent Judge Bisk</w:t>
            </w:r>
            <w:r>
              <w:rPr>
                <w:rFonts w:ascii="Calibri" w:hAnsi="Calibri"/>
                <w:b/>
                <w:bCs/>
                <w:sz w:val="22"/>
                <w:szCs w:val="22"/>
              </w:rPr>
              <w:t xml:space="preserve"> concurred in the </w:t>
            </w:r>
            <w:proofErr w:type="spellStart"/>
            <w:r>
              <w:rPr>
                <w:rFonts w:ascii="Calibri" w:hAnsi="Calibri"/>
                <w:b/>
                <w:bCs/>
                <w:sz w:val="22"/>
                <w:szCs w:val="22"/>
              </w:rPr>
              <w:t>PTAB’s</w:t>
            </w:r>
            <w:proofErr w:type="spellEnd"/>
            <w:r>
              <w:rPr>
                <w:rFonts w:ascii="Calibri" w:hAnsi="Calibri"/>
                <w:b/>
                <w:bCs/>
                <w:sz w:val="22"/>
                <w:szCs w:val="22"/>
              </w:rPr>
              <w:t xml:space="preserve"> decision, but s</w:t>
            </w:r>
            <w:r w:rsidRPr="003B0A93">
              <w:rPr>
                <w:rFonts w:ascii="Calibri" w:hAnsi="Calibri"/>
                <w:b/>
                <w:bCs/>
                <w:sz w:val="22"/>
                <w:szCs w:val="22"/>
              </w:rPr>
              <w:t>he</w:t>
            </w:r>
            <w:r>
              <w:rPr>
                <w:rFonts w:ascii="Calibri" w:hAnsi="Calibri"/>
                <w:b/>
                <w:bCs/>
                <w:sz w:val="22"/>
                <w:szCs w:val="22"/>
              </w:rPr>
              <w:t xml:space="preserve"> </w:t>
            </w:r>
            <w:r w:rsidRPr="003B0A93">
              <w:rPr>
                <w:rFonts w:ascii="Calibri" w:hAnsi="Calibri"/>
                <w:b/>
                <w:bCs/>
                <w:sz w:val="22"/>
                <w:szCs w:val="22"/>
              </w:rPr>
              <w:t xml:space="preserve">would have held that state sovereign immunity never applies to </w:t>
            </w:r>
            <w:proofErr w:type="spellStart"/>
            <w:r w:rsidRPr="003B0A93">
              <w:rPr>
                <w:rFonts w:ascii="Calibri" w:hAnsi="Calibri"/>
                <w:b/>
                <w:bCs/>
                <w:sz w:val="22"/>
                <w:szCs w:val="22"/>
              </w:rPr>
              <w:t>IPR</w:t>
            </w:r>
            <w:proofErr w:type="spellEnd"/>
            <w:r w:rsidRPr="003B0A93">
              <w:rPr>
                <w:rFonts w:ascii="Calibri" w:hAnsi="Calibri"/>
                <w:b/>
                <w:bCs/>
                <w:sz w:val="22"/>
                <w:szCs w:val="22"/>
              </w:rPr>
              <w:t xml:space="preserve">. </w:t>
            </w:r>
            <w:r>
              <w:rPr>
                <w:rFonts w:ascii="Calibri" w:hAnsi="Calibri"/>
                <w:b/>
                <w:bCs/>
                <w:sz w:val="22"/>
                <w:szCs w:val="22"/>
              </w:rPr>
              <w:t xml:space="preserve"> </w:t>
            </w:r>
            <w:proofErr w:type="spellStart"/>
            <w:r w:rsidRPr="003B0A93">
              <w:rPr>
                <w:rFonts w:ascii="Calibri" w:hAnsi="Calibri"/>
                <w:b/>
                <w:bCs/>
                <w:sz w:val="22"/>
                <w:szCs w:val="22"/>
              </w:rPr>
              <w:t>APJ</w:t>
            </w:r>
            <w:proofErr w:type="spellEnd"/>
            <w:r w:rsidRPr="003B0A93">
              <w:rPr>
                <w:rFonts w:ascii="Calibri" w:hAnsi="Calibri"/>
                <w:b/>
                <w:bCs/>
                <w:sz w:val="22"/>
                <w:szCs w:val="22"/>
              </w:rPr>
              <w:t xml:space="preserve"> Bisk </w:t>
            </w:r>
            <w:r>
              <w:rPr>
                <w:rFonts w:ascii="Calibri" w:hAnsi="Calibri"/>
                <w:b/>
                <w:bCs/>
                <w:sz w:val="22"/>
                <w:szCs w:val="22"/>
              </w:rPr>
              <w:t xml:space="preserve">explained </w:t>
            </w:r>
            <w:r w:rsidRPr="003B0A93">
              <w:rPr>
                <w:rFonts w:ascii="Calibri" w:hAnsi="Calibri"/>
                <w:b/>
                <w:bCs/>
                <w:sz w:val="22"/>
                <w:szCs w:val="22"/>
              </w:rPr>
              <w:t>the “[o]</w:t>
            </w:r>
            <w:proofErr w:type="spellStart"/>
            <w:r w:rsidRPr="003B0A93">
              <w:rPr>
                <w:rFonts w:ascii="Calibri" w:hAnsi="Calibri"/>
                <w:b/>
                <w:bCs/>
                <w:sz w:val="22"/>
                <w:szCs w:val="22"/>
              </w:rPr>
              <w:t>bvious</w:t>
            </w:r>
            <w:proofErr w:type="spellEnd"/>
            <w:r w:rsidRPr="003B0A93">
              <w:rPr>
                <w:rFonts w:ascii="Calibri" w:hAnsi="Calibri"/>
                <w:b/>
                <w:bCs/>
                <w:sz w:val="22"/>
                <w:szCs w:val="22"/>
              </w:rPr>
              <w:t xml:space="preserve"> differences” between </w:t>
            </w:r>
            <w:proofErr w:type="spellStart"/>
            <w:r w:rsidRPr="003B0A93">
              <w:rPr>
                <w:rFonts w:ascii="Calibri" w:hAnsi="Calibri"/>
                <w:b/>
                <w:bCs/>
                <w:sz w:val="22"/>
                <w:szCs w:val="22"/>
              </w:rPr>
              <w:t>IPR</w:t>
            </w:r>
            <w:proofErr w:type="spellEnd"/>
            <w:r w:rsidRPr="003B0A93">
              <w:rPr>
                <w:rFonts w:ascii="Calibri" w:hAnsi="Calibri"/>
                <w:b/>
                <w:bCs/>
                <w:sz w:val="22"/>
                <w:szCs w:val="22"/>
              </w:rPr>
              <w:t xml:space="preserve"> and the proceedings at issue in </w:t>
            </w:r>
            <w:r w:rsidRPr="003B0A93">
              <w:rPr>
                <w:rFonts w:ascii="Calibri" w:hAnsi="Calibri"/>
                <w:b/>
                <w:bCs/>
                <w:i/>
                <w:sz w:val="22"/>
                <w:szCs w:val="22"/>
              </w:rPr>
              <w:t>FMC</w:t>
            </w:r>
            <w:r w:rsidRPr="003B0A93">
              <w:rPr>
                <w:rFonts w:ascii="Calibri" w:hAnsi="Calibri"/>
                <w:b/>
                <w:bCs/>
                <w:sz w:val="22"/>
                <w:szCs w:val="22"/>
              </w:rPr>
              <w:t>, including the lead role played by a federal agency, the limited scope of discovery and remedies, and the fact that the patent holder is not a necessary party</w:t>
            </w:r>
            <w:r>
              <w:rPr>
                <w:rFonts w:ascii="Calibri" w:hAnsi="Calibri"/>
                <w:b/>
                <w:bCs/>
                <w:sz w:val="22"/>
                <w:szCs w:val="22"/>
              </w:rPr>
              <w:t>.</w:t>
            </w:r>
          </w:p>
        </w:tc>
      </w:tr>
      <w:tr w:rsidR="00F42F61" w14:paraId="0302FC02" w14:textId="77777777" w:rsidTr="0010708E">
        <w:trPr>
          <w:trHeight w:val="4795"/>
        </w:trPr>
        <w:tc>
          <w:tcPr>
            <w:tcW w:w="5904" w:type="dxa"/>
            <w:vAlign w:val="center"/>
          </w:tcPr>
          <w:p w14:paraId="0D22A91F" w14:textId="341F9861" w:rsidR="00F42F61" w:rsidRPr="0010708E" w:rsidRDefault="00F42F61"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happened after the </w:t>
            </w:r>
            <w:proofErr w:type="spellStart"/>
            <w:r>
              <w:rPr>
                <w:rFonts w:ascii="Calibri" w:hAnsi="Calibri"/>
                <w:b/>
                <w:bCs/>
                <w:sz w:val="28"/>
                <w:szCs w:val="28"/>
              </w:rPr>
              <w:t>PTAB</w:t>
            </w:r>
            <w:proofErr w:type="spellEnd"/>
            <w:r>
              <w:rPr>
                <w:rFonts w:ascii="Calibri" w:hAnsi="Calibri"/>
                <w:b/>
                <w:bCs/>
                <w:sz w:val="28"/>
                <w:szCs w:val="28"/>
              </w:rPr>
              <w:t xml:space="preserve"> issued its decision?</w:t>
            </w:r>
          </w:p>
        </w:tc>
        <w:tc>
          <w:tcPr>
            <w:tcW w:w="5904" w:type="dxa"/>
            <w:vAlign w:val="center"/>
          </w:tcPr>
          <w:p w14:paraId="05BEC7C8" w14:textId="23F69F71" w:rsidR="00F42F61" w:rsidRPr="003B0A93" w:rsidRDefault="00F42F61" w:rsidP="0010708E">
            <w:pPr>
              <w:pStyle w:val="O-BodyText"/>
              <w:spacing w:after="120"/>
              <w:ind w:right="162"/>
              <w:rPr>
                <w:rFonts w:ascii="Calibri" w:hAnsi="Calibri"/>
                <w:b/>
                <w:bCs/>
                <w:sz w:val="22"/>
                <w:szCs w:val="22"/>
              </w:rPr>
            </w:pPr>
            <w:r w:rsidRPr="00F42F61">
              <w:rPr>
                <w:rFonts w:ascii="Calibri" w:hAnsi="Calibri"/>
                <w:b/>
                <w:bCs/>
                <w:sz w:val="22"/>
                <w:szCs w:val="22"/>
                <w:highlight w:val="yellow"/>
              </w:rPr>
              <w:t xml:space="preserve">From LSI’s Brief:  The Board stayed the </w:t>
            </w:r>
            <w:proofErr w:type="spellStart"/>
            <w:r w:rsidRPr="00F42F61">
              <w:rPr>
                <w:rFonts w:ascii="Calibri" w:hAnsi="Calibri"/>
                <w:b/>
                <w:bCs/>
                <w:sz w:val="22"/>
                <w:szCs w:val="22"/>
                <w:highlight w:val="yellow"/>
              </w:rPr>
              <w:t>IPR</w:t>
            </w:r>
            <w:proofErr w:type="spellEnd"/>
            <w:r w:rsidRPr="00F42F61">
              <w:rPr>
                <w:rFonts w:ascii="Calibri" w:hAnsi="Calibri"/>
                <w:b/>
                <w:bCs/>
                <w:sz w:val="22"/>
                <w:szCs w:val="22"/>
                <w:highlight w:val="yellow"/>
              </w:rPr>
              <w:t xml:space="preserve"> pending </w:t>
            </w:r>
            <w:proofErr w:type="spellStart"/>
            <w:r w:rsidRPr="00F42F61">
              <w:rPr>
                <w:rFonts w:ascii="Calibri" w:hAnsi="Calibri"/>
                <w:b/>
                <w:bCs/>
                <w:sz w:val="22"/>
                <w:szCs w:val="22"/>
                <w:highlight w:val="yellow"/>
              </w:rPr>
              <w:t>UMN’s</w:t>
            </w:r>
            <w:proofErr w:type="spellEnd"/>
            <w:r w:rsidRPr="00F42F61">
              <w:rPr>
                <w:rFonts w:ascii="Calibri" w:hAnsi="Calibri"/>
                <w:b/>
                <w:bCs/>
                <w:sz w:val="22"/>
                <w:szCs w:val="22"/>
                <w:highlight w:val="yellow"/>
              </w:rPr>
              <w:t xml:space="preserve"> appeal of the Board’s denial</w:t>
            </w:r>
            <w:proofErr w:type="gramStart"/>
            <w:r w:rsidRPr="00F42F61">
              <w:rPr>
                <w:rFonts w:ascii="Calibri" w:hAnsi="Calibri"/>
                <w:b/>
                <w:bCs/>
                <w:sz w:val="22"/>
                <w:szCs w:val="22"/>
                <w:highlight w:val="yellow"/>
              </w:rPr>
              <w:t xml:space="preserve">. </w:t>
            </w:r>
            <w:proofErr w:type="gramEnd"/>
            <w:r w:rsidRPr="00F42F61">
              <w:rPr>
                <w:rFonts w:ascii="Calibri" w:hAnsi="Calibri"/>
                <w:b/>
                <w:bCs/>
                <w:sz w:val="22"/>
                <w:szCs w:val="22"/>
                <w:highlight w:val="yellow"/>
              </w:rPr>
              <w:t>Appx1086.  LSI Br. 6.</w:t>
            </w:r>
          </w:p>
        </w:tc>
      </w:tr>
      <w:tr w:rsidR="00C92AB0" w14:paraId="2AA241AB" w14:textId="77777777" w:rsidTr="0010708E">
        <w:trPr>
          <w:trHeight w:val="4795"/>
        </w:trPr>
        <w:tc>
          <w:tcPr>
            <w:tcW w:w="5904" w:type="dxa"/>
            <w:vAlign w:val="center"/>
          </w:tcPr>
          <w:p w14:paraId="3B2EEB6A" w14:textId="4FB7E707" w:rsidR="00C92AB0" w:rsidRPr="0010708E" w:rsidRDefault="00C92AB0" w:rsidP="0010708E">
            <w:pPr>
              <w:pStyle w:val="O-BodyText"/>
              <w:spacing w:afterLines="120" w:after="288"/>
              <w:ind w:right="108"/>
              <w:rPr>
                <w:rFonts w:ascii="Calibri" w:hAnsi="Calibri"/>
                <w:b/>
                <w:bCs/>
                <w:sz w:val="28"/>
                <w:szCs w:val="28"/>
              </w:rPr>
            </w:pPr>
            <w:r w:rsidRPr="0010708E">
              <w:rPr>
                <w:rFonts w:ascii="Calibri" w:hAnsi="Calibri"/>
                <w:b/>
                <w:bCs/>
                <w:sz w:val="28"/>
                <w:szCs w:val="28"/>
              </w:rPr>
              <w:t xml:space="preserve">What </w:t>
            </w:r>
            <w:r w:rsidR="00817821">
              <w:rPr>
                <w:rFonts w:ascii="Calibri" w:hAnsi="Calibri"/>
                <w:b/>
                <w:bCs/>
                <w:sz w:val="28"/>
                <w:szCs w:val="28"/>
              </w:rPr>
              <w:t xml:space="preserve">is the basis for </w:t>
            </w:r>
            <w:proofErr w:type="spellStart"/>
            <w:r w:rsidR="00817821">
              <w:rPr>
                <w:rFonts w:ascii="Calibri" w:hAnsi="Calibri"/>
                <w:b/>
                <w:bCs/>
                <w:sz w:val="28"/>
                <w:szCs w:val="28"/>
              </w:rPr>
              <w:t>UMN’s</w:t>
            </w:r>
            <w:proofErr w:type="spellEnd"/>
            <w:r w:rsidR="00817821">
              <w:rPr>
                <w:rFonts w:ascii="Calibri" w:hAnsi="Calibri"/>
                <w:b/>
                <w:bCs/>
                <w:sz w:val="28"/>
                <w:szCs w:val="28"/>
              </w:rPr>
              <w:t xml:space="preserve"> appeal</w:t>
            </w:r>
            <w:r w:rsidRPr="0010708E">
              <w:rPr>
                <w:rFonts w:ascii="Calibri" w:hAnsi="Calibri"/>
                <w:b/>
                <w:bCs/>
                <w:sz w:val="28"/>
                <w:szCs w:val="28"/>
              </w:rPr>
              <w:t>?</w:t>
            </w:r>
          </w:p>
        </w:tc>
        <w:tc>
          <w:tcPr>
            <w:tcW w:w="5904" w:type="dxa"/>
            <w:vAlign w:val="center"/>
          </w:tcPr>
          <w:p w14:paraId="120A27B7" w14:textId="7CCFBABE" w:rsidR="00C92AB0" w:rsidRPr="0010708E" w:rsidRDefault="001218EC" w:rsidP="001218EC">
            <w:pPr>
              <w:pStyle w:val="O-BodyText"/>
              <w:spacing w:after="120"/>
              <w:ind w:right="162"/>
              <w:rPr>
                <w:rFonts w:ascii="Calibri" w:hAnsi="Calibri"/>
                <w:b/>
                <w:bCs/>
                <w:sz w:val="22"/>
                <w:szCs w:val="22"/>
              </w:rPr>
            </w:pPr>
            <w:proofErr w:type="spellStart"/>
            <w:r w:rsidRPr="001218EC">
              <w:rPr>
                <w:rFonts w:ascii="Calibri" w:hAnsi="Calibri"/>
                <w:b/>
                <w:bCs/>
                <w:sz w:val="22"/>
                <w:szCs w:val="22"/>
              </w:rPr>
              <w:t>UMN</w:t>
            </w:r>
            <w:proofErr w:type="spellEnd"/>
            <w:r w:rsidRPr="001218EC">
              <w:rPr>
                <w:rFonts w:ascii="Calibri" w:hAnsi="Calibri"/>
                <w:b/>
                <w:bCs/>
                <w:sz w:val="22"/>
                <w:szCs w:val="22"/>
              </w:rPr>
              <w:t xml:space="preserve"> appeals from </w:t>
            </w:r>
            <w:proofErr w:type="spellStart"/>
            <w:r>
              <w:rPr>
                <w:rFonts w:ascii="Calibri" w:hAnsi="Calibri"/>
                <w:b/>
                <w:bCs/>
                <w:sz w:val="22"/>
                <w:szCs w:val="22"/>
              </w:rPr>
              <w:t>PTAB’s</w:t>
            </w:r>
            <w:proofErr w:type="spellEnd"/>
            <w:r w:rsidRPr="001218EC">
              <w:rPr>
                <w:rFonts w:ascii="Calibri" w:hAnsi="Calibri"/>
                <w:b/>
                <w:bCs/>
                <w:sz w:val="22"/>
                <w:szCs w:val="22"/>
              </w:rPr>
              <w:t xml:space="preserve"> decisions</w:t>
            </w:r>
            <w:r>
              <w:rPr>
                <w:rFonts w:ascii="Calibri" w:hAnsi="Calibri"/>
                <w:b/>
                <w:bCs/>
                <w:sz w:val="22"/>
                <w:szCs w:val="22"/>
              </w:rPr>
              <w:t xml:space="preserve"> </w:t>
            </w:r>
            <w:r w:rsidRPr="001218EC">
              <w:rPr>
                <w:rFonts w:ascii="Calibri" w:hAnsi="Calibri"/>
                <w:b/>
                <w:bCs/>
                <w:sz w:val="22"/>
                <w:szCs w:val="22"/>
              </w:rPr>
              <w:t xml:space="preserve">denying </w:t>
            </w:r>
            <w:proofErr w:type="spellStart"/>
            <w:r w:rsidRPr="001218EC">
              <w:rPr>
                <w:rFonts w:ascii="Calibri" w:hAnsi="Calibri"/>
                <w:b/>
                <w:bCs/>
                <w:sz w:val="22"/>
                <w:szCs w:val="22"/>
              </w:rPr>
              <w:t>UMN’s</w:t>
            </w:r>
            <w:proofErr w:type="spellEnd"/>
            <w:r w:rsidRPr="001218EC">
              <w:rPr>
                <w:rFonts w:ascii="Calibri" w:hAnsi="Calibri"/>
                <w:b/>
                <w:bCs/>
                <w:sz w:val="22"/>
                <w:szCs w:val="22"/>
              </w:rPr>
              <w:t xml:space="preserve"> motions to dismiss </w:t>
            </w:r>
            <w:proofErr w:type="spellStart"/>
            <w:r w:rsidRPr="001218EC">
              <w:rPr>
                <w:rFonts w:ascii="Calibri" w:hAnsi="Calibri"/>
                <w:b/>
                <w:bCs/>
                <w:sz w:val="22"/>
                <w:szCs w:val="22"/>
              </w:rPr>
              <w:t>IPRs</w:t>
            </w:r>
            <w:proofErr w:type="spellEnd"/>
            <w:r w:rsidRPr="001218EC">
              <w:rPr>
                <w:rFonts w:ascii="Calibri" w:hAnsi="Calibri"/>
                <w:b/>
                <w:bCs/>
                <w:sz w:val="22"/>
                <w:szCs w:val="22"/>
              </w:rPr>
              <w:t xml:space="preserve"> filed by Appellees against </w:t>
            </w:r>
            <w:proofErr w:type="spellStart"/>
            <w:r w:rsidRPr="001218EC">
              <w:rPr>
                <w:rFonts w:ascii="Calibri" w:hAnsi="Calibri"/>
                <w:b/>
                <w:bCs/>
                <w:sz w:val="22"/>
                <w:szCs w:val="22"/>
              </w:rPr>
              <w:t>UMN</w:t>
            </w:r>
            <w:proofErr w:type="spellEnd"/>
            <w:r w:rsidR="00817821">
              <w:rPr>
                <w:rFonts w:ascii="Calibri" w:hAnsi="Calibri"/>
                <w:b/>
                <w:bCs/>
                <w:sz w:val="22"/>
                <w:szCs w:val="22"/>
              </w:rPr>
              <w:t>.</w:t>
            </w:r>
          </w:p>
        </w:tc>
      </w:tr>
      <w:tr w:rsidR="00624657" w14:paraId="455BEC94" w14:textId="77777777" w:rsidTr="0010708E">
        <w:trPr>
          <w:trHeight w:val="4795"/>
        </w:trPr>
        <w:tc>
          <w:tcPr>
            <w:tcW w:w="5904" w:type="dxa"/>
            <w:vAlign w:val="center"/>
          </w:tcPr>
          <w:p w14:paraId="13215D29" w14:textId="62F361A0" w:rsidR="00624657" w:rsidRPr="0010708E" w:rsidRDefault="005E0FCC" w:rsidP="0010708E">
            <w:pPr>
              <w:pStyle w:val="O-BodyText"/>
              <w:spacing w:afterLines="120" w:after="288"/>
              <w:ind w:right="108"/>
              <w:rPr>
                <w:rFonts w:ascii="Calibri" w:hAnsi="Calibri"/>
                <w:b/>
                <w:bCs/>
                <w:sz w:val="28"/>
                <w:szCs w:val="28"/>
              </w:rPr>
            </w:pPr>
            <w:r>
              <w:rPr>
                <w:rFonts w:ascii="Calibri" w:hAnsi="Calibri"/>
                <w:b/>
                <w:bCs/>
                <w:sz w:val="28"/>
                <w:szCs w:val="28"/>
              </w:rPr>
              <w:t xml:space="preserve">Is </w:t>
            </w:r>
            <w:proofErr w:type="spellStart"/>
            <w:r>
              <w:rPr>
                <w:rFonts w:ascii="Calibri" w:hAnsi="Calibri"/>
                <w:b/>
                <w:bCs/>
                <w:sz w:val="28"/>
                <w:szCs w:val="28"/>
              </w:rPr>
              <w:t>UMN</w:t>
            </w:r>
            <w:proofErr w:type="spellEnd"/>
            <w:r>
              <w:rPr>
                <w:rFonts w:ascii="Calibri" w:hAnsi="Calibri"/>
                <w:b/>
                <w:bCs/>
                <w:sz w:val="28"/>
                <w:szCs w:val="28"/>
              </w:rPr>
              <w:t xml:space="preserve"> appealing any other decisions here</w:t>
            </w:r>
            <w:r w:rsidR="00624657" w:rsidRPr="0010708E">
              <w:rPr>
                <w:rFonts w:ascii="Calibri" w:hAnsi="Calibri"/>
                <w:b/>
                <w:bCs/>
                <w:sz w:val="28"/>
                <w:szCs w:val="28"/>
              </w:rPr>
              <w:t>?</w:t>
            </w:r>
          </w:p>
        </w:tc>
        <w:tc>
          <w:tcPr>
            <w:tcW w:w="5904" w:type="dxa"/>
            <w:vAlign w:val="center"/>
          </w:tcPr>
          <w:p w14:paraId="01FF974C" w14:textId="0BB4E980" w:rsidR="00624657" w:rsidRPr="0010708E" w:rsidRDefault="005E0FCC" w:rsidP="0010708E">
            <w:pPr>
              <w:pStyle w:val="O-BodyText"/>
              <w:spacing w:after="120"/>
              <w:ind w:right="162"/>
              <w:rPr>
                <w:rFonts w:ascii="Calibri" w:hAnsi="Calibri"/>
                <w:b/>
                <w:bCs/>
                <w:sz w:val="22"/>
                <w:szCs w:val="22"/>
              </w:rPr>
            </w:pPr>
            <w:r>
              <w:rPr>
                <w:rFonts w:ascii="Calibri" w:hAnsi="Calibri"/>
                <w:b/>
                <w:bCs/>
                <w:sz w:val="22"/>
                <w:szCs w:val="22"/>
              </w:rPr>
              <w:t xml:space="preserve">Yes.  </w:t>
            </w:r>
            <w:r w:rsidRPr="005E0FCC">
              <w:rPr>
                <w:rFonts w:ascii="Calibri" w:hAnsi="Calibri"/>
                <w:b/>
                <w:bCs/>
                <w:sz w:val="22"/>
                <w:szCs w:val="22"/>
              </w:rPr>
              <w:t xml:space="preserve">The </w:t>
            </w:r>
            <w:proofErr w:type="spellStart"/>
            <w:r w:rsidRPr="005E0FCC">
              <w:rPr>
                <w:rFonts w:ascii="Calibri" w:hAnsi="Calibri"/>
                <w:b/>
                <w:bCs/>
                <w:sz w:val="22"/>
                <w:szCs w:val="22"/>
              </w:rPr>
              <w:t>PTAB</w:t>
            </w:r>
            <w:proofErr w:type="spellEnd"/>
            <w:r w:rsidRPr="005E0FCC">
              <w:rPr>
                <w:rFonts w:ascii="Calibri" w:hAnsi="Calibri"/>
                <w:b/>
                <w:bCs/>
                <w:sz w:val="22"/>
                <w:szCs w:val="22"/>
              </w:rPr>
              <w:t xml:space="preserve"> issued an identical opinion in an </w:t>
            </w:r>
            <w:proofErr w:type="spellStart"/>
            <w:r w:rsidRPr="005E0FCC">
              <w:rPr>
                <w:rFonts w:ascii="Calibri" w:hAnsi="Calibri"/>
                <w:b/>
                <w:bCs/>
                <w:sz w:val="22"/>
                <w:szCs w:val="22"/>
              </w:rPr>
              <w:t>IPR</w:t>
            </w:r>
            <w:proofErr w:type="spellEnd"/>
            <w:r w:rsidRPr="005E0FCC">
              <w:rPr>
                <w:rFonts w:ascii="Calibri" w:hAnsi="Calibri"/>
                <w:b/>
                <w:bCs/>
                <w:sz w:val="22"/>
                <w:szCs w:val="22"/>
              </w:rPr>
              <w:t xml:space="preserve"> proceeding on a petition by co-appellees LSI Corporat</w:t>
            </w:r>
            <w:r>
              <w:rPr>
                <w:rFonts w:ascii="Calibri" w:hAnsi="Calibri"/>
                <w:b/>
                <w:bCs/>
                <w:sz w:val="22"/>
                <w:szCs w:val="22"/>
              </w:rPr>
              <w:t xml:space="preserve">ion and Avago Technologies.  </w:t>
            </w:r>
            <w:proofErr w:type="spellStart"/>
            <w:r w:rsidRPr="005E0FCC">
              <w:rPr>
                <w:rFonts w:ascii="Calibri" w:hAnsi="Calibri"/>
                <w:b/>
                <w:bCs/>
                <w:sz w:val="22"/>
                <w:szCs w:val="22"/>
              </w:rPr>
              <w:t>UMN</w:t>
            </w:r>
            <w:proofErr w:type="spellEnd"/>
            <w:r w:rsidRPr="005E0FCC">
              <w:rPr>
                <w:rFonts w:ascii="Calibri" w:hAnsi="Calibri"/>
                <w:b/>
                <w:bCs/>
                <w:sz w:val="22"/>
                <w:szCs w:val="22"/>
              </w:rPr>
              <w:t xml:space="preserve"> appealed, and that appeal is consolidated with this one.</w:t>
            </w:r>
            <w:r>
              <w:rPr>
                <w:rFonts w:ascii="Calibri" w:hAnsi="Calibri"/>
                <w:b/>
                <w:bCs/>
                <w:sz w:val="22"/>
                <w:szCs w:val="22"/>
              </w:rPr>
              <w:t xml:space="preserve"> </w:t>
            </w:r>
            <w:r w:rsidRPr="005E0FCC">
              <w:rPr>
                <w:rFonts w:ascii="Calibri" w:hAnsi="Calibri"/>
                <w:b/>
                <w:bCs/>
                <w:sz w:val="22"/>
                <w:szCs w:val="22"/>
              </w:rPr>
              <w:t xml:space="preserve"> </w:t>
            </w:r>
          </w:p>
        </w:tc>
      </w:tr>
      <w:tr w:rsidR="0069662A" w14:paraId="33BB5235" w14:textId="77777777" w:rsidTr="0010708E">
        <w:trPr>
          <w:trHeight w:val="4795"/>
        </w:trPr>
        <w:tc>
          <w:tcPr>
            <w:tcW w:w="5904" w:type="dxa"/>
            <w:vAlign w:val="center"/>
          </w:tcPr>
          <w:p w14:paraId="6C841B84" w14:textId="45208FEE" w:rsidR="0069662A" w:rsidRDefault="005E0FCC" w:rsidP="007F6511">
            <w:pPr>
              <w:pStyle w:val="O-BodyText"/>
              <w:spacing w:afterLines="120" w:after="288"/>
              <w:ind w:right="108"/>
              <w:rPr>
                <w:rFonts w:ascii="Calibri" w:hAnsi="Calibri"/>
                <w:b/>
                <w:sz w:val="28"/>
                <w:szCs w:val="28"/>
              </w:rPr>
            </w:pPr>
            <w:r>
              <w:rPr>
                <w:rFonts w:ascii="Calibri" w:hAnsi="Calibri"/>
                <w:b/>
                <w:sz w:val="28"/>
                <w:szCs w:val="28"/>
              </w:rPr>
              <w:lastRenderedPageBreak/>
              <w:t>How is Gilead Sciences involved in this appeal?</w:t>
            </w:r>
          </w:p>
        </w:tc>
        <w:tc>
          <w:tcPr>
            <w:tcW w:w="5904" w:type="dxa"/>
            <w:vAlign w:val="center"/>
          </w:tcPr>
          <w:p w14:paraId="23209330" w14:textId="26DFD74E" w:rsidR="0069662A" w:rsidRPr="00874D14" w:rsidRDefault="005E0FCC" w:rsidP="005E0FCC">
            <w:pPr>
              <w:pStyle w:val="O-BodyText"/>
              <w:spacing w:after="120"/>
              <w:ind w:left="14" w:right="158"/>
              <w:rPr>
                <w:rFonts w:ascii="northern district" w:hAnsi="northern district"/>
                <w:b/>
                <w:bCs/>
                <w:sz w:val="22"/>
                <w:szCs w:val="22"/>
              </w:rPr>
            </w:pPr>
            <w:r w:rsidRPr="005E0FCC">
              <w:rPr>
                <w:rFonts w:ascii="Calibri" w:hAnsi="Calibri"/>
                <w:b/>
                <w:bCs/>
                <w:sz w:val="22"/>
                <w:szCs w:val="22"/>
              </w:rPr>
              <w:t>In</w:t>
            </w:r>
            <w:r>
              <w:rPr>
                <w:rFonts w:ascii="Calibri" w:hAnsi="Calibri"/>
                <w:b/>
                <w:bCs/>
                <w:sz w:val="22"/>
                <w:szCs w:val="22"/>
              </w:rPr>
              <w:t xml:space="preserve">tervenor Gilead Sciences also </w:t>
            </w:r>
            <w:r w:rsidRPr="005E0FCC">
              <w:rPr>
                <w:rFonts w:ascii="Calibri" w:hAnsi="Calibri"/>
                <w:b/>
                <w:bCs/>
                <w:sz w:val="22"/>
                <w:szCs w:val="22"/>
              </w:rPr>
              <w:t xml:space="preserve">petitioned for </w:t>
            </w:r>
            <w:proofErr w:type="spellStart"/>
            <w:r w:rsidRPr="005E0FCC">
              <w:rPr>
                <w:rFonts w:ascii="Calibri" w:hAnsi="Calibri"/>
                <w:b/>
                <w:bCs/>
                <w:sz w:val="22"/>
                <w:szCs w:val="22"/>
              </w:rPr>
              <w:t>IPR</w:t>
            </w:r>
            <w:proofErr w:type="spellEnd"/>
            <w:r w:rsidRPr="005E0FCC">
              <w:rPr>
                <w:rFonts w:ascii="Calibri" w:hAnsi="Calibri"/>
                <w:b/>
                <w:bCs/>
                <w:sz w:val="22"/>
                <w:szCs w:val="22"/>
              </w:rPr>
              <w:t xml:space="preserve"> against </w:t>
            </w:r>
            <w:proofErr w:type="spellStart"/>
            <w:r w:rsidRPr="005E0FCC">
              <w:rPr>
                <w:rFonts w:ascii="Calibri" w:hAnsi="Calibri"/>
                <w:b/>
                <w:bCs/>
                <w:sz w:val="22"/>
                <w:szCs w:val="22"/>
              </w:rPr>
              <w:t>UMN</w:t>
            </w:r>
            <w:proofErr w:type="spellEnd"/>
            <w:r w:rsidRPr="005E0FCC">
              <w:rPr>
                <w:rFonts w:ascii="Calibri" w:hAnsi="Calibri"/>
                <w:b/>
                <w:bCs/>
                <w:sz w:val="22"/>
                <w:szCs w:val="22"/>
              </w:rPr>
              <w:t xml:space="preserve"> patents, but the </w:t>
            </w:r>
            <w:proofErr w:type="spellStart"/>
            <w:r w:rsidRPr="005E0FCC">
              <w:rPr>
                <w:rFonts w:ascii="Calibri" w:hAnsi="Calibri"/>
                <w:b/>
                <w:bCs/>
                <w:sz w:val="22"/>
                <w:szCs w:val="22"/>
              </w:rPr>
              <w:t>PTAB</w:t>
            </w:r>
            <w:proofErr w:type="spellEnd"/>
            <w:r w:rsidRPr="005E0FCC">
              <w:rPr>
                <w:rFonts w:ascii="Calibri" w:hAnsi="Calibri"/>
                <w:b/>
                <w:bCs/>
                <w:sz w:val="22"/>
                <w:szCs w:val="22"/>
              </w:rPr>
              <w:t xml:space="preserve"> has delayed a ruling on </w:t>
            </w:r>
            <w:proofErr w:type="spellStart"/>
            <w:r w:rsidRPr="005E0FCC">
              <w:rPr>
                <w:rFonts w:ascii="Calibri" w:hAnsi="Calibri"/>
                <w:b/>
                <w:bCs/>
                <w:sz w:val="22"/>
                <w:szCs w:val="22"/>
              </w:rPr>
              <w:t>UMN’s</w:t>
            </w:r>
            <w:proofErr w:type="spellEnd"/>
            <w:r w:rsidRPr="005E0FCC">
              <w:rPr>
                <w:rFonts w:ascii="Calibri" w:hAnsi="Calibri"/>
                <w:b/>
                <w:bCs/>
                <w:sz w:val="22"/>
                <w:szCs w:val="22"/>
              </w:rPr>
              <w:t xml:space="preserve"> motion to dismiss pending the resolution of this appeal.  Gilead Sciences</w:t>
            </w:r>
            <w:r w:rsidR="00012130">
              <w:rPr>
                <w:rFonts w:ascii="Calibri" w:hAnsi="Calibri"/>
                <w:b/>
                <w:bCs/>
                <w:sz w:val="22"/>
                <w:szCs w:val="22"/>
              </w:rPr>
              <w:t xml:space="preserve"> </w:t>
            </w:r>
            <w:r w:rsidRPr="005E0FCC">
              <w:rPr>
                <w:rFonts w:ascii="Calibri" w:hAnsi="Calibri"/>
                <w:b/>
                <w:bCs/>
                <w:sz w:val="22"/>
                <w:szCs w:val="22"/>
              </w:rPr>
              <w:t>was granted leave to intervene in this appeal.</w:t>
            </w:r>
          </w:p>
        </w:tc>
      </w:tr>
      <w:tr w:rsidR="006D329F" w14:paraId="5BE5BA02" w14:textId="77777777" w:rsidTr="0010708E">
        <w:trPr>
          <w:trHeight w:val="4795"/>
        </w:trPr>
        <w:tc>
          <w:tcPr>
            <w:tcW w:w="5904" w:type="dxa"/>
            <w:vAlign w:val="center"/>
          </w:tcPr>
          <w:p w14:paraId="5F56FF4A" w14:textId="5071BD28" w:rsidR="006D329F" w:rsidRPr="0010708E" w:rsidRDefault="00FB42AE" w:rsidP="0010708E">
            <w:pPr>
              <w:pStyle w:val="O-BodyText"/>
              <w:spacing w:afterLines="120" w:after="288"/>
              <w:ind w:right="108"/>
              <w:rPr>
                <w:rFonts w:ascii="Calibri" w:hAnsi="Calibri"/>
                <w:b/>
                <w:bCs/>
                <w:sz w:val="28"/>
                <w:szCs w:val="28"/>
              </w:rPr>
            </w:pPr>
            <w:r>
              <w:rPr>
                <w:rFonts w:ascii="Calibri" w:hAnsi="Calibri"/>
                <w:b/>
                <w:bCs/>
                <w:sz w:val="28"/>
                <w:szCs w:val="28"/>
              </w:rPr>
              <w:t xml:space="preserve">How does </w:t>
            </w:r>
            <w:proofErr w:type="spellStart"/>
            <w:r>
              <w:rPr>
                <w:rFonts w:ascii="Calibri" w:hAnsi="Calibri"/>
                <w:b/>
                <w:bCs/>
                <w:sz w:val="28"/>
                <w:szCs w:val="28"/>
              </w:rPr>
              <w:t>UMN</w:t>
            </w:r>
            <w:proofErr w:type="spellEnd"/>
            <w:r>
              <w:rPr>
                <w:rFonts w:ascii="Calibri" w:hAnsi="Calibri"/>
                <w:b/>
                <w:bCs/>
                <w:sz w:val="28"/>
                <w:szCs w:val="28"/>
              </w:rPr>
              <w:t xml:space="preserve"> fund its research?</w:t>
            </w:r>
          </w:p>
        </w:tc>
        <w:tc>
          <w:tcPr>
            <w:tcW w:w="5904" w:type="dxa"/>
            <w:vAlign w:val="center"/>
          </w:tcPr>
          <w:p w14:paraId="278CB418" w14:textId="601881DB" w:rsidR="006D329F" w:rsidRPr="0010708E" w:rsidRDefault="00FB42AE" w:rsidP="0010708E">
            <w:pPr>
              <w:pStyle w:val="O-BodyText"/>
              <w:spacing w:after="120"/>
              <w:ind w:right="162"/>
              <w:rPr>
                <w:rFonts w:ascii="Calibri" w:hAnsi="Calibri"/>
                <w:b/>
                <w:bCs/>
                <w:sz w:val="22"/>
                <w:szCs w:val="22"/>
              </w:rPr>
            </w:pPr>
            <w:proofErr w:type="spellStart"/>
            <w:r w:rsidRPr="00FB42AE">
              <w:rPr>
                <w:rFonts w:ascii="Calibri" w:hAnsi="Calibri"/>
                <w:b/>
                <w:bCs/>
                <w:sz w:val="22"/>
                <w:szCs w:val="22"/>
              </w:rPr>
              <w:t>UMN’s</w:t>
            </w:r>
            <w:proofErr w:type="spellEnd"/>
            <w:r w:rsidRPr="00FB42AE">
              <w:rPr>
                <w:rFonts w:ascii="Calibri" w:hAnsi="Calibri"/>
                <w:b/>
                <w:bCs/>
                <w:sz w:val="22"/>
                <w:szCs w:val="22"/>
              </w:rPr>
              <w:t xml:space="preserve"> research is funded by a variety of sources, including federal, state, and governmental agencies.</w:t>
            </w:r>
            <w:r>
              <w:rPr>
                <w:rFonts w:ascii="Calibri" w:hAnsi="Calibri"/>
                <w:b/>
                <w:bCs/>
                <w:sz w:val="22"/>
                <w:szCs w:val="22"/>
              </w:rPr>
              <w:t xml:space="preserve">  </w:t>
            </w:r>
            <w:proofErr w:type="spellStart"/>
            <w:r>
              <w:rPr>
                <w:rFonts w:ascii="Calibri" w:hAnsi="Calibri"/>
                <w:b/>
                <w:bCs/>
                <w:sz w:val="22"/>
                <w:szCs w:val="22"/>
              </w:rPr>
              <w:t>UMN</w:t>
            </w:r>
            <w:proofErr w:type="spellEnd"/>
            <w:r>
              <w:rPr>
                <w:rFonts w:ascii="Calibri" w:hAnsi="Calibri"/>
                <w:b/>
                <w:bCs/>
                <w:sz w:val="22"/>
                <w:szCs w:val="22"/>
              </w:rPr>
              <w:t xml:space="preserve"> Br. 11.</w:t>
            </w:r>
          </w:p>
        </w:tc>
      </w:tr>
      <w:tr w:rsidR="006D329F" w14:paraId="33C015EE" w14:textId="77777777" w:rsidTr="0010708E">
        <w:trPr>
          <w:trHeight w:val="4795"/>
        </w:trPr>
        <w:tc>
          <w:tcPr>
            <w:tcW w:w="5904" w:type="dxa"/>
            <w:vAlign w:val="center"/>
          </w:tcPr>
          <w:p w14:paraId="1834BB82" w14:textId="7150FA84" w:rsidR="006D329F" w:rsidRPr="0010708E" w:rsidRDefault="009740AE" w:rsidP="0010708E">
            <w:pPr>
              <w:pStyle w:val="O-BodyText"/>
              <w:spacing w:afterLines="120" w:after="288"/>
              <w:ind w:right="108"/>
              <w:rPr>
                <w:rFonts w:ascii="Calibri" w:hAnsi="Calibri"/>
                <w:b/>
                <w:bCs/>
                <w:sz w:val="28"/>
                <w:szCs w:val="28"/>
              </w:rPr>
            </w:pPr>
            <w:r>
              <w:rPr>
                <w:rFonts w:ascii="Calibri" w:hAnsi="Calibri"/>
                <w:b/>
                <w:bCs/>
                <w:sz w:val="28"/>
                <w:szCs w:val="28"/>
              </w:rPr>
              <w:t xml:space="preserve">What policy was created by the </w:t>
            </w:r>
            <w:r w:rsidRPr="009740AE">
              <w:rPr>
                <w:rFonts w:ascii="Calibri" w:hAnsi="Calibri"/>
                <w:b/>
                <w:bCs/>
                <w:sz w:val="28"/>
                <w:szCs w:val="28"/>
              </w:rPr>
              <w:t>Bayh-Dole Act</w:t>
            </w:r>
            <w:r>
              <w:rPr>
                <w:rFonts w:ascii="Calibri" w:hAnsi="Calibri"/>
                <w:b/>
                <w:bCs/>
                <w:sz w:val="28"/>
                <w:szCs w:val="28"/>
              </w:rPr>
              <w:t>?</w:t>
            </w:r>
          </w:p>
        </w:tc>
        <w:tc>
          <w:tcPr>
            <w:tcW w:w="5904" w:type="dxa"/>
            <w:vAlign w:val="center"/>
          </w:tcPr>
          <w:p w14:paraId="3A0A2F29" w14:textId="13871773" w:rsidR="006D329F" w:rsidRPr="009740AE" w:rsidRDefault="009740AE" w:rsidP="0010708E">
            <w:pPr>
              <w:pStyle w:val="O-BodyText"/>
              <w:spacing w:after="120"/>
              <w:ind w:right="162"/>
              <w:rPr>
                <w:rFonts w:ascii="Calibri" w:hAnsi="Calibri"/>
                <w:b/>
                <w:bCs/>
                <w:sz w:val="22"/>
                <w:szCs w:val="22"/>
              </w:rPr>
            </w:pPr>
            <w:r>
              <w:rPr>
                <w:rFonts w:ascii="Calibri" w:hAnsi="Calibri"/>
                <w:b/>
                <w:bCs/>
                <w:sz w:val="22"/>
                <w:szCs w:val="22"/>
                <w:lang w:val="en"/>
              </w:rPr>
              <w:t>The Bayh-Dole Act states: “</w:t>
            </w:r>
            <w:r w:rsidRPr="009740AE">
              <w:rPr>
                <w:rFonts w:ascii="Calibri" w:hAnsi="Calibri"/>
                <w:b/>
                <w:bCs/>
                <w:sz w:val="22"/>
                <w:szCs w:val="22"/>
                <w:lang w:val="en"/>
              </w:rPr>
              <w:t xml:space="preserve">It is the policy and objective of the Congress to use the patent system to promote the utilization of inventions arising from federally supported research or </w:t>
            </w:r>
            <w:proofErr w:type="gramStart"/>
            <w:r w:rsidRPr="009740AE">
              <w:rPr>
                <w:rFonts w:ascii="Calibri" w:hAnsi="Calibri"/>
                <w:b/>
                <w:bCs/>
                <w:sz w:val="22"/>
                <w:szCs w:val="22"/>
                <w:lang w:val="en"/>
              </w:rPr>
              <w:t>development</w:t>
            </w:r>
            <w:r>
              <w:rPr>
                <w:rFonts w:ascii="Calibri" w:hAnsi="Calibri"/>
                <w:b/>
                <w:bCs/>
                <w:sz w:val="22"/>
                <w:szCs w:val="22"/>
                <w:lang w:val="en"/>
              </w:rPr>
              <w:t> .</w:t>
            </w:r>
            <w:proofErr w:type="gramEnd"/>
            <w:r>
              <w:rPr>
                <w:rFonts w:ascii="Calibri" w:hAnsi="Calibri"/>
                <w:b/>
                <w:bCs/>
                <w:sz w:val="22"/>
                <w:szCs w:val="22"/>
                <w:lang w:val="en"/>
              </w:rPr>
              <w:t> . . .”</w:t>
            </w:r>
            <w:r w:rsidRPr="009740AE">
              <w:rPr>
                <w:rFonts w:ascii="Times New Roman" w:hAnsi="Times New Roman" w:cs="Times New Roman"/>
                <w:color w:val="000000"/>
                <w:sz w:val="28"/>
                <w:szCs w:val="22"/>
              </w:rPr>
              <w:t xml:space="preserve"> </w:t>
            </w:r>
            <w:r>
              <w:rPr>
                <w:rFonts w:ascii="Calibri" w:hAnsi="Calibri"/>
                <w:b/>
                <w:bCs/>
                <w:sz w:val="22"/>
                <w:szCs w:val="22"/>
              </w:rPr>
              <w:t>35 U.S.C. § 200.</w:t>
            </w:r>
            <w:r w:rsidR="00AF34D8">
              <w:rPr>
                <w:rFonts w:ascii="Calibri" w:hAnsi="Calibri"/>
                <w:b/>
                <w:bCs/>
                <w:sz w:val="22"/>
                <w:szCs w:val="22"/>
              </w:rPr>
              <w:t xml:space="preserve">  </w:t>
            </w:r>
            <w:proofErr w:type="spellStart"/>
            <w:r w:rsidR="00AF34D8">
              <w:rPr>
                <w:rFonts w:ascii="Calibri" w:hAnsi="Calibri"/>
                <w:b/>
                <w:bCs/>
                <w:sz w:val="22"/>
                <w:szCs w:val="22"/>
              </w:rPr>
              <w:t>UMN</w:t>
            </w:r>
            <w:proofErr w:type="spellEnd"/>
            <w:r w:rsidR="00AF34D8">
              <w:rPr>
                <w:rFonts w:ascii="Calibri" w:hAnsi="Calibri"/>
                <w:b/>
                <w:bCs/>
                <w:sz w:val="22"/>
                <w:szCs w:val="22"/>
              </w:rPr>
              <w:t xml:space="preserve"> Br. 11.</w:t>
            </w:r>
          </w:p>
        </w:tc>
      </w:tr>
      <w:tr w:rsidR="008F7332" w14:paraId="243676CB" w14:textId="77777777" w:rsidTr="0010708E">
        <w:trPr>
          <w:trHeight w:val="4795"/>
        </w:trPr>
        <w:tc>
          <w:tcPr>
            <w:tcW w:w="5904" w:type="dxa"/>
            <w:vAlign w:val="center"/>
          </w:tcPr>
          <w:p w14:paraId="1BFC75FC" w14:textId="57F7C022" w:rsidR="008F7332" w:rsidRPr="0010708E" w:rsidRDefault="00AF34D8"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Who performed the research for the inventions at issue in this litigation?</w:t>
            </w:r>
          </w:p>
        </w:tc>
        <w:tc>
          <w:tcPr>
            <w:tcW w:w="5904" w:type="dxa"/>
            <w:vAlign w:val="center"/>
          </w:tcPr>
          <w:p w14:paraId="3F470FD0" w14:textId="03EA9C22" w:rsidR="008F7332" w:rsidRPr="0010708E" w:rsidRDefault="00AF34D8" w:rsidP="0010708E">
            <w:pPr>
              <w:pStyle w:val="O-BodyText"/>
              <w:spacing w:after="120"/>
              <w:ind w:right="162"/>
              <w:rPr>
                <w:rFonts w:ascii="Calibri" w:hAnsi="Calibri"/>
                <w:b/>
                <w:bCs/>
                <w:sz w:val="22"/>
                <w:szCs w:val="22"/>
              </w:rPr>
            </w:pPr>
            <w:r w:rsidRPr="00AF34D8">
              <w:rPr>
                <w:rFonts w:ascii="Calibri" w:hAnsi="Calibri"/>
                <w:b/>
                <w:bCs/>
                <w:sz w:val="22"/>
                <w:szCs w:val="22"/>
              </w:rPr>
              <w:t xml:space="preserve">The subject inventions arose from research performed by </w:t>
            </w:r>
            <w:proofErr w:type="spellStart"/>
            <w:r w:rsidRPr="00AF34D8">
              <w:rPr>
                <w:rFonts w:ascii="Calibri" w:hAnsi="Calibri"/>
                <w:b/>
                <w:bCs/>
                <w:sz w:val="22"/>
                <w:szCs w:val="22"/>
              </w:rPr>
              <w:t>UMN</w:t>
            </w:r>
            <w:proofErr w:type="spellEnd"/>
            <w:r w:rsidRPr="00AF34D8">
              <w:rPr>
                <w:rFonts w:ascii="Calibri" w:hAnsi="Calibri"/>
                <w:b/>
                <w:bCs/>
                <w:sz w:val="22"/>
                <w:szCs w:val="22"/>
              </w:rPr>
              <w:t xml:space="preserve"> faculty, staff, and students. </w:t>
            </w:r>
            <w:r>
              <w:rPr>
                <w:rFonts w:ascii="Calibri" w:hAnsi="Calibri"/>
                <w:b/>
                <w:bCs/>
                <w:sz w:val="22"/>
                <w:szCs w:val="22"/>
              </w:rPr>
              <w:t xml:space="preserve"> </w:t>
            </w:r>
            <w:r w:rsidRPr="00AF34D8">
              <w:rPr>
                <w:rFonts w:ascii="Calibri" w:hAnsi="Calibri"/>
                <w:b/>
                <w:bCs/>
                <w:sz w:val="22"/>
                <w:szCs w:val="22"/>
              </w:rPr>
              <w:t xml:space="preserve">The inventors assigned their inventions to </w:t>
            </w:r>
            <w:proofErr w:type="spellStart"/>
            <w:r w:rsidRPr="00AF34D8">
              <w:rPr>
                <w:rFonts w:ascii="Calibri" w:hAnsi="Calibri"/>
                <w:b/>
                <w:bCs/>
                <w:sz w:val="22"/>
                <w:szCs w:val="22"/>
              </w:rPr>
              <w:t>UMN</w:t>
            </w:r>
            <w:proofErr w:type="spellEnd"/>
            <w:r w:rsidRPr="00AF34D8">
              <w:rPr>
                <w:rFonts w:ascii="Calibri" w:hAnsi="Calibri"/>
                <w:b/>
                <w:bCs/>
                <w:sz w:val="22"/>
                <w:szCs w:val="22"/>
              </w:rPr>
              <w:t>, which prosecuted the applications that led to the challenged patents.</w:t>
            </w:r>
            <w:r>
              <w:rPr>
                <w:rFonts w:ascii="Calibri" w:hAnsi="Calibri"/>
                <w:b/>
                <w:bCs/>
                <w:sz w:val="22"/>
                <w:szCs w:val="22"/>
              </w:rPr>
              <w:t xml:space="preserve">  </w:t>
            </w:r>
            <w:proofErr w:type="spellStart"/>
            <w:r>
              <w:rPr>
                <w:rFonts w:ascii="Calibri" w:hAnsi="Calibri"/>
                <w:b/>
                <w:bCs/>
                <w:sz w:val="22"/>
                <w:szCs w:val="22"/>
              </w:rPr>
              <w:t>UMN</w:t>
            </w:r>
            <w:proofErr w:type="spellEnd"/>
            <w:r>
              <w:rPr>
                <w:rFonts w:ascii="Calibri" w:hAnsi="Calibri"/>
                <w:b/>
                <w:bCs/>
                <w:sz w:val="22"/>
                <w:szCs w:val="22"/>
              </w:rPr>
              <w:t xml:space="preserve"> Br. 12.</w:t>
            </w:r>
          </w:p>
        </w:tc>
      </w:tr>
      <w:tr w:rsidR="00A51FCD" w14:paraId="1D9694AD" w14:textId="77777777" w:rsidTr="0010708E">
        <w:trPr>
          <w:trHeight w:val="4795"/>
        </w:trPr>
        <w:tc>
          <w:tcPr>
            <w:tcW w:w="5904" w:type="dxa"/>
            <w:vAlign w:val="center"/>
          </w:tcPr>
          <w:p w14:paraId="3080A1CE" w14:textId="48D8025E" w:rsidR="00A51FCD" w:rsidRPr="0010708E" w:rsidRDefault="00AF34D8" w:rsidP="0010708E">
            <w:pPr>
              <w:pStyle w:val="O-BodyText"/>
              <w:spacing w:afterLines="120" w:after="288"/>
              <w:ind w:right="108"/>
              <w:rPr>
                <w:rFonts w:ascii="Calibri" w:hAnsi="Calibri"/>
                <w:b/>
                <w:bCs/>
                <w:sz w:val="28"/>
                <w:szCs w:val="28"/>
              </w:rPr>
            </w:pPr>
            <w:r>
              <w:rPr>
                <w:rFonts w:ascii="Calibri" w:hAnsi="Calibri"/>
                <w:b/>
                <w:bCs/>
                <w:sz w:val="28"/>
                <w:szCs w:val="28"/>
              </w:rPr>
              <w:t xml:space="preserve">Did </w:t>
            </w:r>
            <w:proofErr w:type="spellStart"/>
            <w:r w:rsidRPr="00AF34D8">
              <w:rPr>
                <w:rFonts w:ascii="Calibri" w:hAnsi="Calibri"/>
                <w:b/>
                <w:bCs/>
                <w:sz w:val="28"/>
                <w:szCs w:val="28"/>
              </w:rPr>
              <w:t>UMN</w:t>
            </w:r>
            <w:proofErr w:type="spellEnd"/>
            <w:r w:rsidRPr="00AF34D8">
              <w:rPr>
                <w:rFonts w:ascii="Calibri" w:hAnsi="Calibri"/>
                <w:b/>
                <w:bCs/>
                <w:sz w:val="28"/>
                <w:szCs w:val="28"/>
              </w:rPr>
              <w:t xml:space="preserve"> </w:t>
            </w:r>
            <w:r>
              <w:rPr>
                <w:rFonts w:ascii="Calibri" w:hAnsi="Calibri"/>
                <w:b/>
                <w:bCs/>
                <w:sz w:val="28"/>
                <w:szCs w:val="28"/>
              </w:rPr>
              <w:t xml:space="preserve">offer to license the patents at issue in this litigation to Ericsson and </w:t>
            </w:r>
            <w:r w:rsidRPr="00AF34D8">
              <w:rPr>
                <w:rFonts w:ascii="Calibri" w:hAnsi="Calibri"/>
                <w:b/>
                <w:bCs/>
                <w:sz w:val="28"/>
                <w:szCs w:val="28"/>
              </w:rPr>
              <w:t>Appellees</w:t>
            </w:r>
            <w:r>
              <w:rPr>
                <w:rFonts w:ascii="Calibri" w:hAnsi="Calibri"/>
                <w:b/>
                <w:bCs/>
                <w:sz w:val="28"/>
                <w:szCs w:val="28"/>
              </w:rPr>
              <w:t>?</w:t>
            </w:r>
          </w:p>
        </w:tc>
        <w:tc>
          <w:tcPr>
            <w:tcW w:w="5904" w:type="dxa"/>
            <w:vAlign w:val="center"/>
          </w:tcPr>
          <w:p w14:paraId="5BF41607" w14:textId="77777777" w:rsidR="00A51FCD" w:rsidRPr="00F42F61" w:rsidRDefault="00F42F61" w:rsidP="0010708E">
            <w:pPr>
              <w:pStyle w:val="O-BodyText"/>
              <w:spacing w:after="120"/>
              <w:ind w:right="162"/>
              <w:rPr>
                <w:rFonts w:ascii="Calibri" w:hAnsi="Calibri"/>
                <w:b/>
                <w:bCs/>
                <w:sz w:val="22"/>
                <w:szCs w:val="22"/>
                <w:highlight w:val="yellow"/>
              </w:rPr>
            </w:pPr>
            <w:r w:rsidRPr="00F42F61">
              <w:rPr>
                <w:rFonts w:ascii="Calibri" w:hAnsi="Calibri"/>
                <w:b/>
                <w:bCs/>
                <w:sz w:val="22"/>
                <w:szCs w:val="22"/>
                <w:highlight w:val="yellow"/>
              </w:rPr>
              <w:t xml:space="preserve">From </w:t>
            </w:r>
            <w:proofErr w:type="spellStart"/>
            <w:r w:rsidRPr="00F42F61">
              <w:rPr>
                <w:rFonts w:ascii="Calibri" w:hAnsi="Calibri"/>
                <w:b/>
                <w:bCs/>
                <w:sz w:val="22"/>
                <w:szCs w:val="22"/>
                <w:highlight w:val="yellow"/>
              </w:rPr>
              <w:t>UMN’s</w:t>
            </w:r>
            <w:proofErr w:type="spellEnd"/>
            <w:r w:rsidRPr="00F42F61">
              <w:rPr>
                <w:rFonts w:ascii="Calibri" w:hAnsi="Calibri"/>
                <w:b/>
                <w:bCs/>
                <w:sz w:val="22"/>
                <w:szCs w:val="22"/>
                <w:highlight w:val="yellow"/>
              </w:rPr>
              <w:t xml:space="preserve"> Brief:  </w:t>
            </w:r>
            <w:proofErr w:type="spellStart"/>
            <w:r w:rsidR="00AF34D8" w:rsidRPr="00F42F61">
              <w:rPr>
                <w:rFonts w:ascii="Calibri" w:hAnsi="Calibri"/>
                <w:b/>
                <w:bCs/>
                <w:sz w:val="22"/>
                <w:szCs w:val="22"/>
                <w:highlight w:val="yellow"/>
              </w:rPr>
              <w:t>UMN</w:t>
            </w:r>
            <w:proofErr w:type="spellEnd"/>
            <w:r w:rsidR="00AF34D8" w:rsidRPr="00F42F61">
              <w:rPr>
                <w:rFonts w:ascii="Calibri" w:hAnsi="Calibri"/>
                <w:b/>
                <w:bCs/>
                <w:sz w:val="22"/>
                <w:szCs w:val="22"/>
                <w:highlight w:val="yellow"/>
              </w:rPr>
              <w:t xml:space="preserve"> approached each of Appellees and Intervenor and offered to license one or more of these patents, but they refused to license the patents.  </w:t>
            </w:r>
            <w:proofErr w:type="spellStart"/>
            <w:r w:rsidR="00AF34D8" w:rsidRPr="00F42F61">
              <w:rPr>
                <w:rFonts w:ascii="Calibri" w:hAnsi="Calibri"/>
                <w:b/>
                <w:bCs/>
                <w:sz w:val="22"/>
                <w:szCs w:val="22"/>
                <w:highlight w:val="yellow"/>
              </w:rPr>
              <w:t>UMN</w:t>
            </w:r>
            <w:proofErr w:type="spellEnd"/>
            <w:r w:rsidR="00AF34D8" w:rsidRPr="00F42F61">
              <w:rPr>
                <w:rFonts w:ascii="Calibri" w:hAnsi="Calibri"/>
                <w:b/>
                <w:bCs/>
                <w:sz w:val="22"/>
                <w:szCs w:val="22"/>
                <w:highlight w:val="yellow"/>
              </w:rPr>
              <w:t xml:space="preserve"> Br. </w:t>
            </w:r>
            <w:r w:rsidRPr="00F42F61">
              <w:rPr>
                <w:rFonts w:ascii="Calibri" w:hAnsi="Calibri"/>
                <w:b/>
                <w:bCs/>
                <w:sz w:val="22"/>
                <w:szCs w:val="22"/>
                <w:highlight w:val="yellow"/>
              </w:rPr>
              <w:t>12.</w:t>
            </w:r>
          </w:p>
          <w:p w14:paraId="51CC16E1" w14:textId="7AA7E9FD" w:rsidR="00F42F61" w:rsidRPr="0010708E" w:rsidRDefault="00F42F61" w:rsidP="0010708E">
            <w:pPr>
              <w:pStyle w:val="O-BodyText"/>
              <w:spacing w:after="120"/>
              <w:ind w:right="162"/>
              <w:rPr>
                <w:rFonts w:ascii="Calibri" w:hAnsi="Calibri"/>
                <w:b/>
                <w:bCs/>
                <w:sz w:val="22"/>
                <w:szCs w:val="22"/>
              </w:rPr>
            </w:pPr>
            <w:r w:rsidRPr="00F42F61">
              <w:rPr>
                <w:rFonts w:ascii="Calibri" w:hAnsi="Calibri"/>
                <w:b/>
                <w:bCs/>
                <w:sz w:val="22"/>
                <w:szCs w:val="22"/>
                <w:highlight w:val="yellow"/>
              </w:rPr>
              <w:t xml:space="preserve">From LSI’s Brief:  </w:t>
            </w:r>
            <w:proofErr w:type="spellStart"/>
            <w:r w:rsidRPr="00F42F61">
              <w:rPr>
                <w:rFonts w:ascii="Calibri" w:hAnsi="Calibri"/>
                <w:b/>
                <w:bCs/>
                <w:sz w:val="22"/>
                <w:szCs w:val="22"/>
                <w:highlight w:val="yellow"/>
              </w:rPr>
              <w:t>UMN</w:t>
            </w:r>
            <w:proofErr w:type="spellEnd"/>
            <w:r w:rsidRPr="00F42F61">
              <w:rPr>
                <w:rFonts w:ascii="Calibri" w:hAnsi="Calibri"/>
                <w:b/>
                <w:bCs/>
                <w:sz w:val="22"/>
                <w:szCs w:val="22"/>
                <w:highlight w:val="yellow"/>
              </w:rPr>
              <w:t xml:space="preserve"> never provided LSI with any notice of the ’601 patent before filing suit in August 2016.  LSI Br. 5.</w:t>
            </w:r>
          </w:p>
        </w:tc>
      </w:tr>
      <w:tr w:rsidR="00A51FCD" w14:paraId="0CA3C7B8" w14:textId="77777777" w:rsidTr="0010708E">
        <w:trPr>
          <w:trHeight w:val="4795"/>
        </w:trPr>
        <w:tc>
          <w:tcPr>
            <w:tcW w:w="5904" w:type="dxa"/>
            <w:vAlign w:val="center"/>
          </w:tcPr>
          <w:p w14:paraId="38151741" w14:textId="01A07343" w:rsidR="00A51FCD" w:rsidRPr="0010708E" w:rsidRDefault="0028302D" w:rsidP="0010708E">
            <w:pPr>
              <w:pStyle w:val="O-BodyText"/>
              <w:spacing w:afterLines="120" w:after="288"/>
              <w:ind w:right="108"/>
              <w:rPr>
                <w:rFonts w:ascii="Calibri" w:hAnsi="Calibri"/>
                <w:b/>
                <w:bCs/>
                <w:sz w:val="28"/>
                <w:szCs w:val="28"/>
              </w:rPr>
            </w:pPr>
            <w:r>
              <w:rPr>
                <w:rFonts w:ascii="Calibri" w:hAnsi="Calibri"/>
                <w:b/>
                <w:bCs/>
                <w:sz w:val="28"/>
                <w:szCs w:val="28"/>
              </w:rPr>
              <w:t xml:space="preserve">Why did Ericsson and Appellees refuse to license </w:t>
            </w:r>
            <w:proofErr w:type="spellStart"/>
            <w:r>
              <w:rPr>
                <w:rFonts w:ascii="Calibri" w:hAnsi="Calibri"/>
                <w:b/>
                <w:bCs/>
                <w:sz w:val="28"/>
                <w:szCs w:val="28"/>
              </w:rPr>
              <w:t>UMN’s</w:t>
            </w:r>
            <w:proofErr w:type="spellEnd"/>
            <w:r>
              <w:rPr>
                <w:rFonts w:ascii="Calibri" w:hAnsi="Calibri"/>
                <w:b/>
                <w:bCs/>
                <w:sz w:val="28"/>
                <w:szCs w:val="28"/>
              </w:rPr>
              <w:t xml:space="preserve"> patents?</w:t>
            </w:r>
          </w:p>
        </w:tc>
        <w:tc>
          <w:tcPr>
            <w:tcW w:w="5904" w:type="dxa"/>
            <w:vAlign w:val="center"/>
          </w:tcPr>
          <w:p w14:paraId="1C29DA2E" w14:textId="58CE7D8F" w:rsidR="00A51FCD" w:rsidRPr="0010708E" w:rsidRDefault="0028302D" w:rsidP="0010708E">
            <w:pPr>
              <w:pStyle w:val="O-BodyText"/>
              <w:spacing w:after="120"/>
              <w:ind w:right="162"/>
              <w:rPr>
                <w:rFonts w:ascii="Calibri" w:hAnsi="Calibri"/>
                <w:b/>
                <w:bCs/>
                <w:sz w:val="22"/>
                <w:szCs w:val="22"/>
              </w:rPr>
            </w:pPr>
            <w:r w:rsidRPr="0028302D">
              <w:rPr>
                <w:rFonts w:ascii="Calibri" w:hAnsi="Calibri"/>
                <w:b/>
                <w:bCs/>
                <w:sz w:val="22"/>
                <w:szCs w:val="22"/>
                <w:highlight w:val="yellow"/>
              </w:rPr>
              <w:t xml:space="preserve">[Explain.]  </w:t>
            </w:r>
            <w:proofErr w:type="spellStart"/>
            <w:r w:rsidRPr="0028302D">
              <w:rPr>
                <w:rFonts w:ascii="Calibri" w:hAnsi="Calibri"/>
                <w:b/>
                <w:bCs/>
                <w:sz w:val="22"/>
                <w:szCs w:val="22"/>
                <w:highlight w:val="yellow"/>
              </w:rPr>
              <w:t>UMN</w:t>
            </w:r>
            <w:proofErr w:type="spellEnd"/>
            <w:r w:rsidRPr="0028302D">
              <w:rPr>
                <w:rFonts w:ascii="Calibri" w:hAnsi="Calibri"/>
                <w:b/>
                <w:bCs/>
                <w:sz w:val="22"/>
                <w:szCs w:val="22"/>
                <w:highlight w:val="yellow"/>
              </w:rPr>
              <w:t xml:space="preserve"> Br. 12.</w:t>
            </w:r>
          </w:p>
        </w:tc>
      </w:tr>
      <w:tr w:rsidR="00622C4C" w14:paraId="1D59453D" w14:textId="77777777" w:rsidTr="0010708E">
        <w:trPr>
          <w:trHeight w:val="4795"/>
        </w:trPr>
        <w:tc>
          <w:tcPr>
            <w:tcW w:w="5904" w:type="dxa"/>
            <w:vAlign w:val="center"/>
          </w:tcPr>
          <w:p w14:paraId="23F6DDE7" w14:textId="3BB79A10" w:rsidR="001D0B23" w:rsidRPr="001D0B23" w:rsidRDefault="001D0B23" w:rsidP="001D0B23">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Can patent </w:t>
            </w:r>
            <w:r w:rsidRPr="001D0B23">
              <w:rPr>
                <w:rFonts w:ascii="Calibri" w:hAnsi="Calibri"/>
                <w:b/>
                <w:bCs/>
                <w:sz w:val="28"/>
                <w:szCs w:val="28"/>
              </w:rPr>
              <w:t xml:space="preserve">infringement litigation be resolved without resort to the </w:t>
            </w:r>
            <w:proofErr w:type="spellStart"/>
            <w:r w:rsidRPr="001D0B23">
              <w:rPr>
                <w:rFonts w:ascii="Calibri" w:hAnsi="Calibri"/>
                <w:b/>
                <w:bCs/>
                <w:sz w:val="28"/>
                <w:szCs w:val="28"/>
              </w:rPr>
              <w:t>IPR</w:t>
            </w:r>
            <w:proofErr w:type="spellEnd"/>
            <w:r w:rsidRPr="001D0B23">
              <w:rPr>
                <w:rFonts w:ascii="Calibri" w:hAnsi="Calibri"/>
                <w:b/>
                <w:bCs/>
                <w:sz w:val="28"/>
                <w:szCs w:val="28"/>
              </w:rPr>
              <w:t xml:space="preserve"> pro</w:t>
            </w:r>
            <w:r>
              <w:rPr>
                <w:rFonts w:ascii="Calibri" w:hAnsi="Calibri"/>
                <w:b/>
                <w:bCs/>
                <w:sz w:val="28"/>
                <w:szCs w:val="28"/>
              </w:rPr>
              <w:t>cess?</w:t>
            </w:r>
          </w:p>
          <w:p w14:paraId="48C0046B" w14:textId="5B1F671E" w:rsidR="00622C4C" w:rsidRPr="0010708E" w:rsidRDefault="00622C4C" w:rsidP="001D0B23">
            <w:pPr>
              <w:pStyle w:val="O-BodyText"/>
              <w:spacing w:afterLines="120" w:after="288"/>
              <w:ind w:right="108"/>
              <w:rPr>
                <w:rFonts w:ascii="Calibri" w:hAnsi="Calibri"/>
                <w:b/>
                <w:bCs/>
                <w:sz w:val="28"/>
                <w:szCs w:val="28"/>
              </w:rPr>
            </w:pPr>
          </w:p>
        </w:tc>
        <w:tc>
          <w:tcPr>
            <w:tcW w:w="5904" w:type="dxa"/>
            <w:vAlign w:val="center"/>
          </w:tcPr>
          <w:p w14:paraId="3B4091DE" w14:textId="590051C4" w:rsidR="001D0B23" w:rsidRPr="001D0B23" w:rsidRDefault="001D0B23" w:rsidP="001D0B23">
            <w:pPr>
              <w:pStyle w:val="O-BodyText"/>
              <w:spacing w:after="120"/>
              <w:ind w:right="162"/>
              <w:rPr>
                <w:rFonts w:ascii="Calibri" w:hAnsi="Calibri"/>
                <w:b/>
                <w:bCs/>
                <w:sz w:val="22"/>
                <w:szCs w:val="22"/>
              </w:rPr>
            </w:pPr>
            <w:r w:rsidRPr="001D0B23">
              <w:rPr>
                <w:rFonts w:ascii="Calibri" w:hAnsi="Calibri"/>
                <w:b/>
                <w:bCs/>
                <w:sz w:val="22"/>
                <w:szCs w:val="22"/>
                <w:highlight w:val="yellow"/>
              </w:rPr>
              <w:t xml:space="preserve">From </w:t>
            </w:r>
            <w:proofErr w:type="spellStart"/>
            <w:r w:rsidRPr="001D0B23">
              <w:rPr>
                <w:rFonts w:ascii="Calibri" w:hAnsi="Calibri"/>
                <w:b/>
                <w:bCs/>
                <w:sz w:val="22"/>
                <w:szCs w:val="22"/>
                <w:highlight w:val="yellow"/>
              </w:rPr>
              <w:t>UMN’s</w:t>
            </w:r>
            <w:proofErr w:type="spellEnd"/>
            <w:r w:rsidRPr="001D0B23">
              <w:rPr>
                <w:rFonts w:ascii="Calibri" w:hAnsi="Calibri"/>
                <w:b/>
                <w:bCs/>
                <w:sz w:val="22"/>
                <w:szCs w:val="22"/>
                <w:highlight w:val="yellow"/>
              </w:rPr>
              <w:t xml:space="preserve"> Brief:  As has been true for over two centuries, infringement litigation – including challenges to the asserted patents – can be resolved without resort to the </w:t>
            </w:r>
            <w:proofErr w:type="spellStart"/>
            <w:r w:rsidRPr="001D0B23">
              <w:rPr>
                <w:rFonts w:ascii="Calibri" w:hAnsi="Calibri"/>
                <w:b/>
                <w:bCs/>
                <w:sz w:val="22"/>
                <w:szCs w:val="22"/>
                <w:highlight w:val="yellow"/>
              </w:rPr>
              <w:t>IPR</w:t>
            </w:r>
            <w:proofErr w:type="spellEnd"/>
            <w:r w:rsidRPr="001D0B23">
              <w:rPr>
                <w:rFonts w:ascii="Calibri" w:hAnsi="Calibri"/>
                <w:b/>
                <w:bCs/>
                <w:sz w:val="22"/>
                <w:szCs w:val="22"/>
                <w:highlight w:val="yellow"/>
              </w:rPr>
              <w:t xml:space="preserve"> process.  Petitioning for </w:t>
            </w:r>
            <w:proofErr w:type="spellStart"/>
            <w:r w:rsidRPr="001D0B23">
              <w:rPr>
                <w:rFonts w:ascii="Calibri" w:hAnsi="Calibri"/>
                <w:b/>
                <w:bCs/>
                <w:sz w:val="22"/>
                <w:szCs w:val="22"/>
                <w:highlight w:val="yellow"/>
              </w:rPr>
              <w:t>IPR</w:t>
            </w:r>
            <w:proofErr w:type="spellEnd"/>
            <w:r w:rsidRPr="001D0B23">
              <w:rPr>
                <w:rFonts w:ascii="Calibri" w:hAnsi="Calibri"/>
                <w:b/>
                <w:bCs/>
                <w:sz w:val="22"/>
                <w:szCs w:val="22"/>
                <w:highlight w:val="yellow"/>
              </w:rPr>
              <w:t xml:space="preserve"> is a separate, optional process.  When allowed, </w:t>
            </w:r>
            <w:proofErr w:type="spellStart"/>
            <w:r w:rsidRPr="001D0B23">
              <w:rPr>
                <w:rFonts w:ascii="Calibri" w:hAnsi="Calibri"/>
                <w:b/>
                <w:bCs/>
                <w:sz w:val="22"/>
                <w:szCs w:val="22"/>
                <w:highlight w:val="yellow"/>
              </w:rPr>
              <w:t>IPRs</w:t>
            </w:r>
            <w:proofErr w:type="spellEnd"/>
            <w:r w:rsidRPr="001D0B23">
              <w:rPr>
                <w:rFonts w:ascii="Calibri" w:hAnsi="Calibri"/>
                <w:b/>
                <w:bCs/>
                <w:sz w:val="22"/>
                <w:szCs w:val="22"/>
                <w:highlight w:val="yellow"/>
              </w:rPr>
              <w:t xml:space="preserve"> proceed independently of district court litigation, and can reach different results.  And the results of </w:t>
            </w:r>
            <w:proofErr w:type="spellStart"/>
            <w:r w:rsidRPr="001D0B23">
              <w:rPr>
                <w:rFonts w:ascii="Calibri" w:hAnsi="Calibri"/>
                <w:b/>
                <w:bCs/>
                <w:sz w:val="22"/>
                <w:szCs w:val="22"/>
                <w:highlight w:val="yellow"/>
              </w:rPr>
              <w:t>IPRs</w:t>
            </w:r>
            <w:proofErr w:type="spellEnd"/>
            <w:r w:rsidRPr="001D0B23">
              <w:rPr>
                <w:rFonts w:ascii="Calibri" w:hAnsi="Calibri"/>
                <w:b/>
                <w:bCs/>
                <w:sz w:val="22"/>
                <w:szCs w:val="22"/>
                <w:highlight w:val="yellow"/>
              </w:rPr>
              <w:t xml:space="preserve"> and district court litigation are separately appealed.  </w:t>
            </w:r>
            <w:proofErr w:type="spellStart"/>
            <w:r w:rsidRPr="001D0B23">
              <w:rPr>
                <w:rFonts w:ascii="Calibri" w:hAnsi="Calibri"/>
                <w:b/>
                <w:bCs/>
                <w:sz w:val="22"/>
                <w:szCs w:val="22"/>
                <w:highlight w:val="yellow"/>
              </w:rPr>
              <w:t>UMN</w:t>
            </w:r>
            <w:proofErr w:type="spellEnd"/>
            <w:r w:rsidRPr="001D0B23">
              <w:rPr>
                <w:rFonts w:ascii="Calibri" w:hAnsi="Calibri"/>
                <w:b/>
                <w:bCs/>
                <w:sz w:val="22"/>
                <w:szCs w:val="22"/>
                <w:highlight w:val="yellow"/>
              </w:rPr>
              <w:t xml:space="preserve"> Br. 40–41.</w:t>
            </w:r>
          </w:p>
          <w:p w14:paraId="0976604E" w14:textId="6BCA63DD" w:rsidR="00622C4C" w:rsidRPr="0010708E" w:rsidRDefault="00622C4C" w:rsidP="0010708E">
            <w:pPr>
              <w:pStyle w:val="O-BodyText"/>
              <w:spacing w:after="120"/>
              <w:ind w:right="162"/>
              <w:rPr>
                <w:rFonts w:ascii="Calibri" w:hAnsi="Calibri"/>
                <w:b/>
                <w:bCs/>
                <w:sz w:val="22"/>
                <w:szCs w:val="22"/>
              </w:rPr>
            </w:pPr>
          </w:p>
        </w:tc>
      </w:tr>
      <w:tr w:rsidR="00BD6382" w14:paraId="38D8ADEB" w14:textId="77777777" w:rsidTr="0010708E">
        <w:trPr>
          <w:trHeight w:val="4795"/>
        </w:trPr>
        <w:tc>
          <w:tcPr>
            <w:tcW w:w="5904" w:type="dxa"/>
            <w:vAlign w:val="center"/>
          </w:tcPr>
          <w:p w14:paraId="77EC593A" w14:textId="2EDEBE1D" w:rsidR="00BD6382" w:rsidRDefault="003A6872" w:rsidP="0010708E">
            <w:pPr>
              <w:pStyle w:val="O-BodyText"/>
              <w:spacing w:afterLines="120" w:after="288"/>
              <w:ind w:right="108"/>
              <w:rPr>
                <w:rFonts w:ascii="Calibri" w:hAnsi="Calibri"/>
                <w:b/>
                <w:bCs/>
                <w:sz w:val="28"/>
                <w:szCs w:val="28"/>
              </w:rPr>
            </w:pPr>
            <w:r>
              <w:rPr>
                <w:rFonts w:ascii="Calibri" w:hAnsi="Calibri"/>
                <w:b/>
                <w:bCs/>
                <w:sz w:val="28"/>
                <w:szCs w:val="28"/>
              </w:rPr>
              <w:t xml:space="preserve">Can Ericsson and Appellees challenge </w:t>
            </w:r>
            <w:proofErr w:type="spellStart"/>
            <w:r>
              <w:rPr>
                <w:rFonts w:ascii="Calibri" w:hAnsi="Calibri"/>
                <w:b/>
                <w:bCs/>
                <w:sz w:val="28"/>
                <w:szCs w:val="28"/>
              </w:rPr>
              <w:t>UMN’s</w:t>
            </w:r>
            <w:proofErr w:type="spellEnd"/>
            <w:r>
              <w:rPr>
                <w:rFonts w:ascii="Calibri" w:hAnsi="Calibri"/>
                <w:b/>
                <w:bCs/>
                <w:sz w:val="28"/>
                <w:szCs w:val="28"/>
              </w:rPr>
              <w:t xml:space="preserve"> patent in the district court proceedings?</w:t>
            </w:r>
          </w:p>
        </w:tc>
        <w:tc>
          <w:tcPr>
            <w:tcW w:w="5904" w:type="dxa"/>
            <w:vAlign w:val="center"/>
          </w:tcPr>
          <w:p w14:paraId="7C6C6494" w14:textId="6F2A35A0" w:rsidR="00BD6382" w:rsidRDefault="003A6872" w:rsidP="0010708E">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w:t>
            </w:r>
            <w:proofErr w:type="spellStart"/>
            <w:r>
              <w:rPr>
                <w:rFonts w:ascii="Calibri" w:hAnsi="Calibri"/>
                <w:b/>
                <w:bCs/>
                <w:sz w:val="22"/>
                <w:szCs w:val="22"/>
                <w:highlight w:val="yellow"/>
              </w:rPr>
              <w:t>UMN’s</w:t>
            </w:r>
            <w:proofErr w:type="spellEnd"/>
            <w:r>
              <w:rPr>
                <w:rFonts w:ascii="Calibri" w:hAnsi="Calibri"/>
                <w:b/>
                <w:bCs/>
                <w:sz w:val="22"/>
                <w:szCs w:val="22"/>
                <w:highlight w:val="yellow"/>
              </w:rPr>
              <w:t xml:space="preserve"> Brief:  Yes.  </w:t>
            </w:r>
            <w:r w:rsidRPr="003A6872">
              <w:rPr>
                <w:rFonts w:ascii="Calibri" w:hAnsi="Calibri"/>
                <w:b/>
                <w:bCs/>
                <w:sz w:val="22"/>
                <w:szCs w:val="22"/>
                <w:highlight w:val="yellow"/>
              </w:rPr>
              <w:t>Appellees and Intervenor have a full, fair, and unfettered opportunity to litigate any and all challenges to the patent they may wish to ass</w:t>
            </w:r>
            <w:r w:rsidR="001B2E23">
              <w:rPr>
                <w:rFonts w:ascii="Calibri" w:hAnsi="Calibri"/>
                <w:b/>
                <w:bCs/>
                <w:sz w:val="22"/>
                <w:szCs w:val="22"/>
                <w:highlight w:val="yellow"/>
              </w:rPr>
              <w:t>ert in</w:t>
            </w:r>
            <w:r w:rsidRPr="003A6872">
              <w:rPr>
                <w:rFonts w:ascii="Calibri" w:hAnsi="Calibri"/>
                <w:b/>
                <w:bCs/>
                <w:sz w:val="22"/>
                <w:szCs w:val="22"/>
                <w:highlight w:val="yellow"/>
              </w:rPr>
              <w:t xml:space="preserve"> federal</w:t>
            </w:r>
            <w:r w:rsidR="001B2E23">
              <w:rPr>
                <w:rFonts w:ascii="Calibri" w:hAnsi="Calibri"/>
                <w:b/>
                <w:bCs/>
                <w:sz w:val="22"/>
                <w:szCs w:val="22"/>
                <w:highlight w:val="yellow"/>
              </w:rPr>
              <w:t xml:space="preserve"> court.  </w:t>
            </w:r>
            <w:proofErr w:type="spellStart"/>
            <w:r w:rsidR="001B2E23">
              <w:rPr>
                <w:rFonts w:ascii="Calibri" w:hAnsi="Calibri"/>
                <w:b/>
                <w:bCs/>
                <w:sz w:val="22"/>
                <w:szCs w:val="22"/>
                <w:highlight w:val="yellow"/>
              </w:rPr>
              <w:t>UMN</w:t>
            </w:r>
            <w:proofErr w:type="spellEnd"/>
            <w:r w:rsidR="001B2E23">
              <w:rPr>
                <w:rFonts w:ascii="Calibri" w:hAnsi="Calibri"/>
                <w:b/>
                <w:bCs/>
                <w:sz w:val="22"/>
                <w:szCs w:val="22"/>
                <w:highlight w:val="yellow"/>
              </w:rPr>
              <w:t xml:space="preserve"> Br. 54.</w:t>
            </w:r>
          </w:p>
          <w:p w14:paraId="41280F1D" w14:textId="20FEBAF3" w:rsidR="00D3787B" w:rsidRPr="00AC7D91" w:rsidRDefault="00D3787B" w:rsidP="0010708E">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LSI’s Brief:  </w:t>
            </w:r>
            <w:proofErr w:type="spellStart"/>
            <w:r>
              <w:rPr>
                <w:rFonts w:ascii="Calibri" w:hAnsi="Calibri"/>
                <w:b/>
                <w:bCs/>
                <w:sz w:val="22"/>
                <w:szCs w:val="22"/>
                <w:highlight w:val="yellow"/>
              </w:rPr>
              <w:t>UMN</w:t>
            </w:r>
            <w:proofErr w:type="spellEnd"/>
            <w:r>
              <w:rPr>
                <w:rFonts w:ascii="Calibri" w:hAnsi="Calibri"/>
                <w:b/>
                <w:bCs/>
                <w:sz w:val="22"/>
                <w:szCs w:val="22"/>
                <w:highlight w:val="yellow"/>
              </w:rPr>
              <w:t xml:space="preserve"> is incorrect.  </w:t>
            </w:r>
            <w:r w:rsidRPr="00D3787B">
              <w:rPr>
                <w:rFonts w:ascii="Calibri" w:hAnsi="Calibri"/>
                <w:b/>
                <w:bCs/>
                <w:sz w:val="22"/>
                <w:szCs w:val="22"/>
                <w:highlight w:val="yellow"/>
              </w:rPr>
              <w:t xml:space="preserve">Federal district courts (and state courts) do not and cannot entertain challenges to the </w:t>
            </w:r>
            <w:r w:rsidRPr="00D3787B">
              <w:rPr>
                <w:rFonts w:ascii="Calibri" w:hAnsi="Calibri"/>
                <w:b/>
                <w:bCs/>
                <w:i/>
                <w:sz w:val="22"/>
                <w:szCs w:val="22"/>
                <w:highlight w:val="yellow"/>
              </w:rPr>
              <w:t xml:space="preserve">patentability </w:t>
            </w:r>
            <w:r w:rsidRPr="00D3787B">
              <w:rPr>
                <w:rFonts w:ascii="Calibri" w:hAnsi="Calibri"/>
                <w:b/>
                <w:bCs/>
                <w:sz w:val="22"/>
                <w:szCs w:val="22"/>
                <w:highlight w:val="yellow"/>
              </w:rPr>
              <w:t xml:space="preserve">of issued patent claims as asserted in an </w:t>
            </w:r>
            <w:proofErr w:type="spellStart"/>
            <w:r w:rsidRPr="00D3787B">
              <w:rPr>
                <w:rFonts w:ascii="Calibri" w:hAnsi="Calibri"/>
                <w:b/>
                <w:bCs/>
                <w:sz w:val="22"/>
                <w:szCs w:val="22"/>
                <w:highlight w:val="yellow"/>
              </w:rPr>
              <w:t>IPR</w:t>
            </w:r>
            <w:proofErr w:type="spellEnd"/>
            <w:r w:rsidRPr="00D3787B">
              <w:rPr>
                <w:rFonts w:ascii="Calibri" w:hAnsi="Calibri"/>
                <w:b/>
                <w:bCs/>
                <w:sz w:val="22"/>
                <w:szCs w:val="22"/>
                <w:highlight w:val="yellow"/>
              </w:rPr>
              <w:t xml:space="preserve">—challenges that implicate, </w:t>
            </w:r>
            <w:r w:rsidRPr="00D3787B">
              <w:rPr>
                <w:rFonts w:ascii="Calibri" w:hAnsi="Calibri"/>
                <w:b/>
                <w:bCs/>
                <w:i/>
                <w:sz w:val="22"/>
                <w:szCs w:val="22"/>
                <w:highlight w:val="yellow"/>
              </w:rPr>
              <w:t>inter alia</w:t>
            </w:r>
            <w:r w:rsidRPr="00D3787B">
              <w:rPr>
                <w:rFonts w:ascii="Calibri" w:hAnsi="Calibri"/>
                <w:b/>
                <w:bCs/>
                <w:sz w:val="22"/>
                <w:szCs w:val="22"/>
                <w:highlight w:val="yellow"/>
              </w:rPr>
              <w:t>, a different burden of proof, a different claim construction standard, and different finders of facts than invalidity challenges in district court.</w:t>
            </w:r>
            <w:r>
              <w:rPr>
                <w:rFonts w:ascii="Calibri" w:hAnsi="Calibri"/>
                <w:b/>
                <w:bCs/>
                <w:sz w:val="22"/>
                <w:szCs w:val="22"/>
                <w:highlight w:val="yellow"/>
              </w:rPr>
              <w:t xml:space="preserve">  LSI Br. 16 n.5.</w:t>
            </w:r>
          </w:p>
        </w:tc>
      </w:tr>
      <w:tr w:rsidR="00597087" w14:paraId="52E6A6D8" w14:textId="77777777" w:rsidTr="0010708E">
        <w:trPr>
          <w:trHeight w:val="4795"/>
        </w:trPr>
        <w:tc>
          <w:tcPr>
            <w:tcW w:w="5904" w:type="dxa"/>
            <w:vAlign w:val="center"/>
          </w:tcPr>
          <w:p w14:paraId="050309E4" w14:textId="5FA8C0A7" w:rsidR="00597087" w:rsidRPr="0010708E" w:rsidRDefault="001B2E23" w:rsidP="0010708E">
            <w:pPr>
              <w:pStyle w:val="O-BodyText"/>
              <w:spacing w:afterLines="120" w:after="288"/>
              <w:ind w:right="108"/>
              <w:rPr>
                <w:rFonts w:ascii="Calibri" w:hAnsi="Calibri"/>
                <w:b/>
                <w:bCs/>
                <w:sz w:val="28"/>
                <w:szCs w:val="28"/>
              </w:rPr>
            </w:pPr>
            <w:r>
              <w:rPr>
                <w:rFonts w:ascii="Calibri" w:hAnsi="Calibri"/>
                <w:b/>
                <w:bCs/>
                <w:sz w:val="28"/>
                <w:szCs w:val="28"/>
              </w:rPr>
              <w:t xml:space="preserve">Is there any </w:t>
            </w:r>
            <w:r w:rsidRPr="001B2E23">
              <w:rPr>
                <w:rFonts w:ascii="Calibri" w:hAnsi="Calibri"/>
                <w:b/>
                <w:bCs/>
                <w:sz w:val="28"/>
                <w:szCs w:val="28"/>
              </w:rPr>
              <w:t xml:space="preserve">ground upon which unpatentability can be found in an </w:t>
            </w:r>
            <w:proofErr w:type="spellStart"/>
            <w:r w:rsidRPr="001B2E23">
              <w:rPr>
                <w:rFonts w:ascii="Calibri" w:hAnsi="Calibri"/>
                <w:b/>
                <w:bCs/>
                <w:sz w:val="28"/>
                <w:szCs w:val="28"/>
              </w:rPr>
              <w:t>IPR</w:t>
            </w:r>
            <w:proofErr w:type="spellEnd"/>
            <w:r w:rsidRPr="001B2E23">
              <w:rPr>
                <w:rFonts w:ascii="Calibri" w:hAnsi="Calibri"/>
                <w:b/>
                <w:bCs/>
                <w:sz w:val="28"/>
                <w:szCs w:val="28"/>
              </w:rPr>
              <w:t xml:space="preserve"> that is not also available as </w:t>
            </w:r>
            <w:r>
              <w:rPr>
                <w:rFonts w:ascii="Calibri" w:hAnsi="Calibri"/>
                <w:b/>
                <w:bCs/>
                <w:sz w:val="28"/>
                <w:szCs w:val="28"/>
              </w:rPr>
              <w:t>a defense in the district court?</w:t>
            </w:r>
          </w:p>
        </w:tc>
        <w:tc>
          <w:tcPr>
            <w:tcW w:w="5904" w:type="dxa"/>
            <w:vAlign w:val="center"/>
          </w:tcPr>
          <w:p w14:paraId="609F1B49" w14:textId="44092674" w:rsidR="00AB10EF" w:rsidRPr="0010708E" w:rsidRDefault="001B2E23" w:rsidP="0010708E">
            <w:pPr>
              <w:pStyle w:val="O-BodyText"/>
              <w:spacing w:after="120"/>
              <w:ind w:right="162"/>
              <w:rPr>
                <w:rFonts w:ascii="Calibri" w:hAnsi="Calibri"/>
                <w:b/>
                <w:bCs/>
                <w:sz w:val="22"/>
                <w:szCs w:val="22"/>
              </w:rPr>
            </w:pPr>
            <w:r w:rsidRPr="001B2E23">
              <w:rPr>
                <w:rFonts w:ascii="Calibri" w:hAnsi="Calibri"/>
                <w:b/>
                <w:bCs/>
                <w:sz w:val="22"/>
                <w:szCs w:val="22"/>
                <w:highlight w:val="yellow"/>
              </w:rPr>
              <w:t xml:space="preserve">From </w:t>
            </w:r>
            <w:proofErr w:type="spellStart"/>
            <w:r w:rsidRPr="001B2E23">
              <w:rPr>
                <w:rFonts w:ascii="Calibri" w:hAnsi="Calibri"/>
                <w:b/>
                <w:bCs/>
                <w:sz w:val="22"/>
                <w:szCs w:val="22"/>
                <w:highlight w:val="yellow"/>
              </w:rPr>
              <w:t>UMN’s</w:t>
            </w:r>
            <w:proofErr w:type="spellEnd"/>
            <w:r w:rsidRPr="001B2E23">
              <w:rPr>
                <w:rFonts w:ascii="Calibri" w:hAnsi="Calibri"/>
                <w:b/>
                <w:bCs/>
                <w:sz w:val="22"/>
                <w:szCs w:val="22"/>
                <w:highlight w:val="yellow"/>
              </w:rPr>
              <w:t xml:space="preserve"> Brief:  There is no ground upon which unpatentability can be found in an </w:t>
            </w:r>
            <w:proofErr w:type="spellStart"/>
            <w:r w:rsidRPr="001B2E23">
              <w:rPr>
                <w:rFonts w:ascii="Calibri" w:hAnsi="Calibri"/>
                <w:b/>
                <w:bCs/>
                <w:sz w:val="22"/>
                <w:szCs w:val="22"/>
                <w:highlight w:val="yellow"/>
              </w:rPr>
              <w:t>IPR</w:t>
            </w:r>
            <w:proofErr w:type="spellEnd"/>
            <w:r w:rsidRPr="001B2E23">
              <w:rPr>
                <w:rFonts w:ascii="Calibri" w:hAnsi="Calibri"/>
                <w:b/>
                <w:bCs/>
                <w:sz w:val="22"/>
                <w:szCs w:val="22"/>
                <w:highlight w:val="yellow"/>
              </w:rPr>
              <w:t xml:space="preserve"> that is not also available as a defense in the district court.  </w:t>
            </w:r>
            <w:proofErr w:type="spellStart"/>
            <w:r w:rsidRPr="001B2E23">
              <w:rPr>
                <w:rFonts w:ascii="Calibri" w:hAnsi="Calibri"/>
                <w:b/>
                <w:bCs/>
                <w:sz w:val="22"/>
                <w:szCs w:val="22"/>
                <w:highlight w:val="yellow"/>
              </w:rPr>
              <w:t>UMN</w:t>
            </w:r>
            <w:proofErr w:type="spellEnd"/>
            <w:r w:rsidRPr="001B2E23">
              <w:rPr>
                <w:rFonts w:ascii="Calibri" w:hAnsi="Calibri"/>
                <w:b/>
                <w:bCs/>
                <w:sz w:val="22"/>
                <w:szCs w:val="22"/>
                <w:highlight w:val="yellow"/>
              </w:rPr>
              <w:t xml:space="preserve"> Br. 57.</w:t>
            </w:r>
          </w:p>
        </w:tc>
      </w:tr>
      <w:tr w:rsidR="001B2E23" w14:paraId="42EA3229" w14:textId="77777777" w:rsidTr="0010708E">
        <w:trPr>
          <w:trHeight w:val="4795"/>
        </w:trPr>
        <w:tc>
          <w:tcPr>
            <w:tcW w:w="5904" w:type="dxa"/>
            <w:vAlign w:val="center"/>
          </w:tcPr>
          <w:p w14:paraId="68D93A40" w14:textId="78C0608D" w:rsidR="001B2E23" w:rsidRPr="001B2E23" w:rsidRDefault="001B2E23"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Is a defendant in a patent litigation ever </w:t>
            </w:r>
            <w:r>
              <w:rPr>
                <w:rFonts w:ascii="Calibri" w:hAnsi="Calibri"/>
                <w:b/>
                <w:bCs/>
                <w:i/>
                <w:sz w:val="28"/>
                <w:szCs w:val="28"/>
              </w:rPr>
              <w:t>required</w:t>
            </w:r>
            <w:r>
              <w:rPr>
                <w:rFonts w:ascii="Calibri" w:hAnsi="Calibri"/>
                <w:b/>
                <w:bCs/>
                <w:sz w:val="28"/>
                <w:szCs w:val="28"/>
              </w:rPr>
              <w:t xml:space="preserve"> to petition for </w:t>
            </w:r>
            <w:proofErr w:type="spellStart"/>
            <w:r>
              <w:rPr>
                <w:rFonts w:ascii="Calibri" w:hAnsi="Calibri"/>
                <w:b/>
                <w:bCs/>
                <w:sz w:val="28"/>
                <w:szCs w:val="28"/>
              </w:rPr>
              <w:t>IPR</w:t>
            </w:r>
            <w:proofErr w:type="spellEnd"/>
            <w:r>
              <w:rPr>
                <w:rFonts w:ascii="Calibri" w:hAnsi="Calibri"/>
                <w:b/>
                <w:bCs/>
                <w:sz w:val="28"/>
                <w:szCs w:val="28"/>
              </w:rPr>
              <w:t>?</w:t>
            </w:r>
          </w:p>
        </w:tc>
        <w:tc>
          <w:tcPr>
            <w:tcW w:w="5904" w:type="dxa"/>
            <w:vAlign w:val="center"/>
          </w:tcPr>
          <w:p w14:paraId="2D932A89" w14:textId="3B2595C2" w:rsidR="001B2E23" w:rsidRDefault="001B2E23" w:rsidP="001B2E23">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w:t>
            </w:r>
            <w:proofErr w:type="spellStart"/>
            <w:r>
              <w:rPr>
                <w:rFonts w:ascii="Calibri" w:hAnsi="Calibri"/>
                <w:b/>
                <w:bCs/>
                <w:sz w:val="22"/>
                <w:szCs w:val="22"/>
                <w:highlight w:val="yellow"/>
              </w:rPr>
              <w:t>UMN’s</w:t>
            </w:r>
            <w:proofErr w:type="spellEnd"/>
            <w:r>
              <w:rPr>
                <w:rFonts w:ascii="Calibri" w:hAnsi="Calibri"/>
                <w:b/>
                <w:bCs/>
                <w:sz w:val="22"/>
                <w:szCs w:val="22"/>
                <w:highlight w:val="yellow"/>
              </w:rPr>
              <w:t xml:space="preserve"> Brief:  </w:t>
            </w:r>
            <w:r w:rsidRPr="001B2E23">
              <w:rPr>
                <w:rFonts w:ascii="Calibri" w:hAnsi="Calibri"/>
                <w:b/>
                <w:bCs/>
                <w:sz w:val="22"/>
                <w:szCs w:val="22"/>
                <w:highlight w:val="yellow"/>
              </w:rPr>
              <w:t xml:space="preserve">A defendant in a patent litigation is never required to petition for </w:t>
            </w:r>
            <w:proofErr w:type="spellStart"/>
            <w:r w:rsidRPr="001B2E23">
              <w:rPr>
                <w:rFonts w:ascii="Calibri" w:hAnsi="Calibri"/>
                <w:b/>
                <w:bCs/>
                <w:sz w:val="22"/>
                <w:szCs w:val="22"/>
                <w:highlight w:val="yellow"/>
              </w:rPr>
              <w:t>IPR</w:t>
            </w:r>
            <w:proofErr w:type="spellEnd"/>
            <w:r w:rsidRPr="001B2E23">
              <w:rPr>
                <w:rFonts w:ascii="Calibri" w:hAnsi="Calibri"/>
                <w:b/>
                <w:bCs/>
                <w:sz w:val="22"/>
                <w:szCs w:val="22"/>
                <w:highlight w:val="yellow"/>
              </w:rPr>
              <w:t>, and always has the right and ability to challenge the asserted patent, on any basis or theory it may wish to assert, in district court.</w:t>
            </w:r>
            <w:r>
              <w:rPr>
                <w:rFonts w:ascii="Calibri" w:hAnsi="Calibri"/>
                <w:b/>
                <w:bCs/>
                <w:sz w:val="22"/>
                <w:szCs w:val="22"/>
                <w:highlight w:val="yellow"/>
              </w:rPr>
              <w:t xml:space="preserve">  </w:t>
            </w:r>
            <w:proofErr w:type="spellStart"/>
            <w:r>
              <w:rPr>
                <w:rFonts w:ascii="Calibri" w:hAnsi="Calibri"/>
                <w:b/>
                <w:bCs/>
                <w:sz w:val="22"/>
                <w:szCs w:val="22"/>
                <w:highlight w:val="yellow"/>
              </w:rPr>
              <w:t>UMN</w:t>
            </w:r>
            <w:proofErr w:type="spellEnd"/>
            <w:r>
              <w:rPr>
                <w:rFonts w:ascii="Calibri" w:hAnsi="Calibri"/>
                <w:b/>
                <w:bCs/>
                <w:sz w:val="22"/>
                <w:szCs w:val="22"/>
                <w:highlight w:val="yellow"/>
              </w:rPr>
              <w:t xml:space="preserve"> Br. 59.</w:t>
            </w:r>
          </w:p>
          <w:p w14:paraId="2BEF091F" w14:textId="7717C9EE" w:rsidR="00D3787B" w:rsidRPr="001B2E23" w:rsidRDefault="00D3787B" w:rsidP="001B2E23">
            <w:pPr>
              <w:pStyle w:val="O-BodyText"/>
              <w:spacing w:after="120"/>
              <w:ind w:right="162"/>
              <w:rPr>
                <w:rFonts w:ascii="Calibri" w:hAnsi="Calibri"/>
                <w:b/>
                <w:bCs/>
                <w:i/>
                <w:sz w:val="22"/>
                <w:szCs w:val="22"/>
                <w:highlight w:val="yellow"/>
              </w:rPr>
            </w:pPr>
            <w:r>
              <w:rPr>
                <w:rFonts w:ascii="Calibri" w:hAnsi="Calibri"/>
                <w:b/>
                <w:bCs/>
                <w:sz w:val="22"/>
                <w:szCs w:val="22"/>
                <w:highlight w:val="yellow"/>
              </w:rPr>
              <w:t xml:space="preserve">From LSI’s Brief:  </w:t>
            </w:r>
            <w:proofErr w:type="spellStart"/>
            <w:r w:rsidRPr="00D3787B">
              <w:rPr>
                <w:rFonts w:ascii="Calibri" w:hAnsi="Calibri"/>
                <w:b/>
                <w:bCs/>
                <w:sz w:val="22"/>
                <w:szCs w:val="22"/>
                <w:highlight w:val="yellow"/>
              </w:rPr>
              <w:t>UMN’s</w:t>
            </w:r>
            <w:proofErr w:type="spellEnd"/>
            <w:r w:rsidRPr="00D3787B">
              <w:rPr>
                <w:rFonts w:ascii="Calibri" w:hAnsi="Calibri"/>
                <w:b/>
                <w:bCs/>
                <w:sz w:val="22"/>
                <w:szCs w:val="22"/>
                <w:highlight w:val="yellow"/>
              </w:rPr>
              <w:t xml:space="preserve"> suit against LSI alleging infringement of the ’601 patent rendered any </w:t>
            </w:r>
            <w:proofErr w:type="spellStart"/>
            <w:r w:rsidRPr="00D3787B">
              <w:rPr>
                <w:rFonts w:ascii="Calibri" w:hAnsi="Calibri"/>
                <w:b/>
                <w:bCs/>
                <w:sz w:val="22"/>
                <w:szCs w:val="22"/>
                <w:highlight w:val="yellow"/>
              </w:rPr>
              <w:t>IPR</w:t>
            </w:r>
            <w:proofErr w:type="spellEnd"/>
            <w:r w:rsidRPr="00D3787B">
              <w:rPr>
                <w:rFonts w:ascii="Calibri" w:hAnsi="Calibri"/>
                <w:b/>
                <w:bCs/>
                <w:sz w:val="22"/>
                <w:szCs w:val="22"/>
                <w:highlight w:val="yellow"/>
              </w:rPr>
              <w:t xml:space="preserve"> petition filed by LSI on the ’601 patent compulsory.</w:t>
            </w:r>
            <w:r>
              <w:rPr>
                <w:rFonts w:ascii="Calibri" w:hAnsi="Calibri"/>
                <w:b/>
                <w:bCs/>
                <w:sz w:val="22"/>
                <w:szCs w:val="22"/>
                <w:highlight w:val="yellow"/>
              </w:rPr>
              <w:t xml:space="preserve">  LSI Br. 13.</w:t>
            </w:r>
          </w:p>
          <w:p w14:paraId="709C9AC4" w14:textId="77777777" w:rsidR="001B2E23" w:rsidRPr="001B2E23" w:rsidRDefault="001B2E23" w:rsidP="0010708E">
            <w:pPr>
              <w:pStyle w:val="O-BodyText"/>
              <w:spacing w:after="120"/>
              <w:ind w:right="162"/>
              <w:rPr>
                <w:rFonts w:ascii="Calibri" w:hAnsi="Calibri"/>
                <w:b/>
                <w:bCs/>
                <w:sz w:val="22"/>
                <w:szCs w:val="22"/>
                <w:highlight w:val="yellow"/>
              </w:rPr>
            </w:pPr>
          </w:p>
        </w:tc>
      </w:tr>
      <w:tr w:rsidR="00C861DB" w14:paraId="1ED377D9" w14:textId="77777777" w:rsidTr="0010708E">
        <w:trPr>
          <w:trHeight w:val="4795"/>
        </w:trPr>
        <w:tc>
          <w:tcPr>
            <w:tcW w:w="5904" w:type="dxa"/>
            <w:vAlign w:val="center"/>
          </w:tcPr>
          <w:p w14:paraId="399EA02F" w14:textId="05985ECF" w:rsidR="00C861DB" w:rsidRDefault="00C861DB" w:rsidP="0010708E">
            <w:pPr>
              <w:pStyle w:val="O-BodyText"/>
              <w:spacing w:afterLines="120" w:after="288"/>
              <w:ind w:right="108"/>
              <w:rPr>
                <w:rFonts w:ascii="Calibri" w:hAnsi="Calibri"/>
                <w:b/>
                <w:bCs/>
                <w:sz w:val="28"/>
                <w:szCs w:val="28"/>
              </w:rPr>
            </w:pPr>
            <w:r>
              <w:rPr>
                <w:rFonts w:ascii="Calibri" w:hAnsi="Calibri"/>
                <w:b/>
                <w:bCs/>
                <w:sz w:val="28"/>
                <w:szCs w:val="28"/>
              </w:rPr>
              <w:t>What is the patent at issue in the Gilead litigation?</w:t>
            </w:r>
          </w:p>
        </w:tc>
        <w:tc>
          <w:tcPr>
            <w:tcW w:w="5904" w:type="dxa"/>
            <w:vAlign w:val="center"/>
          </w:tcPr>
          <w:p w14:paraId="1574043E" w14:textId="4E86D616" w:rsidR="00C861DB" w:rsidRDefault="00C861DB" w:rsidP="00C861DB">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Gilead’s Brief:  </w:t>
            </w:r>
            <w:r w:rsidRPr="00C861DB">
              <w:rPr>
                <w:rFonts w:ascii="Calibri" w:hAnsi="Calibri"/>
                <w:b/>
                <w:bCs/>
                <w:sz w:val="22"/>
                <w:szCs w:val="22"/>
                <w:highlight w:val="yellow"/>
              </w:rPr>
              <w:t xml:space="preserve">Gilead Sciences, Inc. invented sofosbuvir, a breakthrough drug used to cure Hepatitis C. Three months after Gilead launched its first sofosbuvir product, </w:t>
            </w:r>
            <w:proofErr w:type="spellStart"/>
            <w:r w:rsidRPr="00C861DB">
              <w:rPr>
                <w:rFonts w:ascii="Calibri" w:hAnsi="Calibri"/>
                <w:b/>
                <w:bCs/>
                <w:sz w:val="22"/>
                <w:szCs w:val="22"/>
                <w:highlight w:val="yellow"/>
              </w:rPr>
              <w:t>Solvadi</w:t>
            </w:r>
            <w:proofErr w:type="spellEnd"/>
            <w:r w:rsidRPr="00C861DB">
              <w:rPr>
                <w:rFonts w:ascii="Calibri" w:hAnsi="Calibri"/>
                <w:b/>
                <w:bCs/>
                <w:sz w:val="22"/>
                <w:szCs w:val="22"/>
                <w:highlight w:val="yellow"/>
                <w:vertAlign w:val="superscript"/>
              </w:rPr>
              <w:t>®</w:t>
            </w:r>
            <w:r w:rsidRPr="00C861DB">
              <w:rPr>
                <w:rFonts w:ascii="Calibri" w:hAnsi="Calibri"/>
                <w:b/>
                <w:bCs/>
                <w:sz w:val="22"/>
                <w:szCs w:val="22"/>
                <w:highlight w:val="yellow"/>
              </w:rPr>
              <w:t>, and years after sofosbuvir was publicly disclosed, the Regents of the University of Minnesota filed a patent application attempting to claim invention of sofosbuvir. That application was granted as U.S. Patent No. 8,815,830.</w:t>
            </w:r>
            <w:r>
              <w:rPr>
                <w:rFonts w:ascii="Calibri" w:hAnsi="Calibri"/>
                <w:b/>
                <w:bCs/>
                <w:sz w:val="22"/>
                <w:szCs w:val="22"/>
                <w:highlight w:val="yellow"/>
              </w:rPr>
              <w:t xml:space="preserve">  </w:t>
            </w:r>
            <w:r w:rsidRPr="00C861DB">
              <w:rPr>
                <w:rFonts w:ascii="Calibri" w:hAnsi="Calibri"/>
                <w:b/>
                <w:bCs/>
                <w:sz w:val="22"/>
                <w:szCs w:val="22"/>
                <w:highlight w:val="yellow"/>
              </w:rPr>
              <w:t xml:space="preserve">The University filed suit against Gilead seeking more than $2.5 billion in damages. </w:t>
            </w:r>
            <w:r>
              <w:rPr>
                <w:rFonts w:ascii="Calibri" w:hAnsi="Calibri"/>
                <w:b/>
                <w:bCs/>
                <w:sz w:val="22"/>
                <w:szCs w:val="22"/>
                <w:highlight w:val="yellow"/>
              </w:rPr>
              <w:t xml:space="preserve"> Gilead Br. 4.</w:t>
            </w:r>
          </w:p>
        </w:tc>
      </w:tr>
      <w:tr w:rsidR="002D1744" w14:paraId="5D88DB99" w14:textId="77777777" w:rsidTr="0010708E">
        <w:trPr>
          <w:trHeight w:val="4795"/>
        </w:trPr>
        <w:tc>
          <w:tcPr>
            <w:tcW w:w="5904" w:type="dxa"/>
            <w:vAlign w:val="center"/>
          </w:tcPr>
          <w:p w14:paraId="692360BC" w14:textId="26FDA486" w:rsidR="002D1744" w:rsidRDefault="002D1744" w:rsidP="0010708E">
            <w:pPr>
              <w:pStyle w:val="O-BodyText"/>
              <w:spacing w:afterLines="120" w:after="288"/>
              <w:ind w:right="108"/>
              <w:rPr>
                <w:rFonts w:ascii="Calibri" w:hAnsi="Calibri"/>
                <w:b/>
                <w:bCs/>
                <w:sz w:val="28"/>
                <w:szCs w:val="28"/>
              </w:rPr>
            </w:pPr>
            <w:r>
              <w:rPr>
                <w:rFonts w:ascii="Calibri" w:hAnsi="Calibri"/>
                <w:b/>
                <w:bCs/>
                <w:sz w:val="28"/>
                <w:szCs w:val="28"/>
              </w:rPr>
              <w:t xml:space="preserve">Does the Executive Branch participate in all inter </w:t>
            </w:r>
            <w:proofErr w:type="spellStart"/>
            <w:r>
              <w:rPr>
                <w:rFonts w:ascii="Calibri" w:hAnsi="Calibri"/>
                <w:b/>
                <w:bCs/>
                <w:sz w:val="28"/>
                <w:szCs w:val="28"/>
              </w:rPr>
              <w:t>partes</w:t>
            </w:r>
            <w:proofErr w:type="spellEnd"/>
            <w:r>
              <w:rPr>
                <w:rFonts w:ascii="Calibri" w:hAnsi="Calibri"/>
                <w:b/>
                <w:bCs/>
                <w:sz w:val="28"/>
                <w:szCs w:val="28"/>
              </w:rPr>
              <w:t xml:space="preserve"> reviews?</w:t>
            </w:r>
          </w:p>
        </w:tc>
        <w:tc>
          <w:tcPr>
            <w:tcW w:w="5904" w:type="dxa"/>
            <w:vAlign w:val="center"/>
          </w:tcPr>
          <w:p w14:paraId="0D42FA4C" w14:textId="40E1AB49" w:rsidR="002D1744" w:rsidRDefault="002D1744" w:rsidP="00C861DB">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Gilead’s Brief:  Yes.  </w:t>
            </w:r>
            <w:r w:rsidRPr="002D1744">
              <w:rPr>
                <w:rFonts w:ascii="Calibri" w:hAnsi="Calibri"/>
                <w:b/>
                <w:bCs/>
                <w:sz w:val="22"/>
                <w:szCs w:val="22"/>
                <w:highlight w:val="yellow"/>
              </w:rPr>
              <w:t xml:space="preserve">When the Office grants a patent, it is carrying out “the constitutional functions” of the Executive. </w:t>
            </w:r>
            <w:r w:rsidR="009A292F">
              <w:rPr>
                <w:rFonts w:ascii="Calibri" w:hAnsi="Calibri"/>
                <w:b/>
                <w:bCs/>
                <w:sz w:val="22"/>
                <w:szCs w:val="22"/>
                <w:highlight w:val="yellow"/>
              </w:rPr>
              <w:t xml:space="preserve"> Gilead Br. 5 (quoting </w:t>
            </w:r>
            <w:r w:rsidR="009A292F" w:rsidRPr="009A292F">
              <w:rPr>
                <w:rFonts w:ascii="Calibri" w:hAnsi="Calibri"/>
                <w:b/>
                <w:bCs/>
                <w:i/>
                <w:sz w:val="22"/>
                <w:szCs w:val="22"/>
                <w:highlight w:val="yellow"/>
              </w:rPr>
              <w:t>Oil States Energy Servs</w:t>
            </w:r>
            <w:proofErr w:type="gramStart"/>
            <w:r w:rsidR="009A292F" w:rsidRPr="009A292F">
              <w:rPr>
                <w:rFonts w:ascii="Calibri" w:hAnsi="Calibri"/>
                <w:b/>
                <w:bCs/>
                <w:i/>
                <w:sz w:val="22"/>
                <w:szCs w:val="22"/>
                <w:highlight w:val="yellow"/>
              </w:rPr>
              <w:t xml:space="preserve">. </w:t>
            </w:r>
            <w:proofErr w:type="gramEnd"/>
            <w:r w:rsidR="009A292F" w:rsidRPr="009A292F">
              <w:rPr>
                <w:rFonts w:ascii="Calibri" w:hAnsi="Calibri"/>
                <w:b/>
                <w:bCs/>
                <w:i/>
                <w:sz w:val="22"/>
                <w:szCs w:val="22"/>
                <w:highlight w:val="yellow"/>
              </w:rPr>
              <w:t>v. Greene’s Energy Grp</w:t>
            </w:r>
            <w:proofErr w:type="gramStart"/>
            <w:r w:rsidR="009A292F" w:rsidRPr="009A292F">
              <w:rPr>
                <w:rFonts w:ascii="Calibri" w:hAnsi="Calibri"/>
                <w:b/>
                <w:bCs/>
                <w:i/>
                <w:sz w:val="22"/>
                <w:szCs w:val="22"/>
                <w:highlight w:val="yellow"/>
              </w:rPr>
              <w:t>.</w:t>
            </w:r>
            <w:r w:rsidR="009A292F" w:rsidRPr="009A292F">
              <w:rPr>
                <w:rFonts w:ascii="Calibri" w:hAnsi="Calibri"/>
                <w:b/>
                <w:bCs/>
                <w:sz w:val="22"/>
                <w:szCs w:val="22"/>
                <w:highlight w:val="yellow"/>
              </w:rPr>
              <w:t xml:space="preserve"> </w:t>
            </w:r>
            <w:proofErr w:type="gramEnd"/>
            <w:r w:rsidR="009A292F" w:rsidRPr="009A292F">
              <w:rPr>
                <w:rFonts w:ascii="Calibri" w:hAnsi="Calibri"/>
                <w:b/>
                <w:bCs/>
                <w:sz w:val="22"/>
                <w:szCs w:val="22"/>
                <w:highlight w:val="yellow"/>
              </w:rPr>
              <w:t>(</w:t>
            </w:r>
            <w:r w:rsidR="00CD3CDF">
              <w:rPr>
                <w:rFonts w:ascii="Calibri" w:hAnsi="Calibri"/>
                <w:b/>
                <w:bCs/>
                <w:sz w:val="22"/>
                <w:szCs w:val="22"/>
                <w:highlight w:val="yellow"/>
              </w:rPr>
              <w:t>U.S.</w:t>
            </w:r>
            <w:r w:rsidR="009A292F" w:rsidRPr="009A292F">
              <w:rPr>
                <w:rFonts w:ascii="Calibri" w:hAnsi="Calibri"/>
                <w:b/>
                <w:bCs/>
                <w:sz w:val="22"/>
                <w:szCs w:val="22"/>
                <w:highlight w:val="yellow"/>
              </w:rPr>
              <w:t xml:space="preserve"> 2018)</w:t>
            </w:r>
            <w:r w:rsidR="009A292F">
              <w:rPr>
                <w:rFonts w:ascii="Calibri" w:hAnsi="Calibri"/>
                <w:b/>
                <w:bCs/>
                <w:sz w:val="22"/>
                <w:szCs w:val="22"/>
                <w:highlight w:val="yellow"/>
              </w:rPr>
              <w:t xml:space="preserve">.  </w:t>
            </w:r>
            <w:r w:rsidR="009A292F" w:rsidRPr="009A292F">
              <w:rPr>
                <w:rFonts w:ascii="Calibri" w:hAnsi="Calibri"/>
                <w:b/>
                <w:bCs/>
                <w:sz w:val="22"/>
                <w:szCs w:val="22"/>
                <w:highlight w:val="yellow"/>
              </w:rPr>
              <w:t xml:space="preserve">Inter </w:t>
            </w:r>
            <w:proofErr w:type="spellStart"/>
            <w:r w:rsidR="009A292F" w:rsidRPr="009A292F">
              <w:rPr>
                <w:rFonts w:ascii="Calibri" w:hAnsi="Calibri"/>
                <w:b/>
                <w:bCs/>
                <w:sz w:val="22"/>
                <w:szCs w:val="22"/>
                <w:highlight w:val="yellow"/>
              </w:rPr>
              <w:t>partes</w:t>
            </w:r>
            <w:proofErr w:type="spellEnd"/>
            <w:r w:rsidR="009A292F" w:rsidRPr="009A292F">
              <w:rPr>
                <w:rFonts w:ascii="Calibri" w:hAnsi="Calibri"/>
                <w:b/>
                <w:bCs/>
                <w:sz w:val="22"/>
                <w:szCs w:val="22"/>
                <w:highlight w:val="yellow"/>
              </w:rPr>
              <w:t xml:space="preserve"> review also be</w:t>
            </w:r>
            <w:r w:rsidR="009A292F">
              <w:rPr>
                <w:rFonts w:ascii="Calibri" w:hAnsi="Calibri"/>
                <w:b/>
                <w:bCs/>
                <w:sz w:val="22"/>
                <w:szCs w:val="22"/>
                <w:highlight w:val="yellow"/>
              </w:rPr>
              <w:t>gins and ends with the Executive—t</w:t>
            </w:r>
            <w:r w:rsidR="009A292F" w:rsidRPr="009A292F">
              <w:rPr>
                <w:rFonts w:ascii="Calibri" w:hAnsi="Calibri"/>
                <w:b/>
                <w:bCs/>
                <w:sz w:val="22"/>
                <w:szCs w:val="22"/>
                <w:highlight w:val="yellow"/>
              </w:rPr>
              <w:t xml:space="preserve">he Director not only begins and ends the proceeding but also remains in the case, because she may continue inter </w:t>
            </w:r>
            <w:proofErr w:type="spellStart"/>
            <w:r w:rsidR="009A292F" w:rsidRPr="009A292F">
              <w:rPr>
                <w:rFonts w:ascii="Calibri" w:hAnsi="Calibri"/>
                <w:b/>
                <w:bCs/>
                <w:sz w:val="22"/>
                <w:szCs w:val="22"/>
                <w:highlight w:val="yellow"/>
              </w:rPr>
              <w:t>partes</w:t>
            </w:r>
            <w:proofErr w:type="spellEnd"/>
            <w:r w:rsidR="009A292F" w:rsidRPr="009A292F">
              <w:rPr>
                <w:rFonts w:ascii="Calibri" w:hAnsi="Calibri"/>
                <w:b/>
                <w:bCs/>
                <w:i/>
                <w:sz w:val="22"/>
                <w:szCs w:val="22"/>
                <w:highlight w:val="yellow"/>
              </w:rPr>
              <w:t xml:space="preserve"> </w:t>
            </w:r>
            <w:r w:rsidR="009A292F" w:rsidRPr="009A292F">
              <w:rPr>
                <w:rFonts w:ascii="Calibri" w:hAnsi="Calibri"/>
                <w:b/>
                <w:bCs/>
                <w:sz w:val="22"/>
                <w:szCs w:val="22"/>
                <w:highlight w:val="yellow"/>
              </w:rPr>
              <w:t xml:space="preserve">review proceedings even if the petitioner and patent owner agree to terminate them. </w:t>
            </w:r>
            <w:r w:rsidR="009A292F">
              <w:rPr>
                <w:rFonts w:ascii="Calibri" w:hAnsi="Calibri"/>
                <w:b/>
                <w:bCs/>
                <w:sz w:val="22"/>
                <w:szCs w:val="22"/>
                <w:highlight w:val="yellow"/>
              </w:rPr>
              <w:t xml:space="preserve"> </w:t>
            </w:r>
            <w:r w:rsidR="009A292F" w:rsidRPr="009A292F">
              <w:rPr>
                <w:rFonts w:ascii="Calibri" w:hAnsi="Calibri"/>
                <w:b/>
                <w:bCs/>
                <w:sz w:val="22"/>
                <w:szCs w:val="22"/>
                <w:highlight w:val="yellow"/>
              </w:rPr>
              <w:t xml:space="preserve">35 U.S.C. </w:t>
            </w:r>
            <w:r w:rsidR="009A292F">
              <w:rPr>
                <w:rFonts w:ascii="Calibri" w:hAnsi="Calibri"/>
                <w:b/>
                <w:bCs/>
                <w:sz w:val="22"/>
                <w:szCs w:val="22"/>
                <w:highlight w:val="yellow"/>
              </w:rPr>
              <w:t>§§ 317, 143.</w:t>
            </w:r>
          </w:p>
        </w:tc>
      </w:tr>
      <w:tr w:rsidR="00BB0BF0" w14:paraId="792B5341" w14:textId="77777777" w:rsidTr="0010708E">
        <w:trPr>
          <w:trHeight w:val="4795"/>
        </w:trPr>
        <w:tc>
          <w:tcPr>
            <w:tcW w:w="5904" w:type="dxa"/>
            <w:vAlign w:val="center"/>
          </w:tcPr>
          <w:p w14:paraId="69E7C275" w14:textId="3D5C3CF0" w:rsidR="00BB0BF0" w:rsidRDefault="00BB0BF0" w:rsidP="0010708E">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Is participation by patent owners </w:t>
            </w:r>
            <w:r w:rsidR="003332DD">
              <w:rPr>
                <w:rFonts w:ascii="Calibri" w:hAnsi="Calibri"/>
                <w:b/>
                <w:bCs/>
                <w:sz w:val="28"/>
                <w:szCs w:val="28"/>
              </w:rPr>
              <w:t xml:space="preserve">in inter </w:t>
            </w:r>
            <w:proofErr w:type="spellStart"/>
            <w:r w:rsidR="003332DD">
              <w:rPr>
                <w:rFonts w:ascii="Calibri" w:hAnsi="Calibri"/>
                <w:b/>
                <w:bCs/>
                <w:sz w:val="28"/>
                <w:szCs w:val="28"/>
              </w:rPr>
              <w:t>partes</w:t>
            </w:r>
            <w:proofErr w:type="spellEnd"/>
            <w:r w:rsidR="003332DD">
              <w:rPr>
                <w:rFonts w:ascii="Calibri" w:hAnsi="Calibri"/>
                <w:b/>
                <w:bCs/>
                <w:sz w:val="28"/>
                <w:szCs w:val="28"/>
              </w:rPr>
              <w:t xml:space="preserve"> reviews voluntary?</w:t>
            </w:r>
          </w:p>
        </w:tc>
        <w:tc>
          <w:tcPr>
            <w:tcW w:w="5904" w:type="dxa"/>
            <w:vAlign w:val="center"/>
          </w:tcPr>
          <w:p w14:paraId="7B1BEBA0" w14:textId="497B821F" w:rsidR="00BB0BF0" w:rsidRDefault="003332DD" w:rsidP="00C861DB">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Gilead’s Brief:  Yes.  </w:t>
            </w:r>
            <w:r w:rsidR="00BB0BF0" w:rsidRPr="00BB0BF0">
              <w:rPr>
                <w:rFonts w:ascii="Calibri" w:hAnsi="Calibri"/>
                <w:b/>
                <w:bCs/>
                <w:sz w:val="22"/>
                <w:szCs w:val="22"/>
                <w:highlight w:val="yellow"/>
              </w:rPr>
              <w:t xml:space="preserve">Patent owner participation in </w:t>
            </w:r>
            <w:r w:rsidR="00BB0BF0" w:rsidRPr="00AA17DB">
              <w:rPr>
                <w:rFonts w:ascii="Calibri" w:hAnsi="Calibri"/>
                <w:b/>
                <w:bCs/>
                <w:sz w:val="22"/>
                <w:szCs w:val="22"/>
                <w:highlight w:val="yellow"/>
              </w:rPr>
              <w:t xml:space="preserve">inter </w:t>
            </w:r>
            <w:proofErr w:type="spellStart"/>
            <w:r w:rsidR="00BB0BF0" w:rsidRPr="00AA17DB">
              <w:rPr>
                <w:rFonts w:ascii="Calibri" w:hAnsi="Calibri"/>
                <w:b/>
                <w:bCs/>
                <w:sz w:val="22"/>
                <w:szCs w:val="22"/>
                <w:highlight w:val="yellow"/>
              </w:rPr>
              <w:t>partes</w:t>
            </w:r>
            <w:proofErr w:type="spellEnd"/>
            <w:r w:rsidR="00BB0BF0" w:rsidRPr="00BB0BF0">
              <w:rPr>
                <w:rFonts w:ascii="Calibri" w:hAnsi="Calibri"/>
                <w:b/>
                <w:bCs/>
                <w:i/>
                <w:sz w:val="22"/>
                <w:szCs w:val="22"/>
                <w:highlight w:val="yellow"/>
              </w:rPr>
              <w:t xml:space="preserve"> </w:t>
            </w:r>
            <w:r w:rsidR="00BB0BF0" w:rsidRPr="00BB0BF0">
              <w:rPr>
                <w:rFonts w:ascii="Calibri" w:hAnsi="Calibri"/>
                <w:b/>
                <w:bCs/>
                <w:sz w:val="22"/>
                <w:szCs w:val="22"/>
                <w:highlight w:val="yellow"/>
              </w:rPr>
              <w:t>review is entirely voluntary and no one is coerced into appearing</w:t>
            </w:r>
            <w:r>
              <w:rPr>
                <w:rFonts w:ascii="Calibri" w:hAnsi="Calibri"/>
                <w:b/>
                <w:bCs/>
                <w:sz w:val="22"/>
                <w:szCs w:val="22"/>
                <w:highlight w:val="yellow"/>
              </w:rPr>
              <w:t>.  D</w:t>
            </w:r>
            <w:r w:rsidR="00BB0BF0" w:rsidRPr="00BB0BF0">
              <w:rPr>
                <w:rFonts w:ascii="Calibri" w:hAnsi="Calibri"/>
                <w:b/>
                <w:bCs/>
                <w:sz w:val="22"/>
                <w:szCs w:val="22"/>
                <w:highlight w:val="yellow"/>
              </w:rPr>
              <w:t>efault judgments and similar sanctions are not available under the statute, which expressly contemplates non-participation by the patent owner</w:t>
            </w:r>
            <w:r>
              <w:rPr>
                <w:rFonts w:ascii="Calibri" w:hAnsi="Calibri"/>
                <w:b/>
                <w:bCs/>
                <w:sz w:val="22"/>
                <w:szCs w:val="22"/>
                <w:highlight w:val="yellow"/>
              </w:rPr>
              <w:t>.  Gilead Br. 12.</w:t>
            </w:r>
          </w:p>
        </w:tc>
      </w:tr>
      <w:tr w:rsidR="003332DD" w14:paraId="4A7308FD" w14:textId="77777777" w:rsidTr="0010708E">
        <w:trPr>
          <w:trHeight w:val="4795"/>
        </w:trPr>
        <w:tc>
          <w:tcPr>
            <w:tcW w:w="5904" w:type="dxa"/>
            <w:vAlign w:val="center"/>
          </w:tcPr>
          <w:p w14:paraId="6E376549" w14:textId="731CF61B" w:rsidR="003332DD" w:rsidRDefault="003332DD" w:rsidP="0010708E">
            <w:pPr>
              <w:pStyle w:val="O-BodyText"/>
              <w:spacing w:afterLines="120" w:after="288"/>
              <w:ind w:right="108"/>
              <w:rPr>
                <w:rFonts w:ascii="Calibri" w:hAnsi="Calibri"/>
                <w:b/>
                <w:bCs/>
                <w:sz w:val="28"/>
                <w:szCs w:val="28"/>
              </w:rPr>
            </w:pPr>
            <w:r>
              <w:rPr>
                <w:rFonts w:ascii="Calibri" w:hAnsi="Calibri"/>
                <w:b/>
                <w:bCs/>
                <w:sz w:val="28"/>
                <w:szCs w:val="28"/>
              </w:rPr>
              <w:t xml:space="preserve">Is inter </w:t>
            </w:r>
            <w:proofErr w:type="spellStart"/>
            <w:r>
              <w:rPr>
                <w:rFonts w:ascii="Calibri" w:hAnsi="Calibri"/>
                <w:b/>
                <w:bCs/>
                <w:sz w:val="28"/>
                <w:szCs w:val="28"/>
              </w:rPr>
              <w:t>partes</w:t>
            </w:r>
            <w:proofErr w:type="spellEnd"/>
            <w:r>
              <w:rPr>
                <w:rFonts w:ascii="Calibri" w:hAnsi="Calibri"/>
                <w:b/>
                <w:bCs/>
                <w:sz w:val="28"/>
                <w:szCs w:val="28"/>
              </w:rPr>
              <w:t xml:space="preserve"> review a dispute between private parties and </w:t>
            </w:r>
            <w:proofErr w:type="spellStart"/>
            <w:r>
              <w:rPr>
                <w:rFonts w:ascii="Calibri" w:hAnsi="Calibri"/>
                <w:b/>
                <w:bCs/>
                <w:sz w:val="28"/>
                <w:szCs w:val="28"/>
              </w:rPr>
              <w:t>UMN</w:t>
            </w:r>
            <w:proofErr w:type="spellEnd"/>
            <w:r>
              <w:rPr>
                <w:rFonts w:ascii="Calibri" w:hAnsi="Calibri"/>
                <w:b/>
                <w:bCs/>
                <w:sz w:val="28"/>
                <w:szCs w:val="28"/>
              </w:rPr>
              <w:t>?</w:t>
            </w:r>
          </w:p>
        </w:tc>
        <w:tc>
          <w:tcPr>
            <w:tcW w:w="5904" w:type="dxa"/>
            <w:vAlign w:val="center"/>
          </w:tcPr>
          <w:p w14:paraId="5E35A11F" w14:textId="4E2F29EE" w:rsidR="003332DD" w:rsidRDefault="003332DD" w:rsidP="00C861DB">
            <w:pPr>
              <w:pStyle w:val="O-BodyText"/>
              <w:spacing w:after="120"/>
              <w:ind w:right="162"/>
              <w:rPr>
                <w:rFonts w:ascii="Calibri" w:hAnsi="Calibri"/>
                <w:b/>
                <w:bCs/>
                <w:sz w:val="22"/>
                <w:szCs w:val="22"/>
                <w:highlight w:val="yellow"/>
              </w:rPr>
            </w:pPr>
            <w:r>
              <w:rPr>
                <w:rFonts w:ascii="Calibri" w:hAnsi="Calibri"/>
                <w:b/>
                <w:bCs/>
                <w:sz w:val="22"/>
                <w:szCs w:val="22"/>
                <w:highlight w:val="yellow"/>
              </w:rPr>
              <w:t xml:space="preserve">From Gilead’s Brief:  </w:t>
            </w:r>
            <w:r w:rsidRPr="003332DD">
              <w:rPr>
                <w:rFonts w:ascii="Calibri" w:hAnsi="Calibri"/>
                <w:b/>
                <w:bCs/>
                <w:sz w:val="22"/>
                <w:szCs w:val="22"/>
                <w:highlight w:val="yellow"/>
              </w:rPr>
              <w:t>This dispute is between the University as patentee and the United States as the grantor of patents</w:t>
            </w:r>
            <w:proofErr w:type="gramStart"/>
            <w:r w:rsidRPr="003332DD">
              <w:rPr>
                <w:rFonts w:ascii="Calibri" w:hAnsi="Calibri"/>
                <w:b/>
                <w:bCs/>
                <w:sz w:val="22"/>
                <w:szCs w:val="22"/>
                <w:highlight w:val="yellow"/>
              </w:rPr>
              <w:t xml:space="preserve">. </w:t>
            </w:r>
            <w:proofErr w:type="gramEnd"/>
            <w:r w:rsidRPr="003332DD">
              <w:rPr>
                <w:rFonts w:ascii="Calibri" w:hAnsi="Calibri"/>
                <w:b/>
                <w:bCs/>
                <w:sz w:val="22"/>
                <w:szCs w:val="22"/>
                <w:highlight w:val="yellow"/>
              </w:rPr>
              <w:t xml:space="preserve">Gilead as petitioner has merely called to the Office’s attention arguments and prior art that it did not consider in the first instance (just as a party can petition the Director for an </w:t>
            </w:r>
            <w:r w:rsidRPr="003332DD">
              <w:rPr>
                <w:rFonts w:ascii="Calibri" w:hAnsi="Calibri"/>
                <w:b/>
                <w:bCs/>
                <w:i/>
                <w:sz w:val="22"/>
                <w:szCs w:val="22"/>
                <w:highlight w:val="yellow"/>
              </w:rPr>
              <w:t xml:space="preserve">ex </w:t>
            </w:r>
            <w:proofErr w:type="spellStart"/>
            <w:r w:rsidRPr="003332DD">
              <w:rPr>
                <w:rFonts w:ascii="Calibri" w:hAnsi="Calibri"/>
                <w:b/>
                <w:bCs/>
                <w:i/>
                <w:sz w:val="22"/>
                <w:szCs w:val="22"/>
                <w:highlight w:val="yellow"/>
              </w:rPr>
              <w:t>parte</w:t>
            </w:r>
            <w:proofErr w:type="spellEnd"/>
            <w:r w:rsidRPr="003332DD">
              <w:rPr>
                <w:rFonts w:ascii="Calibri" w:hAnsi="Calibri"/>
                <w:b/>
                <w:bCs/>
                <w:i/>
                <w:sz w:val="22"/>
                <w:szCs w:val="22"/>
                <w:highlight w:val="yellow"/>
              </w:rPr>
              <w:t xml:space="preserve"> </w:t>
            </w:r>
            <w:r w:rsidRPr="003332DD">
              <w:rPr>
                <w:rFonts w:ascii="Calibri" w:hAnsi="Calibri"/>
                <w:b/>
                <w:bCs/>
                <w:sz w:val="22"/>
                <w:szCs w:val="22"/>
                <w:highlight w:val="yellow"/>
              </w:rPr>
              <w:t>reexamination, 35 U.S.C. § 302</w:t>
            </w:r>
            <w:r>
              <w:rPr>
                <w:rFonts w:ascii="Calibri" w:hAnsi="Calibri"/>
                <w:b/>
                <w:bCs/>
                <w:sz w:val="22"/>
                <w:szCs w:val="22"/>
                <w:highlight w:val="yellow"/>
              </w:rPr>
              <w:t>).  Gilead Br. 21.</w:t>
            </w:r>
          </w:p>
        </w:tc>
      </w:tr>
      <w:tr w:rsidR="002E28A2" w14:paraId="631E190B" w14:textId="77777777" w:rsidTr="0010708E">
        <w:trPr>
          <w:trHeight w:val="4795"/>
        </w:trPr>
        <w:tc>
          <w:tcPr>
            <w:tcW w:w="5904" w:type="dxa"/>
            <w:vAlign w:val="center"/>
          </w:tcPr>
          <w:p w14:paraId="0573D0CD" w14:textId="56C580A6" w:rsidR="002E28A2" w:rsidRDefault="002E28A2" w:rsidP="0010708E">
            <w:pPr>
              <w:pStyle w:val="O-BodyText"/>
              <w:spacing w:afterLines="120" w:after="288"/>
              <w:ind w:right="108"/>
              <w:rPr>
                <w:rFonts w:ascii="Calibri" w:hAnsi="Calibri"/>
                <w:b/>
                <w:bCs/>
                <w:sz w:val="28"/>
                <w:szCs w:val="28"/>
              </w:rPr>
            </w:pPr>
            <w:bookmarkStart w:id="0" w:name="_Hlk1633027"/>
            <w:r>
              <w:rPr>
                <w:rFonts w:ascii="Calibri" w:hAnsi="Calibri"/>
                <w:b/>
                <w:bCs/>
                <w:sz w:val="28"/>
                <w:szCs w:val="28"/>
              </w:rPr>
              <w:t xml:space="preserve">What relief is available in inter </w:t>
            </w:r>
            <w:proofErr w:type="spellStart"/>
            <w:r>
              <w:rPr>
                <w:rFonts w:ascii="Calibri" w:hAnsi="Calibri"/>
                <w:b/>
                <w:bCs/>
                <w:sz w:val="28"/>
                <w:szCs w:val="28"/>
              </w:rPr>
              <w:t>partes</w:t>
            </w:r>
            <w:proofErr w:type="spellEnd"/>
            <w:r>
              <w:rPr>
                <w:rFonts w:ascii="Calibri" w:hAnsi="Calibri"/>
                <w:b/>
                <w:bCs/>
                <w:sz w:val="28"/>
                <w:szCs w:val="28"/>
              </w:rPr>
              <w:t xml:space="preserve"> review?</w:t>
            </w:r>
          </w:p>
        </w:tc>
        <w:tc>
          <w:tcPr>
            <w:tcW w:w="5904" w:type="dxa"/>
            <w:vAlign w:val="center"/>
          </w:tcPr>
          <w:p w14:paraId="471DF3C8" w14:textId="3C250F1E" w:rsidR="002E28A2" w:rsidRDefault="002E28A2" w:rsidP="00C861DB">
            <w:pPr>
              <w:pStyle w:val="O-BodyText"/>
              <w:spacing w:after="120"/>
              <w:ind w:right="162"/>
              <w:rPr>
                <w:rFonts w:ascii="Calibri" w:hAnsi="Calibri"/>
                <w:b/>
                <w:bCs/>
                <w:sz w:val="22"/>
                <w:szCs w:val="22"/>
                <w:highlight w:val="yellow"/>
              </w:rPr>
            </w:pPr>
            <w:r w:rsidRPr="002E28A2">
              <w:rPr>
                <w:rFonts w:ascii="Calibri" w:hAnsi="Calibri"/>
                <w:b/>
                <w:bCs/>
                <w:sz w:val="22"/>
                <w:szCs w:val="22"/>
                <w:highlight w:val="yellow"/>
              </w:rPr>
              <w:t xml:space="preserve">From Gilead’s Brief:  </w:t>
            </w:r>
            <w:r w:rsidR="0064021E">
              <w:rPr>
                <w:rFonts w:ascii="Calibri" w:hAnsi="Calibri"/>
                <w:b/>
                <w:bCs/>
                <w:sz w:val="22"/>
                <w:szCs w:val="22"/>
                <w:highlight w:val="yellow"/>
              </w:rPr>
              <w:t>T</w:t>
            </w:r>
            <w:r w:rsidR="0064021E" w:rsidRPr="0064021E">
              <w:rPr>
                <w:rFonts w:ascii="Calibri" w:hAnsi="Calibri"/>
                <w:b/>
                <w:bCs/>
                <w:sz w:val="22"/>
                <w:szCs w:val="22"/>
                <w:highlight w:val="yellow"/>
              </w:rPr>
              <w:t xml:space="preserve">here is only one type of relief available in inter </w:t>
            </w:r>
            <w:proofErr w:type="spellStart"/>
            <w:r w:rsidR="0064021E" w:rsidRPr="0064021E">
              <w:rPr>
                <w:rFonts w:ascii="Calibri" w:hAnsi="Calibri"/>
                <w:b/>
                <w:bCs/>
                <w:sz w:val="22"/>
                <w:szCs w:val="22"/>
                <w:highlight w:val="yellow"/>
              </w:rPr>
              <w:t>partes</w:t>
            </w:r>
            <w:proofErr w:type="spellEnd"/>
            <w:r w:rsidR="0064021E" w:rsidRPr="0064021E">
              <w:rPr>
                <w:rFonts w:ascii="Calibri" w:hAnsi="Calibri"/>
                <w:b/>
                <w:bCs/>
                <w:i/>
                <w:sz w:val="22"/>
                <w:szCs w:val="22"/>
                <w:highlight w:val="yellow"/>
              </w:rPr>
              <w:t xml:space="preserve"> </w:t>
            </w:r>
            <w:r w:rsidR="0064021E" w:rsidRPr="0064021E">
              <w:rPr>
                <w:rFonts w:ascii="Calibri" w:hAnsi="Calibri"/>
                <w:b/>
                <w:bCs/>
                <w:sz w:val="22"/>
                <w:szCs w:val="22"/>
                <w:highlight w:val="yellow"/>
              </w:rPr>
              <w:t xml:space="preserve">review. </w:t>
            </w:r>
            <w:r w:rsidR="0064021E">
              <w:rPr>
                <w:rFonts w:ascii="Calibri" w:hAnsi="Calibri"/>
                <w:b/>
                <w:bCs/>
                <w:sz w:val="22"/>
                <w:szCs w:val="22"/>
                <w:highlight w:val="yellow"/>
              </w:rPr>
              <w:t xml:space="preserve"> </w:t>
            </w:r>
            <w:r w:rsidR="0064021E" w:rsidRPr="0064021E">
              <w:rPr>
                <w:rFonts w:ascii="Calibri" w:hAnsi="Calibri"/>
                <w:b/>
                <w:bCs/>
                <w:sz w:val="22"/>
                <w:szCs w:val="22"/>
                <w:highlight w:val="yellow"/>
              </w:rPr>
              <w:t>The Director must “issue and publish a certificate,” if the Board’s decision becomes final</w:t>
            </w:r>
            <w:proofErr w:type="gramStart"/>
            <w:r w:rsidR="0064021E" w:rsidRPr="0064021E">
              <w:rPr>
                <w:rFonts w:ascii="Calibri" w:hAnsi="Calibri"/>
                <w:b/>
                <w:bCs/>
                <w:sz w:val="22"/>
                <w:szCs w:val="22"/>
                <w:highlight w:val="yellow"/>
              </w:rPr>
              <w:t xml:space="preserve">. </w:t>
            </w:r>
            <w:proofErr w:type="gramEnd"/>
            <w:r w:rsidR="0064021E" w:rsidRPr="0064021E">
              <w:rPr>
                <w:rFonts w:ascii="Calibri" w:hAnsi="Calibri"/>
                <w:b/>
                <w:bCs/>
                <w:sz w:val="22"/>
                <w:szCs w:val="22"/>
                <w:highlight w:val="yellow"/>
              </w:rPr>
              <w:t xml:space="preserve">35 U.S.C. § 318(b). </w:t>
            </w:r>
            <w:r w:rsidR="0064021E">
              <w:rPr>
                <w:rFonts w:ascii="Calibri" w:hAnsi="Calibri"/>
                <w:b/>
                <w:bCs/>
                <w:sz w:val="22"/>
                <w:szCs w:val="22"/>
                <w:highlight w:val="yellow"/>
              </w:rPr>
              <w:t xml:space="preserve"> </w:t>
            </w:r>
            <w:r w:rsidR="0064021E" w:rsidRPr="0064021E">
              <w:rPr>
                <w:rFonts w:ascii="Calibri" w:hAnsi="Calibri"/>
                <w:b/>
                <w:bCs/>
                <w:sz w:val="22"/>
                <w:szCs w:val="22"/>
                <w:highlight w:val="yellow"/>
              </w:rPr>
              <w:t xml:space="preserve">The certificate issued by the Director at the end of an inter </w:t>
            </w:r>
            <w:proofErr w:type="spellStart"/>
            <w:r w:rsidR="0064021E" w:rsidRPr="0064021E">
              <w:rPr>
                <w:rFonts w:ascii="Calibri" w:hAnsi="Calibri"/>
                <w:b/>
                <w:bCs/>
                <w:sz w:val="22"/>
                <w:szCs w:val="22"/>
                <w:highlight w:val="yellow"/>
              </w:rPr>
              <w:t>partes</w:t>
            </w:r>
            <w:proofErr w:type="spellEnd"/>
            <w:r w:rsidR="0064021E" w:rsidRPr="0064021E">
              <w:rPr>
                <w:rFonts w:ascii="Calibri" w:hAnsi="Calibri"/>
                <w:b/>
                <w:bCs/>
                <w:i/>
                <w:sz w:val="22"/>
                <w:szCs w:val="22"/>
                <w:highlight w:val="yellow"/>
              </w:rPr>
              <w:t xml:space="preserve"> </w:t>
            </w:r>
            <w:r w:rsidR="0064021E" w:rsidRPr="0064021E">
              <w:rPr>
                <w:rFonts w:ascii="Calibri" w:hAnsi="Calibri"/>
                <w:b/>
                <w:bCs/>
                <w:sz w:val="22"/>
                <w:szCs w:val="22"/>
                <w:highlight w:val="yellow"/>
              </w:rPr>
              <w:t>review cancels, confirms, or amends any challenged claims</w:t>
            </w:r>
            <w:proofErr w:type="gramStart"/>
            <w:r w:rsidR="0064021E" w:rsidRPr="0064021E">
              <w:rPr>
                <w:rFonts w:ascii="Calibri" w:hAnsi="Calibri"/>
                <w:b/>
                <w:bCs/>
                <w:i/>
                <w:sz w:val="22"/>
                <w:szCs w:val="22"/>
                <w:highlight w:val="yellow"/>
              </w:rPr>
              <w:t xml:space="preserve">. </w:t>
            </w:r>
            <w:proofErr w:type="gramEnd"/>
            <w:r w:rsidR="0064021E" w:rsidRPr="0064021E">
              <w:rPr>
                <w:rFonts w:ascii="Calibri" w:hAnsi="Calibri"/>
                <w:b/>
                <w:bCs/>
                <w:i/>
                <w:sz w:val="22"/>
                <w:szCs w:val="22"/>
                <w:highlight w:val="yellow"/>
              </w:rPr>
              <w:t>Id</w:t>
            </w:r>
            <w:r w:rsidR="0064021E" w:rsidRPr="0064021E">
              <w:rPr>
                <w:rFonts w:ascii="Calibri" w:hAnsi="Calibri"/>
                <w:b/>
                <w:bCs/>
                <w:sz w:val="22"/>
                <w:szCs w:val="22"/>
                <w:highlight w:val="yellow"/>
              </w:rPr>
              <w:t xml:space="preserve">. And while such a certificate may impact the scope of rights a patent affords, it has no compulsive effect on patent owners themselves. </w:t>
            </w:r>
            <w:r w:rsidR="0064021E">
              <w:rPr>
                <w:rFonts w:ascii="Calibri" w:hAnsi="Calibri"/>
                <w:b/>
                <w:bCs/>
                <w:sz w:val="22"/>
                <w:szCs w:val="22"/>
                <w:highlight w:val="yellow"/>
              </w:rPr>
              <w:t xml:space="preserve"> </w:t>
            </w:r>
            <w:r w:rsidR="0064021E" w:rsidRPr="0064021E">
              <w:rPr>
                <w:rFonts w:ascii="Calibri" w:hAnsi="Calibri"/>
                <w:b/>
                <w:bCs/>
                <w:sz w:val="22"/>
                <w:szCs w:val="22"/>
                <w:highlight w:val="yellow"/>
              </w:rPr>
              <w:t>It does not require patent owners to pay damages or be enjoined from some action they would otherwise take.</w:t>
            </w:r>
            <w:r w:rsidR="0064021E">
              <w:rPr>
                <w:rFonts w:ascii="Calibri" w:hAnsi="Calibri"/>
                <w:b/>
                <w:bCs/>
                <w:sz w:val="22"/>
                <w:szCs w:val="22"/>
                <w:highlight w:val="yellow"/>
              </w:rPr>
              <w:t xml:space="preserve">  Gilead Br. 24.</w:t>
            </w:r>
          </w:p>
        </w:tc>
      </w:tr>
      <w:bookmarkEnd w:id="0"/>
    </w:tbl>
    <w:p w14:paraId="1D9F5175" w14:textId="1591C620" w:rsidR="00C0734E" w:rsidRDefault="00C0734E">
      <w:pPr>
        <w:spacing w:after="240"/>
        <w:rPr>
          <w:rFonts w:eastAsiaTheme="majorEastAsia"/>
          <w:b/>
          <w:bCs/>
          <w:sz w:val="72"/>
          <w:szCs w:val="28"/>
        </w:rPr>
      </w:pPr>
    </w:p>
    <w:tbl>
      <w:tblPr>
        <w:tblStyle w:val="TableGrid"/>
        <w:tblW w:w="23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gridCol w:w="5904"/>
        <w:gridCol w:w="5904"/>
      </w:tblGrid>
      <w:tr w:rsidR="000F7558" w:rsidRPr="00D9020D" w14:paraId="2C1103F8" w14:textId="77777777" w:rsidTr="0010708E">
        <w:trPr>
          <w:trHeight w:val="4795"/>
        </w:trPr>
        <w:tc>
          <w:tcPr>
            <w:tcW w:w="5904" w:type="dxa"/>
            <w:vAlign w:val="center"/>
          </w:tcPr>
          <w:p w14:paraId="11F59AD3" w14:textId="3E75FB2F" w:rsidR="000F7558" w:rsidRDefault="000F7558" w:rsidP="000F7558">
            <w:pPr>
              <w:pStyle w:val="O-BodyText"/>
              <w:spacing w:afterLines="120" w:after="288"/>
              <w:ind w:right="108"/>
              <w:jc w:val="center"/>
            </w:pPr>
            <w:r>
              <w:rPr>
                <w:rFonts w:ascii="Calibri" w:hAnsi="Calibri"/>
                <w:b/>
                <w:sz w:val="52"/>
                <w:szCs w:val="52"/>
              </w:rPr>
              <w:t>Sovereign Immunity</w:t>
            </w:r>
          </w:p>
        </w:tc>
        <w:tc>
          <w:tcPr>
            <w:tcW w:w="5904" w:type="dxa"/>
            <w:vAlign w:val="center"/>
          </w:tcPr>
          <w:p w14:paraId="16413CA3" w14:textId="56E5ACC3" w:rsidR="000F7558" w:rsidRPr="00D349C5" w:rsidRDefault="000F7558" w:rsidP="000F7558">
            <w:pPr>
              <w:pStyle w:val="O-BodyText"/>
              <w:spacing w:after="120"/>
              <w:ind w:right="162"/>
              <w:jc w:val="center"/>
              <w:rPr>
                <w:rFonts w:ascii="Calibri" w:hAnsi="Calibri"/>
                <w:b/>
                <w:bCs/>
                <w:sz w:val="22"/>
                <w:szCs w:val="22"/>
              </w:rPr>
            </w:pPr>
            <w:r w:rsidRPr="00544B84">
              <w:rPr>
                <w:rFonts w:ascii="Calibri" w:hAnsi="Calibri"/>
                <w:b/>
                <w:sz w:val="52"/>
                <w:szCs w:val="52"/>
              </w:rPr>
              <w:t>Color</w:t>
            </w:r>
          </w:p>
        </w:tc>
        <w:tc>
          <w:tcPr>
            <w:tcW w:w="5904" w:type="dxa"/>
            <w:vAlign w:val="center"/>
          </w:tcPr>
          <w:p w14:paraId="5FC00497"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47D0AB7"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3CE91B2" w14:textId="77777777" w:rsidTr="0010708E">
        <w:trPr>
          <w:trHeight w:val="4795"/>
        </w:trPr>
        <w:tc>
          <w:tcPr>
            <w:tcW w:w="5904" w:type="dxa"/>
            <w:vAlign w:val="center"/>
          </w:tcPr>
          <w:p w14:paraId="7684E07C" w14:textId="0E5E6C4D" w:rsidR="000F7558" w:rsidRDefault="000F7558" w:rsidP="000F7558">
            <w:pPr>
              <w:pStyle w:val="O-BodyText"/>
              <w:spacing w:afterLines="120" w:after="288"/>
              <w:ind w:right="108"/>
              <w:rPr>
                <w:rFonts w:ascii="Calibri" w:hAnsi="Calibri"/>
                <w:b/>
                <w:bCs/>
                <w:sz w:val="28"/>
                <w:szCs w:val="28"/>
              </w:rPr>
            </w:pPr>
            <w:r w:rsidRPr="00D349C5">
              <w:rPr>
                <w:rFonts w:ascii="Calibri" w:hAnsi="Calibri"/>
                <w:b/>
                <w:bCs/>
                <w:sz w:val="28"/>
                <w:szCs w:val="28"/>
              </w:rPr>
              <w:t xml:space="preserve">What </w:t>
            </w:r>
            <w:r>
              <w:rPr>
                <w:rFonts w:ascii="Calibri" w:hAnsi="Calibri"/>
                <w:b/>
                <w:bCs/>
                <w:sz w:val="28"/>
                <w:szCs w:val="28"/>
              </w:rPr>
              <w:t>was the basis of this Court’s decision</w:t>
            </w:r>
            <w:r w:rsidRPr="00D349C5">
              <w:rPr>
                <w:rFonts w:ascii="Calibri" w:hAnsi="Calibri"/>
                <w:b/>
                <w:bCs/>
                <w:sz w:val="28"/>
                <w:szCs w:val="28"/>
              </w:rPr>
              <w:t xml:space="preserve"> in </w:t>
            </w:r>
            <w:r w:rsidRPr="00D349C5">
              <w:rPr>
                <w:rFonts w:ascii="Calibri" w:hAnsi="Calibri"/>
                <w:b/>
                <w:bCs/>
                <w:i/>
                <w:sz w:val="28"/>
                <w:szCs w:val="28"/>
              </w:rPr>
              <w:t>St. Regis Mohawk Tribe</w:t>
            </w:r>
            <w:r w:rsidRPr="00D349C5">
              <w:rPr>
                <w:rFonts w:ascii="Calibri" w:hAnsi="Calibri"/>
                <w:b/>
                <w:bCs/>
                <w:sz w:val="28"/>
                <w:szCs w:val="28"/>
              </w:rPr>
              <w:t xml:space="preserve"> (Fed. Cir. 2018)?</w:t>
            </w:r>
          </w:p>
        </w:tc>
        <w:tc>
          <w:tcPr>
            <w:tcW w:w="5904" w:type="dxa"/>
            <w:vAlign w:val="center"/>
          </w:tcPr>
          <w:p w14:paraId="2FF2A3DD" w14:textId="1A70B42B" w:rsidR="000F7558" w:rsidRPr="00D349C5" w:rsidRDefault="000F7558" w:rsidP="000F7558">
            <w:pPr>
              <w:pStyle w:val="O-BodyText"/>
              <w:spacing w:after="120"/>
              <w:ind w:right="162"/>
              <w:rPr>
                <w:rFonts w:ascii="Calibri" w:hAnsi="Calibri"/>
                <w:b/>
                <w:bCs/>
                <w:sz w:val="22"/>
                <w:szCs w:val="22"/>
              </w:rPr>
            </w:pPr>
            <w:r>
              <w:rPr>
                <w:rFonts w:ascii="Calibri" w:hAnsi="Calibri"/>
                <w:b/>
                <w:bCs/>
                <w:sz w:val="22"/>
                <w:szCs w:val="22"/>
              </w:rPr>
              <w:t>The d</w:t>
            </w:r>
            <w:r w:rsidRPr="00D349C5">
              <w:rPr>
                <w:rFonts w:ascii="Calibri" w:hAnsi="Calibri"/>
                <w:b/>
                <w:bCs/>
                <w:sz w:val="22"/>
                <w:szCs w:val="22"/>
              </w:rPr>
              <w:t>ecision</w:t>
            </w:r>
            <w:r>
              <w:rPr>
                <w:rFonts w:ascii="Calibri" w:hAnsi="Calibri"/>
                <w:b/>
                <w:bCs/>
                <w:sz w:val="22"/>
                <w:szCs w:val="22"/>
              </w:rPr>
              <w:t xml:space="preserve"> in</w:t>
            </w:r>
            <w:r w:rsidRPr="00D349C5">
              <w:rPr>
                <w:rFonts w:ascii="Calibri" w:hAnsi="Calibri"/>
                <w:b/>
                <w:bCs/>
                <w:sz w:val="22"/>
                <w:szCs w:val="22"/>
              </w:rPr>
              <w:t xml:space="preserve"> </w:t>
            </w:r>
            <w:r w:rsidRPr="00D349C5">
              <w:rPr>
                <w:rFonts w:ascii="Calibri" w:hAnsi="Calibri"/>
                <w:b/>
                <w:bCs/>
                <w:i/>
                <w:sz w:val="22"/>
                <w:szCs w:val="22"/>
              </w:rPr>
              <w:t>St. Regis Mohawk Tribe</w:t>
            </w:r>
            <w:r w:rsidRPr="00D349C5">
              <w:rPr>
                <w:rFonts w:ascii="Calibri" w:hAnsi="Calibri"/>
                <w:b/>
                <w:bCs/>
                <w:sz w:val="22"/>
                <w:szCs w:val="22"/>
              </w:rPr>
              <w:t xml:space="preserve"> (Fed. Cir. 2018)</w:t>
            </w:r>
            <w:r>
              <w:rPr>
                <w:rFonts w:ascii="Calibri" w:hAnsi="Calibri"/>
                <w:b/>
                <w:bCs/>
                <w:sz w:val="22"/>
                <w:szCs w:val="22"/>
              </w:rPr>
              <w:t xml:space="preserve"> was </w:t>
            </w:r>
            <w:r w:rsidRPr="00D349C5">
              <w:rPr>
                <w:rFonts w:ascii="Calibri" w:hAnsi="Calibri"/>
                <w:b/>
                <w:bCs/>
                <w:sz w:val="22"/>
                <w:szCs w:val="22"/>
              </w:rPr>
              <w:t>driven by three factors</w:t>
            </w:r>
            <w:r>
              <w:rPr>
                <w:rFonts w:ascii="Calibri" w:hAnsi="Calibri"/>
                <w:b/>
                <w:bCs/>
                <w:sz w:val="22"/>
                <w:szCs w:val="22"/>
              </w:rPr>
              <w:t>:</w:t>
            </w:r>
          </w:p>
          <w:p w14:paraId="0A852C48" w14:textId="60DEE539" w:rsidR="000F7558" w:rsidRPr="00D349C5" w:rsidRDefault="000F7558" w:rsidP="000F7558">
            <w:pPr>
              <w:pStyle w:val="O-BodyText"/>
              <w:spacing w:after="120"/>
              <w:ind w:right="162"/>
              <w:rPr>
                <w:rFonts w:ascii="Calibri" w:hAnsi="Calibri"/>
                <w:b/>
                <w:bCs/>
                <w:sz w:val="22"/>
                <w:szCs w:val="22"/>
              </w:rPr>
            </w:pPr>
            <w:r w:rsidRPr="00D349C5">
              <w:rPr>
                <w:rFonts w:ascii="Calibri" w:hAnsi="Calibri"/>
                <w:b/>
                <w:bCs/>
                <w:sz w:val="22"/>
                <w:szCs w:val="22"/>
              </w:rPr>
              <w:t>(1) Director’s institution authority allows for discretion</w:t>
            </w:r>
            <w:r>
              <w:rPr>
                <w:rFonts w:ascii="Calibri" w:hAnsi="Calibri"/>
                <w:b/>
                <w:bCs/>
                <w:sz w:val="22"/>
                <w:szCs w:val="22"/>
              </w:rPr>
              <w:t>, which</w:t>
            </w:r>
            <w:r w:rsidRPr="00D349C5">
              <w:rPr>
                <w:rFonts w:ascii="Calibri" w:hAnsi="Calibri"/>
                <w:b/>
                <w:bCs/>
                <w:sz w:val="22"/>
                <w:szCs w:val="22"/>
              </w:rPr>
              <w:t xml:space="preserve"> is more like </w:t>
            </w:r>
            <w:r>
              <w:rPr>
                <w:rFonts w:ascii="Calibri" w:hAnsi="Calibri"/>
                <w:b/>
                <w:bCs/>
                <w:sz w:val="22"/>
                <w:szCs w:val="22"/>
              </w:rPr>
              <w:t xml:space="preserve">an </w:t>
            </w:r>
            <w:r w:rsidRPr="00D349C5">
              <w:rPr>
                <w:rFonts w:ascii="Calibri" w:hAnsi="Calibri"/>
                <w:b/>
                <w:bCs/>
                <w:sz w:val="22"/>
                <w:szCs w:val="22"/>
              </w:rPr>
              <w:t>enforcement action</w:t>
            </w:r>
          </w:p>
          <w:p w14:paraId="32007536" w14:textId="77777777" w:rsidR="000F7558" w:rsidRPr="00D349C5" w:rsidRDefault="000F7558" w:rsidP="000F7558">
            <w:pPr>
              <w:pStyle w:val="O-BodyText"/>
              <w:spacing w:after="120"/>
              <w:ind w:right="162"/>
              <w:rPr>
                <w:rFonts w:ascii="Calibri" w:hAnsi="Calibri"/>
                <w:b/>
                <w:bCs/>
                <w:sz w:val="22"/>
                <w:szCs w:val="22"/>
              </w:rPr>
            </w:pPr>
            <w:r w:rsidRPr="00D349C5">
              <w:rPr>
                <w:rFonts w:ascii="Calibri" w:hAnsi="Calibri"/>
                <w:b/>
                <w:bCs/>
                <w:sz w:val="22"/>
                <w:szCs w:val="22"/>
              </w:rPr>
              <w:t xml:space="preserve">(2) the parties’ participation is not instrumental to </w:t>
            </w:r>
            <w:proofErr w:type="spellStart"/>
            <w:r w:rsidRPr="00D349C5">
              <w:rPr>
                <w:rFonts w:ascii="Calibri" w:hAnsi="Calibri"/>
                <w:b/>
                <w:bCs/>
                <w:sz w:val="22"/>
                <w:szCs w:val="22"/>
              </w:rPr>
              <w:t>IPR</w:t>
            </w:r>
            <w:proofErr w:type="spellEnd"/>
          </w:p>
          <w:p w14:paraId="62A4DE52" w14:textId="569D7527" w:rsidR="000F7558" w:rsidRPr="00D349C5" w:rsidRDefault="000F7558" w:rsidP="000F7558">
            <w:pPr>
              <w:pStyle w:val="O-BodyText"/>
              <w:spacing w:after="120"/>
              <w:ind w:right="162"/>
              <w:rPr>
                <w:rFonts w:ascii="Calibri" w:hAnsi="Calibri"/>
                <w:b/>
                <w:bCs/>
                <w:sz w:val="22"/>
                <w:szCs w:val="22"/>
              </w:rPr>
            </w:pPr>
            <w:r w:rsidRPr="00D349C5">
              <w:rPr>
                <w:rFonts w:ascii="Calibri" w:hAnsi="Calibri"/>
                <w:b/>
                <w:bCs/>
                <w:sz w:val="22"/>
                <w:szCs w:val="22"/>
              </w:rPr>
              <w:t xml:space="preserve">(3) </w:t>
            </w:r>
            <w:proofErr w:type="spellStart"/>
            <w:r w:rsidRPr="00D349C5">
              <w:rPr>
                <w:rFonts w:ascii="Calibri" w:hAnsi="Calibri"/>
                <w:b/>
                <w:bCs/>
                <w:sz w:val="22"/>
                <w:szCs w:val="22"/>
              </w:rPr>
              <w:t>IPR</w:t>
            </w:r>
            <w:proofErr w:type="spellEnd"/>
            <w:r w:rsidRPr="00D349C5">
              <w:rPr>
                <w:rFonts w:ascii="Calibri" w:hAnsi="Calibri"/>
                <w:b/>
                <w:bCs/>
                <w:sz w:val="22"/>
                <w:szCs w:val="22"/>
              </w:rPr>
              <w:t xml:space="preserve"> procedure differs from civil litigation</w:t>
            </w:r>
          </w:p>
        </w:tc>
        <w:tc>
          <w:tcPr>
            <w:tcW w:w="5904" w:type="dxa"/>
            <w:vAlign w:val="center"/>
          </w:tcPr>
          <w:p w14:paraId="69F1D19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D01A97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8E4570A" w14:textId="77777777" w:rsidTr="0010708E">
        <w:trPr>
          <w:trHeight w:val="4795"/>
        </w:trPr>
        <w:tc>
          <w:tcPr>
            <w:tcW w:w="5904" w:type="dxa"/>
            <w:vAlign w:val="center"/>
          </w:tcPr>
          <w:p w14:paraId="7DBAAC13" w14:textId="0736456A" w:rsidR="000F7558" w:rsidRPr="00D349C5"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Did </w:t>
            </w:r>
            <w:r w:rsidRPr="000374C3">
              <w:rPr>
                <w:rFonts w:ascii="Calibri" w:hAnsi="Calibri"/>
                <w:b/>
                <w:bCs/>
                <w:i/>
                <w:sz w:val="28"/>
                <w:szCs w:val="28"/>
              </w:rPr>
              <w:t>St. Regis Mohawk Tribe</w:t>
            </w:r>
            <w:r w:rsidRPr="000374C3">
              <w:rPr>
                <w:rFonts w:ascii="Calibri" w:hAnsi="Calibri"/>
                <w:b/>
                <w:bCs/>
                <w:sz w:val="28"/>
                <w:szCs w:val="28"/>
              </w:rPr>
              <w:t xml:space="preserve"> (Fed. Cir. 2018)</w:t>
            </w:r>
            <w:r>
              <w:rPr>
                <w:rFonts w:ascii="Calibri" w:hAnsi="Calibri"/>
                <w:b/>
                <w:bCs/>
                <w:sz w:val="28"/>
                <w:szCs w:val="28"/>
              </w:rPr>
              <w:t xml:space="preserve"> concern </w:t>
            </w:r>
            <w:r w:rsidRPr="000374C3">
              <w:rPr>
                <w:rFonts w:ascii="Calibri" w:hAnsi="Calibri"/>
                <w:b/>
                <w:bCs/>
                <w:i/>
                <w:sz w:val="28"/>
                <w:szCs w:val="28"/>
              </w:rPr>
              <w:t>state</w:t>
            </w:r>
            <w:r>
              <w:rPr>
                <w:rFonts w:ascii="Calibri" w:hAnsi="Calibri"/>
                <w:b/>
                <w:bCs/>
                <w:sz w:val="28"/>
                <w:szCs w:val="28"/>
              </w:rPr>
              <w:t xml:space="preserve"> sovereign immunity?</w:t>
            </w:r>
          </w:p>
        </w:tc>
        <w:tc>
          <w:tcPr>
            <w:tcW w:w="5904" w:type="dxa"/>
            <w:vAlign w:val="center"/>
          </w:tcPr>
          <w:p w14:paraId="7D68436B" w14:textId="3CAAF704"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No.  </w:t>
            </w:r>
            <w:r>
              <w:rPr>
                <w:rFonts w:ascii="Calibri" w:hAnsi="Calibri"/>
                <w:b/>
                <w:bCs/>
                <w:i/>
                <w:sz w:val="22"/>
                <w:szCs w:val="22"/>
              </w:rPr>
              <w:t>St. Regis Mohawk</w:t>
            </w:r>
            <w:r w:rsidRPr="000374C3">
              <w:rPr>
                <w:rFonts w:ascii="Calibri" w:hAnsi="Calibri"/>
                <w:b/>
                <w:bCs/>
                <w:i/>
                <w:sz w:val="22"/>
                <w:szCs w:val="22"/>
              </w:rPr>
              <w:t xml:space="preserve"> Tribe</w:t>
            </w:r>
            <w:r>
              <w:rPr>
                <w:rFonts w:ascii="Calibri" w:hAnsi="Calibri"/>
                <w:b/>
                <w:bCs/>
                <w:sz w:val="22"/>
                <w:szCs w:val="22"/>
              </w:rPr>
              <w:t xml:space="preserve"> (Fed. Cir. 2018) was </w:t>
            </w:r>
            <w:r w:rsidRPr="000374C3">
              <w:rPr>
                <w:rFonts w:ascii="Calibri" w:hAnsi="Calibri"/>
                <w:b/>
                <w:bCs/>
                <w:sz w:val="22"/>
                <w:szCs w:val="22"/>
              </w:rPr>
              <w:t>expressly confined to tribal immunity</w:t>
            </w:r>
            <w:r>
              <w:rPr>
                <w:rFonts w:ascii="Calibri" w:hAnsi="Calibri"/>
                <w:b/>
                <w:bCs/>
                <w:sz w:val="22"/>
                <w:szCs w:val="22"/>
              </w:rPr>
              <w:t>.  But the court r</w:t>
            </w:r>
            <w:r w:rsidRPr="000374C3">
              <w:rPr>
                <w:rFonts w:ascii="Calibri" w:hAnsi="Calibri"/>
                <w:b/>
                <w:bCs/>
                <w:sz w:val="22"/>
                <w:szCs w:val="22"/>
              </w:rPr>
              <w:t>ecogniz</w:t>
            </w:r>
            <w:r>
              <w:rPr>
                <w:rFonts w:ascii="Calibri" w:hAnsi="Calibri"/>
                <w:b/>
                <w:bCs/>
                <w:sz w:val="22"/>
                <w:szCs w:val="22"/>
              </w:rPr>
              <w:t>ed</w:t>
            </w:r>
            <w:r w:rsidRPr="000374C3">
              <w:rPr>
                <w:rFonts w:ascii="Calibri" w:hAnsi="Calibri"/>
                <w:b/>
                <w:bCs/>
                <w:sz w:val="22"/>
                <w:szCs w:val="22"/>
              </w:rPr>
              <w:t xml:space="preserve"> “many parallels” to state sovereign immunity</w:t>
            </w:r>
            <w:r>
              <w:rPr>
                <w:rFonts w:ascii="Calibri" w:hAnsi="Calibri"/>
                <w:b/>
                <w:bCs/>
                <w:sz w:val="22"/>
                <w:szCs w:val="22"/>
              </w:rPr>
              <w:t>, and the r</w:t>
            </w:r>
            <w:r w:rsidRPr="000374C3">
              <w:rPr>
                <w:rFonts w:ascii="Calibri" w:hAnsi="Calibri"/>
                <w:b/>
                <w:bCs/>
                <w:sz w:val="22"/>
                <w:szCs w:val="22"/>
              </w:rPr>
              <w:t>ational</w:t>
            </w:r>
            <w:r>
              <w:rPr>
                <w:rFonts w:ascii="Calibri" w:hAnsi="Calibri"/>
                <w:b/>
                <w:bCs/>
                <w:sz w:val="22"/>
                <w:szCs w:val="22"/>
              </w:rPr>
              <w:t>e</w:t>
            </w:r>
            <w:r w:rsidRPr="000374C3">
              <w:rPr>
                <w:rFonts w:ascii="Calibri" w:hAnsi="Calibri"/>
                <w:b/>
                <w:bCs/>
                <w:sz w:val="22"/>
                <w:szCs w:val="22"/>
              </w:rPr>
              <w:t xml:space="preserve"> driving the decision</w:t>
            </w:r>
            <w:r>
              <w:rPr>
                <w:rFonts w:ascii="Calibri" w:hAnsi="Calibri"/>
                <w:b/>
                <w:bCs/>
                <w:sz w:val="22"/>
                <w:szCs w:val="22"/>
              </w:rPr>
              <w:t xml:space="preserve"> wa</w:t>
            </w:r>
            <w:r w:rsidRPr="000374C3">
              <w:rPr>
                <w:rFonts w:ascii="Calibri" w:hAnsi="Calibri"/>
                <w:b/>
                <w:bCs/>
                <w:sz w:val="22"/>
                <w:szCs w:val="22"/>
              </w:rPr>
              <w:t xml:space="preserve">s based on </w:t>
            </w:r>
            <w:r>
              <w:rPr>
                <w:rFonts w:ascii="Calibri" w:hAnsi="Calibri"/>
                <w:b/>
                <w:bCs/>
                <w:i/>
                <w:sz w:val="22"/>
                <w:szCs w:val="22"/>
              </w:rPr>
              <w:t>Federal Maritime Commission</w:t>
            </w:r>
            <w:r w:rsidRPr="000374C3">
              <w:rPr>
                <w:rFonts w:ascii="Calibri" w:hAnsi="Calibri"/>
                <w:b/>
                <w:bCs/>
                <w:i/>
                <w:sz w:val="22"/>
                <w:szCs w:val="22"/>
              </w:rPr>
              <w:t xml:space="preserve"> (FMC) (U.S. 2002)</w:t>
            </w:r>
            <w:r w:rsidRPr="000374C3">
              <w:rPr>
                <w:rFonts w:ascii="Calibri" w:hAnsi="Calibri"/>
                <w:b/>
                <w:bCs/>
                <w:sz w:val="22"/>
                <w:szCs w:val="22"/>
              </w:rPr>
              <w:t>, a case about state sovereign immunity</w:t>
            </w:r>
            <w:r>
              <w:rPr>
                <w:rFonts w:ascii="Calibri" w:hAnsi="Calibri"/>
                <w:b/>
                <w:bCs/>
                <w:sz w:val="22"/>
                <w:szCs w:val="22"/>
              </w:rPr>
              <w:t>.</w:t>
            </w:r>
          </w:p>
        </w:tc>
        <w:tc>
          <w:tcPr>
            <w:tcW w:w="5904" w:type="dxa"/>
            <w:vAlign w:val="center"/>
          </w:tcPr>
          <w:p w14:paraId="23EF5D1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0D28FD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02D3B10" w14:textId="77777777" w:rsidTr="0010708E">
        <w:trPr>
          <w:trHeight w:val="4795"/>
        </w:trPr>
        <w:tc>
          <w:tcPr>
            <w:tcW w:w="5904" w:type="dxa"/>
            <w:vAlign w:val="center"/>
          </w:tcPr>
          <w:p w14:paraId="36E856B7" w14:textId="451AE8D8"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How does </w:t>
            </w:r>
            <w:proofErr w:type="spellStart"/>
            <w:r>
              <w:rPr>
                <w:rFonts w:ascii="Calibri" w:hAnsi="Calibri"/>
                <w:b/>
                <w:bCs/>
                <w:sz w:val="28"/>
                <w:szCs w:val="28"/>
              </w:rPr>
              <w:t>IPR</w:t>
            </w:r>
            <w:proofErr w:type="spellEnd"/>
            <w:r>
              <w:rPr>
                <w:rFonts w:ascii="Calibri" w:hAnsi="Calibri"/>
                <w:b/>
                <w:bCs/>
                <w:sz w:val="28"/>
                <w:szCs w:val="28"/>
              </w:rPr>
              <w:t xml:space="preserve"> differ from civil litigation?</w:t>
            </w:r>
          </w:p>
        </w:tc>
        <w:tc>
          <w:tcPr>
            <w:tcW w:w="5904" w:type="dxa"/>
            <w:vAlign w:val="center"/>
          </w:tcPr>
          <w:p w14:paraId="501DF980" w14:textId="2B26EE0B" w:rsidR="000F7558" w:rsidRDefault="000F7558" w:rsidP="000F7558">
            <w:pPr>
              <w:pStyle w:val="O-BodyText"/>
              <w:spacing w:after="120"/>
              <w:ind w:left="360" w:right="162"/>
              <w:rPr>
                <w:rFonts w:ascii="Calibri" w:hAnsi="Calibri"/>
                <w:b/>
                <w:bCs/>
                <w:sz w:val="22"/>
                <w:szCs w:val="22"/>
              </w:rPr>
            </w:pPr>
            <w:r w:rsidRPr="00755F79">
              <w:rPr>
                <w:rFonts w:ascii="Calibri" w:hAnsi="Calibri"/>
                <w:b/>
                <w:bCs/>
                <w:i/>
                <w:sz w:val="22"/>
                <w:szCs w:val="22"/>
              </w:rPr>
              <w:t>St. Regis Mohawk Tribe</w:t>
            </w:r>
            <w:r w:rsidRPr="00755F79">
              <w:rPr>
                <w:rFonts w:ascii="Calibri" w:hAnsi="Calibri"/>
                <w:b/>
                <w:bCs/>
                <w:sz w:val="22"/>
                <w:szCs w:val="22"/>
              </w:rPr>
              <w:t xml:space="preserve"> (Fed. Cir. 2018) </w:t>
            </w:r>
            <w:r>
              <w:rPr>
                <w:rFonts w:ascii="Calibri" w:hAnsi="Calibri"/>
                <w:b/>
                <w:bCs/>
                <w:sz w:val="22"/>
                <w:szCs w:val="22"/>
              </w:rPr>
              <w:t xml:space="preserve">explained that </w:t>
            </w:r>
            <w:proofErr w:type="spellStart"/>
            <w:r>
              <w:rPr>
                <w:rFonts w:ascii="Calibri" w:hAnsi="Calibri"/>
                <w:b/>
                <w:bCs/>
                <w:sz w:val="22"/>
                <w:szCs w:val="22"/>
              </w:rPr>
              <w:t>IPR</w:t>
            </w:r>
            <w:proofErr w:type="spellEnd"/>
            <w:r>
              <w:rPr>
                <w:rFonts w:ascii="Calibri" w:hAnsi="Calibri"/>
                <w:b/>
                <w:bCs/>
                <w:sz w:val="22"/>
                <w:szCs w:val="22"/>
              </w:rPr>
              <w:t xml:space="preserve"> differs from civil litigation in several ways:</w:t>
            </w:r>
          </w:p>
          <w:p w14:paraId="4236A646" w14:textId="304BC7EB" w:rsidR="000F7558" w:rsidRPr="000374C3" w:rsidRDefault="000F7558" w:rsidP="000F7558">
            <w:pPr>
              <w:pStyle w:val="O-BodyText"/>
              <w:numPr>
                <w:ilvl w:val="0"/>
                <w:numId w:val="12"/>
              </w:numPr>
              <w:spacing w:after="120"/>
              <w:ind w:right="162"/>
              <w:rPr>
                <w:rFonts w:ascii="Calibri" w:hAnsi="Calibri"/>
                <w:b/>
                <w:bCs/>
                <w:sz w:val="22"/>
                <w:szCs w:val="22"/>
              </w:rPr>
            </w:pPr>
            <w:r>
              <w:rPr>
                <w:rFonts w:ascii="Calibri" w:hAnsi="Calibri"/>
                <w:b/>
                <w:bCs/>
                <w:sz w:val="22"/>
                <w:szCs w:val="22"/>
              </w:rPr>
              <w:t>The USPTO D</w:t>
            </w:r>
            <w:r w:rsidRPr="000374C3">
              <w:rPr>
                <w:rFonts w:ascii="Calibri" w:hAnsi="Calibri"/>
                <w:b/>
                <w:bCs/>
                <w:sz w:val="22"/>
                <w:szCs w:val="22"/>
              </w:rPr>
              <w:t xml:space="preserve">irector </w:t>
            </w:r>
            <w:r>
              <w:rPr>
                <w:rFonts w:ascii="Calibri" w:hAnsi="Calibri"/>
                <w:b/>
                <w:bCs/>
                <w:sz w:val="22"/>
                <w:szCs w:val="22"/>
              </w:rPr>
              <w:t>has broad discretion in deciding whether to institute review</w:t>
            </w:r>
          </w:p>
          <w:p w14:paraId="4595AD36" w14:textId="206BF2EC" w:rsidR="000F7558" w:rsidRPr="000374C3" w:rsidRDefault="000F7558" w:rsidP="000F7558">
            <w:pPr>
              <w:pStyle w:val="O-BodyText"/>
              <w:numPr>
                <w:ilvl w:val="0"/>
                <w:numId w:val="12"/>
              </w:numPr>
              <w:spacing w:after="120"/>
              <w:ind w:right="162"/>
              <w:rPr>
                <w:rFonts w:ascii="Calibri" w:hAnsi="Calibri"/>
                <w:b/>
                <w:bCs/>
                <w:sz w:val="22"/>
                <w:szCs w:val="22"/>
              </w:rPr>
            </w:pPr>
            <w:r w:rsidRPr="000374C3">
              <w:rPr>
                <w:rFonts w:ascii="Calibri" w:hAnsi="Calibri"/>
                <w:b/>
                <w:bCs/>
                <w:sz w:val="22"/>
                <w:szCs w:val="22"/>
              </w:rPr>
              <w:t>Parties are not necessary (</w:t>
            </w:r>
            <w:r>
              <w:rPr>
                <w:rFonts w:ascii="Calibri" w:hAnsi="Calibri"/>
                <w:b/>
                <w:bCs/>
                <w:sz w:val="22"/>
                <w:szCs w:val="22"/>
              </w:rPr>
              <w:t>The D</w:t>
            </w:r>
            <w:r w:rsidRPr="000374C3">
              <w:rPr>
                <w:rFonts w:ascii="Calibri" w:hAnsi="Calibri"/>
                <w:b/>
                <w:bCs/>
                <w:sz w:val="22"/>
                <w:szCs w:val="22"/>
              </w:rPr>
              <w:t>irector can participate in appeals if one drops out)</w:t>
            </w:r>
          </w:p>
          <w:p w14:paraId="1A22CC08" w14:textId="7ADADFAD" w:rsidR="000F7558" w:rsidRPr="000374C3" w:rsidRDefault="000F7558" w:rsidP="000F7558">
            <w:pPr>
              <w:pStyle w:val="O-BodyText"/>
              <w:numPr>
                <w:ilvl w:val="0"/>
                <w:numId w:val="12"/>
              </w:numPr>
              <w:spacing w:after="120"/>
              <w:ind w:right="162"/>
              <w:rPr>
                <w:rFonts w:ascii="Calibri" w:hAnsi="Calibri"/>
                <w:b/>
                <w:bCs/>
                <w:sz w:val="22"/>
                <w:szCs w:val="22"/>
              </w:rPr>
            </w:pPr>
            <w:r>
              <w:rPr>
                <w:rFonts w:ascii="Calibri" w:hAnsi="Calibri"/>
                <w:b/>
                <w:bCs/>
                <w:sz w:val="22"/>
                <w:szCs w:val="22"/>
              </w:rPr>
              <w:t>There is n</w:t>
            </w:r>
            <w:r w:rsidRPr="000374C3">
              <w:rPr>
                <w:rFonts w:ascii="Calibri" w:hAnsi="Calibri"/>
                <w:b/>
                <w:bCs/>
                <w:sz w:val="22"/>
                <w:szCs w:val="22"/>
              </w:rPr>
              <w:t>o standing requirement</w:t>
            </w:r>
          </w:p>
          <w:p w14:paraId="43FA1976" w14:textId="6416E241" w:rsidR="000F7558" w:rsidRPr="000374C3" w:rsidRDefault="000F7558" w:rsidP="000F7558">
            <w:pPr>
              <w:pStyle w:val="O-BodyText"/>
              <w:numPr>
                <w:ilvl w:val="0"/>
                <w:numId w:val="12"/>
              </w:numPr>
              <w:spacing w:after="120"/>
              <w:ind w:right="162"/>
              <w:rPr>
                <w:rFonts w:ascii="Calibri" w:hAnsi="Calibri"/>
                <w:b/>
                <w:bCs/>
                <w:sz w:val="22"/>
                <w:szCs w:val="22"/>
              </w:rPr>
            </w:pPr>
            <w:r>
              <w:rPr>
                <w:rFonts w:ascii="Calibri" w:hAnsi="Calibri"/>
                <w:b/>
                <w:bCs/>
                <w:sz w:val="22"/>
                <w:szCs w:val="22"/>
              </w:rPr>
              <w:t>There is l</w:t>
            </w:r>
            <w:r w:rsidRPr="000374C3">
              <w:rPr>
                <w:rFonts w:ascii="Calibri" w:hAnsi="Calibri"/>
                <w:b/>
                <w:bCs/>
                <w:sz w:val="22"/>
                <w:szCs w:val="22"/>
              </w:rPr>
              <w:t xml:space="preserve">imited discovery, </w:t>
            </w:r>
            <w:r>
              <w:rPr>
                <w:rFonts w:ascii="Calibri" w:hAnsi="Calibri"/>
                <w:b/>
                <w:bCs/>
                <w:sz w:val="22"/>
                <w:szCs w:val="22"/>
              </w:rPr>
              <w:t xml:space="preserve">there is </w:t>
            </w:r>
            <w:r w:rsidRPr="000374C3">
              <w:rPr>
                <w:rFonts w:ascii="Calibri" w:hAnsi="Calibri"/>
                <w:b/>
                <w:bCs/>
                <w:sz w:val="22"/>
                <w:szCs w:val="22"/>
              </w:rPr>
              <w:t xml:space="preserve">no claim construction hearing, hearings are short, </w:t>
            </w:r>
            <w:r>
              <w:rPr>
                <w:rFonts w:ascii="Calibri" w:hAnsi="Calibri"/>
                <w:b/>
                <w:bCs/>
                <w:sz w:val="22"/>
                <w:szCs w:val="22"/>
              </w:rPr>
              <w:t xml:space="preserve">and </w:t>
            </w:r>
            <w:r w:rsidRPr="000374C3">
              <w:rPr>
                <w:rFonts w:ascii="Calibri" w:hAnsi="Calibri"/>
                <w:b/>
                <w:bCs/>
                <w:sz w:val="22"/>
                <w:szCs w:val="22"/>
              </w:rPr>
              <w:t xml:space="preserve">testimony </w:t>
            </w:r>
            <w:r>
              <w:rPr>
                <w:rFonts w:ascii="Calibri" w:hAnsi="Calibri"/>
                <w:b/>
                <w:bCs/>
                <w:sz w:val="22"/>
                <w:szCs w:val="22"/>
              </w:rPr>
              <w:t xml:space="preserve">is </w:t>
            </w:r>
            <w:r w:rsidRPr="000374C3">
              <w:rPr>
                <w:rFonts w:ascii="Calibri" w:hAnsi="Calibri"/>
                <w:b/>
                <w:bCs/>
                <w:sz w:val="22"/>
                <w:szCs w:val="22"/>
              </w:rPr>
              <w:t xml:space="preserve">rare </w:t>
            </w:r>
          </w:p>
          <w:p w14:paraId="0A537051" w14:textId="77777777" w:rsidR="000F7558" w:rsidRDefault="000F7558" w:rsidP="000F7558">
            <w:pPr>
              <w:pStyle w:val="O-BodyText"/>
              <w:spacing w:after="120"/>
              <w:ind w:right="162"/>
              <w:rPr>
                <w:rFonts w:ascii="Calibri" w:hAnsi="Calibri"/>
                <w:b/>
                <w:bCs/>
                <w:sz w:val="22"/>
                <w:szCs w:val="22"/>
              </w:rPr>
            </w:pPr>
          </w:p>
        </w:tc>
        <w:tc>
          <w:tcPr>
            <w:tcW w:w="5904" w:type="dxa"/>
            <w:vAlign w:val="center"/>
          </w:tcPr>
          <w:p w14:paraId="3E0891F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9D58A7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A361FA4" w14:textId="77777777" w:rsidTr="0010708E">
        <w:trPr>
          <w:trHeight w:val="4795"/>
        </w:trPr>
        <w:tc>
          <w:tcPr>
            <w:tcW w:w="5904" w:type="dxa"/>
            <w:vAlign w:val="center"/>
          </w:tcPr>
          <w:p w14:paraId="5318A15F" w14:textId="68A1A933"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How do you respond to the argument that </w:t>
            </w:r>
            <w:proofErr w:type="spellStart"/>
            <w:r>
              <w:rPr>
                <w:rFonts w:ascii="Calibri" w:hAnsi="Calibri"/>
                <w:b/>
                <w:bCs/>
                <w:sz w:val="28"/>
                <w:szCs w:val="28"/>
              </w:rPr>
              <w:t>IPR</w:t>
            </w:r>
            <w:proofErr w:type="spellEnd"/>
            <w:r>
              <w:rPr>
                <w:rFonts w:ascii="Calibri" w:hAnsi="Calibri"/>
                <w:b/>
                <w:bCs/>
                <w:sz w:val="28"/>
                <w:szCs w:val="28"/>
              </w:rPr>
              <w:t xml:space="preserve"> procedures more closely resemble civil litigation than other USPTO proceedings, such as ex </w:t>
            </w:r>
            <w:proofErr w:type="spellStart"/>
            <w:r>
              <w:rPr>
                <w:rFonts w:ascii="Calibri" w:hAnsi="Calibri"/>
                <w:b/>
                <w:bCs/>
                <w:sz w:val="28"/>
                <w:szCs w:val="28"/>
              </w:rPr>
              <w:t>parte</w:t>
            </w:r>
            <w:proofErr w:type="spellEnd"/>
            <w:r>
              <w:rPr>
                <w:rFonts w:ascii="Calibri" w:hAnsi="Calibri"/>
                <w:b/>
                <w:bCs/>
                <w:sz w:val="28"/>
                <w:szCs w:val="28"/>
              </w:rPr>
              <w:t xml:space="preserve"> or inter </w:t>
            </w:r>
            <w:proofErr w:type="spellStart"/>
            <w:r>
              <w:rPr>
                <w:rFonts w:ascii="Calibri" w:hAnsi="Calibri"/>
                <w:b/>
                <w:bCs/>
                <w:sz w:val="28"/>
                <w:szCs w:val="28"/>
              </w:rPr>
              <w:t>partes</w:t>
            </w:r>
            <w:proofErr w:type="spellEnd"/>
            <w:r>
              <w:rPr>
                <w:rFonts w:ascii="Calibri" w:hAnsi="Calibri"/>
                <w:b/>
                <w:bCs/>
                <w:sz w:val="28"/>
                <w:szCs w:val="28"/>
              </w:rPr>
              <w:t xml:space="preserve"> reexamination?</w:t>
            </w:r>
          </w:p>
        </w:tc>
        <w:tc>
          <w:tcPr>
            <w:tcW w:w="5904" w:type="dxa"/>
            <w:vAlign w:val="center"/>
          </w:tcPr>
          <w:p w14:paraId="72F388C8" w14:textId="6EFC2AAB" w:rsidR="000F7558" w:rsidRDefault="000F7558" w:rsidP="000F7558">
            <w:pPr>
              <w:pStyle w:val="O-BodyText"/>
              <w:spacing w:after="120"/>
              <w:ind w:left="360" w:right="162"/>
              <w:rPr>
                <w:rFonts w:ascii="Calibri" w:hAnsi="Calibri"/>
                <w:b/>
                <w:bCs/>
                <w:sz w:val="22"/>
                <w:szCs w:val="22"/>
              </w:rPr>
            </w:pPr>
            <w:r>
              <w:rPr>
                <w:rFonts w:ascii="Calibri" w:hAnsi="Calibri"/>
                <w:b/>
                <w:bCs/>
                <w:sz w:val="22"/>
                <w:szCs w:val="22"/>
              </w:rPr>
              <w:t xml:space="preserve">The court in </w:t>
            </w:r>
            <w:r w:rsidRPr="00755F79">
              <w:rPr>
                <w:rFonts w:ascii="Calibri" w:hAnsi="Calibri"/>
                <w:b/>
                <w:bCs/>
                <w:i/>
                <w:sz w:val="22"/>
                <w:szCs w:val="22"/>
              </w:rPr>
              <w:t>St. Regis Mohawk Tribe</w:t>
            </w:r>
            <w:r w:rsidRPr="00755F79">
              <w:rPr>
                <w:rFonts w:ascii="Calibri" w:hAnsi="Calibri"/>
                <w:b/>
                <w:bCs/>
                <w:sz w:val="22"/>
                <w:szCs w:val="22"/>
              </w:rPr>
              <w:t xml:space="preserve"> (Fed. Cir. 2018) </w:t>
            </w:r>
            <w:r>
              <w:rPr>
                <w:rFonts w:ascii="Calibri" w:hAnsi="Calibri"/>
                <w:b/>
                <w:bCs/>
                <w:sz w:val="22"/>
                <w:szCs w:val="22"/>
              </w:rPr>
              <w:t>explained that the m</w:t>
            </w:r>
            <w:r w:rsidRPr="00755F79">
              <w:rPr>
                <w:rFonts w:ascii="Calibri" w:hAnsi="Calibri"/>
                <w:b/>
                <w:bCs/>
                <w:sz w:val="22"/>
                <w:szCs w:val="22"/>
              </w:rPr>
              <w:t xml:space="preserve">ere existence of procedures </w:t>
            </w:r>
            <w:r>
              <w:rPr>
                <w:rFonts w:ascii="Calibri" w:hAnsi="Calibri"/>
                <w:b/>
                <w:bCs/>
                <w:sz w:val="22"/>
                <w:szCs w:val="22"/>
              </w:rPr>
              <w:t xml:space="preserve">in </w:t>
            </w:r>
            <w:proofErr w:type="spellStart"/>
            <w:r>
              <w:rPr>
                <w:rFonts w:ascii="Calibri" w:hAnsi="Calibri"/>
                <w:b/>
                <w:bCs/>
                <w:sz w:val="22"/>
                <w:szCs w:val="22"/>
              </w:rPr>
              <w:t>IPR</w:t>
            </w:r>
            <w:proofErr w:type="spellEnd"/>
            <w:r>
              <w:rPr>
                <w:rFonts w:ascii="Calibri" w:hAnsi="Calibri"/>
                <w:b/>
                <w:bCs/>
                <w:sz w:val="22"/>
                <w:szCs w:val="22"/>
              </w:rPr>
              <w:t xml:space="preserve"> that </w:t>
            </w:r>
            <w:r w:rsidRPr="00755F79">
              <w:rPr>
                <w:rFonts w:ascii="Calibri" w:hAnsi="Calibri"/>
                <w:b/>
                <w:bCs/>
                <w:sz w:val="22"/>
                <w:szCs w:val="22"/>
              </w:rPr>
              <w:t xml:space="preserve">that </w:t>
            </w:r>
            <w:r>
              <w:rPr>
                <w:rFonts w:ascii="Calibri" w:hAnsi="Calibri"/>
                <w:b/>
                <w:bCs/>
                <w:sz w:val="22"/>
                <w:szCs w:val="22"/>
              </w:rPr>
              <w:t xml:space="preserve">look more like </w:t>
            </w:r>
            <w:r w:rsidRPr="00755F79">
              <w:rPr>
                <w:rFonts w:ascii="Calibri" w:hAnsi="Calibri"/>
                <w:b/>
                <w:bCs/>
                <w:sz w:val="22"/>
                <w:szCs w:val="22"/>
              </w:rPr>
              <w:t xml:space="preserve">civil litigation </w:t>
            </w:r>
            <w:r>
              <w:rPr>
                <w:rFonts w:ascii="Calibri" w:hAnsi="Calibri"/>
                <w:b/>
                <w:bCs/>
                <w:sz w:val="22"/>
                <w:szCs w:val="22"/>
              </w:rPr>
              <w:t xml:space="preserve">than other USPTO proceedings </w:t>
            </w:r>
            <w:r w:rsidRPr="00755F79">
              <w:rPr>
                <w:rFonts w:ascii="Calibri" w:hAnsi="Calibri"/>
                <w:b/>
                <w:bCs/>
                <w:sz w:val="22"/>
                <w:szCs w:val="22"/>
              </w:rPr>
              <w:t>(</w:t>
            </w:r>
            <w:r>
              <w:rPr>
                <w:rFonts w:ascii="Calibri" w:hAnsi="Calibri"/>
                <w:b/>
                <w:bCs/>
                <w:sz w:val="22"/>
                <w:szCs w:val="22"/>
              </w:rPr>
              <w:t xml:space="preserve">such as the inquisitorial nature of </w:t>
            </w:r>
            <w:r w:rsidRPr="00755F79">
              <w:rPr>
                <w:rFonts w:ascii="Calibri" w:hAnsi="Calibri"/>
                <w:b/>
                <w:bCs/>
                <w:sz w:val="22"/>
                <w:szCs w:val="22"/>
              </w:rPr>
              <w:t xml:space="preserve">ex </w:t>
            </w:r>
            <w:proofErr w:type="spellStart"/>
            <w:r w:rsidRPr="00755F79">
              <w:rPr>
                <w:rFonts w:ascii="Calibri" w:hAnsi="Calibri"/>
                <w:b/>
                <w:bCs/>
                <w:sz w:val="22"/>
                <w:szCs w:val="22"/>
              </w:rPr>
              <w:t>parte</w:t>
            </w:r>
            <w:proofErr w:type="spellEnd"/>
            <w:r w:rsidRPr="00755F79">
              <w:rPr>
                <w:rFonts w:ascii="Calibri" w:hAnsi="Calibri"/>
                <w:b/>
                <w:bCs/>
                <w:sz w:val="22"/>
                <w:szCs w:val="22"/>
              </w:rPr>
              <w:t xml:space="preserve"> reexam</w:t>
            </w:r>
            <w:r>
              <w:rPr>
                <w:rFonts w:ascii="Calibri" w:hAnsi="Calibri"/>
                <w:b/>
                <w:bCs/>
                <w:sz w:val="22"/>
                <w:szCs w:val="22"/>
              </w:rPr>
              <w:t>ination proceedings</w:t>
            </w:r>
            <w:r w:rsidRPr="00755F79">
              <w:rPr>
                <w:rFonts w:ascii="Calibri" w:hAnsi="Calibri"/>
                <w:b/>
                <w:bCs/>
                <w:sz w:val="22"/>
                <w:szCs w:val="22"/>
              </w:rPr>
              <w:t xml:space="preserve">) does not </w:t>
            </w:r>
            <w:r>
              <w:rPr>
                <w:rFonts w:ascii="Calibri" w:hAnsi="Calibri"/>
                <w:b/>
                <w:bCs/>
                <w:sz w:val="22"/>
                <w:szCs w:val="22"/>
              </w:rPr>
              <w:t xml:space="preserve">mean that </w:t>
            </w:r>
            <w:proofErr w:type="spellStart"/>
            <w:r>
              <w:rPr>
                <w:rFonts w:ascii="Calibri" w:hAnsi="Calibri"/>
                <w:b/>
                <w:bCs/>
                <w:sz w:val="22"/>
                <w:szCs w:val="22"/>
              </w:rPr>
              <w:t>IPR</w:t>
            </w:r>
            <w:proofErr w:type="spellEnd"/>
            <w:r w:rsidRPr="00755F79">
              <w:rPr>
                <w:rFonts w:ascii="Calibri" w:hAnsi="Calibri"/>
                <w:b/>
                <w:bCs/>
                <w:sz w:val="22"/>
                <w:szCs w:val="22"/>
              </w:rPr>
              <w:t xml:space="preserve"> adequately resemble</w:t>
            </w:r>
            <w:r>
              <w:rPr>
                <w:rFonts w:ascii="Calibri" w:hAnsi="Calibri"/>
                <w:b/>
                <w:bCs/>
                <w:sz w:val="22"/>
                <w:szCs w:val="22"/>
              </w:rPr>
              <w:t>s</w:t>
            </w:r>
            <w:r w:rsidRPr="00755F79">
              <w:rPr>
                <w:rFonts w:ascii="Calibri" w:hAnsi="Calibri"/>
                <w:b/>
                <w:bCs/>
                <w:sz w:val="22"/>
                <w:szCs w:val="22"/>
              </w:rPr>
              <w:t xml:space="preserve"> civil litigation</w:t>
            </w:r>
            <w:r>
              <w:rPr>
                <w:rFonts w:ascii="Calibri" w:hAnsi="Calibri"/>
                <w:b/>
                <w:bCs/>
                <w:sz w:val="22"/>
                <w:szCs w:val="22"/>
              </w:rPr>
              <w:t>.</w:t>
            </w:r>
          </w:p>
        </w:tc>
        <w:tc>
          <w:tcPr>
            <w:tcW w:w="5904" w:type="dxa"/>
            <w:vAlign w:val="center"/>
          </w:tcPr>
          <w:p w14:paraId="03D3679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03A5E07"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906EFAF" w14:textId="77777777" w:rsidTr="0010708E">
        <w:trPr>
          <w:trHeight w:val="4795"/>
        </w:trPr>
        <w:tc>
          <w:tcPr>
            <w:tcW w:w="5904" w:type="dxa"/>
            <w:vAlign w:val="center"/>
          </w:tcPr>
          <w:p w14:paraId="76E1A5E2" w14:textId="0EA403B0"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is </w:t>
            </w:r>
            <w:proofErr w:type="spellStart"/>
            <w:r>
              <w:rPr>
                <w:rFonts w:ascii="Calibri" w:hAnsi="Calibri"/>
                <w:b/>
                <w:bCs/>
                <w:sz w:val="28"/>
                <w:szCs w:val="28"/>
              </w:rPr>
              <w:t>IPR</w:t>
            </w:r>
            <w:proofErr w:type="spellEnd"/>
            <w:r>
              <w:rPr>
                <w:rFonts w:ascii="Calibri" w:hAnsi="Calibri"/>
                <w:b/>
                <w:bCs/>
                <w:sz w:val="28"/>
                <w:szCs w:val="28"/>
              </w:rPr>
              <w:t xml:space="preserve"> fundamentally different from civil litigation?</w:t>
            </w:r>
          </w:p>
        </w:tc>
        <w:tc>
          <w:tcPr>
            <w:tcW w:w="5904" w:type="dxa"/>
            <w:vAlign w:val="center"/>
          </w:tcPr>
          <w:p w14:paraId="49A5CABC" w14:textId="1E718CF0" w:rsidR="000F7558" w:rsidRDefault="000F7558" w:rsidP="000F7558">
            <w:pPr>
              <w:pStyle w:val="O-BodyText"/>
              <w:spacing w:after="120"/>
              <w:ind w:left="360" w:right="162"/>
              <w:rPr>
                <w:rFonts w:ascii="Calibri" w:hAnsi="Calibri"/>
                <w:b/>
                <w:bCs/>
                <w:sz w:val="22"/>
                <w:szCs w:val="22"/>
              </w:rPr>
            </w:pPr>
            <w:r>
              <w:rPr>
                <w:rFonts w:ascii="Calibri" w:hAnsi="Calibri"/>
                <w:b/>
                <w:bCs/>
                <w:sz w:val="22"/>
                <w:szCs w:val="22"/>
              </w:rPr>
              <w:t xml:space="preserve">As </w:t>
            </w:r>
            <w:r w:rsidRPr="00207217">
              <w:rPr>
                <w:rFonts w:ascii="Calibri" w:hAnsi="Calibri"/>
                <w:b/>
                <w:bCs/>
                <w:i/>
                <w:sz w:val="22"/>
                <w:szCs w:val="22"/>
              </w:rPr>
              <w:t>St. Regis Mohawk Tribe</w:t>
            </w:r>
            <w:r w:rsidRPr="00207217">
              <w:rPr>
                <w:rFonts w:ascii="Calibri" w:hAnsi="Calibri"/>
                <w:b/>
                <w:bCs/>
                <w:sz w:val="22"/>
                <w:szCs w:val="22"/>
              </w:rPr>
              <w:t xml:space="preserve"> (Fed. Cir. 2018) </w:t>
            </w:r>
            <w:r>
              <w:rPr>
                <w:rFonts w:ascii="Calibri" w:hAnsi="Calibri"/>
                <w:b/>
                <w:bCs/>
                <w:sz w:val="22"/>
                <w:szCs w:val="22"/>
              </w:rPr>
              <w:t xml:space="preserve">explained, the ability of the </w:t>
            </w:r>
            <w:proofErr w:type="spellStart"/>
            <w:r>
              <w:rPr>
                <w:rFonts w:ascii="Calibri" w:hAnsi="Calibri"/>
                <w:b/>
                <w:bCs/>
                <w:sz w:val="22"/>
                <w:szCs w:val="22"/>
              </w:rPr>
              <w:t>PTAB</w:t>
            </w:r>
            <w:proofErr w:type="spellEnd"/>
            <w:r>
              <w:rPr>
                <w:rFonts w:ascii="Calibri" w:hAnsi="Calibri"/>
                <w:b/>
                <w:bCs/>
                <w:sz w:val="22"/>
                <w:szCs w:val="22"/>
              </w:rPr>
              <w:t xml:space="preserve"> to continue review even if the petitioner chooses not to participate reinforces the view that </w:t>
            </w:r>
            <w:proofErr w:type="spellStart"/>
            <w:r w:rsidRPr="00755F79">
              <w:rPr>
                <w:rFonts w:ascii="Calibri" w:hAnsi="Calibri"/>
                <w:b/>
                <w:bCs/>
                <w:sz w:val="22"/>
                <w:szCs w:val="22"/>
              </w:rPr>
              <w:t>IPR</w:t>
            </w:r>
            <w:proofErr w:type="spellEnd"/>
            <w:r w:rsidRPr="00755F79">
              <w:rPr>
                <w:rFonts w:ascii="Calibri" w:hAnsi="Calibri"/>
                <w:b/>
                <w:bCs/>
                <w:sz w:val="22"/>
                <w:szCs w:val="22"/>
              </w:rPr>
              <w:t xml:space="preserve"> is an act by the agency in reconsidering its own grant of a public franchise.</w:t>
            </w:r>
          </w:p>
        </w:tc>
        <w:tc>
          <w:tcPr>
            <w:tcW w:w="5904" w:type="dxa"/>
            <w:vAlign w:val="center"/>
          </w:tcPr>
          <w:p w14:paraId="785F5D0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D816B8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83A2820" w14:textId="77777777" w:rsidTr="0010708E">
        <w:trPr>
          <w:trHeight w:val="4795"/>
        </w:trPr>
        <w:tc>
          <w:tcPr>
            <w:tcW w:w="5904" w:type="dxa"/>
            <w:vAlign w:val="center"/>
          </w:tcPr>
          <w:p w14:paraId="4F6BD968" w14:textId="553D4AD9"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What was the holding in </w:t>
            </w:r>
            <w:r w:rsidRPr="00F92143">
              <w:rPr>
                <w:rFonts w:ascii="Calibri" w:hAnsi="Calibri"/>
                <w:b/>
                <w:bCs/>
                <w:i/>
                <w:sz w:val="28"/>
                <w:szCs w:val="28"/>
              </w:rPr>
              <w:t>Federal Maritime Commission (FMC)</w:t>
            </w:r>
            <w:r w:rsidRPr="00F92143">
              <w:rPr>
                <w:rFonts w:ascii="Calibri" w:hAnsi="Calibri"/>
                <w:b/>
                <w:bCs/>
                <w:sz w:val="28"/>
                <w:szCs w:val="28"/>
              </w:rPr>
              <w:t xml:space="preserve"> (U.S. 2002)</w:t>
            </w:r>
            <w:r>
              <w:rPr>
                <w:rFonts w:ascii="Calibri" w:hAnsi="Calibri"/>
                <w:b/>
                <w:bCs/>
                <w:sz w:val="28"/>
                <w:szCs w:val="28"/>
              </w:rPr>
              <w:t>?</w:t>
            </w:r>
          </w:p>
        </w:tc>
        <w:tc>
          <w:tcPr>
            <w:tcW w:w="5904" w:type="dxa"/>
            <w:vAlign w:val="center"/>
          </w:tcPr>
          <w:p w14:paraId="77803DCC" w14:textId="09AFE459" w:rsidR="000F7558" w:rsidRPr="00755F79" w:rsidRDefault="000F7558" w:rsidP="000F7558">
            <w:pPr>
              <w:pStyle w:val="O-BodyText"/>
              <w:spacing w:after="120"/>
              <w:ind w:left="360" w:right="162"/>
              <w:rPr>
                <w:rFonts w:ascii="Calibri" w:hAnsi="Calibri"/>
                <w:b/>
                <w:bCs/>
                <w:sz w:val="22"/>
                <w:szCs w:val="22"/>
              </w:rPr>
            </w:pPr>
            <w:r>
              <w:rPr>
                <w:rFonts w:ascii="Calibri" w:hAnsi="Calibri"/>
                <w:b/>
                <w:bCs/>
                <w:sz w:val="22"/>
                <w:szCs w:val="22"/>
              </w:rPr>
              <w:t xml:space="preserve">In </w:t>
            </w:r>
            <w:r w:rsidRPr="00F92143">
              <w:rPr>
                <w:rFonts w:ascii="Calibri" w:hAnsi="Calibri"/>
                <w:b/>
                <w:bCs/>
                <w:i/>
                <w:sz w:val="22"/>
                <w:szCs w:val="22"/>
              </w:rPr>
              <w:t>FMC</w:t>
            </w:r>
            <w:r>
              <w:rPr>
                <w:rFonts w:ascii="Calibri" w:hAnsi="Calibri"/>
                <w:b/>
                <w:bCs/>
                <w:sz w:val="22"/>
                <w:szCs w:val="22"/>
              </w:rPr>
              <w:t xml:space="preserve"> (U.S. 2000), the Supreme Court held that </w:t>
            </w:r>
            <w:r w:rsidRPr="00F92143">
              <w:rPr>
                <w:rFonts w:ascii="Calibri" w:hAnsi="Calibri"/>
                <w:b/>
                <w:bCs/>
                <w:sz w:val="22"/>
                <w:szCs w:val="22"/>
              </w:rPr>
              <w:t>state sovereign immunity applied to administrative adjudication proceedings that were “overwhelmingly similar” to federal litigation</w:t>
            </w:r>
            <w:r>
              <w:rPr>
                <w:rFonts w:ascii="Calibri" w:hAnsi="Calibri"/>
                <w:b/>
                <w:bCs/>
                <w:sz w:val="22"/>
                <w:szCs w:val="22"/>
              </w:rPr>
              <w:t xml:space="preserve"> in Article III courts.</w:t>
            </w:r>
          </w:p>
        </w:tc>
        <w:tc>
          <w:tcPr>
            <w:tcW w:w="5904" w:type="dxa"/>
            <w:vAlign w:val="center"/>
          </w:tcPr>
          <w:p w14:paraId="0DCFC535"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6CD2CB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53DE48E" w14:textId="77777777" w:rsidTr="0010708E">
        <w:trPr>
          <w:trHeight w:val="4795"/>
        </w:trPr>
        <w:tc>
          <w:tcPr>
            <w:tcW w:w="5904" w:type="dxa"/>
            <w:vAlign w:val="center"/>
          </w:tcPr>
          <w:p w14:paraId="46E7D0AA" w14:textId="3CEF7CBE"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How were the proceedings in </w:t>
            </w:r>
            <w:r w:rsidRPr="009238F0">
              <w:rPr>
                <w:rFonts w:ascii="Calibri" w:hAnsi="Calibri"/>
                <w:b/>
                <w:bCs/>
                <w:i/>
                <w:sz w:val="28"/>
                <w:szCs w:val="28"/>
              </w:rPr>
              <w:t>FMC</w:t>
            </w:r>
            <w:r w:rsidRPr="009238F0">
              <w:rPr>
                <w:rFonts w:ascii="Calibri" w:hAnsi="Calibri"/>
                <w:b/>
                <w:bCs/>
                <w:sz w:val="28"/>
                <w:szCs w:val="28"/>
              </w:rPr>
              <w:t xml:space="preserve"> (U.S. 2000</w:t>
            </w:r>
            <w:r>
              <w:rPr>
                <w:rFonts w:ascii="Calibri" w:hAnsi="Calibri"/>
                <w:b/>
                <w:bCs/>
                <w:sz w:val="28"/>
                <w:szCs w:val="28"/>
              </w:rPr>
              <w:t>) like federal litigation?</w:t>
            </w:r>
          </w:p>
        </w:tc>
        <w:tc>
          <w:tcPr>
            <w:tcW w:w="5904" w:type="dxa"/>
            <w:vAlign w:val="center"/>
          </w:tcPr>
          <w:p w14:paraId="463CDD4E" w14:textId="1D5A01FD" w:rsidR="000F7558" w:rsidRPr="00D349C5" w:rsidRDefault="000F7558" w:rsidP="000F7558">
            <w:pPr>
              <w:pStyle w:val="O-BodyText"/>
              <w:spacing w:after="120"/>
              <w:ind w:right="162"/>
              <w:rPr>
                <w:rFonts w:ascii="Calibri" w:hAnsi="Calibri"/>
                <w:b/>
                <w:bCs/>
                <w:sz w:val="22"/>
                <w:szCs w:val="22"/>
              </w:rPr>
            </w:pPr>
            <w:r>
              <w:rPr>
                <w:rFonts w:ascii="Calibri" w:hAnsi="Calibri"/>
                <w:b/>
                <w:bCs/>
                <w:sz w:val="22"/>
                <w:szCs w:val="22"/>
              </w:rPr>
              <w:t>The p</w:t>
            </w:r>
            <w:r w:rsidRPr="009238F0">
              <w:rPr>
                <w:rFonts w:ascii="Calibri" w:hAnsi="Calibri"/>
                <w:b/>
                <w:bCs/>
                <w:sz w:val="22"/>
                <w:szCs w:val="22"/>
              </w:rPr>
              <w:t xml:space="preserve">roceedings </w:t>
            </w:r>
            <w:r>
              <w:rPr>
                <w:rFonts w:ascii="Calibri" w:hAnsi="Calibri"/>
                <w:b/>
                <w:bCs/>
                <w:sz w:val="22"/>
                <w:szCs w:val="22"/>
              </w:rPr>
              <w:t xml:space="preserve">in </w:t>
            </w:r>
            <w:r w:rsidRPr="009238F0">
              <w:rPr>
                <w:rFonts w:ascii="Calibri" w:hAnsi="Calibri"/>
                <w:b/>
                <w:bCs/>
                <w:i/>
                <w:sz w:val="22"/>
                <w:szCs w:val="22"/>
              </w:rPr>
              <w:t>FMC</w:t>
            </w:r>
            <w:r>
              <w:rPr>
                <w:rFonts w:ascii="Calibri" w:hAnsi="Calibri"/>
                <w:b/>
                <w:bCs/>
                <w:sz w:val="22"/>
                <w:szCs w:val="22"/>
              </w:rPr>
              <w:t xml:space="preserve"> </w:t>
            </w:r>
            <w:r w:rsidRPr="009238F0">
              <w:rPr>
                <w:rFonts w:ascii="Calibri" w:hAnsi="Calibri"/>
                <w:b/>
                <w:bCs/>
                <w:sz w:val="22"/>
                <w:szCs w:val="22"/>
              </w:rPr>
              <w:t>involve</w:t>
            </w:r>
            <w:r>
              <w:rPr>
                <w:rFonts w:ascii="Calibri" w:hAnsi="Calibri"/>
                <w:b/>
                <w:bCs/>
                <w:sz w:val="22"/>
                <w:szCs w:val="22"/>
              </w:rPr>
              <w:t>d</w:t>
            </w:r>
            <w:r w:rsidRPr="009238F0">
              <w:rPr>
                <w:rFonts w:ascii="Calibri" w:hAnsi="Calibri"/>
                <w:b/>
                <w:bCs/>
                <w:sz w:val="22"/>
                <w:szCs w:val="22"/>
              </w:rPr>
              <w:t xml:space="preserve"> </w:t>
            </w:r>
            <w:r>
              <w:rPr>
                <w:rFonts w:ascii="Calibri" w:hAnsi="Calibri"/>
                <w:b/>
                <w:bCs/>
                <w:sz w:val="22"/>
                <w:szCs w:val="22"/>
              </w:rPr>
              <w:t xml:space="preserve">the </w:t>
            </w:r>
            <w:r w:rsidRPr="009238F0">
              <w:rPr>
                <w:rFonts w:ascii="Calibri" w:hAnsi="Calibri"/>
                <w:b/>
                <w:bCs/>
                <w:sz w:val="22"/>
                <w:szCs w:val="22"/>
              </w:rPr>
              <w:t>mandatory adjudication of complaints by independent admin</w:t>
            </w:r>
            <w:r>
              <w:rPr>
                <w:rFonts w:ascii="Calibri" w:hAnsi="Calibri"/>
                <w:b/>
                <w:bCs/>
                <w:sz w:val="22"/>
                <w:szCs w:val="22"/>
              </w:rPr>
              <w:t>istrative</w:t>
            </w:r>
            <w:r w:rsidRPr="009238F0">
              <w:rPr>
                <w:rFonts w:ascii="Calibri" w:hAnsi="Calibri"/>
                <w:b/>
                <w:bCs/>
                <w:sz w:val="22"/>
                <w:szCs w:val="22"/>
              </w:rPr>
              <w:t xml:space="preserve"> judges.  Discovery </w:t>
            </w:r>
            <w:r>
              <w:rPr>
                <w:rFonts w:ascii="Calibri" w:hAnsi="Calibri"/>
                <w:b/>
                <w:bCs/>
                <w:sz w:val="22"/>
                <w:szCs w:val="22"/>
              </w:rPr>
              <w:t xml:space="preserve">also </w:t>
            </w:r>
            <w:r w:rsidRPr="009238F0">
              <w:rPr>
                <w:rFonts w:ascii="Calibri" w:hAnsi="Calibri"/>
                <w:b/>
                <w:bCs/>
                <w:sz w:val="22"/>
                <w:szCs w:val="22"/>
              </w:rPr>
              <w:t xml:space="preserve">tracked </w:t>
            </w:r>
            <w:r>
              <w:rPr>
                <w:rFonts w:ascii="Calibri" w:hAnsi="Calibri"/>
                <w:b/>
                <w:bCs/>
                <w:sz w:val="22"/>
                <w:szCs w:val="22"/>
              </w:rPr>
              <w:t>the Federal Rules of Civil Procedure.</w:t>
            </w:r>
          </w:p>
        </w:tc>
        <w:tc>
          <w:tcPr>
            <w:tcW w:w="5904" w:type="dxa"/>
            <w:vAlign w:val="center"/>
          </w:tcPr>
          <w:p w14:paraId="2802C11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CB77631"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06764AF" w14:textId="77777777" w:rsidTr="0010708E">
        <w:trPr>
          <w:trHeight w:val="4795"/>
        </w:trPr>
        <w:tc>
          <w:tcPr>
            <w:tcW w:w="5904" w:type="dxa"/>
            <w:vAlign w:val="center"/>
          </w:tcPr>
          <w:p w14:paraId="317D1D12" w14:textId="3E6DDB64"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did this Court say about </w:t>
            </w:r>
            <w:r w:rsidRPr="00F2057A">
              <w:rPr>
                <w:rFonts w:ascii="Calibri" w:hAnsi="Calibri"/>
                <w:b/>
                <w:bCs/>
                <w:i/>
                <w:sz w:val="28"/>
                <w:szCs w:val="28"/>
              </w:rPr>
              <w:t>FMC</w:t>
            </w:r>
            <w:r>
              <w:rPr>
                <w:rFonts w:ascii="Calibri" w:hAnsi="Calibri"/>
                <w:b/>
                <w:bCs/>
                <w:sz w:val="28"/>
                <w:szCs w:val="28"/>
              </w:rPr>
              <w:t xml:space="preserve"> (U.S. 2000) in </w:t>
            </w:r>
            <w:r w:rsidRPr="00F2057A">
              <w:rPr>
                <w:rFonts w:ascii="Calibri" w:hAnsi="Calibri"/>
                <w:b/>
                <w:bCs/>
                <w:i/>
                <w:sz w:val="28"/>
                <w:szCs w:val="28"/>
              </w:rPr>
              <w:t>St. Regis Mohawk Tribe</w:t>
            </w:r>
            <w:r w:rsidRPr="00F2057A">
              <w:rPr>
                <w:rFonts w:ascii="Calibri" w:hAnsi="Calibri"/>
                <w:b/>
                <w:bCs/>
                <w:sz w:val="28"/>
                <w:szCs w:val="28"/>
              </w:rPr>
              <w:t xml:space="preserve"> (Fed. Cir. 2018)</w:t>
            </w:r>
            <w:r>
              <w:rPr>
                <w:rFonts w:ascii="Calibri" w:hAnsi="Calibri"/>
                <w:b/>
                <w:bCs/>
                <w:sz w:val="28"/>
                <w:szCs w:val="28"/>
              </w:rPr>
              <w:t>?</w:t>
            </w:r>
          </w:p>
        </w:tc>
        <w:tc>
          <w:tcPr>
            <w:tcW w:w="5904" w:type="dxa"/>
            <w:vAlign w:val="center"/>
          </w:tcPr>
          <w:p w14:paraId="27D0FA1B" w14:textId="2EA80DE7" w:rsidR="000F7558" w:rsidRPr="00D349C5"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The </w:t>
            </w:r>
            <w:r w:rsidRPr="00F2057A">
              <w:rPr>
                <w:rFonts w:ascii="Calibri" w:hAnsi="Calibri"/>
                <w:b/>
                <w:bCs/>
                <w:i/>
                <w:sz w:val="22"/>
                <w:szCs w:val="22"/>
              </w:rPr>
              <w:t>St. Regis</w:t>
            </w:r>
            <w:r w:rsidRPr="00F2057A">
              <w:rPr>
                <w:rFonts w:ascii="Calibri" w:hAnsi="Calibri"/>
                <w:b/>
                <w:bCs/>
                <w:sz w:val="22"/>
                <w:szCs w:val="22"/>
              </w:rPr>
              <w:t xml:space="preserve"> decision distinguished </w:t>
            </w:r>
            <w:r w:rsidRPr="00F2057A">
              <w:rPr>
                <w:rFonts w:ascii="Calibri" w:hAnsi="Calibri"/>
                <w:b/>
                <w:bCs/>
                <w:i/>
                <w:sz w:val="22"/>
                <w:szCs w:val="22"/>
              </w:rPr>
              <w:t>FMC</w:t>
            </w:r>
            <w:r w:rsidRPr="00F2057A">
              <w:rPr>
                <w:rFonts w:ascii="Calibri" w:hAnsi="Calibri"/>
                <w:b/>
                <w:bCs/>
                <w:sz w:val="22"/>
                <w:szCs w:val="22"/>
              </w:rPr>
              <w:t xml:space="preserve">, finding that </w:t>
            </w:r>
            <w:proofErr w:type="spellStart"/>
            <w:r w:rsidRPr="00F2057A">
              <w:rPr>
                <w:rFonts w:ascii="Calibri" w:hAnsi="Calibri"/>
                <w:b/>
                <w:bCs/>
                <w:sz w:val="22"/>
                <w:szCs w:val="22"/>
              </w:rPr>
              <w:t>IPRs</w:t>
            </w:r>
            <w:proofErr w:type="spellEnd"/>
            <w:r w:rsidRPr="00F2057A">
              <w:rPr>
                <w:rFonts w:ascii="Calibri" w:hAnsi="Calibri"/>
                <w:b/>
                <w:bCs/>
                <w:sz w:val="22"/>
                <w:szCs w:val="22"/>
              </w:rPr>
              <w:t xml:space="preserve"> did </w:t>
            </w:r>
            <w:r>
              <w:rPr>
                <w:rFonts w:ascii="Calibri" w:hAnsi="Calibri"/>
                <w:b/>
                <w:bCs/>
                <w:sz w:val="22"/>
                <w:szCs w:val="22"/>
              </w:rPr>
              <w:t>not resemble civil litigation.</w:t>
            </w:r>
          </w:p>
        </w:tc>
        <w:tc>
          <w:tcPr>
            <w:tcW w:w="5904" w:type="dxa"/>
            <w:vAlign w:val="center"/>
          </w:tcPr>
          <w:p w14:paraId="1717AAFD"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20762D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CA35981" w14:textId="77777777" w:rsidTr="0010708E">
        <w:trPr>
          <w:trHeight w:val="4795"/>
        </w:trPr>
        <w:tc>
          <w:tcPr>
            <w:tcW w:w="5904" w:type="dxa"/>
            <w:vAlign w:val="center"/>
          </w:tcPr>
          <w:p w14:paraId="755F8DD3" w14:textId="51C1ABA7"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What was the Supreme Court’s reasoning in the </w:t>
            </w:r>
            <w:r w:rsidRPr="00686B00">
              <w:rPr>
                <w:rFonts w:ascii="Calibri" w:hAnsi="Calibri"/>
                <w:b/>
                <w:bCs/>
                <w:i/>
                <w:sz w:val="28"/>
                <w:szCs w:val="28"/>
              </w:rPr>
              <w:t>FMC</w:t>
            </w:r>
            <w:r>
              <w:rPr>
                <w:rFonts w:ascii="Calibri" w:hAnsi="Calibri"/>
                <w:b/>
                <w:bCs/>
                <w:sz w:val="28"/>
                <w:szCs w:val="28"/>
              </w:rPr>
              <w:t xml:space="preserve"> decision?</w:t>
            </w:r>
          </w:p>
        </w:tc>
        <w:tc>
          <w:tcPr>
            <w:tcW w:w="5904" w:type="dxa"/>
            <w:vAlign w:val="center"/>
          </w:tcPr>
          <w:p w14:paraId="6DD0C1F9" w14:textId="56B2FF6D"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The Supreme Court’s r</w:t>
            </w:r>
            <w:r w:rsidRPr="00686B00">
              <w:rPr>
                <w:rFonts w:ascii="Calibri" w:hAnsi="Calibri"/>
                <w:b/>
                <w:bCs/>
                <w:sz w:val="22"/>
                <w:szCs w:val="22"/>
              </w:rPr>
              <w:t xml:space="preserve">easoning </w:t>
            </w:r>
            <w:r>
              <w:rPr>
                <w:rFonts w:ascii="Calibri" w:hAnsi="Calibri"/>
                <w:b/>
                <w:bCs/>
                <w:sz w:val="22"/>
                <w:szCs w:val="22"/>
              </w:rPr>
              <w:t xml:space="preserve">in </w:t>
            </w:r>
            <w:r w:rsidRPr="00686B00">
              <w:rPr>
                <w:rFonts w:ascii="Calibri" w:hAnsi="Calibri"/>
                <w:b/>
                <w:bCs/>
                <w:i/>
                <w:sz w:val="22"/>
                <w:szCs w:val="22"/>
              </w:rPr>
              <w:t>FMC</w:t>
            </w:r>
            <w:r>
              <w:rPr>
                <w:rFonts w:ascii="Calibri" w:hAnsi="Calibri"/>
                <w:b/>
                <w:bCs/>
                <w:sz w:val="22"/>
                <w:szCs w:val="22"/>
              </w:rPr>
              <w:t xml:space="preserve"> was </w:t>
            </w:r>
            <w:r w:rsidRPr="00686B00">
              <w:rPr>
                <w:rFonts w:ascii="Calibri" w:hAnsi="Calibri"/>
                <w:b/>
                <w:bCs/>
                <w:sz w:val="22"/>
                <w:szCs w:val="22"/>
              </w:rPr>
              <w:t>driven by</w:t>
            </w:r>
            <w:r>
              <w:rPr>
                <w:rFonts w:ascii="Calibri" w:hAnsi="Calibri"/>
                <w:b/>
                <w:bCs/>
                <w:sz w:val="22"/>
                <w:szCs w:val="22"/>
              </w:rPr>
              <w:t xml:space="preserve"> the</w:t>
            </w:r>
            <w:r w:rsidRPr="00686B00">
              <w:rPr>
                <w:rFonts w:ascii="Calibri" w:hAnsi="Calibri"/>
                <w:b/>
                <w:bCs/>
                <w:sz w:val="22"/>
                <w:szCs w:val="22"/>
              </w:rPr>
              <w:t xml:space="preserve"> need to protect the state </w:t>
            </w:r>
            <w:r>
              <w:rPr>
                <w:rFonts w:ascii="Calibri" w:hAnsi="Calibri"/>
                <w:b/>
                <w:bCs/>
                <w:sz w:val="22"/>
                <w:szCs w:val="22"/>
              </w:rPr>
              <w:t xml:space="preserve">of South Carolina </w:t>
            </w:r>
            <w:r w:rsidRPr="00686B00">
              <w:rPr>
                <w:rFonts w:ascii="Calibri" w:hAnsi="Calibri"/>
                <w:b/>
                <w:bCs/>
                <w:sz w:val="22"/>
                <w:szCs w:val="22"/>
              </w:rPr>
              <w:t>from the affront of being su</w:t>
            </w:r>
            <w:r>
              <w:rPr>
                <w:rFonts w:ascii="Calibri" w:hAnsi="Calibri"/>
                <w:b/>
                <w:bCs/>
                <w:sz w:val="22"/>
                <w:szCs w:val="22"/>
              </w:rPr>
              <w:t>bject to judicial proceedings.</w:t>
            </w:r>
          </w:p>
        </w:tc>
        <w:tc>
          <w:tcPr>
            <w:tcW w:w="5904" w:type="dxa"/>
            <w:vAlign w:val="center"/>
          </w:tcPr>
          <w:p w14:paraId="7CAE641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941CEB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EBF4C90" w14:textId="77777777" w:rsidTr="0010708E">
        <w:trPr>
          <w:trHeight w:val="4795"/>
        </w:trPr>
        <w:tc>
          <w:tcPr>
            <w:tcW w:w="5904" w:type="dxa"/>
            <w:vAlign w:val="center"/>
          </w:tcPr>
          <w:p w14:paraId="03BCEF71" w14:textId="4ED70A99"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Has the Supreme Court found that a State could be immune from administrative proceedings in any other case besides </w:t>
            </w:r>
            <w:r w:rsidRPr="00DD7248">
              <w:rPr>
                <w:rFonts w:ascii="Calibri" w:hAnsi="Calibri"/>
                <w:b/>
                <w:bCs/>
                <w:i/>
                <w:sz w:val="28"/>
                <w:szCs w:val="28"/>
              </w:rPr>
              <w:t>FMC</w:t>
            </w:r>
            <w:r>
              <w:rPr>
                <w:rFonts w:ascii="Calibri" w:hAnsi="Calibri"/>
                <w:b/>
                <w:bCs/>
                <w:sz w:val="28"/>
                <w:szCs w:val="28"/>
              </w:rPr>
              <w:t>?</w:t>
            </w:r>
          </w:p>
        </w:tc>
        <w:tc>
          <w:tcPr>
            <w:tcW w:w="5904" w:type="dxa"/>
            <w:vAlign w:val="center"/>
          </w:tcPr>
          <w:p w14:paraId="023A83B1" w14:textId="6951A9AA"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No.  </w:t>
            </w:r>
            <w:r w:rsidRPr="00DD7248">
              <w:rPr>
                <w:rFonts w:ascii="Calibri" w:hAnsi="Calibri"/>
                <w:b/>
                <w:bCs/>
                <w:i/>
                <w:sz w:val="22"/>
                <w:szCs w:val="22"/>
              </w:rPr>
              <w:t>FMC</w:t>
            </w:r>
            <w:r w:rsidRPr="00DD7248">
              <w:rPr>
                <w:rFonts w:ascii="Calibri" w:hAnsi="Calibri"/>
                <w:b/>
                <w:bCs/>
                <w:sz w:val="22"/>
                <w:szCs w:val="22"/>
              </w:rPr>
              <w:t xml:space="preserve"> is the only case in which the Supreme </w:t>
            </w:r>
            <w:r>
              <w:rPr>
                <w:rFonts w:ascii="Calibri" w:hAnsi="Calibri"/>
                <w:b/>
                <w:bCs/>
                <w:sz w:val="22"/>
                <w:szCs w:val="22"/>
              </w:rPr>
              <w:t>C</w:t>
            </w:r>
            <w:r w:rsidRPr="00DD7248">
              <w:rPr>
                <w:rFonts w:ascii="Calibri" w:hAnsi="Calibri"/>
                <w:b/>
                <w:bCs/>
                <w:sz w:val="22"/>
                <w:szCs w:val="22"/>
              </w:rPr>
              <w:t xml:space="preserve">ourt found a </w:t>
            </w:r>
            <w:r>
              <w:rPr>
                <w:rFonts w:ascii="Calibri" w:hAnsi="Calibri"/>
                <w:b/>
                <w:bCs/>
                <w:sz w:val="22"/>
                <w:szCs w:val="22"/>
              </w:rPr>
              <w:t>S</w:t>
            </w:r>
            <w:r w:rsidRPr="00DD7248">
              <w:rPr>
                <w:rFonts w:ascii="Calibri" w:hAnsi="Calibri"/>
                <w:b/>
                <w:bCs/>
                <w:sz w:val="22"/>
                <w:szCs w:val="22"/>
              </w:rPr>
              <w:t>tate could be immune from administrative proceedings.</w:t>
            </w:r>
          </w:p>
        </w:tc>
        <w:tc>
          <w:tcPr>
            <w:tcW w:w="5904" w:type="dxa"/>
            <w:vAlign w:val="center"/>
          </w:tcPr>
          <w:p w14:paraId="19DAD546"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B34AC3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92D446D" w14:textId="77777777" w:rsidTr="0010708E">
        <w:trPr>
          <w:trHeight w:val="4795"/>
        </w:trPr>
        <w:tc>
          <w:tcPr>
            <w:tcW w:w="5904" w:type="dxa"/>
            <w:vAlign w:val="center"/>
          </w:tcPr>
          <w:p w14:paraId="34EE296C" w14:textId="5CCFEFA4"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was the holding in </w:t>
            </w:r>
            <w:r w:rsidRPr="00D20B4F">
              <w:rPr>
                <w:rFonts w:ascii="Calibri" w:hAnsi="Calibri"/>
                <w:b/>
                <w:bCs/>
                <w:i/>
                <w:sz w:val="28"/>
                <w:szCs w:val="28"/>
              </w:rPr>
              <w:t>Oil States Energy Services v. Greene’s Energy Group</w:t>
            </w:r>
            <w:r>
              <w:rPr>
                <w:rFonts w:ascii="Calibri" w:hAnsi="Calibri"/>
                <w:b/>
                <w:bCs/>
                <w:sz w:val="28"/>
                <w:szCs w:val="28"/>
              </w:rPr>
              <w:t xml:space="preserve"> (U.S. 2018</w:t>
            </w:r>
            <w:r w:rsidRPr="00623574">
              <w:rPr>
                <w:rFonts w:ascii="Calibri" w:hAnsi="Calibri"/>
                <w:b/>
                <w:bCs/>
                <w:sz w:val="28"/>
                <w:szCs w:val="28"/>
              </w:rPr>
              <w:t>)</w:t>
            </w:r>
            <w:r>
              <w:rPr>
                <w:rFonts w:ascii="Calibri" w:hAnsi="Calibri"/>
                <w:b/>
                <w:bCs/>
                <w:sz w:val="28"/>
                <w:szCs w:val="28"/>
              </w:rPr>
              <w:t>?</w:t>
            </w:r>
          </w:p>
        </w:tc>
        <w:tc>
          <w:tcPr>
            <w:tcW w:w="5904" w:type="dxa"/>
            <w:vAlign w:val="center"/>
          </w:tcPr>
          <w:p w14:paraId="2FB7D460" w14:textId="11371B9C"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r w:rsidRPr="00D20B4F">
              <w:rPr>
                <w:rFonts w:ascii="Calibri" w:hAnsi="Calibri"/>
                <w:b/>
                <w:bCs/>
                <w:i/>
                <w:sz w:val="22"/>
                <w:szCs w:val="22"/>
              </w:rPr>
              <w:t>Oil States</w:t>
            </w:r>
            <w:r>
              <w:rPr>
                <w:rFonts w:ascii="Calibri" w:hAnsi="Calibri"/>
                <w:b/>
                <w:bCs/>
                <w:sz w:val="22"/>
                <w:szCs w:val="22"/>
              </w:rPr>
              <w:t xml:space="preserve"> (U.S. 2018), the Supreme Court h</w:t>
            </w:r>
            <w:r w:rsidRPr="00D20B4F">
              <w:rPr>
                <w:rFonts w:ascii="Calibri" w:hAnsi="Calibri"/>
                <w:b/>
                <w:bCs/>
                <w:sz w:val="22"/>
                <w:szCs w:val="22"/>
              </w:rPr>
              <w:t xml:space="preserve">eld that </w:t>
            </w:r>
            <w:proofErr w:type="spellStart"/>
            <w:r w:rsidRPr="00D20B4F">
              <w:rPr>
                <w:rFonts w:ascii="Calibri" w:hAnsi="Calibri"/>
                <w:b/>
                <w:bCs/>
                <w:sz w:val="22"/>
                <w:szCs w:val="22"/>
              </w:rPr>
              <w:t>IPR</w:t>
            </w:r>
            <w:proofErr w:type="spellEnd"/>
            <w:r w:rsidRPr="00D20B4F">
              <w:rPr>
                <w:rFonts w:ascii="Calibri" w:hAnsi="Calibri"/>
                <w:b/>
                <w:bCs/>
                <w:sz w:val="22"/>
                <w:szCs w:val="22"/>
              </w:rPr>
              <w:t xml:space="preserve"> does not violate Art</w:t>
            </w:r>
            <w:r>
              <w:rPr>
                <w:rFonts w:ascii="Calibri" w:hAnsi="Calibri"/>
                <w:b/>
                <w:bCs/>
                <w:sz w:val="22"/>
                <w:szCs w:val="22"/>
              </w:rPr>
              <w:t>icle</w:t>
            </w:r>
            <w:r w:rsidRPr="00D20B4F">
              <w:rPr>
                <w:rFonts w:ascii="Calibri" w:hAnsi="Calibri"/>
                <w:b/>
                <w:bCs/>
                <w:sz w:val="22"/>
                <w:szCs w:val="22"/>
              </w:rPr>
              <w:t xml:space="preserve"> III.  Patents are public rights and </w:t>
            </w:r>
            <w:proofErr w:type="spellStart"/>
            <w:r w:rsidRPr="00D20B4F">
              <w:rPr>
                <w:rFonts w:ascii="Calibri" w:hAnsi="Calibri"/>
                <w:b/>
                <w:bCs/>
                <w:sz w:val="22"/>
                <w:szCs w:val="22"/>
              </w:rPr>
              <w:t>IPR</w:t>
            </w:r>
            <w:proofErr w:type="spellEnd"/>
            <w:r w:rsidRPr="00D20B4F">
              <w:rPr>
                <w:rFonts w:ascii="Calibri" w:hAnsi="Calibri"/>
                <w:b/>
                <w:bCs/>
                <w:sz w:val="22"/>
                <w:szCs w:val="22"/>
              </w:rPr>
              <w:t xml:space="preserve"> is a reconsideration of the decision to grant </w:t>
            </w:r>
            <w:r>
              <w:rPr>
                <w:rFonts w:ascii="Calibri" w:hAnsi="Calibri"/>
                <w:b/>
                <w:bCs/>
                <w:sz w:val="22"/>
                <w:szCs w:val="22"/>
              </w:rPr>
              <w:t>those public rights.</w:t>
            </w:r>
          </w:p>
        </w:tc>
        <w:tc>
          <w:tcPr>
            <w:tcW w:w="5904" w:type="dxa"/>
            <w:vAlign w:val="center"/>
          </w:tcPr>
          <w:p w14:paraId="3A5B2CE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6D7A04B"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53A54AC" w14:textId="77777777" w:rsidTr="0010708E">
        <w:trPr>
          <w:trHeight w:val="4795"/>
        </w:trPr>
        <w:tc>
          <w:tcPr>
            <w:tcW w:w="5904" w:type="dxa"/>
            <w:vAlign w:val="center"/>
          </w:tcPr>
          <w:p w14:paraId="4EEF6435" w14:textId="1D9BFB2D"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Why does </w:t>
            </w:r>
            <w:r w:rsidRPr="00832D27">
              <w:rPr>
                <w:rFonts w:ascii="Calibri" w:hAnsi="Calibri"/>
                <w:b/>
                <w:bCs/>
                <w:i/>
                <w:sz w:val="28"/>
                <w:szCs w:val="28"/>
              </w:rPr>
              <w:t>Oil States</w:t>
            </w:r>
            <w:r>
              <w:rPr>
                <w:rFonts w:ascii="Calibri" w:hAnsi="Calibri"/>
                <w:b/>
                <w:bCs/>
                <w:sz w:val="28"/>
                <w:szCs w:val="28"/>
              </w:rPr>
              <w:t xml:space="preserve"> (U.S. 2018) matter in this case?</w:t>
            </w:r>
          </w:p>
        </w:tc>
        <w:tc>
          <w:tcPr>
            <w:tcW w:w="5904" w:type="dxa"/>
            <w:vAlign w:val="center"/>
          </w:tcPr>
          <w:p w14:paraId="50E42A08" w14:textId="713C481E" w:rsidR="000F7558" w:rsidRDefault="000F7558" w:rsidP="000F7558">
            <w:pPr>
              <w:pStyle w:val="O-BodyText"/>
              <w:spacing w:after="120"/>
              <w:ind w:right="162"/>
              <w:rPr>
                <w:rFonts w:ascii="Calibri" w:hAnsi="Calibri"/>
                <w:b/>
                <w:bCs/>
                <w:sz w:val="22"/>
                <w:szCs w:val="22"/>
              </w:rPr>
            </w:pPr>
            <w:r w:rsidRPr="00832D27">
              <w:rPr>
                <w:rFonts w:ascii="Calibri" w:hAnsi="Calibri"/>
                <w:b/>
                <w:bCs/>
                <w:i/>
                <w:sz w:val="22"/>
                <w:szCs w:val="22"/>
              </w:rPr>
              <w:t>Oil States</w:t>
            </w:r>
            <w:r>
              <w:rPr>
                <w:rFonts w:ascii="Calibri" w:hAnsi="Calibri"/>
                <w:b/>
                <w:bCs/>
                <w:sz w:val="22"/>
                <w:szCs w:val="22"/>
              </w:rPr>
              <w:t xml:space="preserve"> </w:t>
            </w:r>
            <w:r w:rsidRPr="00832D27">
              <w:rPr>
                <w:rFonts w:ascii="Calibri" w:hAnsi="Calibri"/>
                <w:b/>
                <w:bCs/>
                <w:sz w:val="22"/>
                <w:szCs w:val="22"/>
              </w:rPr>
              <w:t xml:space="preserve">directly </w:t>
            </w:r>
            <w:r>
              <w:rPr>
                <w:rFonts w:ascii="Calibri" w:hAnsi="Calibri"/>
                <w:b/>
                <w:bCs/>
                <w:sz w:val="22"/>
                <w:szCs w:val="22"/>
              </w:rPr>
              <w:t>addressed</w:t>
            </w:r>
            <w:r w:rsidRPr="00832D27">
              <w:rPr>
                <w:rFonts w:ascii="Calibri" w:hAnsi="Calibri"/>
                <w:b/>
                <w:bCs/>
                <w:sz w:val="22"/>
                <w:szCs w:val="22"/>
              </w:rPr>
              <w:t xml:space="preserve"> the nature of </w:t>
            </w:r>
            <w:proofErr w:type="spellStart"/>
            <w:r w:rsidRPr="00832D27">
              <w:rPr>
                <w:rFonts w:ascii="Calibri" w:hAnsi="Calibri"/>
                <w:b/>
                <w:bCs/>
                <w:sz w:val="22"/>
                <w:szCs w:val="22"/>
              </w:rPr>
              <w:t>IPR</w:t>
            </w:r>
            <w:proofErr w:type="spellEnd"/>
            <w:r w:rsidRPr="00832D27">
              <w:rPr>
                <w:rFonts w:ascii="Calibri" w:hAnsi="Calibri"/>
                <w:b/>
                <w:bCs/>
                <w:sz w:val="22"/>
                <w:szCs w:val="22"/>
              </w:rPr>
              <w:t xml:space="preserve"> to determine whether it was properly housed in executive branch.</w:t>
            </w:r>
            <w:r>
              <w:rPr>
                <w:rFonts w:ascii="Calibri" w:hAnsi="Calibri"/>
                <w:b/>
                <w:bCs/>
                <w:sz w:val="22"/>
                <w:szCs w:val="22"/>
              </w:rPr>
              <w:t xml:space="preserve">  The Supreme Court held that p</w:t>
            </w:r>
            <w:r w:rsidRPr="00832D27">
              <w:rPr>
                <w:rFonts w:ascii="Calibri" w:hAnsi="Calibri"/>
                <w:b/>
                <w:bCs/>
                <w:sz w:val="22"/>
                <w:szCs w:val="22"/>
              </w:rPr>
              <w:t>ub</w:t>
            </w:r>
            <w:r>
              <w:rPr>
                <w:rFonts w:ascii="Calibri" w:hAnsi="Calibri"/>
                <w:b/>
                <w:bCs/>
                <w:sz w:val="22"/>
                <w:szCs w:val="22"/>
              </w:rPr>
              <w:t xml:space="preserve">lic rights may be adjudicated by entities other than Article III courts.  Although </w:t>
            </w:r>
            <w:proofErr w:type="spellStart"/>
            <w:r w:rsidRPr="00832D27">
              <w:rPr>
                <w:rFonts w:ascii="Calibri" w:hAnsi="Calibri"/>
                <w:b/>
                <w:bCs/>
                <w:sz w:val="22"/>
                <w:szCs w:val="22"/>
              </w:rPr>
              <w:t>UMN</w:t>
            </w:r>
            <w:proofErr w:type="spellEnd"/>
            <w:r w:rsidRPr="00832D27">
              <w:rPr>
                <w:rFonts w:ascii="Calibri" w:hAnsi="Calibri"/>
                <w:b/>
                <w:bCs/>
                <w:sz w:val="22"/>
                <w:szCs w:val="22"/>
              </w:rPr>
              <w:t xml:space="preserve"> cites dicta from </w:t>
            </w:r>
            <w:r w:rsidRPr="00CC00E1">
              <w:rPr>
                <w:rFonts w:ascii="Calibri" w:hAnsi="Calibri"/>
                <w:b/>
                <w:bCs/>
                <w:i/>
                <w:sz w:val="22"/>
                <w:szCs w:val="22"/>
              </w:rPr>
              <w:t>SAS</w:t>
            </w:r>
            <w:r>
              <w:rPr>
                <w:rFonts w:ascii="Calibri" w:hAnsi="Calibri"/>
                <w:b/>
                <w:bCs/>
                <w:sz w:val="22"/>
                <w:szCs w:val="22"/>
              </w:rPr>
              <w:t xml:space="preserve">, that case </w:t>
            </w:r>
            <w:r w:rsidRPr="00832D27">
              <w:rPr>
                <w:rFonts w:ascii="Calibri" w:hAnsi="Calibri"/>
                <w:b/>
                <w:bCs/>
                <w:sz w:val="22"/>
                <w:szCs w:val="22"/>
              </w:rPr>
              <w:t xml:space="preserve">turned on the text and structure of a statute </w:t>
            </w:r>
            <w:r>
              <w:rPr>
                <w:rFonts w:ascii="Calibri" w:hAnsi="Calibri"/>
                <w:b/>
                <w:bCs/>
                <w:sz w:val="22"/>
                <w:szCs w:val="22"/>
              </w:rPr>
              <w:t xml:space="preserve">rather than the nature of </w:t>
            </w:r>
            <w:proofErr w:type="spellStart"/>
            <w:r>
              <w:rPr>
                <w:rFonts w:ascii="Calibri" w:hAnsi="Calibri"/>
                <w:b/>
                <w:bCs/>
                <w:sz w:val="22"/>
                <w:szCs w:val="22"/>
              </w:rPr>
              <w:t>IPR</w:t>
            </w:r>
            <w:proofErr w:type="spellEnd"/>
            <w:r>
              <w:rPr>
                <w:rFonts w:ascii="Calibri" w:hAnsi="Calibri"/>
                <w:b/>
                <w:bCs/>
                <w:sz w:val="22"/>
                <w:szCs w:val="22"/>
              </w:rPr>
              <w:t>.</w:t>
            </w:r>
          </w:p>
        </w:tc>
        <w:tc>
          <w:tcPr>
            <w:tcW w:w="5904" w:type="dxa"/>
            <w:vAlign w:val="center"/>
          </w:tcPr>
          <w:p w14:paraId="5C2D5A8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2F612C1"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02D1463" w14:textId="77777777" w:rsidTr="0010708E">
        <w:trPr>
          <w:trHeight w:val="4795"/>
        </w:trPr>
        <w:tc>
          <w:tcPr>
            <w:tcW w:w="5904" w:type="dxa"/>
            <w:vAlign w:val="center"/>
          </w:tcPr>
          <w:p w14:paraId="4374FCD9" w14:textId="6E7EB991"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Why did </w:t>
            </w:r>
            <w:r w:rsidRPr="002B56DA">
              <w:rPr>
                <w:rFonts w:ascii="Calibri" w:hAnsi="Calibri"/>
                <w:b/>
                <w:bCs/>
                <w:i/>
                <w:sz w:val="28"/>
                <w:szCs w:val="28"/>
              </w:rPr>
              <w:t>Oil States</w:t>
            </w:r>
            <w:r>
              <w:rPr>
                <w:rFonts w:ascii="Calibri" w:hAnsi="Calibri"/>
                <w:b/>
                <w:bCs/>
                <w:sz w:val="28"/>
                <w:szCs w:val="28"/>
              </w:rPr>
              <w:t xml:space="preserve"> (U.S. 2018) hold that </w:t>
            </w:r>
            <w:proofErr w:type="spellStart"/>
            <w:r>
              <w:rPr>
                <w:rFonts w:ascii="Calibri" w:hAnsi="Calibri"/>
                <w:b/>
                <w:bCs/>
                <w:sz w:val="28"/>
                <w:szCs w:val="28"/>
              </w:rPr>
              <w:t>IPR</w:t>
            </w:r>
            <w:proofErr w:type="spellEnd"/>
            <w:r>
              <w:rPr>
                <w:rFonts w:ascii="Calibri" w:hAnsi="Calibri"/>
                <w:b/>
                <w:bCs/>
                <w:sz w:val="28"/>
                <w:szCs w:val="28"/>
              </w:rPr>
              <w:t xml:space="preserve"> is not an appropriation of judicial power?</w:t>
            </w:r>
          </w:p>
        </w:tc>
        <w:tc>
          <w:tcPr>
            <w:tcW w:w="5904" w:type="dxa"/>
            <w:vAlign w:val="center"/>
          </w:tcPr>
          <w:p w14:paraId="7A14F7DB" w14:textId="4A3FE99D" w:rsidR="000F7558" w:rsidRPr="002B56DA"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Oil States, the Supreme Court explained that </w:t>
            </w:r>
            <w:proofErr w:type="spellStart"/>
            <w:r w:rsidRPr="002B56DA">
              <w:rPr>
                <w:rFonts w:ascii="Calibri" w:hAnsi="Calibri"/>
                <w:b/>
                <w:bCs/>
                <w:sz w:val="22"/>
                <w:szCs w:val="22"/>
              </w:rPr>
              <w:t>IPR</w:t>
            </w:r>
            <w:proofErr w:type="spellEnd"/>
            <w:r w:rsidRPr="002B56DA">
              <w:rPr>
                <w:rFonts w:ascii="Calibri" w:hAnsi="Calibri"/>
                <w:b/>
                <w:bCs/>
                <w:sz w:val="22"/>
                <w:szCs w:val="22"/>
              </w:rPr>
              <w:t xml:space="preserve"> is not an appropriat</w:t>
            </w:r>
            <w:r>
              <w:rPr>
                <w:rFonts w:ascii="Calibri" w:hAnsi="Calibri"/>
                <w:b/>
                <w:bCs/>
                <w:sz w:val="22"/>
                <w:szCs w:val="22"/>
              </w:rPr>
              <w:t>ion of judicial power because, at t</w:t>
            </w:r>
            <w:r w:rsidRPr="002B56DA">
              <w:rPr>
                <w:rFonts w:ascii="Calibri" w:hAnsi="Calibri"/>
                <w:b/>
                <w:bCs/>
                <w:sz w:val="22"/>
                <w:szCs w:val="22"/>
              </w:rPr>
              <w:t xml:space="preserve">he time of the founding, </w:t>
            </w:r>
            <w:r>
              <w:rPr>
                <w:rFonts w:ascii="Calibri" w:hAnsi="Calibri"/>
                <w:b/>
                <w:bCs/>
                <w:sz w:val="22"/>
                <w:szCs w:val="22"/>
              </w:rPr>
              <w:t>similar</w:t>
            </w:r>
            <w:r w:rsidRPr="002B56DA">
              <w:rPr>
                <w:rFonts w:ascii="Calibri" w:hAnsi="Calibri"/>
                <w:b/>
                <w:bCs/>
                <w:sz w:val="22"/>
                <w:szCs w:val="22"/>
              </w:rPr>
              <w:t xml:space="preserve"> revocation proceedings for patents </w:t>
            </w:r>
            <w:r>
              <w:rPr>
                <w:rFonts w:ascii="Calibri" w:hAnsi="Calibri"/>
                <w:b/>
                <w:bCs/>
                <w:sz w:val="22"/>
                <w:szCs w:val="22"/>
              </w:rPr>
              <w:t xml:space="preserve">were available in England </w:t>
            </w:r>
            <w:r w:rsidRPr="002B56DA">
              <w:rPr>
                <w:rFonts w:ascii="Calibri" w:hAnsi="Calibri"/>
                <w:b/>
                <w:bCs/>
                <w:sz w:val="22"/>
                <w:szCs w:val="22"/>
              </w:rPr>
              <w:t xml:space="preserve">(through the </w:t>
            </w:r>
            <w:r>
              <w:rPr>
                <w:rFonts w:ascii="Calibri" w:hAnsi="Calibri"/>
                <w:b/>
                <w:bCs/>
                <w:sz w:val="22"/>
                <w:szCs w:val="22"/>
              </w:rPr>
              <w:t xml:space="preserve">executive proceeding of the </w:t>
            </w:r>
            <w:r w:rsidRPr="002B56DA">
              <w:rPr>
                <w:rFonts w:ascii="Calibri" w:hAnsi="Calibri"/>
                <w:b/>
                <w:bCs/>
                <w:sz w:val="22"/>
                <w:szCs w:val="22"/>
              </w:rPr>
              <w:t>Pr</w:t>
            </w:r>
            <w:r>
              <w:rPr>
                <w:rFonts w:ascii="Calibri" w:hAnsi="Calibri"/>
                <w:b/>
                <w:bCs/>
                <w:sz w:val="22"/>
                <w:szCs w:val="22"/>
              </w:rPr>
              <w:t>ivy Council).</w:t>
            </w:r>
          </w:p>
        </w:tc>
        <w:tc>
          <w:tcPr>
            <w:tcW w:w="5904" w:type="dxa"/>
            <w:vAlign w:val="center"/>
          </w:tcPr>
          <w:p w14:paraId="11758366"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43E96D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156BF52" w14:textId="77777777" w:rsidTr="0010708E">
        <w:trPr>
          <w:trHeight w:val="4795"/>
        </w:trPr>
        <w:tc>
          <w:tcPr>
            <w:tcW w:w="5904" w:type="dxa"/>
            <w:vAlign w:val="center"/>
          </w:tcPr>
          <w:p w14:paraId="1EA1EA6A" w14:textId="288EC1ED"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was the holding in </w:t>
            </w:r>
            <w:r w:rsidRPr="00B32D42">
              <w:rPr>
                <w:rFonts w:ascii="Calibri" w:hAnsi="Calibri"/>
                <w:b/>
                <w:bCs/>
                <w:i/>
                <w:sz w:val="28"/>
                <w:szCs w:val="28"/>
              </w:rPr>
              <w:t>SAS Institute</w:t>
            </w:r>
            <w:r w:rsidRPr="00F9218C">
              <w:rPr>
                <w:rFonts w:ascii="Calibri" w:hAnsi="Calibri"/>
                <w:b/>
                <w:bCs/>
                <w:i/>
                <w:sz w:val="28"/>
                <w:szCs w:val="28"/>
              </w:rPr>
              <w:t xml:space="preserve"> v. </w:t>
            </w:r>
            <w:proofErr w:type="spellStart"/>
            <w:r w:rsidRPr="00F9218C">
              <w:rPr>
                <w:rFonts w:ascii="Calibri" w:hAnsi="Calibri"/>
                <w:b/>
                <w:bCs/>
                <w:i/>
                <w:sz w:val="28"/>
                <w:szCs w:val="28"/>
              </w:rPr>
              <w:t>Iancu</w:t>
            </w:r>
            <w:proofErr w:type="spellEnd"/>
            <w:r w:rsidRPr="00B32D42">
              <w:rPr>
                <w:rFonts w:ascii="Calibri" w:hAnsi="Calibri"/>
                <w:b/>
                <w:bCs/>
                <w:i/>
                <w:sz w:val="28"/>
                <w:szCs w:val="28"/>
              </w:rPr>
              <w:t xml:space="preserve"> </w:t>
            </w:r>
            <w:r w:rsidRPr="00F9218C">
              <w:rPr>
                <w:rFonts w:ascii="Calibri" w:hAnsi="Calibri"/>
                <w:b/>
                <w:bCs/>
                <w:sz w:val="28"/>
                <w:szCs w:val="28"/>
              </w:rPr>
              <w:t>(</w:t>
            </w:r>
            <w:r w:rsidRPr="00B32D42">
              <w:rPr>
                <w:rFonts w:ascii="Calibri" w:hAnsi="Calibri"/>
                <w:b/>
                <w:bCs/>
                <w:sz w:val="28"/>
                <w:szCs w:val="28"/>
              </w:rPr>
              <w:t>U.S. 2018)</w:t>
            </w:r>
            <w:r>
              <w:rPr>
                <w:rFonts w:ascii="Calibri" w:hAnsi="Calibri"/>
                <w:b/>
                <w:bCs/>
                <w:sz w:val="28"/>
                <w:szCs w:val="28"/>
              </w:rPr>
              <w:t>?</w:t>
            </w:r>
          </w:p>
        </w:tc>
        <w:tc>
          <w:tcPr>
            <w:tcW w:w="5904" w:type="dxa"/>
            <w:vAlign w:val="center"/>
          </w:tcPr>
          <w:p w14:paraId="44AAA82B" w14:textId="16FEACEE"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The Court in </w:t>
            </w:r>
            <w:r w:rsidRPr="00F9218C">
              <w:rPr>
                <w:rFonts w:ascii="Calibri" w:hAnsi="Calibri"/>
                <w:b/>
                <w:bCs/>
                <w:sz w:val="22"/>
                <w:szCs w:val="22"/>
              </w:rPr>
              <w:t>SAS</w:t>
            </w:r>
            <w:r>
              <w:rPr>
                <w:rFonts w:ascii="Calibri" w:hAnsi="Calibri"/>
                <w:b/>
                <w:bCs/>
                <w:sz w:val="22"/>
                <w:szCs w:val="22"/>
              </w:rPr>
              <w:t xml:space="preserve"> h</w:t>
            </w:r>
            <w:r w:rsidRPr="00F9218C">
              <w:rPr>
                <w:rFonts w:ascii="Calibri" w:hAnsi="Calibri"/>
                <w:b/>
                <w:bCs/>
                <w:sz w:val="22"/>
                <w:szCs w:val="22"/>
              </w:rPr>
              <w:t xml:space="preserve">eld that the </w:t>
            </w:r>
            <w:proofErr w:type="spellStart"/>
            <w:r w:rsidRPr="00F9218C">
              <w:rPr>
                <w:rFonts w:ascii="Calibri" w:hAnsi="Calibri"/>
                <w:b/>
                <w:bCs/>
                <w:sz w:val="22"/>
                <w:szCs w:val="22"/>
              </w:rPr>
              <w:t>PTAB</w:t>
            </w:r>
            <w:proofErr w:type="spellEnd"/>
            <w:r w:rsidRPr="00F9218C">
              <w:rPr>
                <w:rFonts w:ascii="Calibri" w:hAnsi="Calibri"/>
                <w:b/>
                <w:bCs/>
                <w:sz w:val="22"/>
                <w:szCs w:val="22"/>
              </w:rPr>
              <w:t xml:space="preserve"> must issue a final written decision addressing every patent claim challenged in an </w:t>
            </w:r>
            <w:proofErr w:type="spellStart"/>
            <w:r w:rsidRPr="00F9218C">
              <w:rPr>
                <w:rFonts w:ascii="Calibri" w:hAnsi="Calibri"/>
                <w:b/>
                <w:bCs/>
                <w:sz w:val="22"/>
                <w:szCs w:val="22"/>
              </w:rPr>
              <w:t>IPR</w:t>
            </w:r>
            <w:proofErr w:type="spellEnd"/>
            <w:r w:rsidRPr="00F9218C">
              <w:rPr>
                <w:rFonts w:ascii="Calibri" w:hAnsi="Calibri"/>
                <w:b/>
                <w:bCs/>
                <w:sz w:val="22"/>
                <w:szCs w:val="22"/>
              </w:rPr>
              <w:t xml:space="preserve"> petition.</w:t>
            </w:r>
            <w:r>
              <w:rPr>
                <w:rFonts w:ascii="Calibri" w:hAnsi="Calibri"/>
                <w:b/>
                <w:bCs/>
                <w:sz w:val="22"/>
                <w:szCs w:val="22"/>
              </w:rPr>
              <w:t xml:space="preserve">  It also held that p</w:t>
            </w:r>
            <w:r w:rsidRPr="00F9218C">
              <w:rPr>
                <w:rFonts w:ascii="Calibri" w:hAnsi="Calibri"/>
                <w:b/>
                <w:bCs/>
                <w:sz w:val="22"/>
                <w:szCs w:val="22"/>
              </w:rPr>
              <w:t>artial institution violates the statute.</w:t>
            </w:r>
          </w:p>
        </w:tc>
        <w:tc>
          <w:tcPr>
            <w:tcW w:w="5904" w:type="dxa"/>
            <w:vAlign w:val="center"/>
          </w:tcPr>
          <w:p w14:paraId="6202544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E68461F"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DB25492" w14:textId="77777777" w:rsidTr="0010708E">
        <w:trPr>
          <w:trHeight w:val="4795"/>
        </w:trPr>
        <w:tc>
          <w:tcPr>
            <w:tcW w:w="5904" w:type="dxa"/>
            <w:vAlign w:val="center"/>
          </w:tcPr>
          <w:p w14:paraId="4FDBD376" w14:textId="6A1016D5"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What did the Supreme Court say in </w:t>
            </w:r>
            <w:r w:rsidRPr="00F9218C">
              <w:rPr>
                <w:rFonts w:ascii="Calibri" w:hAnsi="Calibri"/>
                <w:b/>
                <w:bCs/>
                <w:i/>
                <w:sz w:val="28"/>
                <w:szCs w:val="28"/>
              </w:rPr>
              <w:t>SAS</w:t>
            </w:r>
            <w:r>
              <w:rPr>
                <w:rFonts w:ascii="Calibri" w:hAnsi="Calibri"/>
                <w:b/>
                <w:bCs/>
                <w:sz w:val="28"/>
                <w:szCs w:val="28"/>
              </w:rPr>
              <w:t xml:space="preserve"> about inter </w:t>
            </w:r>
            <w:proofErr w:type="spellStart"/>
            <w:r>
              <w:rPr>
                <w:rFonts w:ascii="Calibri" w:hAnsi="Calibri"/>
                <w:b/>
                <w:bCs/>
                <w:sz w:val="28"/>
                <w:szCs w:val="28"/>
              </w:rPr>
              <w:t>partes</w:t>
            </w:r>
            <w:proofErr w:type="spellEnd"/>
            <w:r>
              <w:rPr>
                <w:rFonts w:ascii="Calibri" w:hAnsi="Calibri"/>
                <w:b/>
                <w:bCs/>
                <w:sz w:val="28"/>
                <w:szCs w:val="28"/>
              </w:rPr>
              <w:t xml:space="preserve"> review?</w:t>
            </w:r>
          </w:p>
        </w:tc>
        <w:tc>
          <w:tcPr>
            <w:tcW w:w="5904" w:type="dxa"/>
            <w:vAlign w:val="center"/>
          </w:tcPr>
          <w:p w14:paraId="481DD865" w14:textId="2B23593D" w:rsidR="000F7558" w:rsidRPr="00F9218C"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r w:rsidRPr="00F9218C">
              <w:rPr>
                <w:rFonts w:ascii="Calibri" w:hAnsi="Calibri"/>
                <w:b/>
                <w:bCs/>
                <w:i/>
                <w:sz w:val="22"/>
                <w:szCs w:val="22"/>
              </w:rPr>
              <w:t>SAS</w:t>
            </w:r>
            <w:r>
              <w:rPr>
                <w:rFonts w:ascii="Calibri" w:hAnsi="Calibri"/>
                <w:b/>
                <w:bCs/>
                <w:sz w:val="22"/>
                <w:szCs w:val="22"/>
              </w:rPr>
              <w:t xml:space="preserve"> (U.S. 2018), the Court said that </w:t>
            </w:r>
            <w:proofErr w:type="spellStart"/>
            <w:r>
              <w:rPr>
                <w:rFonts w:ascii="Calibri" w:hAnsi="Calibri"/>
                <w:b/>
                <w:bCs/>
                <w:sz w:val="22"/>
                <w:szCs w:val="22"/>
              </w:rPr>
              <w:t>IPRs</w:t>
            </w:r>
            <w:proofErr w:type="spellEnd"/>
            <w:r w:rsidRPr="00F9218C">
              <w:rPr>
                <w:rFonts w:ascii="Calibri" w:hAnsi="Calibri"/>
                <w:b/>
                <w:bCs/>
                <w:sz w:val="22"/>
                <w:szCs w:val="22"/>
              </w:rPr>
              <w:t xml:space="preserve"> resemble civil litigation</w:t>
            </w:r>
            <w:r>
              <w:rPr>
                <w:rFonts w:ascii="Calibri" w:hAnsi="Calibri"/>
                <w:b/>
                <w:bCs/>
                <w:sz w:val="22"/>
                <w:szCs w:val="22"/>
              </w:rPr>
              <w:t>—</w:t>
            </w:r>
            <w:r w:rsidRPr="00F9218C">
              <w:rPr>
                <w:rFonts w:ascii="Calibri" w:hAnsi="Calibri"/>
                <w:b/>
                <w:bCs/>
                <w:sz w:val="22"/>
                <w:szCs w:val="22"/>
              </w:rPr>
              <w:t>judges cannot pick and choose which claims they decide.</w:t>
            </w:r>
            <w:r>
              <w:rPr>
                <w:rFonts w:ascii="Calibri" w:hAnsi="Calibri"/>
                <w:b/>
                <w:bCs/>
                <w:sz w:val="22"/>
                <w:szCs w:val="22"/>
              </w:rPr>
              <w:t xml:space="preserve"> </w:t>
            </w:r>
          </w:p>
          <w:p w14:paraId="3F4C309B" w14:textId="5AAD5EE2" w:rsidR="000F7558" w:rsidRPr="00F9218C" w:rsidRDefault="000F7558" w:rsidP="000F7558">
            <w:pPr>
              <w:pStyle w:val="O-BodyText"/>
              <w:spacing w:after="120"/>
              <w:ind w:right="162"/>
              <w:rPr>
                <w:rFonts w:ascii="Calibri" w:hAnsi="Calibri"/>
                <w:b/>
                <w:bCs/>
                <w:sz w:val="22"/>
                <w:szCs w:val="22"/>
              </w:rPr>
            </w:pPr>
          </w:p>
        </w:tc>
        <w:tc>
          <w:tcPr>
            <w:tcW w:w="5904" w:type="dxa"/>
            <w:vAlign w:val="center"/>
          </w:tcPr>
          <w:p w14:paraId="68F182D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43699AE"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B0B12A0" w14:textId="77777777" w:rsidTr="0010708E">
        <w:trPr>
          <w:trHeight w:val="4795"/>
        </w:trPr>
        <w:tc>
          <w:tcPr>
            <w:tcW w:w="5904" w:type="dxa"/>
            <w:vAlign w:val="center"/>
          </w:tcPr>
          <w:p w14:paraId="61716545" w14:textId="187490FC"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Why shouldn’t </w:t>
            </w:r>
            <w:r w:rsidRPr="00F9218C">
              <w:rPr>
                <w:rFonts w:ascii="Calibri" w:hAnsi="Calibri"/>
                <w:b/>
                <w:bCs/>
                <w:i/>
                <w:sz w:val="28"/>
                <w:szCs w:val="28"/>
              </w:rPr>
              <w:t>SAS</w:t>
            </w:r>
            <w:r>
              <w:rPr>
                <w:rFonts w:ascii="Calibri" w:hAnsi="Calibri"/>
                <w:b/>
                <w:bCs/>
                <w:sz w:val="28"/>
                <w:szCs w:val="28"/>
              </w:rPr>
              <w:t xml:space="preserve">’s discussion of the similarities between </w:t>
            </w:r>
            <w:proofErr w:type="spellStart"/>
            <w:r>
              <w:rPr>
                <w:rFonts w:ascii="Calibri" w:hAnsi="Calibri"/>
                <w:b/>
                <w:bCs/>
                <w:sz w:val="28"/>
                <w:szCs w:val="28"/>
              </w:rPr>
              <w:t>IPR</w:t>
            </w:r>
            <w:proofErr w:type="spellEnd"/>
            <w:r>
              <w:rPr>
                <w:rFonts w:ascii="Calibri" w:hAnsi="Calibri"/>
                <w:b/>
                <w:bCs/>
                <w:sz w:val="28"/>
                <w:szCs w:val="28"/>
              </w:rPr>
              <w:t xml:space="preserve"> and civil litigation control this case?</w:t>
            </w:r>
          </w:p>
        </w:tc>
        <w:tc>
          <w:tcPr>
            <w:tcW w:w="5904" w:type="dxa"/>
            <w:vAlign w:val="center"/>
          </w:tcPr>
          <w:p w14:paraId="5646F2B0" w14:textId="5B6791D0" w:rsidR="000F7558" w:rsidRDefault="000F7558" w:rsidP="000F7558">
            <w:pPr>
              <w:pStyle w:val="O-BodyText"/>
              <w:spacing w:after="120"/>
              <w:ind w:right="162"/>
              <w:rPr>
                <w:rFonts w:ascii="Calibri" w:hAnsi="Calibri"/>
                <w:b/>
                <w:bCs/>
                <w:sz w:val="22"/>
                <w:szCs w:val="22"/>
              </w:rPr>
            </w:pPr>
            <w:r w:rsidRPr="00F9218C">
              <w:rPr>
                <w:rFonts w:ascii="Calibri" w:hAnsi="Calibri"/>
                <w:b/>
                <w:bCs/>
                <w:sz w:val="22"/>
                <w:szCs w:val="22"/>
              </w:rPr>
              <w:t xml:space="preserve">The discussion of resemblance between </w:t>
            </w:r>
            <w:proofErr w:type="spellStart"/>
            <w:r w:rsidRPr="00F9218C">
              <w:rPr>
                <w:rFonts w:ascii="Calibri" w:hAnsi="Calibri"/>
                <w:b/>
                <w:bCs/>
                <w:sz w:val="22"/>
                <w:szCs w:val="22"/>
              </w:rPr>
              <w:t>IPR</w:t>
            </w:r>
            <w:proofErr w:type="spellEnd"/>
            <w:r w:rsidRPr="00F9218C">
              <w:rPr>
                <w:rFonts w:ascii="Calibri" w:hAnsi="Calibri"/>
                <w:b/>
                <w:bCs/>
                <w:sz w:val="22"/>
                <w:szCs w:val="22"/>
              </w:rPr>
              <w:t xml:space="preserve"> and civil litigation in </w:t>
            </w:r>
            <w:r w:rsidRPr="00F9218C">
              <w:rPr>
                <w:rFonts w:ascii="Calibri" w:hAnsi="Calibri"/>
                <w:b/>
                <w:bCs/>
                <w:i/>
                <w:sz w:val="22"/>
                <w:szCs w:val="22"/>
              </w:rPr>
              <w:t>SAS</w:t>
            </w:r>
            <w:r w:rsidRPr="00F9218C">
              <w:rPr>
                <w:rFonts w:ascii="Calibri" w:hAnsi="Calibri"/>
                <w:b/>
                <w:bCs/>
                <w:sz w:val="22"/>
                <w:szCs w:val="22"/>
              </w:rPr>
              <w:t xml:space="preserve"> is dicta</w:t>
            </w:r>
            <w:r>
              <w:rPr>
                <w:rFonts w:ascii="Calibri" w:hAnsi="Calibri"/>
                <w:b/>
                <w:bCs/>
                <w:sz w:val="22"/>
                <w:szCs w:val="22"/>
              </w:rPr>
              <w:t xml:space="preserve">, </w:t>
            </w:r>
            <w:r w:rsidRPr="00F9218C">
              <w:rPr>
                <w:rFonts w:ascii="Calibri" w:hAnsi="Calibri"/>
                <w:b/>
                <w:bCs/>
                <w:sz w:val="22"/>
                <w:szCs w:val="22"/>
              </w:rPr>
              <w:t xml:space="preserve">especially as compared to the controlling discussion of </w:t>
            </w:r>
            <w:proofErr w:type="spellStart"/>
            <w:r w:rsidRPr="00F9218C">
              <w:rPr>
                <w:rFonts w:ascii="Calibri" w:hAnsi="Calibri"/>
                <w:b/>
                <w:bCs/>
                <w:sz w:val="22"/>
                <w:szCs w:val="22"/>
              </w:rPr>
              <w:t>IPR</w:t>
            </w:r>
            <w:proofErr w:type="spellEnd"/>
            <w:r w:rsidRPr="00F9218C">
              <w:rPr>
                <w:rFonts w:ascii="Calibri" w:hAnsi="Calibri"/>
                <w:b/>
                <w:bCs/>
                <w:sz w:val="22"/>
                <w:szCs w:val="22"/>
              </w:rPr>
              <w:t xml:space="preserve"> in </w:t>
            </w:r>
            <w:r w:rsidRPr="00F9218C">
              <w:rPr>
                <w:rFonts w:ascii="Calibri" w:hAnsi="Calibri"/>
                <w:b/>
                <w:bCs/>
                <w:i/>
                <w:sz w:val="22"/>
                <w:szCs w:val="22"/>
              </w:rPr>
              <w:t>Oil States</w:t>
            </w:r>
            <w:r>
              <w:rPr>
                <w:rFonts w:ascii="Calibri" w:hAnsi="Calibri"/>
                <w:b/>
                <w:bCs/>
                <w:sz w:val="22"/>
                <w:szCs w:val="22"/>
              </w:rPr>
              <w:t xml:space="preserve"> (U.S. 2018).  </w:t>
            </w:r>
            <w:r w:rsidRPr="00F9218C">
              <w:rPr>
                <w:rFonts w:ascii="Calibri" w:hAnsi="Calibri"/>
                <w:b/>
                <w:bCs/>
                <w:sz w:val="22"/>
                <w:szCs w:val="22"/>
              </w:rPr>
              <w:t xml:space="preserve">The mere observation in </w:t>
            </w:r>
            <w:r w:rsidRPr="00F9218C">
              <w:rPr>
                <w:rFonts w:ascii="Calibri" w:hAnsi="Calibri"/>
                <w:b/>
                <w:bCs/>
                <w:i/>
                <w:sz w:val="22"/>
                <w:szCs w:val="22"/>
              </w:rPr>
              <w:t>SAS</w:t>
            </w:r>
            <w:r w:rsidRPr="00F9218C">
              <w:rPr>
                <w:rFonts w:ascii="Calibri" w:hAnsi="Calibri"/>
                <w:b/>
                <w:bCs/>
                <w:sz w:val="22"/>
                <w:szCs w:val="22"/>
              </w:rPr>
              <w:t xml:space="preserve"> that </w:t>
            </w:r>
            <w:proofErr w:type="spellStart"/>
            <w:r w:rsidRPr="00F9218C">
              <w:rPr>
                <w:rFonts w:ascii="Calibri" w:hAnsi="Calibri"/>
                <w:b/>
                <w:bCs/>
                <w:sz w:val="22"/>
                <w:szCs w:val="22"/>
              </w:rPr>
              <w:t>IPR</w:t>
            </w:r>
            <w:proofErr w:type="spellEnd"/>
            <w:r w:rsidRPr="00F9218C">
              <w:rPr>
                <w:rFonts w:ascii="Calibri" w:hAnsi="Calibri"/>
                <w:b/>
                <w:bCs/>
                <w:sz w:val="22"/>
                <w:szCs w:val="22"/>
              </w:rPr>
              <w:t xml:space="preserve"> resembles civil litigation does not dictate that it is “overwhelmingly similar” to civil litigatio</w:t>
            </w:r>
            <w:r>
              <w:rPr>
                <w:rFonts w:ascii="Calibri" w:hAnsi="Calibri"/>
                <w:b/>
                <w:bCs/>
                <w:sz w:val="22"/>
                <w:szCs w:val="22"/>
              </w:rPr>
              <w:t xml:space="preserve">n like the proceedings in </w:t>
            </w:r>
            <w:r w:rsidRPr="00F9218C">
              <w:rPr>
                <w:rFonts w:ascii="Calibri" w:hAnsi="Calibri"/>
                <w:b/>
                <w:bCs/>
                <w:i/>
                <w:sz w:val="22"/>
                <w:szCs w:val="22"/>
              </w:rPr>
              <w:t>FMC</w:t>
            </w:r>
            <w:r>
              <w:rPr>
                <w:rFonts w:ascii="Calibri" w:hAnsi="Calibri"/>
                <w:b/>
                <w:bCs/>
                <w:sz w:val="22"/>
                <w:szCs w:val="22"/>
              </w:rPr>
              <w:t xml:space="preserve">.  The panel in </w:t>
            </w:r>
            <w:r w:rsidRPr="009E2AFC">
              <w:rPr>
                <w:rFonts w:ascii="Calibri" w:hAnsi="Calibri"/>
                <w:b/>
                <w:bCs/>
                <w:i/>
                <w:sz w:val="22"/>
                <w:szCs w:val="22"/>
              </w:rPr>
              <w:t>St. Regis</w:t>
            </w:r>
            <w:r w:rsidRPr="009E2AFC">
              <w:rPr>
                <w:rFonts w:ascii="Calibri" w:hAnsi="Calibri"/>
                <w:b/>
                <w:bCs/>
                <w:sz w:val="22"/>
                <w:szCs w:val="22"/>
              </w:rPr>
              <w:t xml:space="preserve"> considered the same </w:t>
            </w:r>
            <w:r w:rsidRPr="009E2AFC">
              <w:rPr>
                <w:rFonts w:ascii="Calibri" w:hAnsi="Calibri"/>
                <w:b/>
                <w:bCs/>
                <w:i/>
                <w:sz w:val="22"/>
                <w:szCs w:val="22"/>
              </w:rPr>
              <w:t>SAS</w:t>
            </w:r>
            <w:r w:rsidRPr="009E2AFC">
              <w:rPr>
                <w:rFonts w:ascii="Calibri" w:hAnsi="Calibri"/>
                <w:b/>
                <w:bCs/>
                <w:sz w:val="22"/>
                <w:szCs w:val="22"/>
              </w:rPr>
              <w:t>-base</w:t>
            </w:r>
            <w:r>
              <w:rPr>
                <w:rFonts w:ascii="Calibri" w:hAnsi="Calibri"/>
                <w:b/>
                <w:bCs/>
                <w:sz w:val="22"/>
                <w:szCs w:val="22"/>
              </w:rPr>
              <w:t>d arguments and rejected them.</w:t>
            </w:r>
          </w:p>
        </w:tc>
        <w:tc>
          <w:tcPr>
            <w:tcW w:w="5904" w:type="dxa"/>
            <w:vAlign w:val="center"/>
          </w:tcPr>
          <w:p w14:paraId="7AD935F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9F8DB8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3CEBFB7" w14:textId="77777777" w:rsidTr="0010708E">
        <w:trPr>
          <w:trHeight w:val="4795"/>
        </w:trPr>
        <w:tc>
          <w:tcPr>
            <w:tcW w:w="5904" w:type="dxa"/>
            <w:vAlign w:val="center"/>
          </w:tcPr>
          <w:p w14:paraId="5FDD122D" w14:textId="2F048768"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was the holding in </w:t>
            </w:r>
            <w:r w:rsidRPr="007B4186">
              <w:rPr>
                <w:rFonts w:ascii="Calibri" w:hAnsi="Calibri"/>
                <w:b/>
                <w:bCs/>
                <w:i/>
                <w:sz w:val="28"/>
                <w:szCs w:val="28"/>
              </w:rPr>
              <w:t>Vas-Cath v. Curators of Univ</w:t>
            </w:r>
            <w:r>
              <w:rPr>
                <w:rFonts w:ascii="Calibri" w:hAnsi="Calibri"/>
                <w:b/>
                <w:bCs/>
                <w:i/>
                <w:sz w:val="28"/>
                <w:szCs w:val="28"/>
              </w:rPr>
              <w:t>ersity</w:t>
            </w:r>
            <w:r w:rsidRPr="007B4186">
              <w:rPr>
                <w:rFonts w:ascii="Calibri" w:hAnsi="Calibri"/>
                <w:b/>
                <w:bCs/>
                <w:i/>
                <w:sz w:val="28"/>
                <w:szCs w:val="28"/>
              </w:rPr>
              <w:t xml:space="preserve"> of M</w:t>
            </w:r>
            <w:r>
              <w:rPr>
                <w:rFonts w:ascii="Calibri" w:hAnsi="Calibri"/>
                <w:b/>
                <w:bCs/>
                <w:i/>
                <w:sz w:val="28"/>
                <w:szCs w:val="28"/>
              </w:rPr>
              <w:t>issouri</w:t>
            </w:r>
            <w:r w:rsidRPr="007B4186">
              <w:rPr>
                <w:rFonts w:ascii="Calibri" w:hAnsi="Calibri"/>
                <w:b/>
                <w:bCs/>
                <w:sz w:val="28"/>
                <w:szCs w:val="28"/>
              </w:rPr>
              <w:t xml:space="preserve"> (Fed. Cir. 2007</w:t>
            </w:r>
            <w:r>
              <w:rPr>
                <w:rFonts w:ascii="Calibri" w:hAnsi="Calibri"/>
                <w:b/>
                <w:bCs/>
                <w:sz w:val="28"/>
                <w:szCs w:val="28"/>
              </w:rPr>
              <w:t>)?</w:t>
            </w:r>
          </w:p>
        </w:tc>
        <w:tc>
          <w:tcPr>
            <w:tcW w:w="5904" w:type="dxa"/>
            <w:vAlign w:val="center"/>
          </w:tcPr>
          <w:p w14:paraId="3F0F3751" w14:textId="470B8370" w:rsidR="000F7558" w:rsidRPr="00F9218C" w:rsidRDefault="000F7558" w:rsidP="000F7558">
            <w:pPr>
              <w:pStyle w:val="O-BodyText"/>
              <w:spacing w:after="120"/>
              <w:ind w:right="162"/>
              <w:rPr>
                <w:rFonts w:ascii="Calibri" w:hAnsi="Calibri"/>
                <w:b/>
                <w:bCs/>
                <w:sz w:val="22"/>
                <w:szCs w:val="22"/>
              </w:rPr>
            </w:pPr>
            <w:r w:rsidRPr="007D5044">
              <w:rPr>
                <w:rFonts w:ascii="Calibri" w:hAnsi="Calibri"/>
                <w:b/>
                <w:bCs/>
                <w:i/>
                <w:sz w:val="22"/>
                <w:szCs w:val="22"/>
              </w:rPr>
              <w:t>Vas-Cath</w:t>
            </w:r>
            <w:r>
              <w:rPr>
                <w:rFonts w:ascii="Calibri" w:hAnsi="Calibri"/>
                <w:b/>
                <w:bCs/>
                <w:sz w:val="22"/>
                <w:szCs w:val="22"/>
              </w:rPr>
              <w:t xml:space="preserve"> (Fed. Cir. 2007) h</w:t>
            </w:r>
            <w:r w:rsidRPr="00BB6373">
              <w:rPr>
                <w:rFonts w:ascii="Calibri" w:hAnsi="Calibri"/>
                <w:b/>
                <w:bCs/>
                <w:sz w:val="22"/>
                <w:szCs w:val="22"/>
              </w:rPr>
              <w:t xml:space="preserve">eld that a university’s participation in a patent inventorship interference proceeding waived its </w:t>
            </w:r>
            <w:r>
              <w:rPr>
                <w:rFonts w:ascii="Calibri" w:hAnsi="Calibri"/>
                <w:b/>
                <w:bCs/>
                <w:sz w:val="22"/>
                <w:szCs w:val="22"/>
              </w:rPr>
              <w:t>E</w:t>
            </w:r>
            <w:r w:rsidRPr="00BB6373">
              <w:rPr>
                <w:rFonts w:ascii="Calibri" w:hAnsi="Calibri"/>
                <w:b/>
                <w:bCs/>
                <w:sz w:val="22"/>
                <w:szCs w:val="22"/>
              </w:rPr>
              <w:t xml:space="preserve">leventh </w:t>
            </w:r>
            <w:r>
              <w:rPr>
                <w:rFonts w:ascii="Calibri" w:hAnsi="Calibri"/>
                <w:b/>
                <w:bCs/>
                <w:sz w:val="22"/>
                <w:szCs w:val="22"/>
              </w:rPr>
              <w:t>A</w:t>
            </w:r>
            <w:r w:rsidRPr="00BB6373">
              <w:rPr>
                <w:rFonts w:ascii="Calibri" w:hAnsi="Calibri"/>
                <w:b/>
                <w:bCs/>
                <w:sz w:val="22"/>
                <w:szCs w:val="22"/>
              </w:rPr>
              <w:t xml:space="preserve">mendment immunity regarding that proceeding and an appeal therefrom. </w:t>
            </w:r>
            <w:r>
              <w:rPr>
                <w:rFonts w:ascii="Calibri" w:hAnsi="Calibri"/>
                <w:b/>
                <w:bCs/>
                <w:sz w:val="22"/>
                <w:szCs w:val="22"/>
              </w:rPr>
              <w:t xml:space="preserve"> </w:t>
            </w:r>
            <w:r w:rsidRPr="00BB6373">
              <w:rPr>
                <w:rFonts w:ascii="Calibri" w:hAnsi="Calibri"/>
                <w:b/>
                <w:bCs/>
                <w:sz w:val="22"/>
                <w:szCs w:val="22"/>
              </w:rPr>
              <w:t>When a state waives immunity through litigation, that waiver extends to the full statutory system governing resolution of the state’s claims.</w:t>
            </w:r>
          </w:p>
        </w:tc>
        <w:tc>
          <w:tcPr>
            <w:tcW w:w="5904" w:type="dxa"/>
            <w:vAlign w:val="center"/>
          </w:tcPr>
          <w:p w14:paraId="45C9F8A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05479B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9523123" w14:textId="77777777" w:rsidTr="0010708E">
        <w:trPr>
          <w:trHeight w:val="4795"/>
        </w:trPr>
        <w:tc>
          <w:tcPr>
            <w:tcW w:w="5904" w:type="dxa"/>
            <w:vAlign w:val="center"/>
          </w:tcPr>
          <w:p w14:paraId="27759B72" w14:textId="33930B5C"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Did </w:t>
            </w:r>
            <w:r w:rsidRPr="007D5044">
              <w:rPr>
                <w:rFonts w:ascii="Calibri" w:hAnsi="Calibri"/>
                <w:b/>
                <w:bCs/>
                <w:i/>
                <w:sz w:val="28"/>
                <w:szCs w:val="28"/>
              </w:rPr>
              <w:t>Vas-Cath</w:t>
            </w:r>
            <w:r w:rsidRPr="007D5044">
              <w:rPr>
                <w:rFonts w:ascii="Calibri" w:hAnsi="Calibri"/>
                <w:b/>
                <w:bCs/>
                <w:sz w:val="28"/>
                <w:szCs w:val="28"/>
              </w:rPr>
              <w:t xml:space="preserve"> </w:t>
            </w:r>
            <w:r>
              <w:rPr>
                <w:rFonts w:ascii="Calibri" w:hAnsi="Calibri"/>
                <w:b/>
                <w:bCs/>
                <w:sz w:val="28"/>
                <w:szCs w:val="28"/>
              </w:rPr>
              <w:t>(Fed. Cir. 2007) address whether</w:t>
            </w:r>
            <w:r w:rsidRPr="007D5044">
              <w:rPr>
                <w:rFonts w:ascii="Calibri" w:hAnsi="Calibri"/>
                <w:b/>
                <w:bCs/>
                <w:sz w:val="28"/>
                <w:szCs w:val="28"/>
              </w:rPr>
              <w:t xml:space="preserve"> interferences resembled civil litigation enough to warrant application of </w:t>
            </w:r>
            <w:r>
              <w:rPr>
                <w:rFonts w:ascii="Calibri" w:hAnsi="Calibri"/>
                <w:b/>
                <w:bCs/>
                <w:sz w:val="28"/>
                <w:szCs w:val="28"/>
              </w:rPr>
              <w:t xml:space="preserve">state </w:t>
            </w:r>
            <w:r w:rsidRPr="007D5044">
              <w:rPr>
                <w:rFonts w:ascii="Calibri" w:hAnsi="Calibri"/>
                <w:b/>
                <w:bCs/>
                <w:sz w:val="28"/>
                <w:szCs w:val="28"/>
              </w:rPr>
              <w:t>sovereign immunity</w:t>
            </w:r>
            <w:r>
              <w:rPr>
                <w:rFonts w:ascii="Calibri" w:hAnsi="Calibri"/>
                <w:b/>
                <w:bCs/>
                <w:sz w:val="28"/>
                <w:szCs w:val="28"/>
              </w:rPr>
              <w:t>?</w:t>
            </w:r>
          </w:p>
        </w:tc>
        <w:tc>
          <w:tcPr>
            <w:tcW w:w="5904" w:type="dxa"/>
            <w:vAlign w:val="center"/>
          </w:tcPr>
          <w:p w14:paraId="7133E70D" w14:textId="12D11CD1" w:rsidR="000F7558" w:rsidRPr="007D5044"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No.  The </w:t>
            </w:r>
            <w:r w:rsidRPr="005401B4">
              <w:rPr>
                <w:rFonts w:ascii="Calibri" w:hAnsi="Calibri"/>
                <w:b/>
                <w:bCs/>
                <w:i/>
                <w:sz w:val="22"/>
                <w:szCs w:val="22"/>
              </w:rPr>
              <w:t>Vas-Cath</w:t>
            </w:r>
            <w:r>
              <w:rPr>
                <w:rFonts w:ascii="Calibri" w:hAnsi="Calibri"/>
                <w:b/>
                <w:bCs/>
                <w:sz w:val="22"/>
                <w:szCs w:val="22"/>
              </w:rPr>
              <w:t xml:space="preserve"> court a</w:t>
            </w:r>
            <w:r w:rsidRPr="007D5044">
              <w:rPr>
                <w:rFonts w:ascii="Calibri" w:hAnsi="Calibri"/>
                <w:b/>
                <w:bCs/>
                <w:sz w:val="22"/>
                <w:szCs w:val="22"/>
              </w:rPr>
              <w:t xml:space="preserve">ssumed </w:t>
            </w:r>
            <w:r>
              <w:rPr>
                <w:rFonts w:ascii="Calibri" w:hAnsi="Calibri"/>
                <w:b/>
                <w:bCs/>
                <w:sz w:val="22"/>
                <w:szCs w:val="22"/>
              </w:rPr>
              <w:t xml:space="preserve">that sovereign immunity applied without deciding so </w:t>
            </w:r>
            <w:r w:rsidRPr="007D5044">
              <w:rPr>
                <w:rFonts w:ascii="Calibri" w:hAnsi="Calibri"/>
                <w:b/>
                <w:bCs/>
                <w:sz w:val="22"/>
                <w:szCs w:val="22"/>
              </w:rPr>
              <w:t xml:space="preserve">because waiver </w:t>
            </w:r>
            <w:r>
              <w:rPr>
                <w:rFonts w:ascii="Calibri" w:hAnsi="Calibri"/>
                <w:b/>
                <w:bCs/>
                <w:sz w:val="22"/>
                <w:szCs w:val="22"/>
              </w:rPr>
              <w:t xml:space="preserve">(of the University’s immunity) </w:t>
            </w:r>
            <w:r w:rsidRPr="007D5044">
              <w:rPr>
                <w:rFonts w:ascii="Calibri" w:hAnsi="Calibri"/>
                <w:b/>
                <w:bCs/>
                <w:sz w:val="22"/>
                <w:szCs w:val="22"/>
              </w:rPr>
              <w:t xml:space="preserve">was </w:t>
            </w:r>
            <w:r>
              <w:rPr>
                <w:rFonts w:ascii="Calibri" w:hAnsi="Calibri"/>
                <w:b/>
                <w:bCs/>
                <w:sz w:val="22"/>
                <w:szCs w:val="22"/>
              </w:rPr>
              <w:t xml:space="preserve">an </w:t>
            </w:r>
            <w:r w:rsidRPr="007D5044">
              <w:rPr>
                <w:rFonts w:ascii="Calibri" w:hAnsi="Calibri"/>
                <w:b/>
                <w:bCs/>
                <w:sz w:val="22"/>
                <w:szCs w:val="22"/>
              </w:rPr>
              <w:t xml:space="preserve">independent </w:t>
            </w:r>
            <w:proofErr w:type="gramStart"/>
            <w:r w:rsidRPr="007D5044">
              <w:rPr>
                <w:rFonts w:ascii="Calibri" w:hAnsi="Calibri"/>
                <w:b/>
                <w:bCs/>
                <w:sz w:val="22"/>
                <w:szCs w:val="22"/>
              </w:rPr>
              <w:t>sufficient</w:t>
            </w:r>
            <w:proofErr w:type="gramEnd"/>
            <w:r w:rsidRPr="007D5044">
              <w:rPr>
                <w:rFonts w:ascii="Calibri" w:hAnsi="Calibri"/>
                <w:b/>
                <w:bCs/>
                <w:sz w:val="22"/>
                <w:szCs w:val="22"/>
              </w:rPr>
              <w:t xml:space="preserve"> ground</w:t>
            </w:r>
            <w:r>
              <w:rPr>
                <w:rFonts w:ascii="Calibri" w:hAnsi="Calibri"/>
                <w:b/>
                <w:bCs/>
                <w:sz w:val="22"/>
                <w:szCs w:val="22"/>
              </w:rPr>
              <w:t xml:space="preserve"> to allow the appeal of the PTO’s decision in an interference proceeding to go forward.</w:t>
            </w:r>
          </w:p>
          <w:p w14:paraId="65D93AA8" w14:textId="77777777" w:rsidR="000F7558" w:rsidRPr="007D5044" w:rsidRDefault="000F7558" w:rsidP="000F7558">
            <w:pPr>
              <w:pStyle w:val="O-BodyText"/>
              <w:spacing w:after="120"/>
              <w:ind w:right="162"/>
              <w:rPr>
                <w:rFonts w:ascii="Calibri" w:hAnsi="Calibri"/>
                <w:b/>
                <w:bCs/>
                <w:sz w:val="22"/>
                <w:szCs w:val="22"/>
              </w:rPr>
            </w:pPr>
          </w:p>
        </w:tc>
        <w:tc>
          <w:tcPr>
            <w:tcW w:w="5904" w:type="dxa"/>
            <w:vAlign w:val="center"/>
          </w:tcPr>
          <w:p w14:paraId="59AC1B7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AA7902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376EA6F" w14:textId="77777777" w:rsidTr="0010708E">
        <w:trPr>
          <w:trHeight w:val="4795"/>
        </w:trPr>
        <w:tc>
          <w:tcPr>
            <w:tcW w:w="5904" w:type="dxa"/>
            <w:vAlign w:val="center"/>
          </w:tcPr>
          <w:p w14:paraId="2581FCD2" w14:textId="533ED23B"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How do </w:t>
            </w:r>
            <w:proofErr w:type="spellStart"/>
            <w:r>
              <w:rPr>
                <w:rFonts w:ascii="Calibri" w:hAnsi="Calibri"/>
                <w:b/>
                <w:bCs/>
                <w:sz w:val="28"/>
                <w:szCs w:val="28"/>
              </w:rPr>
              <w:t>IPRs</w:t>
            </w:r>
            <w:proofErr w:type="spellEnd"/>
            <w:r>
              <w:rPr>
                <w:rFonts w:ascii="Calibri" w:hAnsi="Calibri"/>
                <w:b/>
                <w:bCs/>
                <w:sz w:val="28"/>
                <w:szCs w:val="28"/>
              </w:rPr>
              <w:t xml:space="preserve"> compare to the interference proceedings at issue in </w:t>
            </w:r>
            <w:r w:rsidRPr="00E91477">
              <w:rPr>
                <w:rFonts w:ascii="Calibri" w:hAnsi="Calibri"/>
                <w:b/>
                <w:bCs/>
                <w:i/>
                <w:sz w:val="28"/>
                <w:szCs w:val="28"/>
              </w:rPr>
              <w:t>Va</w:t>
            </w:r>
            <w:r>
              <w:rPr>
                <w:rFonts w:ascii="Calibri" w:hAnsi="Calibri"/>
                <w:b/>
                <w:bCs/>
                <w:i/>
                <w:sz w:val="28"/>
                <w:szCs w:val="28"/>
              </w:rPr>
              <w:t>s</w:t>
            </w:r>
            <w:r w:rsidRPr="00E91477">
              <w:rPr>
                <w:rFonts w:ascii="Calibri" w:hAnsi="Calibri"/>
                <w:b/>
                <w:bCs/>
                <w:i/>
                <w:sz w:val="28"/>
                <w:szCs w:val="28"/>
              </w:rPr>
              <w:t>-Cath</w:t>
            </w:r>
            <w:r>
              <w:rPr>
                <w:rFonts w:ascii="Calibri" w:hAnsi="Calibri"/>
                <w:b/>
                <w:bCs/>
                <w:sz w:val="28"/>
                <w:szCs w:val="28"/>
              </w:rPr>
              <w:t xml:space="preserve"> (Fed. Cir. 2007)?</w:t>
            </w:r>
          </w:p>
        </w:tc>
        <w:tc>
          <w:tcPr>
            <w:tcW w:w="5904" w:type="dxa"/>
            <w:vAlign w:val="center"/>
          </w:tcPr>
          <w:p w14:paraId="7B4B48C7" w14:textId="259BD9E7" w:rsidR="000F7558" w:rsidRPr="00E91477" w:rsidRDefault="000F7558" w:rsidP="000F7558">
            <w:pPr>
              <w:pStyle w:val="O-BodyText"/>
              <w:spacing w:after="120"/>
              <w:ind w:right="162"/>
              <w:rPr>
                <w:rFonts w:ascii="Calibri" w:hAnsi="Calibri"/>
                <w:b/>
                <w:bCs/>
                <w:sz w:val="22"/>
                <w:szCs w:val="22"/>
              </w:rPr>
            </w:pPr>
            <w:proofErr w:type="spellStart"/>
            <w:r w:rsidRPr="00E91477">
              <w:rPr>
                <w:rFonts w:ascii="Calibri" w:hAnsi="Calibri"/>
                <w:b/>
                <w:bCs/>
                <w:sz w:val="22"/>
                <w:szCs w:val="22"/>
              </w:rPr>
              <w:t>IPRs</w:t>
            </w:r>
            <w:proofErr w:type="spellEnd"/>
            <w:r w:rsidRPr="00E91477">
              <w:rPr>
                <w:rFonts w:ascii="Calibri" w:hAnsi="Calibri"/>
                <w:b/>
                <w:bCs/>
                <w:sz w:val="22"/>
                <w:szCs w:val="22"/>
              </w:rPr>
              <w:t xml:space="preserve"> </w:t>
            </w:r>
            <w:r>
              <w:rPr>
                <w:rFonts w:ascii="Calibri" w:hAnsi="Calibri"/>
                <w:b/>
                <w:bCs/>
                <w:sz w:val="22"/>
                <w:szCs w:val="22"/>
              </w:rPr>
              <w:t>are</w:t>
            </w:r>
            <w:r w:rsidRPr="00E91477">
              <w:rPr>
                <w:rFonts w:ascii="Calibri" w:hAnsi="Calibri"/>
                <w:b/>
                <w:bCs/>
                <w:sz w:val="22"/>
                <w:szCs w:val="22"/>
              </w:rPr>
              <w:t xml:space="preserve"> less like litigation than </w:t>
            </w:r>
            <w:r>
              <w:rPr>
                <w:rFonts w:ascii="Calibri" w:hAnsi="Calibri"/>
                <w:b/>
                <w:bCs/>
                <w:sz w:val="22"/>
                <w:szCs w:val="22"/>
              </w:rPr>
              <w:t xml:space="preserve">the </w:t>
            </w:r>
            <w:r w:rsidRPr="00E91477">
              <w:rPr>
                <w:rFonts w:ascii="Calibri" w:hAnsi="Calibri"/>
                <w:b/>
                <w:bCs/>
                <w:sz w:val="22"/>
                <w:szCs w:val="22"/>
              </w:rPr>
              <w:t xml:space="preserve">interference proceedings in </w:t>
            </w:r>
            <w:r w:rsidRPr="00E91477">
              <w:rPr>
                <w:rFonts w:ascii="Calibri" w:hAnsi="Calibri"/>
                <w:b/>
                <w:bCs/>
                <w:i/>
                <w:sz w:val="22"/>
                <w:szCs w:val="22"/>
              </w:rPr>
              <w:t>Vas-Cath</w:t>
            </w:r>
            <w:r w:rsidRPr="00E91477">
              <w:rPr>
                <w:rFonts w:ascii="Calibri" w:hAnsi="Calibri"/>
                <w:b/>
                <w:bCs/>
                <w:sz w:val="22"/>
                <w:szCs w:val="22"/>
              </w:rPr>
              <w:t>.  Interference requires two parties.</w:t>
            </w:r>
          </w:p>
          <w:p w14:paraId="06CCC09C" w14:textId="77777777" w:rsidR="000F7558" w:rsidRDefault="000F7558" w:rsidP="000F7558">
            <w:pPr>
              <w:pStyle w:val="O-BodyText"/>
              <w:spacing w:after="120"/>
              <w:ind w:right="162"/>
              <w:rPr>
                <w:rFonts w:ascii="Calibri" w:hAnsi="Calibri"/>
                <w:b/>
                <w:bCs/>
                <w:sz w:val="22"/>
                <w:szCs w:val="22"/>
              </w:rPr>
            </w:pPr>
          </w:p>
        </w:tc>
        <w:tc>
          <w:tcPr>
            <w:tcW w:w="5904" w:type="dxa"/>
            <w:vAlign w:val="center"/>
          </w:tcPr>
          <w:p w14:paraId="7805DC9D"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3ED58DE"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CD6A8DA" w14:textId="77777777" w:rsidTr="0010708E">
        <w:trPr>
          <w:trHeight w:val="4795"/>
        </w:trPr>
        <w:tc>
          <w:tcPr>
            <w:tcW w:w="5904" w:type="dxa"/>
            <w:vAlign w:val="center"/>
          </w:tcPr>
          <w:p w14:paraId="2D53BA6F" w14:textId="2FF90F9F"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does </w:t>
            </w:r>
            <w:r w:rsidRPr="0012724D">
              <w:rPr>
                <w:rFonts w:ascii="Calibri" w:hAnsi="Calibri"/>
                <w:b/>
                <w:bCs/>
                <w:i/>
                <w:sz w:val="28"/>
                <w:szCs w:val="28"/>
              </w:rPr>
              <w:t>Vas-Cath</w:t>
            </w:r>
            <w:r>
              <w:rPr>
                <w:rFonts w:ascii="Calibri" w:hAnsi="Calibri"/>
                <w:b/>
                <w:bCs/>
                <w:sz w:val="28"/>
                <w:szCs w:val="28"/>
              </w:rPr>
              <w:t xml:space="preserve"> relate to your waiver argument?</w:t>
            </w:r>
          </w:p>
        </w:tc>
        <w:tc>
          <w:tcPr>
            <w:tcW w:w="5904" w:type="dxa"/>
            <w:vAlign w:val="center"/>
          </w:tcPr>
          <w:p w14:paraId="0023FF68" w14:textId="4297E67C" w:rsidR="000F7558" w:rsidRPr="00E91477"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Like the interference proceedings in </w:t>
            </w:r>
            <w:r w:rsidRPr="009F6446">
              <w:rPr>
                <w:rFonts w:ascii="Calibri" w:hAnsi="Calibri"/>
                <w:b/>
                <w:bCs/>
                <w:i/>
                <w:sz w:val="22"/>
                <w:szCs w:val="22"/>
              </w:rPr>
              <w:t>Vas-Cath</w:t>
            </w:r>
            <w:r>
              <w:rPr>
                <w:rFonts w:ascii="Calibri" w:hAnsi="Calibri"/>
                <w:b/>
                <w:bCs/>
                <w:sz w:val="22"/>
                <w:szCs w:val="22"/>
              </w:rPr>
              <w:t xml:space="preserve">, </w:t>
            </w:r>
            <w:proofErr w:type="spellStart"/>
            <w:r w:rsidRPr="00E91477">
              <w:rPr>
                <w:rFonts w:ascii="Calibri" w:hAnsi="Calibri"/>
                <w:b/>
                <w:bCs/>
                <w:sz w:val="22"/>
                <w:szCs w:val="22"/>
              </w:rPr>
              <w:t>IPR</w:t>
            </w:r>
            <w:proofErr w:type="spellEnd"/>
            <w:r w:rsidRPr="00E91477">
              <w:rPr>
                <w:rFonts w:ascii="Calibri" w:hAnsi="Calibri"/>
                <w:b/>
                <w:bCs/>
                <w:sz w:val="22"/>
                <w:szCs w:val="22"/>
              </w:rPr>
              <w:t xml:space="preserve"> and judicial lawsuits are statutorily intertwined proceedings such that participation in litigation waives immunity in </w:t>
            </w:r>
            <w:proofErr w:type="spellStart"/>
            <w:r w:rsidRPr="00E91477">
              <w:rPr>
                <w:rFonts w:ascii="Calibri" w:hAnsi="Calibri"/>
                <w:b/>
                <w:bCs/>
                <w:sz w:val="22"/>
                <w:szCs w:val="22"/>
              </w:rPr>
              <w:t>IPRs</w:t>
            </w:r>
            <w:proofErr w:type="spellEnd"/>
            <w:r w:rsidRPr="00E91477">
              <w:rPr>
                <w:rFonts w:ascii="Calibri" w:hAnsi="Calibri"/>
                <w:b/>
                <w:bCs/>
                <w:sz w:val="22"/>
                <w:szCs w:val="22"/>
              </w:rPr>
              <w:t>.</w:t>
            </w:r>
          </w:p>
        </w:tc>
        <w:tc>
          <w:tcPr>
            <w:tcW w:w="5904" w:type="dxa"/>
            <w:vAlign w:val="center"/>
          </w:tcPr>
          <w:p w14:paraId="0009EC69"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7BF316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A465214" w14:textId="77777777" w:rsidTr="0010708E">
        <w:trPr>
          <w:trHeight w:val="4795"/>
        </w:trPr>
        <w:tc>
          <w:tcPr>
            <w:tcW w:w="5904" w:type="dxa"/>
            <w:vAlign w:val="center"/>
          </w:tcPr>
          <w:p w14:paraId="36F49933" w14:textId="52AE7813"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Did </w:t>
            </w:r>
            <w:r w:rsidRPr="003D34F0">
              <w:rPr>
                <w:rFonts w:ascii="Calibri" w:hAnsi="Calibri"/>
                <w:b/>
                <w:bCs/>
                <w:i/>
                <w:sz w:val="28"/>
                <w:szCs w:val="28"/>
              </w:rPr>
              <w:t>St. Regis</w:t>
            </w:r>
            <w:r>
              <w:rPr>
                <w:rFonts w:ascii="Calibri" w:hAnsi="Calibri"/>
                <w:b/>
                <w:bCs/>
                <w:sz w:val="28"/>
                <w:szCs w:val="28"/>
              </w:rPr>
              <w:t xml:space="preserve"> (</w:t>
            </w:r>
            <w:r w:rsidRPr="00F2057A">
              <w:rPr>
                <w:rFonts w:ascii="Calibri" w:hAnsi="Calibri"/>
                <w:b/>
                <w:bCs/>
                <w:sz w:val="28"/>
                <w:szCs w:val="28"/>
              </w:rPr>
              <w:t>Fed. Cir. 2018</w:t>
            </w:r>
            <w:r>
              <w:rPr>
                <w:rFonts w:ascii="Calibri" w:hAnsi="Calibri"/>
                <w:b/>
                <w:bCs/>
                <w:sz w:val="28"/>
                <w:szCs w:val="28"/>
              </w:rPr>
              <w:t xml:space="preserve">) address </w:t>
            </w:r>
            <w:r w:rsidRPr="003D34F0">
              <w:rPr>
                <w:rFonts w:ascii="Calibri" w:hAnsi="Calibri"/>
                <w:b/>
                <w:bCs/>
                <w:i/>
                <w:sz w:val="28"/>
                <w:szCs w:val="28"/>
              </w:rPr>
              <w:t>Vas-Cath</w:t>
            </w:r>
            <w:r>
              <w:rPr>
                <w:rFonts w:ascii="Calibri" w:hAnsi="Calibri"/>
                <w:b/>
                <w:bCs/>
                <w:sz w:val="28"/>
                <w:szCs w:val="28"/>
              </w:rPr>
              <w:t xml:space="preserve"> (Fed. Cir. 2007)?</w:t>
            </w:r>
          </w:p>
        </w:tc>
        <w:tc>
          <w:tcPr>
            <w:tcW w:w="5904" w:type="dxa"/>
            <w:vAlign w:val="center"/>
          </w:tcPr>
          <w:p w14:paraId="60A609A0" w14:textId="1491D1C3" w:rsidR="000F7558" w:rsidRPr="003D34F0" w:rsidRDefault="000F7558" w:rsidP="000F7558">
            <w:pPr>
              <w:pStyle w:val="O-BodyText"/>
              <w:spacing w:after="120"/>
              <w:ind w:right="162"/>
              <w:rPr>
                <w:rFonts w:ascii="Calibri" w:hAnsi="Calibri"/>
                <w:b/>
                <w:bCs/>
                <w:sz w:val="22"/>
                <w:szCs w:val="22"/>
              </w:rPr>
            </w:pPr>
            <w:r>
              <w:rPr>
                <w:rFonts w:ascii="Calibri" w:hAnsi="Calibri"/>
                <w:b/>
                <w:bCs/>
                <w:sz w:val="22"/>
                <w:szCs w:val="22"/>
              </w:rPr>
              <w:t>No.  The Saint Regi</w:t>
            </w:r>
            <w:r w:rsidRPr="003D34F0">
              <w:rPr>
                <w:rFonts w:ascii="Calibri" w:hAnsi="Calibri"/>
                <w:b/>
                <w:bCs/>
                <w:sz w:val="22"/>
                <w:szCs w:val="22"/>
              </w:rPr>
              <w:t>s Mohawk Tribe</w:t>
            </w:r>
            <w:r>
              <w:rPr>
                <w:rFonts w:ascii="Calibri" w:hAnsi="Calibri"/>
                <w:b/>
                <w:bCs/>
                <w:sz w:val="22"/>
                <w:szCs w:val="22"/>
              </w:rPr>
              <w:t xml:space="preserve"> raised arguments based on </w:t>
            </w:r>
            <w:r>
              <w:rPr>
                <w:rFonts w:ascii="Calibri" w:hAnsi="Calibri"/>
                <w:b/>
                <w:bCs/>
                <w:i/>
                <w:sz w:val="22"/>
                <w:szCs w:val="22"/>
              </w:rPr>
              <w:t>Vas</w:t>
            </w:r>
            <w:r w:rsidRPr="001F5415">
              <w:rPr>
                <w:rFonts w:ascii="Calibri" w:hAnsi="Calibri"/>
                <w:b/>
                <w:bCs/>
                <w:i/>
                <w:sz w:val="22"/>
                <w:szCs w:val="22"/>
              </w:rPr>
              <w:t>-Cath</w:t>
            </w:r>
            <w:r>
              <w:rPr>
                <w:rFonts w:ascii="Calibri" w:hAnsi="Calibri"/>
                <w:b/>
                <w:bCs/>
                <w:sz w:val="22"/>
                <w:szCs w:val="22"/>
              </w:rPr>
              <w:t xml:space="preserve">, but the </w:t>
            </w:r>
            <w:r w:rsidRPr="003D34F0">
              <w:rPr>
                <w:rFonts w:ascii="Calibri" w:hAnsi="Calibri"/>
                <w:b/>
                <w:bCs/>
                <w:i/>
                <w:sz w:val="22"/>
                <w:szCs w:val="22"/>
              </w:rPr>
              <w:t>St. Regis</w:t>
            </w:r>
            <w:r>
              <w:rPr>
                <w:rFonts w:ascii="Calibri" w:hAnsi="Calibri"/>
                <w:b/>
                <w:bCs/>
                <w:sz w:val="22"/>
                <w:szCs w:val="22"/>
              </w:rPr>
              <w:t xml:space="preserve"> opinion </w:t>
            </w:r>
            <w:r w:rsidRPr="003D34F0">
              <w:rPr>
                <w:rFonts w:ascii="Calibri" w:hAnsi="Calibri"/>
                <w:b/>
                <w:bCs/>
                <w:sz w:val="22"/>
                <w:szCs w:val="22"/>
              </w:rPr>
              <w:t>does not mention</w:t>
            </w:r>
            <w:r>
              <w:rPr>
                <w:rFonts w:ascii="Calibri" w:hAnsi="Calibri"/>
                <w:b/>
                <w:bCs/>
                <w:sz w:val="22"/>
                <w:szCs w:val="22"/>
              </w:rPr>
              <w:t xml:space="preserve"> the </w:t>
            </w:r>
            <w:r w:rsidRPr="001F5415">
              <w:rPr>
                <w:rFonts w:ascii="Calibri" w:hAnsi="Calibri"/>
                <w:b/>
                <w:bCs/>
                <w:i/>
                <w:sz w:val="22"/>
                <w:szCs w:val="22"/>
              </w:rPr>
              <w:t>Vas-Cath</w:t>
            </w:r>
            <w:r>
              <w:rPr>
                <w:rFonts w:ascii="Calibri" w:hAnsi="Calibri"/>
                <w:b/>
                <w:bCs/>
                <w:sz w:val="22"/>
                <w:szCs w:val="22"/>
              </w:rPr>
              <w:t xml:space="preserve"> decision.</w:t>
            </w:r>
          </w:p>
        </w:tc>
        <w:tc>
          <w:tcPr>
            <w:tcW w:w="5904" w:type="dxa"/>
            <w:vAlign w:val="center"/>
          </w:tcPr>
          <w:p w14:paraId="5CCC1FA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DE661E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097ED24" w14:textId="77777777" w:rsidTr="0010708E">
        <w:trPr>
          <w:trHeight w:val="4795"/>
        </w:trPr>
        <w:tc>
          <w:tcPr>
            <w:tcW w:w="5904" w:type="dxa"/>
            <w:vAlign w:val="center"/>
          </w:tcPr>
          <w:p w14:paraId="60377C0A" w14:textId="190D993B"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What was the holding in </w:t>
            </w:r>
            <w:proofErr w:type="spellStart"/>
            <w:r w:rsidRPr="004D32A6">
              <w:rPr>
                <w:rFonts w:ascii="Calibri" w:hAnsi="Calibri"/>
                <w:b/>
                <w:bCs/>
                <w:i/>
                <w:sz w:val="28"/>
                <w:szCs w:val="28"/>
              </w:rPr>
              <w:t>Cuozzo</w:t>
            </w:r>
            <w:proofErr w:type="spellEnd"/>
            <w:r w:rsidRPr="004D32A6">
              <w:rPr>
                <w:rFonts w:ascii="Calibri" w:hAnsi="Calibri"/>
                <w:b/>
                <w:bCs/>
                <w:i/>
                <w:sz w:val="28"/>
                <w:szCs w:val="28"/>
              </w:rPr>
              <w:t xml:space="preserve"> Speed Tech</w:t>
            </w:r>
            <w:r>
              <w:rPr>
                <w:rFonts w:ascii="Calibri" w:hAnsi="Calibri"/>
                <w:b/>
                <w:bCs/>
                <w:i/>
                <w:sz w:val="28"/>
                <w:szCs w:val="28"/>
              </w:rPr>
              <w:t>nologies</w:t>
            </w:r>
            <w:r w:rsidRPr="004D32A6">
              <w:rPr>
                <w:rFonts w:ascii="Calibri" w:hAnsi="Calibri"/>
                <w:b/>
                <w:bCs/>
                <w:i/>
                <w:sz w:val="28"/>
                <w:szCs w:val="28"/>
              </w:rPr>
              <w:t xml:space="preserve"> v. Lee</w:t>
            </w:r>
            <w:r>
              <w:rPr>
                <w:rFonts w:ascii="Calibri" w:hAnsi="Calibri"/>
                <w:b/>
                <w:bCs/>
                <w:sz w:val="28"/>
                <w:szCs w:val="28"/>
              </w:rPr>
              <w:t xml:space="preserve"> </w:t>
            </w:r>
            <w:r w:rsidRPr="004D32A6">
              <w:rPr>
                <w:rFonts w:ascii="Calibri" w:hAnsi="Calibri"/>
                <w:b/>
                <w:bCs/>
                <w:sz w:val="28"/>
                <w:szCs w:val="28"/>
              </w:rPr>
              <w:t>(</w:t>
            </w:r>
            <w:r>
              <w:rPr>
                <w:rFonts w:ascii="Calibri" w:hAnsi="Calibri"/>
                <w:b/>
                <w:bCs/>
                <w:sz w:val="28"/>
                <w:szCs w:val="28"/>
              </w:rPr>
              <w:t xml:space="preserve">U.S. </w:t>
            </w:r>
            <w:r w:rsidRPr="004D32A6">
              <w:rPr>
                <w:rFonts w:ascii="Calibri" w:hAnsi="Calibri"/>
                <w:b/>
                <w:bCs/>
                <w:sz w:val="28"/>
                <w:szCs w:val="28"/>
              </w:rPr>
              <w:t>2016)</w:t>
            </w:r>
            <w:r>
              <w:rPr>
                <w:rFonts w:ascii="Calibri" w:hAnsi="Calibri"/>
                <w:b/>
                <w:bCs/>
                <w:sz w:val="28"/>
                <w:szCs w:val="28"/>
              </w:rPr>
              <w:t>?</w:t>
            </w:r>
          </w:p>
        </w:tc>
        <w:tc>
          <w:tcPr>
            <w:tcW w:w="5904" w:type="dxa"/>
            <w:vAlign w:val="center"/>
          </w:tcPr>
          <w:p w14:paraId="4B9E64CC" w14:textId="005CE8E2"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proofErr w:type="spellStart"/>
            <w:r w:rsidRPr="001739AB">
              <w:rPr>
                <w:rFonts w:ascii="Calibri" w:hAnsi="Calibri"/>
                <w:b/>
                <w:bCs/>
                <w:i/>
                <w:sz w:val="22"/>
                <w:szCs w:val="22"/>
              </w:rPr>
              <w:t>Cuozzo</w:t>
            </w:r>
            <w:proofErr w:type="spellEnd"/>
            <w:r>
              <w:rPr>
                <w:rFonts w:ascii="Calibri" w:hAnsi="Calibri"/>
                <w:b/>
                <w:bCs/>
                <w:sz w:val="22"/>
                <w:szCs w:val="22"/>
              </w:rPr>
              <w:t xml:space="preserve"> (U.S. 2016), the Supreme Court h</w:t>
            </w:r>
            <w:r w:rsidRPr="004D32A6">
              <w:rPr>
                <w:rFonts w:ascii="Calibri" w:hAnsi="Calibri"/>
                <w:b/>
                <w:bCs/>
                <w:sz w:val="22"/>
                <w:szCs w:val="22"/>
              </w:rPr>
              <w:t>eld that the A</w:t>
            </w:r>
            <w:r>
              <w:rPr>
                <w:rFonts w:ascii="Calibri" w:hAnsi="Calibri"/>
                <w:b/>
                <w:bCs/>
                <w:sz w:val="22"/>
                <w:szCs w:val="22"/>
              </w:rPr>
              <w:t xml:space="preserve">merica Invents Act </w:t>
            </w:r>
            <w:r w:rsidRPr="004D32A6">
              <w:rPr>
                <w:rFonts w:ascii="Calibri" w:hAnsi="Calibri"/>
                <w:b/>
                <w:bCs/>
                <w:sz w:val="22"/>
                <w:szCs w:val="22"/>
              </w:rPr>
              <w:t xml:space="preserve">bars review of </w:t>
            </w:r>
            <w:proofErr w:type="spellStart"/>
            <w:r w:rsidRPr="004D32A6">
              <w:rPr>
                <w:rFonts w:ascii="Calibri" w:hAnsi="Calibri"/>
                <w:b/>
                <w:bCs/>
                <w:sz w:val="22"/>
                <w:szCs w:val="22"/>
              </w:rPr>
              <w:t>IPR</w:t>
            </w:r>
            <w:proofErr w:type="spellEnd"/>
            <w:r>
              <w:rPr>
                <w:rFonts w:ascii="Calibri" w:hAnsi="Calibri"/>
                <w:b/>
                <w:bCs/>
                <w:sz w:val="22"/>
                <w:szCs w:val="22"/>
              </w:rPr>
              <w:t xml:space="preserve"> institution decisions.  It als</w:t>
            </w:r>
            <w:r w:rsidRPr="004D32A6">
              <w:rPr>
                <w:rFonts w:ascii="Calibri" w:hAnsi="Calibri"/>
                <w:b/>
                <w:bCs/>
                <w:sz w:val="22"/>
                <w:szCs w:val="22"/>
              </w:rPr>
              <w:t xml:space="preserve">o held that </w:t>
            </w:r>
            <w:r>
              <w:rPr>
                <w:rFonts w:ascii="Calibri" w:hAnsi="Calibri"/>
                <w:b/>
                <w:bCs/>
                <w:sz w:val="22"/>
                <w:szCs w:val="22"/>
              </w:rPr>
              <w:t xml:space="preserve">the </w:t>
            </w:r>
            <w:r w:rsidRPr="004D32A6">
              <w:rPr>
                <w:rFonts w:ascii="Calibri" w:hAnsi="Calibri"/>
                <w:b/>
                <w:bCs/>
                <w:sz w:val="22"/>
                <w:szCs w:val="22"/>
              </w:rPr>
              <w:t>PTO’s adoption of the “broadest reasonable interpretation” standard was a proper exercise of rulemaking authority</w:t>
            </w:r>
            <w:r>
              <w:rPr>
                <w:rFonts w:ascii="Calibri" w:hAnsi="Calibri"/>
                <w:b/>
                <w:bCs/>
                <w:sz w:val="22"/>
                <w:szCs w:val="22"/>
              </w:rPr>
              <w:t>.</w:t>
            </w:r>
          </w:p>
        </w:tc>
        <w:tc>
          <w:tcPr>
            <w:tcW w:w="5904" w:type="dxa"/>
            <w:vAlign w:val="center"/>
          </w:tcPr>
          <w:p w14:paraId="168DC5CC"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7E9D4D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58012F4" w14:textId="77777777" w:rsidTr="0010708E">
        <w:trPr>
          <w:trHeight w:val="4795"/>
        </w:trPr>
        <w:tc>
          <w:tcPr>
            <w:tcW w:w="5904" w:type="dxa"/>
            <w:vAlign w:val="center"/>
          </w:tcPr>
          <w:p w14:paraId="15DCE9A2" w14:textId="50209B72"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is the significance of </w:t>
            </w:r>
            <w:proofErr w:type="spellStart"/>
            <w:r w:rsidRPr="001739AB">
              <w:rPr>
                <w:rFonts w:ascii="Calibri" w:hAnsi="Calibri"/>
                <w:b/>
                <w:bCs/>
                <w:i/>
                <w:sz w:val="28"/>
                <w:szCs w:val="28"/>
              </w:rPr>
              <w:t>Cuozzo</w:t>
            </w:r>
            <w:proofErr w:type="spellEnd"/>
            <w:r>
              <w:rPr>
                <w:rFonts w:ascii="Calibri" w:hAnsi="Calibri"/>
                <w:b/>
                <w:bCs/>
                <w:sz w:val="28"/>
                <w:szCs w:val="28"/>
              </w:rPr>
              <w:t xml:space="preserve"> (U.S. 2016) to this case?</w:t>
            </w:r>
          </w:p>
        </w:tc>
        <w:tc>
          <w:tcPr>
            <w:tcW w:w="5904" w:type="dxa"/>
            <w:vAlign w:val="center"/>
          </w:tcPr>
          <w:p w14:paraId="56FB9775" w14:textId="2FFBBBEF"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proofErr w:type="spellStart"/>
            <w:r w:rsidRPr="001739AB">
              <w:rPr>
                <w:rFonts w:ascii="Calibri" w:hAnsi="Calibri"/>
                <w:b/>
                <w:bCs/>
                <w:i/>
                <w:sz w:val="22"/>
                <w:szCs w:val="22"/>
              </w:rPr>
              <w:t>Cuozzo</w:t>
            </w:r>
            <w:proofErr w:type="spellEnd"/>
            <w:r>
              <w:rPr>
                <w:rFonts w:ascii="Calibri" w:hAnsi="Calibri"/>
                <w:b/>
                <w:bCs/>
                <w:sz w:val="22"/>
                <w:szCs w:val="22"/>
              </w:rPr>
              <w:t>, the c</w:t>
            </w:r>
            <w:r w:rsidRPr="001739AB">
              <w:rPr>
                <w:rFonts w:ascii="Calibri" w:hAnsi="Calibri"/>
                <w:b/>
                <w:bCs/>
                <w:sz w:val="22"/>
                <w:szCs w:val="22"/>
              </w:rPr>
              <w:t xml:space="preserve">hallenger argued that </w:t>
            </w:r>
            <w:r>
              <w:rPr>
                <w:rFonts w:ascii="Calibri" w:hAnsi="Calibri"/>
                <w:b/>
                <w:bCs/>
                <w:sz w:val="22"/>
                <w:szCs w:val="22"/>
              </w:rPr>
              <w:t xml:space="preserve">the </w:t>
            </w:r>
            <w:proofErr w:type="spellStart"/>
            <w:r>
              <w:rPr>
                <w:rFonts w:ascii="Calibri" w:hAnsi="Calibri"/>
                <w:b/>
                <w:bCs/>
                <w:sz w:val="22"/>
                <w:szCs w:val="22"/>
              </w:rPr>
              <w:t>IPR’s</w:t>
            </w:r>
            <w:proofErr w:type="spellEnd"/>
            <w:r>
              <w:rPr>
                <w:rFonts w:ascii="Calibri" w:hAnsi="Calibri"/>
                <w:b/>
                <w:bCs/>
                <w:sz w:val="22"/>
                <w:szCs w:val="22"/>
              </w:rPr>
              <w:t xml:space="preserve"> </w:t>
            </w:r>
            <w:r w:rsidRPr="001739AB">
              <w:rPr>
                <w:rFonts w:ascii="Calibri" w:hAnsi="Calibri"/>
                <w:b/>
                <w:bCs/>
                <w:sz w:val="22"/>
                <w:szCs w:val="22"/>
              </w:rPr>
              <w:t xml:space="preserve">resemblance to civil litigation mandated reviewability and </w:t>
            </w:r>
            <w:r>
              <w:rPr>
                <w:rFonts w:ascii="Calibri" w:hAnsi="Calibri"/>
                <w:b/>
                <w:bCs/>
                <w:sz w:val="22"/>
                <w:szCs w:val="22"/>
              </w:rPr>
              <w:t xml:space="preserve">the </w:t>
            </w:r>
            <w:r w:rsidRPr="001739AB">
              <w:rPr>
                <w:rFonts w:ascii="Calibri" w:hAnsi="Calibri"/>
                <w:b/>
                <w:bCs/>
                <w:sz w:val="22"/>
                <w:szCs w:val="22"/>
              </w:rPr>
              <w:t>same claim construction standard</w:t>
            </w:r>
            <w:r>
              <w:rPr>
                <w:rFonts w:ascii="Calibri" w:hAnsi="Calibri"/>
                <w:b/>
                <w:bCs/>
                <w:sz w:val="22"/>
                <w:szCs w:val="22"/>
              </w:rPr>
              <w:t xml:space="preserve">.  </w:t>
            </w:r>
            <w:r w:rsidRPr="001739AB">
              <w:rPr>
                <w:rFonts w:ascii="Calibri" w:hAnsi="Calibri"/>
                <w:b/>
                <w:bCs/>
                <w:sz w:val="22"/>
                <w:szCs w:val="22"/>
              </w:rPr>
              <w:t xml:space="preserve">The </w:t>
            </w:r>
            <w:r>
              <w:rPr>
                <w:rFonts w:ascii="Calibri" w:hAnsi="Calibri"/>
                <w:b/>
                <w:bCs/>
                <w:sz w:val="22"/>
                <w:szCs w:val="22"/>
              </w:rPr>
              <w:t xml:space="preserve">Supreme </w:t>
            </w:r>
            <w:r w:rsidRPr="001739AB">
              <w:rPr>
                <w:rFonts w:ascii="Calibri" w:hAnsi="Calibri"/>
                <w:b/>
                <w:bCs/>
                <w:sz w:val="22"/>
                <w:szCs w:val="22"/>
              </w:rPr>
              <w:t>Court rejected</w:t>
            </w:r>
            <w:r>
              <w:rPr>
                <w:rFonts w:ascii="Calibri" w:hAnsi="Calibri"/>
                <w:b/>
                <w:bCs/>
                <w:sz w:val="22"/>
                <w:szCs w:val="22"/>
              </w:rPr>
              <w:t xml:space="preserve"> that argument</w:t>
            </w:r>
            <w:r w:rsidRPr="001739AB">
              <w:rPr>
                <w:rFonts w:ascii="Calibri" w:hAnsi="Calibri"/>
                <w:b/>
                <w:bCs/>
                <w:sz w:val="22"/>
                <w:szCs w:val="22"/>
              </w:rPr>
              <w:t xml:space="preserve">, noting that </w:t>
            </w:r>
            <w:proofErr w:type="spellStart"/>
            <w:r w:rsidRPr="001739AB">
              <w:rPr>
                <w:rFonts w:ascii="Calibri" w:hAnsi="Calibri"/>
                <w:b/>
                <w:bCs/>
                <w:sz w:val="22"/>
                <w:szCs w:val="22"/>
              </w:rPr>
              <w:t>IPRs</w:t>
            </w:r>
            <w:proofErr w:type="spellEnd"/>
            <w:r w:rsidRPr="001739AB">
              <w:rPr>
                <w:rFonts w:ascii="Calibri" w:hAnsi="Calibri"/>
                <w:b/>
                <w:bCs/>
                <w:sz w:val="22"/>
                <w:szCs w:val="22"/>
              </w:rPr>
              <w:t xml:space="preserve"> are different from judicial proceedings in their purpose</w:t>
            </w:r>
            <w:r>
              <w:rPr>
                <w:rFonts w:ascii="Calibri" w:hAnsi="Calibri"/>
                <w:b/>
                <w:bCs/>
                <w:sz w:val="22"/>
                <w:szCs w:val="22"/>
              </w:rPr>
              <w:t xml:space="preserve"> (reexamination)</w:t>
            </w:r>
            <w:r w:rsidRPr="001739AB">
              <w:rPr>
                <w:rFonts w:ascii="Calibri" w:hAnsi="Calibri"/>
                <w:b/>
                <w:bCs/>
                <w:sz w:val="22"/>
                <w:szCs w:val="22"/>
              </w:rPr>
              <w:t xml:space="preserve"> and procedures</w:t>
            </w:r>
            <w:r>
              <w:rPr>
                <w:rFonts w:ascii="Calibri" w:hAnsi="Calibri"/>
                <w:b/>
                <w:bCs/>
                <w:sz w:val="22"/>
                <w:szCs w:val="22"/>
              </w:rPr>
              <w:t xml:space="preserve">.  </w:t>
            </w:r>
            <w:proofErr w:type="spellStart"/>
            <w:r>
              <w:rPr>
                <w:rFonts w:ascii="Calibri" w:hAnsi="Calibri"/>
                <w:b/>
                <w:bCs/>
                <w:sz w:val="22"/>
                <w:szCs w:val="22"/>
              </w:rPr>
              <w:t>IPRs</w:t>
            </w:r>
            <w:proofErr w:type="spellEnd"/>
            <w:r>
              <w:rPr>
                <w:rFonts w:ascii="Calibri" w:hAnsi="Calibri"/>
                <w:b/>
                <w:bCs/>
                <w:sz w:val="22"/>
                <w:szCs w:val="22"/>
              </w:rPr>
              <w:t xml:space="preserve"> are more like a specialized agency proceeding.</w:t>
            </w:r>
          </w:p>
        </w:tc>
        <w:tc>
          <w:tcPr>
            <w:tcW w:w="5904" w:type="dxa"/>
            <w:vAlign w:val="center"/>
          </w:tcPr>
          <w:p w14:paraId="0CEE58C5"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ED03B4F"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2B3837E" w14:textId="77777777" w:rsidTr="0010708E">
        <w:trPr>
          <w:trHeight w:val="4795"/>
        </w:trPr>
        <w:tc>
          <w:tcPr>
            <w:tcW w:w="5904" w:type="dxa"/>
            <w:vAlign w:val="center"/>
          </w:tcPr>
          <w:p w14:paraId="59F227FE" w14:textId="62C5ACA1"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How is </w:t>
            </w:r>
            <w:r w:rsidRPr="00AE1ED6">
              <w:rPr>
                <w:rFonts w:ascii="Calibri" w:hAnsi="Calibri"/>
                <w:b/>
                <w:bCs/>
                <w:i/>
                <w:sz w:val="28"/>
                <w:szCs w:val="28"/>
              </w:rPr>
              <w:t>Alden v. Maine</w:t>
            </w:r>
            <w:r>
              <w:rPr>
                <w:rFonts w:ascii="Calibri" w:hAnsi="Calibri"/>
                <w:b/>
                <w:bCs/>
                <w:sz w:val="28"/>
                <w:szCs w:val="28"/>
              </w:rPr>
              <w:t xml:space="preserve"> </w:t>
            </w:r>
            <w:r w:rsidRPr="00AE1ED6">
              <w:rPr>
                <w:rFonts w:ascii="Calibri" w:hAnsi="Calibri"/>
                <w:b/>
                <w:bCs/>
                <w:sz w:val="28"/>
                <w:szCs w:val="28"/>
              </w:rPr>
              <w:t>(</w:t>
            </w:r>
            <w:r>
              <w:rPr>
                <w:rFonts w:ascii="Calibri" w:hAnsi="Calibri"/>
                <w:b/>
                <w:bCs/>
                <w:sz w:val="28"/>
                <w:szCs w:val="28"/>
              </w:rPr>
              <w:t xml:space="preserve">U.S. </w:t>
            </w:r>
            <w:r w:rsidRPr="00AE1ED6">
              <w:rPr>
                <w:rFonts w:ascii="Calibri" w:hAnsi="Calibri"/>
                <w:b/>
                <w:bCs/>
                <w:sz w:val="28"/>
                <w:szCs w:val="28"/>
              </w:rPr>
              <w:t>1999)</w:t>
            </w:r>
            <w:r>
              <w:rPr>
                <w:rFonts w:ascii="Calibri" w:hAnsi="Calibri"/>
                <w:b/>
                <w:bCs/>
                <w:sz w:val="28"/>
                <w:szCs w:val="28"/>
              </w:rPr>
              <w:t xml:space="preserve"> relevant to this case?</w:t>
            </w:r>
          </w:p>
        </w:tc>
        <w:tc>
          <w:tcPr>
            <w:tcW w:w="5904" w:type="dxa"/>
            <w:vAlign w:val="center"/>
          </w:tcPr>
          <w:p w14:paraId="39F52346" w14:textId="7B76E055" w:rsidR="000F7558" w:rsidRDefault="000F7558" w:rsidP="000F7558">
            <w:pPr>
              <w:pStyle w:val="O-BodyText"/>
              <w:spacing w:after="120"/>
              <w:ind w:right="162"/>
              <w:rPr>
                <w:rFonts w:ascii="Calibri" w:hAnsi="Calibri"/>
                <w:b/>
                <w:bCs/>
                <w:sz w:val="22"/>
                <w:szCs w:val="22"/>
              </w:rPr>
            </w:pPr>
            <w:r w:rsidRPr="00AE1ED6">
              <w:rPr>
                <w:rFonts w:ascii="Calibri" w:hAnsi="Calibri"/>
                <w:b/>
                <w:bCs/>
                <w:i/>
                <w:sz w:val="22"/>
                <w:szCs w:val="22"/>
              </w:rPr>
              <w:t>Alden v. Maine</w:t>
            </w:r>
            <w:r w:rsidRPr="00AE1ED6">
              <w:rPr>
                <w:rFonts w:ascii="Calibri" w:hAnsi="Calibri"/>
                <w:b/>
                <w:bCs/>
                <w:sz w:val="22"/>
                <w:szCs w:val="22"/>
              </w:rPr>
              <w:t xml:space="preserve"> (U.S. 1999) </w:t>
            </w:r>
            <w:r>
              <w:rPr>
                <w:rFonts w:ascii="Calibri" w:hAnsi="Calibri"/>
                <w:b/>
                <w:bCs/>
                <w:sz w:val="22"/>
                <w:szCs w:val="22"/>
              </w:rPr>
              <w:t xml:space="preserve">is relevant to this case </w:t>
            </w:r>
            <w:r w:rsidRPr="00AE1ED6">
              <w:rPr>
                <w:rFonts w:ascii="Calibri" w:hAnsi="Calibri"/>
                <w:b/>
                <w:bCs/>
                <w:sz w:val="22"/>
                <w:szCs w:val="22"/>
              </w:rPr>
              <w:t xml:space="preserve">because it explains that “In ratifying the Constitution, the States consented to suits brought by other States or by </w:t>
            </w:r>
            <w:r w:rsidRPr="00AE1ED6">
              <w:rPr>
                <w:rFonts w:ascii="Calibri" w:hAnsi="Calibri"/>
                <w:b/>
                <w:bCs/>
                <w:i/>
                <w:sz w:val="22"/>
                <w:szCs w:val="22"/>
              </w:rPr>
              <w:t>the Federal Government</w:t>
            </w:r>
            <w:r w:rsidRPr="00AE1ED6">
              <w:rPr>
                <w:rFonts w:ascii="Calibri" w:hAnsi="Calibri"/>
                <w:b/>
                <w:bCs/>
                <w:sz w:val="22"/>
                <w:szCs w:val="22"/>
              </w:rPr>
              <w:t>.”</w:t>
            </w:r>
            <w:r>
              <w:rPr>
                <w:rFonts w:ascii="Calibri" w:hAnsi="Calibri"/>
                <w:b/>
                <w:bCs/>
                <w:sz w:val="22"/>
                <w:szCs w:val="22"/>
              </w:rPr>
              <w:t xml:space="preserve"> </w:t>
            </w:r>
            <w:r w:rsidRPr="00030D4B">
              <w:rPr>
                <w:rFonts w:ascii="Calibri" w:hAnsi="Calibri"/>
                <w:b/>
                <w:bCs/>
                <w:sz w:val="22"/>
                <w:szCs w:val="22"/>
              </w:rPr>
              <w:t xml:space="preserve">Because an </w:t>
            </w:r>
            <w:proofErr w:type="spellStart"/>
            <w:r w:rsidRPr="00030D4B">
              <w:rPr>
                <w:rFonts w:ascii="Calibri" w:hAnsi="Calibri"/>
                <w:b/>
                <w:bCs/>
                <w:sz w:val="22"/>
                <w:szCs w:val="22"/>
              </w:rPr>
              <w:t>IPR</w:t>
            </w:r>
            <w:proofErr w:type="spellEnd"/>
            <w:r w:rsidRPr="00030D4B">
              <w:rPr>
                <w:rFonts w:ascii="Calibri" w:hAnsi="Calibri"/>
                <w:b/>
                <w:bCs/>
                <w:sz w:val="22"/>
                <w:szCs w:val="22"/>
              </w:rPr>
              <w:t xml:space="preserve"> is initiated by the </w:t>
            </w:r>
            <w:r>
              <w:rPr>
                <w:rFonts w:ascii="Calibri" w:hAnsi="Calibri"/>
                <w:b/>
                <w:bCs/>
                <w:sz w:val="22"/>
                <w:szCs w:val="22"/>
              </w:rPr>
              <w:t>USPTO D</w:t>
            </w:r>
            <w:r w:rsidRPr="00030D4B">
              <w:rPr>
                <w:rFonts w:ascii="Calibri" w:hAnsi="Calibri"/>
                <w:b/>
                <w:bCs/>
                <w:sz w:val="22"/>
                <w:szCs w:val="22"/>
              </w:rPr>
              <w:t>irector, it is a suit by the federal government from</w:t>
            </w:r>
            <w:r>
              <w:rPr>
                <w:rFonts w:ascii="Calibri" w:hAnsi="Calibri"/>
                <w:b/>
                <w:bCs/>
                <w:sz w:val="22"/>
                <w:szCs w:val="22"/>
              </w:rPr>
              <w:t xml:space="preserve"> which states are not immune.</w:t>
            </w:r>
          </w:p>
        </w:tc>
        <w:tc>
          <w:tcPr>
            <w:tcW w:w="5904" w:type="dxa"/>
            <w:vAlign w:val="center"/>
          </w:tcPr>
          <w:p w14:paraId="0C5712C5"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377B6F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7DC3E79" w14:textId="77777777" w:rsidTr="0010708E">
        <w:trPr>
          <w:trHeight w:val="4795"/>
        </w:trPr>
        <w:tc>
          <w:tcPr>
            <w:tcW w:w="5904" w:type="dxa"/>
            <w:vAlign w:val="center"/>
          </w:tcPr>
          <w:p w14:paraId="6028C293" w14:textId="73B13AB1"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Is an </w:t>
            </w:r>
            <w:proofErr w:type="spellStart"/>
            <w:r>
              <w:rPr>
                <w:rFonts w:ascii="Calibri" w:hAnsi="Calibri"/>
                <w:b/>
                <w:bCs/>
                <w:sz w:val="28"/>
                <w:szCs w:val="28"/>
              </w:rPr>
              <w:t>IPR</w:t>
            </w:r>
            <w:proofErr w:type="spellEnd"/>
            <w:r>
              <w:rPr>
                <w:rFonts w:ascii="Calibri" w:hAnsi="Calibri"/>
                <w:b/>
                <w:bCs/>
                <w:sz w:val="28"/>
                <w:szCs w:val="28"/>
              </w:rPr>
              <w:t xml:space="preserve"> a suit by the federal government or a private party?</w:t>
            </w:r>
          </w:p>
        </w:tc>
        <w:tc>
          <w:tcPr>
            <w:tcW w:w="5904" w:type="dxa"/>
            <w:vAlign w:val="center"/>
          </w:tcPr>
          <w:p w14:paraId="16BD6AFB" w14:textId="69C53ED2" w:rsidR="000F7558" w:rsidRPr="00030D4B" w:rsidRDefault="000F7558" w:rsidP="000F7558">
            <w:pPr>
              <w:pStyle w:val="O-BodyText"/>
              <w:spacing w:after="120"/>
              <w:ind w:right="162"/>
              <w:rPr>
                <w:rFonts w:ascii="Calibri" w:hAnsi="Calibri"/>
                <w:b/>
                <w:bCs/>
                <w:sz w:val="22"/>
                <w:szCs w:val="22"/>
              </w:rPr>
            </w:pPr>
            <w:r w:rsidRPr="00030D4B">
              <w:rPr>
                <w:rFonts w:ascii="Calibri" w:hAnsi="Calibri"/>
                <w:b/>
                <w:bCs/>
                <w:sz w:val="22"/>
                <w:szCs w:val="22"/>
              </w:rPr>
              <w:t xml:space="preserve">Because an </w:t>
            </w:r>
            <w:proofErr w:type="spellStart"/>
            <w:r w:rsidRPr="00030D4B">
              <w:rPr>
                <w:rFonts w:ascii="Calibri" w:hAnsi="Calibri"/>
                <w:b/>
                <w:bCs/>
                <w:sz w:val="22"/>
                <w:szCs w:val="22"/>
              </w:rPr>
              <w:t>IPR</w:t>
            </w:r>
            <w:proofErr w:type="spellEnd"/>
            <w:r w:rsidRPr="00030D4B">
              <w:rPr>
                <w:rFonts w:ascii="Calibri" w:hAnsi="Calibri"/>
                <w:b/>
                <w:bCs/>
                <w:sz w:val="22"/>
                <w:szCs w:val="22"/>
              </w:rPr>
              <w:t xml:space="preserve"> is initiated by the </w:t>
            </w:r>
            <w:r>
              <w:rPr>
                <w:rFonts w:ascii="Calibri" w:hAnsi="Calibri"/>
                <w:b/>
                <w:bCs/>
                <w:sz w:val="22"/>
                <w:szCs w:val="22"/>
              </w:rPr>
              <w:t>D</w:t>
            </w:r>
            <w:r w:rsidRPr="00030D4B">
              <w:rPr>
                <w:rFonts w:ascii="Calibri" w:hAnsi="Calibri"/>
                <w:b/>
                <w:bCs/>
                <w:sz w:val="22"/>
                <w:szCs w:val="22"/>
              </w:rPr>
              <w:t>irector</w:t>
            </w:r>
            <w:r>
              <w:rPr>
                <w:rFonts w:ascii="Calibri" w:hAnsi="Calibri"/>
                <w:b/>
                <w:bCs/>
                <w:sz w:val="22"/>
                <w:szCs w:val="22"/>
              </w:rPr>
              <w:t xml:space="preserve"> of the USPTO</w:t>
            </w:r>
            <w:r w:rsidRPr="00030D4B">
              <w:rPr>
                <w:rFonts w:ascii="Calibri" w:hAnsi="Calibri"/>
                <w:b/>
                <w:bCs/>
                <w:sz w:val="22"/>
                <w:szCs w:val="22"/>
              </w:rPr>
              <w:t>, it is a suit by the federal government fro</w:t>
            </w:r>
            <w:r>
              <w:rPr>
                <w:rFonts w:ascii="Calibri" w:hAnsi="Calibri"/>
                <w:b/>
                <w:bCs/>
                <w:sz w:val="22"/>
                <w:szCs w:val="22"/>
              </w:rPr>
              <w:t xml:space="preserve">m which states are not immune.  </w:t>
            </w:r>
            <w:proofErr w:type="spellStart"/>
            <w:r w:rsidRPr="00030D4B">
              <w:rPr>
                <w:rFonts w:ascii="Calibri" w:hAnsi="Calibri"/>
                <w:b/>
                <w:bCs/>
                <w:sz w:val="22"/>
                <w:szCs w:val="22"/>
              </w:rPr>
              <w:t>IPRs</w:t>
            </w:r>
            <w:proofErr w:type="spellEnd"/>
            <w:r w:rsidRPr="00030D4B">
              <w:rPr>
                <w:rFonts w:ascii="Calibri" w:hAnsi="Calibri"/>
                <w:b/>
                <w:bCs/>
                <w:sz w:val="22"/>
                <w:szCs w:val="22"/>
              </w:rPr>
              <w:t xml:space="preserve"> are federal actions brought as part of the duty to take care</w:t>
            </w:r>
            <w:r>
              <w:rPr>
                <w:rFonts w:ascii="Calibri" w:hAnsi="Calibri"/>
                <w:b/>
                <w:bCs/>
                <w:sz w:val="22"/>
                <w:szCs w:val="22"/>
              </w:rPr>
              <w:t xml:space="preserve"> that the laws be faithfully executed (U.S. Const. art. II, § 3).  The goal of </w:t>
            </w:r>
            <w:proofErr w:type="spellStart"/>
            <w:r>
              <w:rPr>
                <w:rFonts w:ascii="Calibri" w:hAnsi="Calibri"/>
                <w:b/>
                <w:bCs/>
                <w:sz w:val="22"/>
                <w:szCs w:val="22"/>
              </w:rPr>
              <w:t>IPR</w:t>
            </w:r>
            <w:proofErr w:type="spellEnd"/>
            <w:r>
              <w:rPr>
                <w:rFonts w:ascii="Calibri" w:hAnsi="Calibri"/>
                <w:b/>
                <w:bCs/>
                <w:sz w:val="22"/>
                <w:szCs w:val="22"/>
              </w:rPr>
              <w:t xml:space="preserve"> is </w:t>
            </w:r>
            <w:r w:rsidRPr="00030D4B">
              <w:rPr>
                <w:rFonts w:ascii="Calibri" w:hAnsi="Calibri"/>
                <w:b/>
                <w:bCs/>
                <w:sz w:val="22"/>
                <w:szCs w:val="22"/>
              </w:rPr>
              <w:t>to protect the public from wrongfully issued patents.</w:t>
            </w:r>
          </w:p>
        </w:tc>
        <w:tc>
          <w:tcPr>
            <w:tcW w:w="5904" w:type="dxa"/>
            <w:vAlign w:val="center"/>
          </w:tcPr>
          <w:p w14:paraId="7BBDD009"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BE2D39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8C70B12" w14:textId="77777777" w:rsidTr="0010708E">
        <w:trPr>
          <w:trHeight w:val="4795"/>
        </w:trPr>
        <w:tc>
          <w:tcPr>
            <w:tcW w:w="5904" w:type="dxa"/>
            <w:vAlign w:val="center"/>
          </w:tcPr>
          <w:p w14:paraId="7B7143AF" w14:textId="0C393077"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What was the holding in </w:t>
            </w:r>
            <w:r w:rsidRPr="00705DCA">
              <w:rPr>
                <w:rFonts w:ascii="Calibri" w:hAnsi="Calibri"/>
                <w:b/>
                <w:bCs/>
                <w:i/>
                <w:sz w:val="28"/>
                <w:szCs w:val="28"/>
              </w:rPr>
              <w:t>Tennessee Student Assistance Corporation v. Hood</w:t>
            </w:r>
            <w:r w:rsidRPr="000D00FE">
              <w:rPr>
                <w:rFonts w:ascii="Calibri" w:hAnsi="Calibri"/>
                <w:b/>
                <w:bCs/>
                <w:sz w:val="28"/>
                <w:szCs w:val="28"/>
              </w:rPr>
              <w:t xml:space="preserve"> (U.S. 2004)</w:t>
            </w:r>
            <w:r>
              <w:rPr>
                <w:rFonts w:ascii="Calibri" w:hAnsi="Calibri"/>
                <w:b/>
                <w:bCs/>
                <w:sz w:val="28"/>
                <w:szCs w:val="28"/>
              </w:rPr>
              <w:t>?</w:t>
            </w:r>
          </w:p>
        </w:tc>
        <w:tc>
          <w:tcPr>
            <w:tcW w:w="5904" w:type="dxa"/>
            <w:vAlign w:val="center"/>
          </w:tcPr>
          <w:p w14:paraId="433E90B4" w14:textId="340CE64F" w:rsidR="000F7558" w:rsidRPr="00030D4B"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r w:rsidRPr="00705DCA">
              <w:rPr>
                <w:rFonts w:ascii="Calibri" w:hAnsi="Calibri"/>
                <w:b/>
                <w:bCs/>
                <w:i/>
                <w:sz w:val="22"/>
                <w:szCs w:val="22"/>
              </w:rPr>
              <w:t>Tennessee Student Assistance Corporation v. Hood</w:t>
            </w:r>
            <w:r w:rsidRPr="00705DCA">
              <w:rPr>
                <w:rFonts w:ascii="Calibri" w:hAnsi="Calibri"/>
                <w:b/>
                <w:bCs/>
                <w:sz w:val="22"/>
                <w:szCs w:val="22"/>
              </w:rPr>
              <w:t xml:space="preserve"> (U.S. 2004)</w:t>
            </w:r>
            <w:r>
              <w:rPr>
                <w:rFonts w:ascii="Calibri" w:hAnsi="Calibri"/>
                <w:b/>
                <w:bCs/>
                <w:sz w:val="22"/>
                <w:szCs w:val="22"/>
              </w:rPr>
              <w:t>, the Supreme Court he</w:t>
            </w:r>
            <w:r w:rsidRPr="000D00FE">
              <w:rPr>
                <w:rFonts w:ascii="Calibri" w:hAnsi="Calibri"/>
                <w:b/>
                <w:bCs/>
                <w:sz w:val="22"/>
                <w:szCs w:val="22"/>
              </w:rPr>
              <w:t xml:space="preserve">ld that </w:t>
            </w:r>
            <w:r>
              <w:rPr>
                <w:rFonts w:ascii="Calibri" w:hAnsi="Calibri"/>
                <w:b/>
                <w:bCs/>
                <w:sz w:val="22"/>
                <w:szCs w:val="22"/>
              </w:rPr>
              <w:t xml:space="preserve">a </w:t>
            </w:r>
            <w:r w:rsidRPr="000D00FE">
              <w:rPr>
                <w:rFonts w:ascii="Calibri" w:hAnsi="Calibri"/>
                <w:b/>
                <w:bCs/>
                <w:sz w:val="22"/>
                <w:szCs w:val="22"/>
              </w:rPr>
              <w:t>bankruptcy action to discharge state held student debt did not infringe state sovereign immunity becaus</w:t>
            </w:r>
            <w:r>
              <w:rPr>
                <w:rFonts w:ascii="Calibri" w:hAnsi="Calibri"/>
                <w:b/>
                <w:bCs/>
                <w:sz w:val="22"/>
                <w:szCs w:val="22"/>
              </w:rPr>
              <w:t>e it was an in rem proceeding.</w:t>
            </w:r>
          </w:p>
        </w:tc>
        <w:tc>
          <w:tcPr>
            <w:tcW w:w="5904" w:type="dxa"/>
            <w:vAlign w:val="center"/>
          </w:tcPr>
          <w:p w14:paraId="5242143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C0F79F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FDD1EEE" w14:textId="77777777" w:rsidTr="0010708E">
        <w:trPr>
          <w:trHeight w:val="4795"/>
        </w:trPr>
        <w:tc>
          <w:tcPr>
            <w:tcW w:w="5904" w:type="dxa"/>
            <w:vAlign w:val="center"/>
          </w:tcPr>
          <w:p w14:paraId="2B30EC8C" w14:textId="6C06BBCC"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How is </w:t>
            </w:r>
            <w:r w:rsidRPr="00705DCA">
              <w:rPr>
                <w:rFonts w:ascii="Calibri" w:hAnsi="Calibri"/>
                <w:b/>
                <w:bCs/>
                <w:i/>
                <w:sz w:val="28"/>
                <w:szCs w:val="28"/>
              </w:rPr>
              <w:t>Tennessee Student Assistance Corporation v. Hood</w:t>
            </w:r>
            <w:r w:rsidRPr="00705DCA">
              <w:rPr>
                <w:rFonts w:ascii="Calibri" w:hAnsi="Calibri"/>
                <w:b/>
                <w:bCs/>
                <w:sz w:val="28"/>
                <w:szCs w:val="28"/>
              </w:rPr>
              <w:t xml:space="preserve"> (U.S. 2004)</w:t>
            </w:r>
            <w:r>
              <w:rPr>
                <w:rFonts w:ascii="Calibri" w:hAnsi="Calibri"/>
                <w:b/>
                <w:bCs/>
                <w:sz w:val="28"/>
                <w:szCs w:val="28"/>
              </w:rPr>
              <w:t xml:space="preserve"> relevant to this case?</w:t>
            </w:r>
          </w:p>
        </w:tc>
        <w:tc>
          <w:tcPr>
            <w:tcW w:w="5904" w:type="dxa"/>
            <w:vAlign w:val="center"/>
          </w:tcPr>
          <w:p w14:paraId="0EEF7BF2" w14:textId="46BF6B88"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r w:rsidRPr="005D2327">
              <w:rPr>
                <w:rFonts w:ascii="Calibri" w:hAnsi="Calibri"/>
                <w:b/>
                <w:bCs/>
                <w:i/>
                <w:sz w:val="22"/>
                <w:szCs w:val="22"/>
              </w:rPr>
              <w:t>Tennessee Student Assistance Corporation v. Hood</w:t>
            </w:r>
            <w:r w:rsidRPr="005D2327">
              <w:rPr>
                <w:rFonts w:ascii="Calibri" w:hAnsi="Calibri"/>
                <w:b/>
                <w:bCs/>
                <w:sz w:val="22"/>
                <w:szCs w:val="22"/>
              </w:rPr>
              <w:t xml:space="preserve"> (U.S. 2004)</w:t>
            </w:r>
            <w:r>
              <w:rPr>
                <w:rFonts w:ascii="Calibri" w:hAnsi="Calibri"/>
                <w:b/>
                <w:bCs/>
                <w:sz w:val="22"/>
                <w:szCs w:val="22"/>
              </w:rPr>
              <w:t>, the Supreme Court explained that the r</w:t>
            </w:r>
            <w:r w:rsidRPr="00705DCA">
              <w:rPr>
                <w:rFonts w:ascii="Calibri" w:hAnsi="Calibri"/>
                <w:b/>
                <w:bCs/>
                <w:sz w:val="22"/>
                <w:szCs w:val="22"/>
              </w:rPr>
              <w:t xml:space="preserve">esemblance of </w:t>
            </w:r>
            <w:r>
              <w:rPr>
                <w:rFonts w:ascii="Calibri" w:hAnsi="Calibri"/>
                <w:b/>
                <w:bCs/>
                <w:sz w:val="22"/>
                <w:szCs w:val="22"/>
              </w:rPr>
              <w:t xml:space="preserve">an </w:t>
            </w:r>
            <w:r w:rsidRPr="00705DCA">
              <w:rPr>
                <w:rFonts w:ascii="Calibri" w:hAnsi="Calibri"/>
                <w:b/>
                <w:bCs/>
                <w:sz w:val="22"/>
                <w:szCs w:val="22"/>
              </w:rPr>
              <w:t xml:space="preserve">in rem proceeding to </w:t>
            </w:r>
            <w:r>
              <w:rPr>
                <w:rFonts w:ascii="Calibri" w:hAnsi="Calibri"/>
                <w:b/>
                <w:bCs/>
                <w:sz w:val="22"/>
                <w:szCs w:val="22"/>
              </w:rPr>
              <w:t xml:space="preserve">a </w:t>
            </w:r>
            <w:r w:rsidRPr="00705DCA">
              <w:rPr>
                <w:rFonts w:ascii="Calibri" w:hAnsi="Calibri"/>
                <w:b/>
                <w:bCs/>
                <w:sz w:val="22"/>
                <w:szCs w:val="22"/>
              </w:rPr>
              <w:t xml:space="preserve">civil trial is irrelevant: “there is no need to engage in a comparative analysis to determine whether the adjudication would be an affront to states’ sovereignty.… Our precedent has drawn a distinction between in rem and in </w:t>
            </w:r>
            <w:proofErr w:type="spellStart"/>
            <w:r w:rsidRPr="00705DCA">
              <w:rPr>
                <w:rFonts w:ascii="Calibri" w:hAnsi="Calibri"/>
                <w:b/>
                <w:bCs/>
                <w:sz w:val="22"/>
                <w:szCs w:val="22"/>
              </w:rPr>
              <w:t>personam</w:t>
            </w:r>
            <w:proofErr w:type="spellEnd"/>
            <w:r w:rsidRPr="00705DCA">
              <w:rPr>
                <w:rFonts w:ascii="Calibri" w:hAnsi="Calibri"/>
                <w:b/>
                <w:bCs/>
                <w:sz w:val="22"/>
                <w:szCs w:val="22"/>
              </w:rPr>
              <w:t xml:space="preserve"> jurisdiction, even when the underlying proceedings are, for the most part, identical.”</w:t>
            </w:r>
          </w:p>
        </w:tc>
        <w:tc>
          <w:tcPr>
            <w:tcW w:w="5904" w:type="dxa"/>
            <w:vAlign w:val="center"/>
          </w:tcPr>
          <w:p w14:paraId="1472B887"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01DBCB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4742818" w14:textId="77777777" w:rsidTr="0010708E">
        <w:trPr>
          <w:trHeight w:val="4795"/>
        </w:trPr>
        <w:tc>
          <w:tcPr>
            <w:tcW w:w="5904" w:type="dxa"/>
            <w:vAlign w:val="center"/>
          </w:tcPr>
          <w:p w14:paraId="658DE56B" w14:textId="410B4430"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t xml:space="preserve">What was the holding in </w:t>
            </w:r>
            <w:r w:rsidRPr="00D21A8F">
              <w:rPr>
                <w:rFonts w:ascii="Calibri" w:hAnsi="Calibri"/>
                <w:b/>
                <w:bCs/>
                <w:i/>
                <w:sz w:val="28"/>
                <w:szCs w:val="28"/>
              </w:rPr>
              <w:t>California v. Deep Sea Research</w:t>
            </w:r>
            <w:r w:rsidRPr="00D21A8F">
              <w:rPr>
                <w:rFonts w:ascii="Calibri" w:hAnsi="Calibri"/>
                <w:b/>
                <w:bCs/>
                <w:sz w:val="28"/>
                <w:szCs w:val="28"/>
              </w:rPr>
              <w:t xml:space="preserve"> (U.S. 1998)</w:t>
            </w:r>
            <w:r>
              <w:rPr>
                <w:rFonts w:ascii="Calibri" w:hAnsi="Calibri"/>
                <w:b/>
                <w:bCs/>
                <w:sz w:val="28"/>
                <w:szCs w:val="28"/>
              </w:rPr>
              <w:t>?</w:t>
            </w:r>
          </w:p>
        </w:tc>
        <w:tc>
          <w:tcPr>
            <w:tcW w:w="5904" w:type="dxa"/>
            <w:vAlign w:val="center"/>
          </w:tcPr>
          <w:p w14:paraId="6E32E0DC" w14:textId="2964887F" w:rsidR="000F7558" w:rsidRPr="00D21A8F"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r w:rsidRPr="00D21A8F">
              <w:rPr>
                <w:rFonts w:ascii="Calibri" w:hAnsi="Calibri"/>
                <w:b/>
                <w:bCs/>
                <w:i/>
                <w:sz w:val="22"/>
                <w:szCs w:val="22"/>
              </w:rPr>
              <w:t>California v. Deep Sea Research</w:t>
            </w:r>
            <w:r w:rsidRPr="00D21A8F">
              <w:rPr>
                <w:rFonts w:ascii="Calibri" w:hAnsi="Calibri"/>
                <w:b/>
                <w:bCs/>
                <w:sz w:val="22"/>
                <w:szCs w:val="22"/>
              </w:rPr>
              <w:t xml:space="preserve"> (U.S. 1998)</w:t>
            </w:r>
            <w:r>
              <w:rPr>
                <w:rFonts w:ascii="Calibri" w:hAnsi="Calibri"/>
                <w:b/>
                <w:bCs/>
                <w:sz w:val="22"/>
                <w:szCs w:val="22"/>
              </w:rPr>
              <w:t>, the Supreme Court h</w:t>
            </w:r>
            <w:r w:rsidRPr="00D21A8F">
              <w:rPr>
                <w:rFonts w:ascii="Calibri" w:hAnsi="Calibri"/>
                <w:b/>
                <w:bCs/>
                <w:sz w:val="22"/>
                <w:szCs w:val="22"/>
              </w:rPr>
              <w:t xml:space="preserve">eld that the Eleventh Amendment does not bar a federal court’s jurisdiction over an </w:t>
            </w:r>
            <w:proofErr w:type="gramStart"/>
            <w:r w:rsidRPr="00D21A8F">
              <w:rPr>
                <w:rFonts w:ascii="Calibri" w:hAnsi="Calibri"/>
                <w:b/>
                <w:bCs/>
                <w:sz w:val="22"/>
                <w:szCs w:val="22"/>
              </w:rPr>
              <w:t>in rem</w:t>
            </w:r>
            <w:proofErr w:type="gramEnd"/>
            <w:r w:rsidRPr="00D21A8F">
              <w:rPr>
                <w:rFonts w:ascii="Calibri" w:hAnsi="Calibri"/>
                <w:b/>
                <w:bCs/>
                <w:sz w:val="22"/>
                <w:szCs w:val="22"/>
              </w:rPr>
              <w:t xml:space="preserve"> admiralty action where the res was not</w:t>
            </w:r>
            <w:r>
              <w:rPr>
                <w:rFonts w:ascii="Calibri" w:hAnsi="Calibri"/>
                <w:b/>
                <w:bCs/>
                <w:sz w:val="22"/>
                <w:szCs w:val="22"/>
              </w:rPr>
              <w:t xml:space="preserve"> within the State’s possession.</w:t>
            </w:r>
          </w:p>
          <w:p w14:paraId="0FA71763" w14:textId="77777777" w:rsidR="000F7558" w:rsidRDefault="000F7558" w:rsidP="000F7558">
            <w:pPr>
              <w:pStyle w:val="O-BodyText"/>
              <w:spacing w:after="120"/>
              <w:ind w:right="162"/>
              <w:rPr>
                <w:rFonts w:ascii="Calibri" w:hAnsi="Calibri"/>
                <w:b/>
                <w:bCs/>
                <w:sz w:val="22"/>
                <w:szCs w:val="22"/>
              </w:rPr>
            </w:pPr>
          </w:p>
        </w:tc>
        <w:tc>
          <w:tcPr>
            <w:tcW w:w="5904" w:type="dxa"/>
            <w:vAlign w:val="center"/>
          </w:tcPr>
          <w:p w14:paraId="1838D87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7D4A96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7DA1F3E" w14:textId="77777777" w:rsidTr="0010708E">
        <w:trPr>
          <w:trHeight w:val="4795"/>
        </w:trPr>
        <w:tc>
          <w:tcPr>
            <w:tcW w:w="5904" w:type="dxa"/>
            <w:vAlign w:val="center"/>
          </w:tcPr>
          <w:p w14:paraId="5A5A3A66" w14:textId="7FE56B30" w:rsidR="000F7558" w:rsidRDefault="000F7558" w:rsidP="000F7558">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How is </w:t>
            </w:r>
            <w:r w:rsidRPr="00775DDA">
              <w:rPr>
                <w:rFonts w:ascii="Calibri" w:hAnsi="Calibri"/>
                <w:b/>
                <w:bCs/>
                <w:i/>
                <w:sz w:val="28"/>
                <w:szCs w:val="28"/>
              </w:rPr>
              <w:t>California v. Deep Sea Research</w:t>
            </w:r>
            <w:r w:rsidRPr="00775DDA">
              <w:rPr>
                <w:rFonts w:ascii="Calibri" w:hAnsi="Calibri"/>
                <w:b/>
                <w:bCs/>
                <w:sz w:val="28"/>
                <w:szCs w:val="28"/>
              </w:rPr>
              <w:t xml:space="preserve"> (U.S. 1998)</w:t>
            </w:r>
            <w:r>
              <w:rPr>
                <w:rFonts w:ascii="Calibri" w:hAnsi="Calibri"/>
                <w:b/>
                <w:bCs/>
                <w:sz w:val="28"/>
                <w:szCs w:val="28"/>
              </w:rPr>
              <w:t xml:space="preserve"> relevant to this case?</w:t>
            </w:r>
          </w:p>
        </w:tc>
        <w:tc>
          <w:tcPr>
            <w:tcW w:w="5904" w:type="dxa"/>
            <w:vAlign w:val="center"/>
          </w:tcPr>
          <w:p w14:paraId="527F47C6" w14:textId="44EAB6D3" w:rsidR="000F7558" w:rsidRDefault="000F7558" w:rsidP="000F7558">
            <w:pPr>
              <w:pStyle w:val="O-BodyText"/>
              <w:spacing w:after="120"/>
              <w:ind w:right="162"/>
              <w:rPr>
                <w:rFonts w:ascii="Calibri" w:hAnsi="Calibri"/>
                <w:b/>
                <w:bCs/>
                <w:sz w:val="22"/>
                <w:szCs w:val="22"/>
              </w:rPr>
            </w:pPr>
            <w:r>
              <w:rPr>
                <w:rFonts w:ascii="Calibri" w:hAnsi="Calibri"/>
                <w:b/>
                <w:bCs/>
                <w:sz w:val="22"/>
                <w:szCs w:val="22"/>
              </w:rPr>
              <w:t xml:space="preserve">In </w:t>
            </w:r>
            <w:r w:rsidRPr="00C21BBD">
              <w:rPr>
                <w:rFonts w:ascii="Calibri" w:hAnsi="Calibri"/>
                <w:b/>
                <w:bCs/>
                <w:i/>
                <w:sz w:val="22"/>
                <w:szCs w:val="22"/>
              </w:rPr>
              <w:t>California v. Deep Sea Research</w:t>
            </w:r>
            <w:r w:rsidRPr="00C21BBD">
              <w:rPr>
                <w:rFonts w:ascii="Calibri" w:hAnsi="Calibri"/>
                <w:b/>
                <w:bCs/>
                <w:sz w:val="22"/>
                <w:szCs w:val="22"/>
              </w:rPr>
              <w:t xml:space="preserve"> (U.S. 1998), the Supreme Court </w:t>
            </w:r>
            <w:r>
              <w:rPr>
                <w:rFonts w:ascii="Calibri" w:hAnsi="Calibri"/>
                <w:b/>
                <w:bCs/>
                <w:sz w:val="22"/>
                <w:szCs w:val="22"/>
              </w:rPr>
              <w:t>e</w:t>
            </w:r>
            <w:r w:rsidRPr="00775DDA">
              <w:rPr>
                <w:rFonts w:ascii="Calibri" w:hAnsi="Calibri"/>
                <w:b/>
                <w:bCs/>
                <w:sz w:val="22"/>
                <w:szCs w:val="22"/>
              </w:rPr>
              <w:t>xplain</w:t>
            </w:r>
            <w:r>
              <w:rPr>
                <w:rFonts w:ascii="Calibri" w:hAnsi="Calibri"/>
                <w:b/>
                <w:bCs/>
                <w:sz w:val="22"/>
                <w:szCs w:val="22"/>
              </w:rPr>
              <w:t>ed</w:t>
            </w:r>
            <w:r w:rsidRPr="00775DDA">
              <w:rPr>
                <w:rFonts w:ascii="Calibri" w:hAnsi="Calibri"/>
                <w:b/>
                <w:bCs/>
                <w:sz w:val="22"/>
                <w:szCs w:val="22"/>
              </w:rPr>
              <w:t xml:space="preserve"> that “all the world” are parties to in rem suits, and th</w:t>
            </w:r>
            <w:r>
              <w:rPr>
                <w:rFonts w:ascii="Calibri" w:hAnsi="Calibri"/>
                <w:b/>
                <w:bCs/>
                <w:sz w:val="22"/>
                <w:szCs w:val="22"/>
              </w:rPr>
              <w:t>at the State may not invoke</w:t>
            </w:r>
            <w:r w:rsidRPr="00775DDA">
              <w:rPr>
                <w:rFonts w:ascii="Calibri" w:hAnsi="Calibri"/>
                <w:b/>
                <w:bCs/>
                <w:sz w:val="22"/>
                <w:szCs w:val="22"/>
              </w:rPr>
              <w:t xml:space="preserve"> immunity to negate an adverse decision.</w:t>
            </w:r>
          </w:p>
        </w:tc>
        <w:tc>
          <w:tcPr>
            <w:tcW w:w="5904" w:type="dxa"/>
            <w:vAlign w:val="center"/>
          </w:tcPr>
          <w:p w14:paraId="77F16645"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2ED6220"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CC87410" w14:textId="77777777" w:rsidTr="0010708E">
        <w:trPr>
          <w:trHeight w:val="4795"/>
        </w:trPr>
        <w:tc>
          <w:tcPr>
            <w:tcW w:w="5904" w:type="dxa"/>
            <w:vAlign w:val="center"/>
          </w:tcPr>
          <w:p w14:paraId="57D772EF" w14:textId="11A5A211" w:rsidR="000F7558" w:rsidRDefault="000F7558" w:rsidP="000F7558">
            <w:pPr>
              <w:pStyle w:val="O-BodyText"/>
              <w:spacing w:afterLines="120" w:after="288"/>
              <w:ind w:right="108"/>
              <w:jc w:val="center"/>
              <w:rPr>
                <w:rFonts w:ascii="Calibri" w:hAnsi="Calibri"/>
                <w:b/>
                <w:bCs/>
                <w:sz w:val="28"/>
                <w:szCs w:val="28"/>
              </w:rPr>
            </w:pPr>
            <w:r>
              <w:rPr>
                <w:rFonts w:ascii="Calibri" w:hAnsi="Calibri"/>
                <w:b/>
                <w:sz w:val="52"/>
                <w:szCs w:val="52"/>
              </w:rPr>
              <w:t>Waiver</w:t>
            </w:r>
          </w:p>
        </w:tc>
        <w:tc>
          <w:tcPr>
            <w:tcW w:w="5904" w:type="dxa"/>
            <w:vAlign w:val="center"/>
          </w:tcPr>
          <w:p w14:paraId="7F6126DE" w14:textId="1A471169" w:rsidR="000F7558" w:rsidRDefault="000F7558" w:rsidP="000F7558">
            <w:pPr>
              <w:pStyle w:val="O-BodyText"/>
              <w:spacing w:after="120"/>
              <w:ind w:right="162"/>
              <w:jc w:val="center"/>
              <w:rPr>
                <w:rFonts w:ascii="Calibri" w:hAnsi="Calibri"/>
                <w:b/>
                <w:bCs/>
                <w:sz w:val="22"/>
                <w:szCs w:val="22"/>
              </w:rPr>
            </w:pPr>
            <w:r w:rsidRPr="00544B84">
              <w:rPr>
                <w:rFonts w:ascii="Calibri" w:hAnsi="Calibri"/>
                <w:b/>
                <w:sz w:val="52"/>
                <w:szCs w:val="52"/>
              </w:rPr>
              <w:t>Color</w:t>
            </w:r>
          </w:p>
        </w:tc>
        <w:tc>
          <w:tcPr>
            <w:tcW w:w="5904" w:type="dxa"/>
            <w:vAlign w:val="center"/>
          </w:tcPr>
          <w:p w14:paraId="4D1D100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EFBCBDB"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F79841A" w14:textId="77777777" w:rsidTr="0010708E">
        <w:trPr>
          <w:trHeight w:val="4795"/>
        </w:trPr>
        <w:tc>
          <w:tcPr>
            <w:tcW w:w="5904" w:type="dxa"/>
            <w:vAlign w:val="center"/>
          </w:tcPr>
          <w:p w14:paraId="229C58B8" w14:textId="23CDD9E0" w:rsidR="000F7558" w:rsidRDefault="000F7558" w:rsidP="000F7558">
            <w:pPr>
              <w:pStyle w:val="O-BodyText"/>
              <w:spacing w:afterLines="120" w:after="288"/>
              <w:ind w:right="108"/>
              <w:rPr>
                <w:rFonts w:ascii="Calibri" w:hAnsi="Calibri"/>
                <w:b/>
                <w:sz w:val="52"/>
                <w:szCs w:val="52"/>
              </w:rPr>
            </w:pPr>
            <w:r>
              <w:rPr>
                <w:rFonts w:ascii="Calibri" w:hAnsi="Calibri"/>
                <w:b/>
                <w:color w:val="000000" w:themeColor="text1"/>
                <w:sz w:val="28"/>
                <w:szCs w:val="28"/>
              </w:rPr>
              <w:t>Does this Court need to decide whether waiver by litigation applies here?</w:t>
            </w:r>
          </w:p>
        </w:tc>
        <w:tc>
          <w:tcPr>
            <w:tcW w:w="5904" w:type="dxa"/>
            <w:vAlign w:val="center"/>
          </w:tcPr>
          <w:p w14:paraId="63045C37" w14:textId="2B2C26BD" w:rsidR="000F7558" w:rsidRPr="00544B84" w:rsidRDefault="000F7558" w:rsidP="000F7558">
            <w:pPr>
              <w:pStyle w:val="O-BodyText"/>
              <w:spacing w:after="120"/>
              <w:ind w:right="162"/>
              <w:rPr>
                <w:rFonts w:ascii="Calibri" w:hAnsi="Calibri"/>
                <w:b/>
                <w:sz w:val="52"/>
                <w:szCs w:val="52"/>
              </w:rPr>
            </w:pPr>
            <w:r>
              <w:rPr>
                <w:rFonts w:ascii="Calibri" w:hAnsi="Calibri"/>
                <w:b/>
                <w:color w:val="000000" w:themeColor="text1"/>
                <w:sz w:val="22"/>
                <w:szCs w:val="22"/>
              </w:rPr>
              <w:t xml:space="preserve">Not if it holds that state sovereign immunity never extends to </w:t>
            </w:r>
            <w:proofErr w:type="spellStart"/>
            <w:r>
              <w:rPr>
                <w:rFonts w:ascii="Calibri" w:hAnsi="Calibri"/>
                <w:b/>
                <w:color w:val="000000" w:themeColor="text1"/>
                <w:sz w:val="22"/>
                <w:szCs w:val="22"/>
              </w:rPr>
              <w:t>IPR</w:t>
            </w:r>
            <w:proofErr w:type="spellEnd"/>
            <w:r>
              <w:rPr>
                <w:rFonts w:ascii="Calibri" w:hAnsi="Calibri"/>
                <w:b/>
                <w:color w:val="000000" w:themeColor="text1"/>
                <w:sz w:val="22"/>
                <w:szCs w:val="22"/>
              </w:rPr>
              <w:t>.  In that case, the waiver issue would be moot</w:t>
            </w:r>
            <w:proofErr w:type="gramStart"/>
            <w:r>
              <w:rPr>
                <w:rFonts w:ascii="Calibri" w:hAnsi="Calibri"/>
                <w:b/>
                <w:color w:val="000000" w:themeColor="text1"/>
                <w:sz w:val="22"/>
                <w:szCs w:val="22"/>
              </w:rPr>
              <w:t xml:space="preserve">. </w:t>
            </w:r>
            <w:proofErr w:type="gramEnd"/>
          </w:p>
        </w:tc>
        <w:tc>
          <w:tcPr>
            <w:tcW w:w="5904" w:type="dxa"/>
            <w:vAlign w:val="center"/>
          </w:tcPr>
          <w:p w14:paraId="39528DDC"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F190FA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38BC5E5" w14:textId="77777777" w:rsidTr="0010708E">
        <w:trPr>
          <w:trHeight w:val="4795"/>
        </w:trPr>
        <w:tc>
          <w:tcPr>
            <w:tcW w:w="5904" w:type="dxa"/>
            <w:vAlign w:val="center"/>
          </w:tcPr>
          <w:p w14:paraId="490CEFBC" w14:textId="7433A04E"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What did the </w:t>
            </w:r>
            <w:proofErr w:type="spellStart"/>
            <w:r>
              <w:rPr>
                <w:rFonts w:ascii="Calibri" w:hAnsi="Calibri"/>
                <w:b/>
                <w:color w:val="000000" w:themeColor="text1"/>
                <w:sz w:val="28"/>
                <w:szCs w:val="28"/>
              </w:rPr>
              <w:t>PTAB</w:t>
            </w:r>
            <w:proofErr w:type="spellEnd"/>
            <w:r>
              <w:rPr>
                <w:rFonts w:ascii="Calibri" w:hAnsi="Calibri"/>
                <w:b/>
                <w:color w:val="000000" w:themeColor="text1"/>
                <w:sz w:val="28"/>
                <w:szCs w:val="28"/>
              </w:rPr>
              <w:t xml:space="preserve"> decide regarding waiver by litigation?</w:t>
            </w:r>
          </w:p>
        </w:tc>
        <w:tc>
          <w:tcPr>
            <w:tcW w:w="5904" w:type="dxa"/>
            <w:vAlign w:val="center"/>
          </w:tcPr>
          <w:p w14:paraId="1055C91B" w14:textId="7B99C06D" w:rsidR="000F7558" w:rsidRDefault="000F7558" w:rsidP="000F7558">
            <w:pPr>
              <w:pStyle w:val="O-BodyText"/>
              <w:spacing w:after="120"/>
              <w:ind w:right="162"/>
              <w:rPr>
                <w:rFonts w:ascii="Calibri" w:hAnsi="Calibri"/>
                <w:b/>
                <w:color w:val="000000" w:themeColor="text1"/>
                <w:sz w:val="22"/>
                <w:szCs w:val="22"/>
              </w:rPr>
            </w:pPr>
            <w:r>
              <w:rPr>
                <w:rFonts w:ascii="Calibri" w:hAnsi="Calibri"/>
                <w:b/>
                <w:color w:val="000000" w:themeColor="text1"/>
                <w:sz w:val="22"/>
                <w:szCs w:val="22"/>
              </w:rPr>
              <w:t xml:space="preserve">The </w:t>
            </w:r>
            <w:proofErr w:type="spellStart"/>
            <w:r>
              <w:rPr>
                <w:rFonts w:ascii="Calibri" w:hAnsi="Calibri"/>
                <w:b/>
                <w:color w:val="000000" w:themeColor="text1"/>
                <w:sz w:val="22"/>
                <w:szCs w:val="22"/>
              </w:rPr>
              <w:t>PTAB</w:t>
            </w:r>
            <w:proofErr w:type="spellEnd"/>
            <w:r>
              <w:rPr>
                <w:rFonts w:ascii="Calibri" w:hAnsi="Calibri"/>
                <w:b/>
                <w:color w:val="000000" w:themeColor="text1"/>
                <w:sz w:val="22"/>
                <w:szCs w:val="22"/>
              </w:rPr>
              <w:t xml:space="preserve"> held that by bringing infringement claims against the appellees, </w:t>
            </w:r>
            <w:proofErr w:type="spellStart"/>
            <w:r>
              <w:rPr>
                <w:rFonts w:ascii="Calibri" w:hAnsi="Calibri"/>
                <w:b/>
                <w:color w:val="000000" w:themeColor="text1"/>
                <w:sz w:val="22"/>
                <w:szCs w:val="22"/>
              </w:rPr>
              <w:t>UMN</w:t>
            </w:r>
            <w:proofErr w:type="spellEnd"/>
            <w:r>
              <w:rPr>
                <w:rFonts w:ascii="Calibri" w:hAnsi="Calibri"/>
                <w:b/>
                <w:color w:val="000000" w:themeColor="text1"/>
                <w:sz w:val="22"/>
                <w:szCs w:val="22"/>
              </w:rPr>
              <w:t xml:space="preserve"> waived immunity as to </w:t>
            </w:r>
            <w:proofErr w:type="spellStart"/>
            <w:r>
              <w:rPr>
                <w:rFonts w:ascii="Calibri" w:hAnsi="Calibri"/>
                <w:b/>
                <w:color w:val="000000" w:themeColor="text1"/>
                <w:sz w:val="22"/>
                <w:szCs w:val="22"/>
              </w:rPr>
              <w:t>IPR</w:t>
            </w:r>
            <w:proofErr w:type="spellEnd"/>
            <w:r>
              <w:rPr>
                <w:rFonts w:ascii="Calibri" w:hAnsi="Calibri"/>
                <w:b/>
                <w:color w:val="000000" w:themeColor="text1"/>
                <w:sz w:val="22"/>
                <w:szCs w:val="22"/>
              </w:rPr>
              <w:t xml:space="preserve"> petitions filed by the appellees.</w:t>
            </w:r>
          </w:p>
        </w:tc>
        <w:tc>
          <w:tcPr>
            <w:tcW w:w="5904" w:type="dxa"/>
            <w:vAlign w:val="center"/>
          </w:tcPr>
          <w:p w14:paraId="4610C110"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BCB5BC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790E224" w14:textId="77777777" w:rsidTr="0010708E">
        <w:trPr>
          <w:trHeight w:val="4795"/>
        </w:trPr>
        <w:tc>
          <w:tcPr>
            <w:tcW w:w="5904" w:type="dxa"/>
            <w:vAlign w:val="center"/>
          </w:tcPr>
          <w:p w14:paraId="3D1D7C28" w14:textId="7C40455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Doesn’t this Court need to decide whether waiver by litigation applies because that was the basis for the </w:t>
            </w:r>
            <w:proofErr w:type="spellStart"/>
            <w:r>
              <w:rPr>
                <w:rFonts w:ascii="Calibri" w:hAnsi="Calibri"/>
                <w:b/>
                <w:color w:val="000000" w:themeColor="text1"/>
                <w:sz w:val="28"/>
                <w:szCs w:val="28"/>
              </w:rPr>
              <w:t>PTAB’s</w:t>
            </w:r>
            <w:proofErr w:type="spellEnd"/>
            <w:r>
              <w:rPr>
                <w:rFonts w:ascii="Calibri" w:hAnsi="Calibri"/>
                <w:b/>
                <w:color w:val="000000" w:themeColor="text1"/>
                <w:sz w:val="28"/>
                <w:szCs w:val="28"/>
              </w:rPr>
              <w:t xml:space="preserve"> decision?</w:t>
            </w:r>
          </w:p>
        </w:tc>
        <w:tc>
          <w:tcPr>
            <w:tcW w:w="5904" w:type="dxa"/>
            <w:vAlign w:val="center"/>
          </w:tcPr>
          <w:p w14:paraId="2F30DBC1" w14:textId="48B052DD" w:rsidR="000F7558" w:rsidRDefault="000F7558" w:rsidP="000F7558">
            <w:pPr>
              <w:pStyle w:val="O-BodyText"/>
              <w:spacing w:after="120"/>
              <w:ind w:right="162"/>
              <w:rPr>
                <w:rFonts w:ascii="Calibri" w:hAnsi="Calibri"/>
                <w:b/>
                <w:color w:val="000000" w:themeColor="text1"/>
                <w:sz w:val="22"/>
                <w:szCs w:val="22"/>
              </w:rPr>
            </w:pPr>
            <w:r>
              <w:rPr>
                <w:rFonts w:ascii="Calibri" w:hAnsi="Calibri"/>
                <w:b/>
                <w:color w:val="000000" w:themeColor="text1"/>
                <w:sz w:val="22"/>
                <w:szCs w:val="22"/>
              </w:rPr>
              <w:t xml:space="preserve">No.  This Court may affirm on any ground presented to the </w:t>
            </w:r>
            <w:proofErr w:type="spellStart"/>
            <w:r>
              <w:rPr>
                <w:rFonts w:ascii="Calibri" w:hAnsi="Calibri"/>
                <w:b/>
                <w:color w:val="000000" w:themeColor="text1"/>
                <w:sz w:val="22"/>
                <w:szCs w:val="22"/>
              </w:rPr>
              <w:t>PTAB</w:t>
            </w:r>
            <w:proofErr w:type="spellEnd"/>
            <w:r>
              <w:rPr>
                <w:rFonts w:ascii="Calibri" w:hAnsi="Calibri"/>
                <w:b/>
                <w:color w:val="000000" w:themeColor="text1"/>
                <w:sz w:val="22"/>
                <w:szCs w:val="22"/>
              </w:rPr>
              <w:t xml:space="preserve">—including that state sovereign immunity never extends to </w:t>
            </w:r>
            <w:proofErr w:type="spellStart"/>
            <w:r>
              <w:rPr>
                <w:rFonts w:ascii="Calibri" w:hAnsi="Calibri"/>
                <w:b/>
                <w:color w:val="000000" w:themeColor="text1"/>
                <w:sz w:val="22"/>
                <w:szCs w:val="22"/>
              </w:rPr>
              <w:t>IPR</w:t>
            </w:r>
            <w:proofErr w:type="spellEnd"/>
            <w:r>
              <w:rPr>
                <w:rFonts w:ascii="Calibri" w:hAnsi="Calibri"/>
                <w:b/>
                <w:color w:val="000000" w:themeColor="text1"/>
                <w:sz w:val="22"/>
                <w:szCs w:val="22"/>
              </w:rPr>
              <w:t>.</w:t>
            </w:r>
          </w:p>
        </w:tc>
        <w:tc>
          <w:tcPr>
            <w:tcW w:w="5904" w:type="dxa"/>
            <w:vAlign w:val="center"/>
          </w:tcPr>
          <w:p w14:paraId="006B510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0116D0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6D3507F" w14:textId="77777777" w:rsidTr="0010708E">
        <w:trPr>
          <w:trHeight w:val="4795"/>
        </w:trPr>
        <w:tc>
          <w:tcPr>
            <w:tcW w:w="5904" w:type="dxa"/>
            <w:vAlign w:val="center"/>
          </w:tcPr>
          <w:p w14:paraId="5CB0A202" w14:textId="03C40024"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Your brief invokes the sword v. shield distinction to explain the scope of waiver by litigation.  How does that analogy apply?</w:t>
            </w:r>
          </w:p>
        </w:tc>
        <w:tc>
          <w:tcPr>
            <w:tcW w:w="5904" w:type="dxa"/>
            <w:vAlign w:val="center"/>
          </w:tcPr>
          <w:p w14:paraId="11461D0E" w14:textId="77777777" w:rsidR="000F7558" w:rsidRDefault="000F7558" w:rsidP="007D747F">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State sovereign immunity serves to “shield” a state from the affirmative claims </w:t>
            </w:r>
            <w:r>
              <w:rPr>
                <w:rFonts w:ascii="Calibri" w:eastAsia="Times New Roman" w:hAnsi="Calibri"/>
                <w:b/>
                <w:color w:val="000000" w:themeColor="text1"/>
                <w:sz w:val="22"/>
                <w:szCs w:val="22"/>
                <w:u w:val="single"/>
              </w:rPr>
              <w:t>of others</w:t>
            </w:r>
            <w:r>
              <w:rPr>
                <w:rFonts w:ascii="Calibri" w:eastAsia="Times New Roman" w:hAnsi="Calibri"/>
                <w:b/>
                <w:color w:val="000000" w:themeColor="text1"/>
                <w:sz w:val="22"/>
                <w:szCs w:val="22"/>
              </w:rPr>
              <w:t xml:space="preserve">.  The Supreme Court said so in </w:t>
            </w:r>
            <w:r>
              <w:rPr>
                <w:rFonts w:ascii="Calibri" w:eastAsia="Times New Roman" w:hAnsi="Calibri"/>
                <w:b/>
                <w:i/>
                <w:color w:val="000000" w:themeColor="text1"/>
                <w:sz w:val="22"/>
                <w:szCs w:val="22"/>
              </w:rPr>
              <w:t>Fitzpatrick v. Bitzer</w:t>
            </w:r>
            <w:r>
              <w:rPr>
                <w:rFonts w:ascii="Calibri" w:eastAsia="Times New Roman" w:hAnsi="Calibri"/>
                <w:b/>
                <w:color w:val="000000" w:themeColor="text1"/>
                <w:sz w:val="22"/>
                <w:szCs w:val="22"/>
              </w:rPr>
              <w:t xml:space="preserve"> (1976).</w:t>
            </w:r>
          </w:p>
          <w:p w14:paraId="7F43FE64" w14:textId="49D5497F" w:rsidR="000F7558" w:rsidRDefault="000F7558" w:rsidP="000F7558">
            <w:pPr>
              <w:pStyle w:val="O-BodyText"/>
              <w:spacing w:after="120"/>
              <w:ind w:right="162"/>
              <w:rPr>
                <w:rFonts w:ascii="Calibri" w:hAnsi="Calibri"/>
                <w:b/>
                <w:color w:val="000000" w:themeColor="text1"/>
                <w:sz w:val="22"/>
                <w:szCs w:val="22"/>
              </w:rPr>
            </w:pPr>
            <w:r>
              <w:rPr>
                <w:rFonts w:ascii="Calibri" w:hAnsi="Calibri"/>
                <w:b/>
                <w:color w:val="000000" w:themeColor="text1"/>
                <w:sz w:val="22"/>
                <w:szCs w:val="22"/>
              </w:rPr>
              <w:t xml:space="preserve">But immunity does </w:t>
            </w:r>
            <w:r>
              <w:rPr>
                <w:rFonts w:ascii="Calibri" w:hAnsi="Calibri"/>
                <w:b/>
                <w:color w:val="000000" w:themeColor="text1"/>
                <w:sz w:val="22"/>
                <w:szCs w:val="22"/>
                <w:u w:val="single"/>
              </w:rPr>
              <w:t>not</w:t>
            </w:r>
            <w:r>
              <w:rPr>
                <w:rFonts w:ascii="Calibri" w:hAnsi="Calibri"/>
                <w:b/>
                <w:color w:val="000000" w:themeColor="text1"/>
                <w:sz w:val="22"/>
                <w:szCs w:val="22"/>
              </w:rPr>
              <w:t xml:space="preserve"> function as a “sword” to advance the </w:t>
            </w:r>
            <w:r>
              <w:rPr>
                <w:rFonts w:ascii="Calibri" w:hAnsi="Calibri"/>
                <w:b/>
                <w:color w:val="000000" w:themeColor="text1"/>
                <w:sz w:val="22"/>
                <w:szCs w:val="22"/>
                <w:u w:val="single"/>
              </w:rPr>
              <w:t>state’s</w:t>
            </w:r>
            <w:r>
              <w:rPr>
                <w:rFonts w:ascii="Calibri" w:hAnsi="Calibri"/>
                <w:b/>
                <w:color w:val="000000" w:themeColor="text1"/>
                <w:sz w:val="22"/>
                <w:szCs w:val="22"/>
              </w:rPr>
              <w:t xml:space="preserve"> affirmative claims.  As the Supreme Court has repeatedly explained—most recently in </w:t>
            </w:r>
            <w:proofErr w:type="spellStart"/>
            <w:r>
              <w:rPr>
                <w:rFonts w:ascii="Calibri" w:hAnsi="Calibri"/>
                <w:b/>
                <w:i/>
                <w:color w:val="000000" w:themeColor="text1"/>
                <w:sz w:val="22"/>
                <w:szCs w:val="22"/>
              </w:rPr>
              <w:t>Lapides</w:t>
            </w:r>
            <w:proofErr w:type="spellEnd"/>
            <w:r>
              <w:rPr>
                <w:rFonts w:ascii="Calibri" w:hAnsi="Calibri"/>
                <w:b/>
                <w:i/>
                <w:color w:val="000000" w:themeColor="text1"/>
                <w:sz w:val="22"/>
                <w:szCs w:val="22"/>
              </w:rPr>
              <w:t xml:space="preserve"> v. Board of Regents </w:t>
            </w:r>
            <w:r>
              <w:rPr>
                <w:rFonts w:ascii="Calibri" w:hAnsi="Calibri"/>
                <w:b/>
                <w:color w:val="000000" w:themeColor="text1"/>
                <w:sz w:val="22"/>
                <w:szCs w:val="22"/>
              </w:rPr>
              <w:t>(2002)—a state cannot use its immunity to gain a litigation advantage regarding its own claim for federal relief.  That’s when waiver by litigation kicks in.</w:t>
            </w:r>
          </w:p>
        </w:tc>
        <w:tc>
          <w:tcPr>
            <w:tcW w:w="5904" w:type="dxa"/>
            <w:vAlign w:val="center"/>
          </w:tcPr>
          <w:p w14:paraId="6E83301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9D90CF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20B1A73" w14:textId="77777777" w:rsidTr="0010708E">
        <w:trPr>
          <w:trHeight w:val="4795"/>
        </w:trPr>
        <w:tc>
          <w:tcPr>
            <w:tcW w:w="5904" w:type="dxa"/>
            <w:vAlign w:val="center"/>
          </w:tcPr>
          <w:p w14:paraId="1241D762" w14:textId="3F029135"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 say that a state can’t use its immunity to gain a litigation advantage regarding its own claim for federal relief.  Which Supreme Court cases </w:t>
            </w:r>
            <w:proofErr w:type="gramStart"/>
            <w:r>
              <w:rPr>
                <w:rFonts w:ascii="Calibri" w:hAnsi="Calibri"/>
                <w:b/>
                <w:color w:val="000000" w:themeColor="text1"/>
                <w:sz w:val="28"/>
                <w:szCs w:val="28"/>
              </w:rPr>
              <w:t>actually establish</w:t>
            </w:r>
            <w:proofErr w:type="gramEnd"/>
            <w:r>
              <w:rPr>
                <w:rFonts w:ascii="Calibri" w:hAnsi="Calibri"/>
                <w:b/>
                <w:color w:val="000000" w:themeColor="text1"/>
                <w:sz w:val="28"/>
                <w:szCs w:val="28"/>
              </w:rPr>
              <w:t xml:space="preserve"> that rule?</w:t>
            </w:r>
          </w:p>
        </w:tc>
        <w:tc>
          <w:tcPr>
            <w:tcW w:w="5904" w:type="dxa"/>
            <w:vAlign w:val="center"/>
          </w:tcPr>
          <w:p w14:paraId="60897984"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Court first established that rule in three bedrock cases:  </w:t>
            </w:r>
            <w:r>
              <w:rPr>
                <w:rFonts w:ascii="Calibri" w:eastAsia="Times New Roman" w:hAnsi="Calibri"/>
                <w:b/>
                <w:i/>
                <w:color w:val="000000" w:themeColor="text1"/>
                <w:sz w:val="22"/>
                <w:szCs w:val="22"/>
              </w:rPr>
              <w:t>Clark v. Barnard</w:t>
            </w:r>
            <w:r>
              <w:rPr>
                <w:rFonts w:ascii="Calibri" w:eastAsia="Times New Roman" w:hAnsi="Calibri"/>
                <w:b/>
                <w:color w:val="000000" w:themeColor="text1"/>
                <w:sz w:val="22"/>
                <w:szCs w:val="22"/>
              </w:rPr>
              <w:t xml:space="preserve"> (1883), </w:t>
            </w:r>
            <w:r>
              <w:rPr>
                <w:rFonts w:ascii="Calibri" w:eastAsia="Times New Roman" w:hAnsi="Calibri"/>
                <w:b/>
                <w:i/>
                <w:color w:val="000000" w:themeColor="text1"/>
                <w:sz w:val="22"/>
                <w:szCs w:val="22"/>
              </w:rPr>
              <w:t xml:space="preserve">Gunter v. Atlantic Coast Line Railroad </w:t>
            </w:r>
            <w:r>
              <w:rPr>
                <w:rFonts w:ascii="Calibri" w:eastAsia="Times New Roman" w:hAnsi="Calibri"/>
                <w:b/>
                <w:color w:val="000000" w:themeColor="text1"/>
                <w:sz w:val="22"/>
                <w:szCs w:val="22"/>
              </w:rPr>
              <w:t xml:space="preserve">(1906), and </w:t>
            </w:r>
            <w:r>
              <w:rPr>
                <w:rFonts w:ascii="Calibri" w:eastAsia="Times New Roman" w:hAnsi="Calibri"/>
                <w:b/>
                <w:i/>
                <w:color w:val="000000" w:themeColor="text1"/>
                <w:sz w:val="22"/>
                <w:szCs w:val="22"/>
              </w:rPr>
              <w:t xml:space="preserve">Gardner v. New Jersey </w:t>
            </w:r>
            <w:r>
              <w:rPr>
                <w:rFonts w:ascii="Calibri" w:eastAsia="Times New Roman" w:hAnsi="Calibri"/>
                <w:b/>
                <w:color w:val="000000" w:themeColor="text1"/>
                <w:sz w:val="22"/>
                <w:szCs w:val="22"/>
              </w:rPr>
              <w:t>(1947).</w:t>
            </w:r>
          </w:p>
          <w:p w14:paraId="02F08A72" w14:textId="15079FF0"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More recently, the Court reaffirmed the rule in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color w:val="000000" w:themeColor="text1"/>
                <w:sz w:val="22"/>
                <w:szCs w:val="22"/>
              </w:rPr>
              <w:t>.</w:t>
            </w:r>
          </w:p>
        </w:tc>
        <w:tc>
          <w:tcPr>
            <w:tcW w:w="5904" w:type="dxa"/>
            <w:vAlign w:val="center"/>
          </w:tcPr>
          <w:p w14:paraId="60FBE199"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A0A8E8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026DF80" w14:textId="77777777" w:rsidTr="0010708E">
        <w:trPr>
          <w:trHeight w:val="4795"/>
        </w:trPr>
        <w:tc>
          <w:tcPr>
            <w:tcW w:w="5904" w:type="dxa"/>
            <w:vAlign w:val="center"/>
          </w:tcPr>
          <w:p w14:paraId="71DB4543" w14:textId="7E59105B"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r>
              <w:rPr>
                <w:rFonts w:ascii="Calibri" w:hAnsi="Calibri"/>
                <w:b/>
                <w:i/>
                <w:color w:val="000000" w:themeColor="text1"/>
                <w:sz w:val="28"/>
                <w:szCs w:val="28"/>
              </w:rPr>
              <w:t>Clark</w:t>
            </w:r>
            <w:r>
              <w:rPr>
                <w:rFonts w:ascii="Calibri" w:hAnsi="Calibri"/>
                <w:b/>
                <w:color w:val="000000" w:themeColor="text1"/>
                <w:sz w:val="28"/>
                <w:szCs w:val="28"/>
              </w:rPr>
              <w:t>?</w:t>
            </w:r>
          </w:p>
        </w:tc>
        <w:tc>
          <w:tcPr>
            <w:tcW w:w="5904" w:type="dxa"/>
            <w:vAlign w:val="center"/>
          </w:tcPr>
          <w:p w14:paraId="03FD18B3" w14:textId="39D5719D"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Private plaintiffs sued a state </w:t>
            </w:r>
            <w:r w:rsidRPr="000268AC">
              <w:rPr>
                <w:rFonts w:ascii="Calibri" w:eastAsia="Times New Roman" w:hAnsi="Calibri"/>
                <w:b/>
                <w:color w:val="000000" w:themeColor="text1"/>
                <w:sz w:val="22"/>
                <w:szCs w:val="22"/>
              </w:rPr>
              <w:t xml:space="preserve">official to recover a monetary sum. </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Rather than “</w:t>
            </w:r>
            <w:proofErr w:type="gramStart"/>
            <w:r w:rsidRPr="000268AC">
              <w:rPr>
                <w:rFonts w:ascii="Calibri" w:eastAsia="Times New Roman" w:hAnsi="Calibri"/>
                <w:b/>
                <w:color w:val="000000" w:themeColor="text1"/>
                <w:sz w:val="22"/>
                <w:szCs w:val="22"/>
              </w:rPr>
              <w:t>appear[</w:t>
            </w:r>
            <w:proofErr w:type="gramEnd"/>
            <w:r w:rsidRPr="000268AC">
              <w:rPr>
                <w:rFonts w:ascii="Calibri" w:eastAsia="Times New Roman" w:hAnsi="Calibri"/>
                <w:b/>
                <w:color w:val="000000" w:themeColor="text1"/>
                <w:sz w:val="22"/>
                <w:szCs w:val="22"/>
              </w:rPr>
              <w:t>] only to</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protest against the exercise of jurisdiction by the court,” the state went</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on the offensive, intervening to assert a competing claim to the money.</w:t>
            </w:r>
          </w:p>
        </w:tc>
        <w:tc>
          <w:tcPr>
            <w:tcW w:w="5904" w:type="dxa"/>
            <w:vAlign w:val="center"/>
          </w:tcPr>
          <w:p w14:paraId="1FA93A29"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A28F40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0E5E5FA" w14:textId="77777777" w:rsidTr="0010708E">
        <w:trPr>
          <w:trHeight w:val="4795"/>
        </w:trPr>
        <w:tc>
          <w:tcPr>
            <w:tcW w:w="5904" w:type="dxa"/>
            <w:vAlign w:val="center"/>
          </w:tcPr>
          <w:p w14:paraId="50FDF576" w14:textId="3EB496F0"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did </w:t>
            </w:r>
            <w:r>
              <w:rPr>
                <w:rFonts w:ascii="Calibri" w:hAnsi="Calibri"/>
                <w:b/>
                <w:i/>
                <w:color w:val="000000" w:themeColor="text1"/>
                <w:sz w:val="28"/>
                <w:szCs w:val="28"/>
              </w:rPr>
              <w:t xml:space="preserve">Clark </w:t>
            </w:r>
            <w:r>
              <w:rPr>
                <w:rFonts w:ascii="Calibri" w:hAnsi="Calibri"/>
                <w:b/>
                <w:color w:val="000000" w:themeColor="text1"/>
                <w:sz w:val="28"/>
                <w:szCs w:val="28"/>
              </w:rPr>
              <w:t>apply the waiver-by-litigation rule?</w:t>
            </w:r>
          </w:p>
        </w:tc>
        <w:tc>
          <w:tcPr>
            <w:tcW w:w="5904" w:type="dxa"/>
            <w:vAlign w:val="center"/>
          </w:tcPr>
          <w:p w14:paraId="39BE904D" w14:textId="310F5D6A"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It held that by intervening to assert its own claim to the disputed money, t</w:t>
            </w:r>
            <w:r w:rsidRPr="000268AC">
              <w:rPr>
                <w:rFonts w:ascii="Calibri" w:eastAsia="Times New Roman" w:hAnsi="Calibri"/>
                <w:b/>
                <w:color w:val="000000" w:themeColor="text1"/>
                <w:sz w:val="22"/>
                <w:szCs w:val="22"/>
              </w:rPr>
              <w:t>he state “waive[d]” immunity from the</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plaintiff’s “adverse” claim</w:t>
            </w:r>
            <w:proofErr w:type="gramStart"/>
            <w:r w:rsidRPr="000268AC">
              <w:rPr>
                <w:rFonts w:ascii="Calibri" w:eastAsia="Times New Roman" w:hAnsi="Calibri"/>
                <w:b/>
                <w:color w:val="000000" w:themeColor="text1"/>
                <w:sz w:val="22"/>
                <w:szCs w:val="22"/>
              </w:rPr>
              <w:t xml:space="preserve">. </w:t>
            </w:r>
            <w:proofErr w:type="gramEnd"/>
            <w:r>
              <w:rPr>
                <w:rFonts w:ascii="Calibri" w:eastAsia="Times New Roman" w:hAnsi="Calibri"/>
                <w:b/>
                <w:i/>
                <w:color w:val="000000" w:themeColor="text1"/>
                <w:sz w:val="22"/>
                <w:szCs w:val="22"/>
              </w:rPr>
              <w:t>Clark</w:t>
            </w:r>
            <w:r w:rsidRPr="000268AC">
              <w:rPr>
                <w:rFonts w:ascii="Calibri" w:eastAsia="Times New Roman" w:hAnsi="Calibri"/>
                <w:b/>
                <w:color w:val="000000" w:themeColor="text1"/>
                <w:sz w:val="22"/>
                <w:szCs w:val="22"/>
              </w:rPr>
              <w:t xml:space="preserve"> at 447-48</w:t>
            </w:r>
            <w:proofErr w:type="gramStart"/>
            <w:r w:rsidRPr="000268AC">
              <w:rPr>
                <w:rFonts w:ascii="Calibri" w:eastAsia="Times New Roman" w:hAnsi="Calibri"/>
                <w:b/>
                <w:color w:val="000000" w:themeColor="text1"/>
                <w:sz w:val="22"/>
                <w:szCs w:val="22"/>
              </w:rPr>
              <w:t xml:space="preserve">. </w:t>
            </w:r>
            <w:proofErr w:type="gramEnd"/>
            <w:r w:rsidRPr="000268AC">
              <w:rPr>
                <w:rFonts w:ascii="Calibri" w:eastAsia="Times New Roman" w:hAnsi="Calibri"/>
                <w:b/>
                <w:color w:val="000000" w:themeColor="text1"/>
                <w:sz w:val="22"/>
                <w:szCs w:val="22"/>
              </w:rPr>
              <w:t>Having voluntarily “appeared</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in the cause and presented and prosecuted a claim to the fund in</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controversy,” the state “made itself a party to the litigation to the full</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extent required for its complete determination</w:t>
            </w:r>
            <w:r>
              <w:rPr>
                <w:rFonts w:ascii="Calibri" w:eastAsia="Times New Roman" w:hAnsi="Calibri"/>
                <w:b/>
                <w:color w:val="000000" w:themeColor="text1"/>
                <w:sz w:val="22"/>
                <w:szCs w:val="22"/>
              </w:rPr>
              <w:t>.</w:t>
            </w:r>
            <w:r w:rsidRPr="000268AC">
              <w:rPr>
                <w:rFonts w:ascii="Calibri" w:eastAsia="Times New Roman" w:hAnsi="Calibri"/>
                <w:b/>
                <w:color w:val="000000" w:themeColor="text1"/>
                <w:sz w:val="22"/>
                <w:szCs w:val="22"/>
              </w:rPr>
              <w:t>”</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 xml:space="preserve"> </w:t>
            </w:r>
            <w:r w:rsidRPr="000268AC">
              <w:rPr>
                <w:rFonts w:ascii="Calibri" w:eastAsia="Times New Roman" w:hAnsi="Calibri"/>
                <w:b/>
                <w:i/>
                <w:color w:val="000000" w:themeColor="text1"/>
                <w:sz w:val="22"/>
                <w:szCs w:val="22"/>
              </w:rPr>
              <w:t>Id.</w:t>
            </w:r>
            <w:r>
              <w:rPr>
                <w:rFonts w:ascii="Calibri" w:eastAsia="Times New Roman" w:hAnsi="Calibri"/>
                <w:b/>
                <w:color w:val="000000" w:themeColor="text1"/>
                <w:sz w:val="22"/>
                <w:szCs w:val="22"/>
              </w:rPr>
              <w:t xml:space="preserve"> at 448.  That included </w:t>
            </w:r>
            <w:r w:rsidRPr="000268AC">
              <w:rPr>
                <w:rFonts w:ascii="Calibri" w:eastAsia="Times New Roman" w:hAnsi="Calibri"/>
                <w:b/>
                <w:color w:val="000000" w:themeColor="text1"/>
                <w:sz w:val="22"/>
                <w:szCs w:val="22"/>
              </w:rPr>
              <w:t>its</w:t>
            </w:r>
            <w:r>
              <w:rPr>
                <w:rFonts w:ascii="Calibri" w:eastAsia="Times New Roman" w:hAnsi="Calibri"/>
                <w:b/>
                <w:color w:val="000000" w:themeColor="text1"/>
                <w:sz w:val="22"/>
                <w:szCs w:val="22"/>
              </w:rPr>
              <w:t xml:space="preserve"> </w:t>
            </w:r>
            <w:r w:rsidRPr="000268AC">
              <w:rPr>
                <w:rFonts w:ascii="Calibri" w:eastAsia="Times New Roman" w:hAnsi="Calibri"/>
                <w:b/>
                <w:color w:val="000000" w:themeColor="text1"/>
                <w:sz w:val="22"/>
                <w:szCs w:val="22"/>
              </w:rPr>
              <w:t>adversary’s counterarguments.</w:t>
            </w:r>
          </w:p>
        </w:tc>
        <w:tc>
          <w:tcPr>
            <w:tcW w:w="5904" w:type="dxa"/>
            <w:vAlign w:val="center"/>
          </w:tcPr>
          <w:p w14:paraId="5EB2AB0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758B35F"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7EA6E5F" w14:textId="77777777" w:rsidTr="0010708E">
        <w:trPr>
          <w:trHeight w:val="4795"/>
        </w:trPr>
        <w:tc>
          <w:tcPr>
            <w:tcW w:w="5904" w:type="dxa"/>
            <w:vAlign w:val="center"/>
          </w:tcPr>
          <w:p w14:paraId="51057085" w14:textId="57991AE3"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How does </w:t>
            </w:r>
            <w:r>
              <w:rPr>
                <w:rFonts w:ascii="Calibri" w:hAnsi="Calibri"/>
                <w:b/>
                <w:i/>
                <w:color w:val="000000" w:themeColor="text1"/>
                <w:sz w:val="28"/>
                <w:szCs w:val="28"/>
              </w:rPr>
              <w:t xml:space="preserve">Clark </w:t>
            </w:r>
            <w:r>
              <w:rPr>
                <w:rFonts w:ascii="Calibri" w:hAnsi="Calibri"/>
                <w:b/>
                <w:color w:val="000000" w:themeColor="text1"/>
                <w:sz w:val="28"/>
                <w:szCs w:val="28"/>
              </w:rPr>
              <w:t>support the shield v. sword distinction you’re drawing regarding waiver by litigation?</w:t>
            </w:r>
          </w:p>
        </w:tc>
        <w:tc>
          <w:tcPr>
            <w:tcW w:w="5904" w:type="dxa"/>
            <w:vAlign w:val="center"/>
          </w:tcPr>
          <w:p w14:paraId="58BA8D95" w14:textId="27A95148"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Clark</w:t>
            </w:r>
            <w:r>
              <w:rPr>
                <w:rFonts w:ascii="Calibri" w:eastAsia="Times New Roman" w:hAnsi="Calibri"/>
                <w:b/>
                <w:color w:val="000000" w:themeColor="text1"/>
                <w:sz w:val="22"/>
                <w:szCs w:val="22"/>
              </w:rPr>
              <w:t xml:space="preserve"> relied on precisely that distinction.  It noted that the state could have used immunity solely to </w:t>
            </w:r>
            <w:r w:rsidRPr="009C1F4E">
              <w:rPr>
                <w:rFonts w:ascii="Calibri" w:eastAsia="Times New Roman" w:hAnsi="Calibri"/>
                <w:b/>
                <w:color w:val="000000" w:themeColor="text1"/>
                <w:sz w:val="22"/>
                <w:szCs w:val="22"/>
                <w:u w:val="single"/>
              </w:rPr>
              <w:t>shield</w:t>
            </w:r>
            <w:r>
              <w:rPr>
                <w:rFonts w:ascii="Calibri" w:eastAsia="Times New Roman" w:hAnsi="Calibri"/>
                <w:b/>
                <w:color w:val="000000" w:themeColor="text1"/>
                <w:sz w:val="22"/>
                <w:szCs w:val="22"/>
              </w:rPr>
              <w:t xml:space="preserve"> itself from the private plaintiff’s claim by “appear[</w:t>
            </w:r>
            <w:proofErr w:type="spellStart"/>
            <w:r>
              <w:rPr>
                <w:rFonts w:ascii="Calibri" w:eastAsia="Times New Roman" w:hAnsi="Calibri"/>
                <w:b/>
                <w:color w:val="000000" w:themeColor="text1"/>
                <w:sz w:val="22"/>
                <w:szCs w:val="22"/>
              </w:rPr>
              <w:t>ing</w:t>
            </w:r>
            <w:proofErr w:type="spellEnd"/>
            <w:r>
              <w:rPr>
                <w:rFonts w:ascii="Calibri" w:eastAsia="Times New Roman" w:hAnsi="Calibri"/>
                <w:b/>
                <w:color w:val="000000" w:themeColor="text1"/>
                <w:sz w:val="22"/>
                <w:szCs w:val="22"/>
              </w:rPr>
              <w:t xml:space="preserve">] only to protest against the exercise of jurisdiction by the court.”  </w:t>
            </w:r>
            <w:r>
              <w:rPr>
                <w:rFonts w:ascii="Calibri" w:eastAsia="Times New Roman" w:hAnsi="Calibri"/>
                <w:b/>
                <w:i/>
                <w:color w:val="000000" w:themeColor="text1"/>
                <w:sz w:val="22"/>
                <w:szCs w:val="22"/>
              </w:rPr>
              <w:t xml:space="preserve">Clark </w:t>
            </w:r>
            <w:r>
              <w:rPr>
                <w:rFonts w:ascii="Calibri" w:eastAsia="Times New Roman" w:hAnsi="Calibri"/>
                <w:b/>
                <w:color w:val="000000" w:themeColor="text1"/>
                <w:sz w:val="22"/>
                <w:szCs w:val="22"/>
              </w:rPr>
              <w:t xml:space="preserve">at 448.  But the state did more than that.  It asserted its own affirmative claim to the money, then attempted to invoke immunity as a </w:t>
            </w:r>
            <w:r w:rsidRPr="009C1F4E">
              <w:rPr>
                <w:rFonts w:ascii="Calibri" w:eastAsia="Times New Roman" w:hAnsi="Calibri"/>
                <w:b/>
                <w:color w:val="000000" w:themeColor="text1"/>
                <w:sz w:val="22"/>
                <w:szCs w:val="22"/>
                <w:u w:val="single"/>
              </w:rPr>
              <w:t>sword</w:t>
            </w:r>
            <w:r>
              <w:rPr>
                <w:rFonts w:ascii="Calibri" w:eastAsia="Times New Roman" w:hAnsi="Calibri"/>
                <w:b/>
                <w:color w:val="000000" w:themeColor="text1"/>
                <w:sz w:val="22"/>
                <w:szCs w:val="22"/>
              </w:rPr>
              <w:t xml:space="preserve"> to advance that claim by silencing the private plaintiff’s opposition.  Waiver by litigation foreclosed that tactic</w:t>
            </w:r>
            <w:proofErr w:type="gramStart"/>
            <w:r>
              <w:rPr>
                <w:rFonts w:ascii="Calibri" w:eastAsia="Times New Roman" w:hAnsi="Calibri"/>
                <w:b/>
                <w:color w:val="000000" w:themeColor="text1"/>
                <w:sz w:val="22"/>
                <w:szCs w:val="22"/>
              </w:rPr>
              <w:t xml:space="preserve">. </w:t>
            </w:r>
            <w:proofErr w:type="gramEnd"/>
          </w:p>
        </w:tc>
        <w:tc>
          <w:tcPr>
            <w:tcW w:w="5904" w:type="dxa"/>
            <w:vAlign w:val="center"/>
          </w:tcPr>
          <w:p w14:paraId="07D6833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B74B90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30EF709" w14:textId="77777777" w:rsidTr="0010708E">
        <w:trPr>
          <w:trHeight w:val="4795"/>
        </w:trPr>
        <w:tc>
          <w:tcPr>
            <w:tcW w:w="5904" w:type="dxa"/>
            <w:vAlign w:val="center"/>
          </w:tcPr>
          <w:p w14:paraId="7C49FAFF" w14:textId="5027F17B"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r>
              <w:rPr>
                <w:rFonts w:ascii="Calibri" w:hAnsi="Calibri"/>
                <w:b/>
                <w:i/>
                <w:color w:val="000000" w:themeColor="text1"/>
                <w:sz w:val="28"/>
                <w:szCs w:val="28"/>
              </w:rPr>
              <w:t>Gunter</w:t>
            </w:r>
            <w:r>
              <w:rPr>
                <w:rFonts w:ascii="Calibri" w:hAnsi="Calibri"/>
                <w:b/>
                <w:color w:val="000000" w:themeColor="text1"/>
                <w:sz w:val="28"/>
                <w:szCs w:val="28"/>
              </w:rPr>
              <w:t>?</w:t>
            </w:r>
          </w:p>
        </w:tc>
        <w:tc>
          <w:tcPr>
            <w:tcW w:w="5904" w:type="dxa"/>
            <w:vAlign w:val="center"/>
          </w:tcPr>
          <w:p w14:paraId="2767D407"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Decades before deciding </w:t>
            </w:r>
            <w:r>
              <w:rPr>
                <w:rFonts w:ascii="Calibri" w:eastAsia="Times New Roman" w:hAnsi="Calibri"/>
                <w:b/>
                <w:i/>
                <w:color w:val="000000" w:themeColor="text1"/>
                <w:sz w:val="22"/>
                <w:szCs w:val="22"/>
              </w:rPr>
              <w:t>Gunter</w:t>
            </w:r>
            <w:r>
              <w:rPr>
                <w:rFonts w:ascii="Calibri" w:eastAsia="Times New Roman" w:hAnsi="Calibri"/>
                <w:b/>
                <w:color w:val="000000" w:themeColor="text1"/>
                <w:sz w:val="22"/>
                <w:szCs w:val="22"/>
              </w:rPr>
              <w:t>, the Supreme Court affirmed a judgment that two officials could not collect South Carolina taxes from a private company, which was exempt under a special government contract.</w:t>
            </w:r>
          </w:p>
          <w:p w14:paraId="3D2F01F2" w14:textId="553DC9F0"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rPr>
              <w:t xml:space="preserve">In </w:t>
            </w:r>
            <w:r>
              <w:rPr>
                <w:rFonts w:ascii="Calibri" w:eastAsia="Times New Roman" w:hAnsi="Calibri"/>
                <w:b/>
                <w:i/>
                <w:color w:val="000000" w:themeColor="text1"/>
                <w:sz w:val="22"/>
                <w:szCs w:val="22"/>
              </w:rPr>
              <w:t>Gunter</w:t>
            </w:r>
            <w:r>
              <w:rPr>
                <w:rFonts w:ascii="Calibri" w:eastAsia="Times New Roman" w:hAnsi="Calibri"/>
                <w:b/>
                <w:color w:val="000000" w:themeColor="text1"/>
                <w:sz w:val="22"/>
                <w:szCs w:val="22"/>
              </w:rPr>
              <w:t xml:space="preserve">, the question was whether South Carolina was bound by that prior judgment, such that it had no right to sue the private company’s successor for taxes in later years.  The Court held that South Carolina was so bound because it had, in effect, voluntarily appointed the two officials in the prior judgment to “defend its rights and submit them for judicial determination.”  </w:t>
            </w:r>
            <w:r>
              <w:rPr>
                <w:rFonts w:ascii="Calibri" w:eastAsia="Times New Roman" w:hAnsi="Calibri"/>
                <w:b/>
                <w:i/>
                <w:color w:val="000000" w:themeColor="text1"/>
                <w:sz w:val="22"/>
                <w:szCs w:val="22"/>
              </w:rPr>
              <w:t xml:space="preserve">Gunter </w:t>
            </w:r>
            <w:r>
              <w:rPr>
                <w:rFonts w:ascii="Calibri" w:eastAsia="Times New Roman" w:hAnsi="Calibri"/>
                <w:b/>
                <w:color w:val="000000" w:themeColor="text1"/>
                <w:sz w:val="22"/>
                <w:szCs w:val="22"/>
              </w:rPr>
              <w:t>at 289.  That meant South Carolina was in privity with the officials and, through them, had waived its immunity to the prior judgment.</w:t>
            </w:r>
          </w:p>
        </w:tc>
        <w:tc>
          <w:tcPr>
            <w:tcW w:w="5904" w:type="dxa"/>
            <w:vAlign w:val="center"/>
          </w:tcPr>
          <w:p w14:paraId="4F6A7DC0"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3670A9D"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777FC8C" w14:textId="77777777" w:rsidTr="0010708E">
        <w:trPr>
          <w:trHeight w:val="4795"/>
        </w:trPr>
        <w:tc>
          <w:tcPr>
            <w:tcW w:w="5904" w:type="dxa"/>
            <w:vAlign w:val="center"/>
          </w:tcPr>
          <w:p w14:paraId="7B72BF3D" w14:textId="7120516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did </w:t>
            </w:r>
            <w:r>
              <w:rPr>
                <w:rFonts w:ascii="Calibri" w:hAnsi="Calibri"/>
                <w:b/>
                <w:i/>
                <w:color w:val="000000" w:themeColor="text1"/>
                <w:sz w:val="28"/>
                <w:szCs w:val="28"/>
              </w:rPr>
              <w:t xml:space="preserve">Gunter </w:t>
            </w:r>
            <w:r>
              <w:rPr>
                <w:rFonts w:ascii="Calibri" w:hAnsi="Calibri"/>
                <w:b/>
                <w:color w:val="000000" w:themeColor="text1"/>
                <w:sz w:val="28"/>
                <w:szCs w:val="28"/>
              </w:rPr>
              <w:t>apply the waiver-by-litigation rule?</w:t>
            </w:r>
          </w:p>
        </w:tc>
        <w:tc>
          <w:tcPr>
            <w:tcW w:w="5904" w:type="dxa"/>
            <w:vAlign w:val="center"/>
          </w:tcPr>
          <w:p w14:paraId="7FE01F14"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Court reiterated </w:t>
            </w:r>
            <w:r>
              <w:rPr>
                <w:rFonts w:ascii="Calibri" w:eastAsia="Times New Roman" w:hAnsi="Calibri"/>
                <w:b/>
                <w:i/>
                <w:color w:val="000000" w:themeColor="text1"/>
                <w:sz w:val="22"/>
                <w:szCs w:val="22"/>
              </w:rPr>
              <w:t>Clark</w:t>
            </w:r>
            <w:r>
              <w:rPr>
                <w:rFonts w:ascii="Calibri" w:eastAsia="Times New Roman" w:hAnsi="Calibri"/>
                <w:b/>
                <w:color w:val="000000" w:themeColor="text1"/>
                <w:sz w:val="22"/>
                <w:szCs w:val="22"/>
              </w:rPr>
              <w:t>’s waiver rule: “[W]</w:t>
            </w:r>
            <w:r w:rsidRPr="00F9513A">
              <w:rPr>
                <w:rFonts w:ascii="Calibri" w:eastAsia="Times New Roman" w:hAnsi="Calibri"/>
                <w:b/>
                <w:color w:val="000000" w:themeColor="text1"/>
                <w:sz w:val="22"/>
                <w:szCs w:val="22"/>
              </w:rPr>
              <w:t>here a state voluntarily</w:t>
            </w:r>
            <w:r>
              <w:rPr>
                <w:rFonts w:ascii="Calibri" w:eastAsia="Times New Roman" w:hAnsi="Calibri"/>
                <w:b/>
                <w:color w:val="000000" w:themeColor="text1"/>
                <w:sz w:val="22"/>
                <w:szCs w:val="22"/>
              </w:rPr>
              <w:t xml:space="preserve"> </w:t>
            </w:r>
            <w:r w:rsidRPr="00F9513A">
              <w:rPr>
                <w:rFonts w:ascii="Calibri" w:eastAsia="Times New Roman" w:hAnsi="Calibri"/>
                <w:b/>
                <w:color w:val="000000" w:themeColor="text1"/>
                <w:sz w:val="22"/>
                <w:szCs w:val="22"/>
              </w:rPr>
              <w:t>becomes a party to a cause, and submits its rights for judicial</w:t>
            </w:r>
            <w:r>
              <w:rPr>
                <w:rFonts w:ascii="Calibri" w:eastAsia="Times New Roman" w:hAnsi="Calibri"/>
                <w:b/>
                <w:color w:val="000000" w:themeColor="text1"/>
                <w:sz w:val="22"/>
                <w:szCs w:val="22"/>
              </w:rPr>
              <w:t xml:space="preserve"> </w:t>
            </w:r>
            <w:r w:rsidRPr="00F9513A">
              <w:rPr>
                <w:rFonts w:ascii="Calibri" w:eastAsia="Times New Roman" w:hAnsi="Calibri"/>
                <w:b/>
                <w:color w:val="000000" w:themeColor="text1"/>
                <w:sz w:val="22"/>
                <w:szCs w:val="22"/>
              </w:rPr>
              <w:t xml:space="preserve">determination, it will be bound thereby, </w:t>
            </w:r>
            <w:r>
              <w:rPr>
                <w:rFonts w:ascii="Calibri" w:eastAsia="Times New Roman" w:hAnsi="Calibri"/>
                <w:b/>
                <w:color w:val="000000" w:themeColor="text1"/>
                <w:sz w:val="22"/>
                <w:szCs w:val="22"/>
              </w:rPr>
              <w:t xml:space="preserve">and cannot escape the result of </w:t>
            </w:r>
            <w:r w:rsidRPr="00F9513A">
              <w:rPr>
                <w:rFonts w:ascii="Calibri" w:eastAsia="Times New Roman" w:hAnsi="Calibri"/>
                <w:b/>
                <w:color w:val="000000" w:themeColor="text1"/>
                <w:sz w:val="22"/>
                <w:szCs w:val="22"/>
              </w:rPr>
              <w:t>its own voluntary act by invoking the prohibitions of the 11</w:t>
            </w:r>
            <w:r w:rsidRPr="00F9513A">
              <w:rPr>
                <w:rFonts w:ascii="Calibri" w:eastAsia="Times New Roman" w:hAnsi="Calibri"/>
                <w:b/>
                <w:color w:val="000000" w:themeColor="text1"/>
                <w:sz w:val="22"/>
                <w:szCs w:val="22"/>
                <w:vertAlign w:val="superscript"/>
              </w:rPr>
              <w:t>th</w:t>
            </w:r>
            <w:r>
              <w:rPr>
                <w:rFonts w:ascii="Calibri" w:eastAsia="Times New Roman" w:hAnsi="Calibri"/>
                <w:b/>
                <w:color w:val="000000" w:themeColor="text1"/>
                <w:sz w:val="22"/>
                <w:szCs w:val="22"/>
              </w:rPr>
              <w:t xml:space="preserve"> </w:t>
            </w:r>
            <w:r w:rsidRPr="00F9513A">
              <w:rPr>
                <w:rFonts w:ascii="Calibri" w:eastAsia="Times New Roman" w:hAnsi="Calibri"/>
                <w:b/>
                <w:color w:val="000000" w:themeColor="text1"/>
                <w:sz w:val="22"/>
                <w:szCs w:val="22"/>
              </w:rPr>
              <w:t xml:space="preserve">Amendment.” </w:t>
            </w:r>
            <w:r>
              <w:rPr>
                <w:rFonts w:ascii="Calibri" w:eastAsia="Times New Roman" w:hAnsi="Calibri"/>
                <w:b/>
                <w:i/>
                <w:color w:val="000000" w:themeColor="text1"/>
                <w:sz w:val="22"/>
                <w:szCs w:val="22"/>
              </w:rPr>
              <w:t>Gunter</w:t>
            </w:r>
            <w:r w:rsidRPr="00F9513A">
              <w:rPr>
                <w:rFonts w:ascii="Calibri" w:eastAsia="Times New Roman" w:hAnsi="Calibri"/>
                <w:b/>
                <w:color w:val="000000" w:themeColor="text1"/>
                <w:sz w:val="22"/>
                <w:szCs w:val="22"/>
              </w:rPr>
              <w:t xml:space="preserve"> at 284.</w:t>
            </w:r>
          </w:p>
          <w:p w14:paraId="7C1F88EF" w14:textId="54153EDF"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It then held that South Carolina, through the two officials named in the prior lawsuit, had submitted its right to collect taxes for judicial determination.  That meant it had waived immunity from the prior judgment.</w:t>
            </w:r>
          </w:p>
        </w:tc>
        <w:tc>
          <w:tcPr>
            <w:tcW w:w="5904" w:type="dxa"/>
            <w:vAlign w:val="center"/>
          </w:tcPr>
          <w:p w14:paraId="60D529BD"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CAF2DAB"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4D26C08" w14:textId="77777777" w:rsidTr="0010708E">
        <w:trPr>
          <w:trHeight w:val="4795"/>
        </w:trPr>
        <w:tc>
          <w:tcPr>
            <w:tcW w:w="5904" w:type="dxa"/>
            <w:vAlign w:val="center"/>
          </w:tcPr>
          <w:p w14:paraId="6ADEE9F5" w14:textId="178732A5"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How does </w:t>
            </w:r>
            <w:r>
              <w:rPr>
                <w:rFonts w:ascii="Calibri" w:hAnsi="Calibri"/>
                <w:b/>
                <w:i/>
                <w:color w:val="000000" w:themeColor="text1"/>
                <w:sz w:val="28"/>
                <w:szCs w:val="28"/>
              </w:rPr>
              <w:t xml:space="preserve">Gunter </w:t>
            </w:r>
            <w:r>
              <w:rPr>
                <w:rFonts w:ascii="Calibri" w:hAnsi="Calibri"/>
                <w:b/>
                <w:color w:val="000000" w:themeColor="text1"/>
                <w:sz w:val="28"/>
                <w:szCs w:val="28"/>
              </w:rPr>
              <w:t>support the shield v. sword distinction you’re drawing regarding waiver by litigation?</w:t>
            </w:r>
          </w:p>
        </w:tc>
        <w:tc>
          <w:tcPr>
            <w:tcW w:w="5904" w:type="dxa"/>
            <w:vAlign w:val="center"/>
          </w:tcPr>
          <w:p w14:paraId="04C24176" w14:textId="38AE9F36"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 xml:space="preserve">Gunter </w:t>
            </w:r>
            <w:r>
              <w:rPr>
                <w:rFonts w:ascii="Calibri" w:eastAsia="Times New Roman" w:hAnsi="Calibri"/>
                <w:b/>
                <w:color w:val="000000" w:themeColor="text1"/>
                <w:sz w:val="22"/>
                <w:szCs w:val="22"/>
              </w:rPr>
              <w:t xml:space="preserve">reaffirms that waiver by litigation kicks in when a state affirmatively presses its own claim, rather than merely shielding itself from the affirmative claims of others.  In the Court’s words, the state is then “bound” by its own “voluntary act” and loses immunity regarding “judicial determination” of the dispute.  </w:t>
            </w:r>
            <w:r>
              <w:rPr>
                <w:rFonts w:ascii="Calibri" w:eastAsia="Times New Roman" w:hAnsi="Calibri"/>
                <w:b/>
                <w:i/>
                <w:color w:val="000000" w:themeColor="text1"/>
                <w:sz w:val="22"/>
                <w:szCs w:val="22"/>
              </w:rPr>
              <w:t xml:space="preserve">Gunter </w:t>
            </w:r>
            <w:r>
              <w:rPr>
                <w:rFonts w:ascii="Calibri" w:eastAsia="Times New Roman" w:hAnsi="Calibri"/>
                <w:b/>
                <w:color w:val="000000" w:themeColor="text1"/>
                <w:sz w:val="22"/>
                <w:szCs w:val="22"/>
              </w:rPr>
              <w:t>at 284.</w:t>
            </w:r>
          </w:p>
        </w:tc>
        <w:tc>
          <w:tcPr>
            <w:tcW w:w="5904" w:type="dxa"/>
            <w:vAlign w:val="center"/>
          </w:tcPr>
          <w:p w14:paraId="2B55FD3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CE1284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482FE17" w14:textId="77777777" w:rsidTr="0010708E">
        <w:trPr>
          <w:trHeight w:val="4795"/>
        </w:trPr>
        <w:tc>
          <w:tcPr>
            <w:tcW w:w="5904" w:type="dxa"/>
            <w:vAlign w:val="center"/>
          </w:tcPr>
          <w:p w14:paraId="0D75E556" w14:textId="605AABAB"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r>
              <w:rPr>
                <w:rFonts w:ascii="Calibri" w:hAnsi="Calibri"/>
                <w:b/>
                <w:i/>
                <w:color w:val="000000" w:themeColor="text1"/>
                <w:sz w:val="28"/>
                <w:szCs w:val="28"/>
              </w:rPr>
              <w:t>Gardner</w:t>
            </w:r>
            <w:r>
              <w:rPr>
                <w:rFonts w:ascii="Calibri" w:hAnsi="Calibri"/>
                <w:b/>
                <w:color w:val="000000" w:themeColor="text1"/>
                <w:sz w:val="28"/>
                <w:szCs w:val="28"/>
              </w:rPr>
              <w:t>?</w:t>
            </w:r>
          </w:p>
        </w:tc>
        <w:tc>
          <w:tcPr>
            <w:tcW w:w="5904" w:type="dxa"/>
            <w:vAlign w:val="center"/>
          </w:tcPr>
          <w:p w14:paraId="7EEBDF69" w14:textId="1178ADF1"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rPr>
              <w:t>A</w:t>
            </w:r>
            <w:r w:rsidRPr="00D602F0">
              <w:rPr>
                <w:rFonts w:ascii="Calibri" w:eastAsia="Times New Roman" w:hAnsi="Calibri"/>
                <w:b/>
                <w:color w:val="000000" w:themeColor="text1"/>
                <w:sz w:val="22"/>
                <w:szCs w:val="22"/>
              </w:rPr>
              <w:t xml:space="preserve"> st</w:t>
            </w:r>
            <w:r>
              <w:rPr>
                <w:rFonts w:ascii="Calibri" w:eastAsia="Times New Roman" w:hAnsi="Calibri"/>
                <w:b/>
                <w:color w:val="000000" w:themeColor="text1"/>
                <w:sz w:val="22"/>
                <w:szCs w:val="22"/>
              </w:rPr>
              <w:t xml:space="preserve">ate filed a proof of claim in a </w:t>
            </w:r>
            <w:r w:rsidRPr="00D602F0">
              <w:rPr>
                <w:rFonts w:ascii="Calibri" w:eastAsia="Times New Roman" w:hAnsi="Calibri"/>
                <w:b/>
                <w:color w:val="000000" w:themeColor="text1"/>
                <w:sz w:val="22"/>
                <w:szCs w:val="22"/>
              </w:rPr>
              <w:t>bankruptcy proceeding but then invoked immunity to quash</w:t>
            </w:r>
            <w:r>
              <w:rPr>
                <w:rFonts w:ascii="Calibri" w:eastAsia="Times New Roman" w:hAnsi="Calibri"/>
                <w:b/>
                <w:color w:val="000000" w:themeColor="text1"/>
                <w:sz w:val="22"/>
                <w:szCs w:val="22"/>
              </w:rPr>
              <w:t xml:space="preserve"> </w:t>
            </w:r>
            <w:r w:rsidRPr="00D602F0">
              <w:rPr>
                <w:rFonts w:ascii="Calibri" w:eastAsia="Times New Roman" w:hAnsi="Calibri"/>
                <w:b/>
                <w:color w:val="000000" w:themeColor="text1"/>
                <w:sz w:val="22"/>
                <w:szCs w:val="22"/>
              </w:rPr>
              <w:t xml:space="preserve">adjudication of the trustee’s objections. </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Gardner </w:t>
            </w:r>
            <w:r w:rsidRPr="00D602F0">
              <w:rPr>
                <w:rFonts w:ascii="Calibri" w:eastAsia="Times New Roman" w:hAnsi="Calibri"/>
                <w:b/>
                <w:color w:val="000000" w:themeColor="text1"/>
                <w:sz w:val="22"/>
                <w:szCs w:val="22"/>
              </w:rPr>
              <w:t>at 570-71.</w:t>
            </w:r>
          </w:p>
        </w:tc>
        <w:tc>
          <w:tcPr>
            <w:tcW w:w="5904" w:type="dxa"/>
            <w:vAlign w:val="center"/>
          </w:tcPr>
          <w:p w14:paraId="39E6BE9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42B846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A4CB9FC" w14:textId="77777777" w:rsidTr="0010708E">
        <w:trPr>
          <w:trHeight w:val="4795"/>
        </w:trPr>
        <w:tc>
          <w:tcPr>
            <w:tcW w:w="5904" w:type="dxa"/>
            <w:vAlign w:val="center"/>
          </w:tcPr>
          <w:p w14:paraId="3763668D" w14:textId="0C87C354"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did </w:t>
            </w:r>
            <w:r>
              <w:rPr>
                <w:rFonts w:ascii="Calibri" w:hAnsi="Calibri"/>
                <w:b/>
                <w:i/>
                <w:color w:val="000000" w:themeColor="text1"/>
                <w:sz w:val="28"/>
                <w:szCs w:val="28"/>
              </w:rPr>
              <w:t xml:space="preserve">Gardner </w:t>
            </w:r>
            <w:r>
              <w:rPr>
                <w:rFonts w:ascii="Calibri" w:hAnsi="Calibri"/>
                <w:b/>
                <w:color w:val="000000" w:themeColor="text1"/>
                <w:sz w:val="28"/>
                <w:szCs w:val="28"/>
              </w:rPr>
              <w:t>apply the waiver-by-litigation rule?</w:t>
            </w:r>
          </w:p>
        </w:tc>
        <w:tc>
          <w:tcPr>
            <w:tcW w:w="5904" w:type="dxa"/>
            <w:vAlign w:val="center"/>
          </w:tcPr>
          <w:p w14:paraId="4F5D2BA1" w14:textId="77777777" w:rsidR="000F7558" w:rsidRDefault="000F7558" w:rsidP="000F7558">
            <w:pPr>
              <w:spacing w:after="120"/>
              <w:ind w:left="200" w:right="245"/>
              <w:jc w:val="both"/>
              <w:rPr>
                <w:rFonts w:ascii="Calibri" w:eastAsia="Times New Roman" w:hAnsi="Calibri"/>
                <w:b/>
                <w:color w:val="000000" w:themeColor="text1"/>
                <w:sz w:val="22"/>
                <w:szCs w:val="22"/>
              </w:rPr>
            </w:pPr>
            <w:r w:rsidRPr="00752016">
              <w:rPr>
                <w:rFonts w:ascii="Calibri" w:eastAsia="Times New Roman" w:hAnsi="Calibri"/>
                <w:b/>
                <w:color w:val="000000" w:themeColor="text1"/>
                <w:sz w:val="22"/>
                <w:szCs w:val="22"/>
              </w:rPr>
              <w:t>The Court</w:t>
            </w:r>
            <w:r>
              <w:rPr>
                <w:rFonts w:ascii="Calibri" w:eastAsia="Times New Roman" w:hAnsi="Calibri"/>
                <w:b/>
                <w:color w:val="000000" w:themeColor="text1"/>
                <w:sz w:val="22"/>
                <w:szCs w:val="22"/>
              </w:rPr>
              <w:t xml:space="preserve"> held that by asserting its own affirmative claim in the bankruptcy, the state waived immunity regarding the trustee’s opposition:  “W</w:t>
            </w:r>
            <w:r w:rsidRPr="00752016">
              <w:rPr>
                <w:rFonts w:ascii="Calibri" w:eastAsia="Times New Roman" w:hAnsi="Calibri"/>
                <w:b/>
                <w:color w:val="000000" w:themeColor="text1"/>
                <w:sz w:val="22"/>
                <w:szCs w:val="22"/>
              </w:rPr>
              <w:t>hen the State becomes the actor and</w:t>
            </w:r>
            <w:r>
              <w:rPr>
                <w:rFonts w:ascii="Calibri" w:eastAsia="Times New Roman" w:hAnsi="Calibri"/>
                <w:b/>
                <w:color w:val="000000" w:themeColor="text1"/>
                <w:sz w:val="22"/>
                <w:szCs w:val="22"/>
              </w:rPr>
              <w:t xml:space="preserve"> </w:t>
            </w:r>
            <w:r w:rsidRPr="00752016">
              <w:rPr>
                <w:rFonts w:ascii="Calibri" w:eastAsia="Times New Roman" w:hAnsi="Calibri"/>
                <w:b/>
                <w:color w:val="000000" w:themeColor="text1"/>
                <w:sz w:val="22"/>
                <w:szCs w:val="22"/>
              </w:rPr>
              <w:t>files a claim against the fund it waives any immunity which it</w:t>
            </w:r>
            <w:r>
              <w:rPr>
                <w:rFonts w:ascii="Calibri" w:eastAsia="Times New Roman" w:hAnsi="Calibri"/>
                <w:b/>
                <w:color w:val="000000" w:themeColor="text1"/>
                <w:sz w:val="22"/>
                <w:szCs w:val="22"/>
              </w:rPr>
              <w:t xml:space="preserve"> </w:t>
            </w:r>
            <w:r w:rsidRPr="00752016">
              <w:rPr>
                <w:rFonts w:ascii="Calibri" w:eastAsia="Times New Roman" w:hAnsi="Calibri"/>
                <w:b/>
                <w:color w:val="000000" w:themeColor="text1"/>
                <w:sz w:val="22"/>
                <w:szCs w:val="22"/>
              </w:rPr>
              <w:t xml:space="preserve">otherwise might have had respecting </w:t>
            </w:r>
            <w:r>
              <w:rPr>
                <w:rFonts w:ascii="Calibri" w:eastAsia="Times New Roman" w:hAnsi="Calibri"/>
                <w:b/>
                <w:color w:val="000000" w:themeColor="text1"/>
                <w:sz w:val="22"/>
                <w:szCs w:val="22"/>
              </w:rPr>
              <w:t>the adjudication of the claim.”</w:t>
            </w:r>
            <w:r w:rsidRPr="00752016">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 </w:t>
            </w:r>
            <w:r w:rsidRPr="00CF1F5E">
              <w:rPr>
                <w:rFonts w:ascii="Calibri" w:eastAsia="Times New Roman" w:hAnsi="Calibri"/>
                <w:b/>
                <w:i/>
                <w:color w:val="000000" w:themeColor="text1"/>
                <w:sz w:val="22"/>
                <w:szCs w:val="22"/>
              </w:rPr>
              <w:t>Gardner</w:t>
            </w:r>
            <w:r w:rsidRPr="00752016">
              <w:rPr>
                <w:rFonts w:ascii="Calibri" w:eastAsia="Times New Roman" w:hAnsi="Calibri"/>
                <w:b/>
                <w:color w:val="000000" w:themeColor="text1"/>
                <w:sz w:val="22"/>
                <w:szCs w:val="22"/>
              </w:rPr>
              <w:t xml:space="preserve"> at 574.</w:t>
            </w:r>
            <w:r>
              <w:rPr>
                <w:rFonts w:ascii="Calibri" w:eastAsia="Times New Roman" w:hAnsi="Calibri"/>
                <w:b/>
                <w:color w:val="000000" w:themeColor="text1"/>
                <w:sz w:val="22"/>
                <w:szCs w:val="22"/>
              </w:rPr>
              <w:t xml:space="preserve">  That included </w:t>
            </w:r>
            <w:r w:rsidRPr="00752016">
              <w:rPr>
                <w:rFonts w:ascii="Calibri" w:eastAsia="Times New Roman" w:hAnsi="Calibri"/>
                <w:b/>
                <w:color w:val="000000" w:themeColor="text1"/>
                <w:sz w:val="22"/>
                <w:szCs w:val="22"/>
              </w:rPr>
              <w:t xml:space="preserve">the trustee’s efforts to defeat </w:t>
            </w:r>
            <w:r>
              <w:rPr>
                <w:rFonts w:ascii="Calibri" w:eastAsia="Times New Roman" w:hAnsi="Calibri"/>
                <w:b/>
                <w:color w:val="000000" w:themeColor="text1"/>
                <w:sz w:val="22"/>
                <w:szCs w:val="22"/>
              </w:rPr>
              <w:t>the state’s claim</w:t>
            </w:r>
            <w:r w:rsidRPr="00752016">
              <w:rPr>
                <w:rFonts w:ascii="Calibri" w:eastAsia="Times New Roman" w:hAnsi="Calibri"/>
                <w:b/>
                <w:color w:val="000000" w:themeColor="text1"/>
                <w:sz w:val="22"/>
                <w:szCs w:val="22"/>
              </w:rPr>
              <w:t>.</w:t>
            </w:r>
          </w:p>
          <w:p w14:paraId="7B620384" w14:textId="445FAF95"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Thus, just like a private litigant, a state that “</w:t>
            </w:r>
            <w:r w:rsidRPr="00CA7499">
              <w:rPr>
                <w:rFonts w:ascii="Calibri" w:eastAsia="Times New Roman" w:hAnsi="Calibri"/>
                <w:b/>
                <w:color w:val="000000" w:themeColor="text1"/>
                <w:sz w:val="22"/>
                <w:szCs w:val="22"/>
              </w:rPr>
              <w:t>invokes the aid of the bankruptcy court by offering a proof of</w:t>
            </w:r>
            <w:r>
              <w:rPr>
                <w:rFonts w:ascii="Calibri" w:eastAsia="Times New Roman" w:hAnsi="Calibri"/>
                <w:b/>
                <w:color w:val="000000" w:themeColor="text1"/>
                <w:sz w:val="22"/>
                <w:szCs w:val="22"/>
              </w:rPr>
              <w:t xml:space="preserve"> </w:t>
            </w:r>
            <w:r w:rsidRPr="00CA7499">
              <w:rPr>
                <w:rFonts w:ascii="Calibri" w:eastAsia="Times New Roman" w:hAnsi="Calibri"/>
                <w:b/>
                <w:color w:val="000000" w:themeColor="text1"/>
                <w:sz w:val="22"/>
                <w:szCs w:val="22"/>
              </w:rPr>
              <w:t>claim and demanding its allowance must abide the consequences of that</w:t>
            </w:r>
            <w:r>
              <w:rPr>
                <w:rFonts w:ascii="Calibri" w:eastAsia="Times New Roman" w:hAnsi="Calibri"/>
                <w:b/>
                <w:color w:val="000000" w:themeColor="text1"/>
                <w:sz w:val="22"/>
                <w:szCs w:val="22"/>
              </w:rPr>
              <w:t xml:space="preserve"> </w:t>
            </w:r>
            <w:r w:rsidRPr="00CA7499">
              <w:rPr>
                <w:rFonts w:ascii="Calibri" w:eastAsia="Times New Roman" w:hAnsi="Calibri"/>
                <w:b/>
                <w:color w:val="000000" w:themeColor="text1"/>
                <w:sz w:val="22"/>
                <w:szCs w:val="22"/>
              </w:rPr>
              <w:t xml:space="preserve">procedure.” </w:t>
            </w:r>
            <w:r>
              <w:rPr>
                <w:rFonts w:ascii="Calibri" w:eastAsia="Times New Roman" w:hAnsi="Calibri"/>
                <w:b/>
                <w:color w:val="000000" w:themeColor="text1"/>
                <w:sz w:val="22"/>
                <w:szCs w:val="22"/>
              </w:rPr>
              <w:t xml:space="preserve"> </w:t>
            </w:r>
            <w:r w:rsidRPr="00CA7499">
              <w:rPr>
                <w:rFonts w:ascii="Calibri" w:eastAsia="Times New Roman" w:hAnsi="Calibri"/>
                <w:b/>
                <w:i/>
                <w:color w:val="000000" w:themeColor="text1"/>
                <w:sz w:val="22"/>
                <w:szCs w:val="22"/>
              </w:rPr>
              <w:t>Id.</w:t>
            </w:r>
            <w:r w:rsidRPr="00CA7499">
              <w:rPr>
                <w:rFonts w:ascii="Calibri" w:eastAsia="Times New Roman" w:hAnsi="Calibri"/>
                <w:b/>
                <w:color w:val="000000" w:themeColor="text1"/>
                <w:sz w:val="22"/>
                <w:szCs w:val="22"/>
              </w:rPr>
              <w:t xml:space="preserve"> at 573.</w:t>
            </w:r>
          </w:p>
        </w:tc>
        <w:tc>
          <w:tcPr>
            <w:tcW w:w="5904" w:type="dxa"/>
            <w:vAlign w:val="center"/>
          </w:tcPr>
          <w:p w14:paraId="7A2DC60D"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913DE87"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7724BE4" w14:textId="77777777" w:rsidTr="0010708E">
        <w:trPr>
          <w:trHeight w:val="4795"/>
        </w:trPr>
        <w:tc>
          <w:tcPr>
            <w:tcW w:w="5904" w:type="dxa"/>
            <w:vAlign w:val="center"/>
          </w:tcPr>
          <w:p w14:paraId="683236FB" w14:textId="36D62D1D"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How does </w:t>
            </w:r>
            <w:r>
              <w:rPr>
                <w:rFonts w:ascii="Calibri" w:hAnsi="Calibri"/>
                <w:b/>
                <w:i/>
                <w:color w:val="000000" w:themeColor="text1"/>
                <w:sz w:val="28"/>
                <w:szCs w:val="28"/>
              </w:rPr>
              <w:t xml:space="preserve">Gardner </w:t>
            </w:r>
            <w:r>
              <w:rPr>
                <w:rFonts w:ascii="Calibri" w:hAnsi="Calibri"/>
                <w:b/>
                <w:color w:val="000000" w:themeColor="text1"/>
                <w:sz w:val="28"/>
                <w:szCs w:val="28"/>
              </w:rPr>
              <w:t>support the shield v. sword distinction you’re drawing regarding waiver by litigation?</w:t>
            </w:r>
          </w:p>
        </w:tc>
        <w:tc>
          <w:tcPr>
            <w:tcW w:w="5904" w:type="dxa"/>
            <w:vAlign w:val="center"/>
          </w:tcPr>
          <w:p w14:paraId="69742F52" w14:textId="518D8FB8" w:rsidR="000F7558" w:rsidRPr="00752016"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As in </w:t>
            </w:r>
            <w:r>
              <w:rPr>
                <w:rFonts w:ascii="Calibri" w:eastAsia="Times New Roman" w:hAnsi="Calibri"/>
                <w:b/>
                <w:i/>
                <w:color w:val="000000" w:themeColor="text1"/>
                <w:sz w:val="22"/>
                <w:szCs w:val="22"/>
              </w:rPr>
              <w:t xml:space="preserve">Clark </w:t>
            </w:r>
            <w:r>
              <w:rPr>
                <w:rFonts w:ascii="Calibri" w:eastAsia="Times New Roman" w:hAnsi="Calibri"/>
                <w:b/>
                <w:color w:val="000000" w:themeColor="text1"/>
                <w:sz w:val="22"/>
                <w:szCs w:val="22"/>
              </w:rPr>
              <w:t xml:space="preserve">and </w:t>
            </w:r>
            <w:r>
              <w:rPr>
                <w:rFonts w:ascii="Calibri" w:eastAsia="Times New Roman" w:hAnsi="Calibri"/>
                <w:b/>
                <w:i/>
                <w:color w:val="000000" w:themeColor="text1"/>
                <w:sz w:val="22"/>
                <w:szCs w:val="22"/>
              </w:rPr>
              <w:t>Gardner</w:t>
            </w:r>
            <w:r>
              <w:rPr>
                <w:rFonts w:ascii="Calibri" w:eastAsia="Times New Roman" w:hAnsi="Calibri"/>
                <w:b/>
                <w:color w:val="000000" w:themeColor="text1"/>
                <w:sz w:val="22"/>
                <w:szCs w:val="22"/>
              </w:rPr>
              <w:t xml:space="preserve">, the Court tied waiver by litigation to the state’s pursuit of its own affirmative claim.  Waiver happens when “the State becomes the actor.”  </w:t>
            </w:r>
            <w:r>
              <w:rPr>
                <w:rFonts w:ascii="Calibri" w:eastAsia="Times New Roman" w:hAnsi="Calibri"/>
                <w:b/>
                <w:i/>
                <w:color w:val="000000" w:themeColor="text1"/>
                <w:sz w:val="22"/>
                <w:szCs w:val="22"/>
              </w:rPr>
              <w:t xml:space="preserve">Gardner </w:t>
            </w:r>
            <w:r>
              <w:rPr>
                <w:rFonts w:ascii="Calibri" w:eastAsia="Times New Roman" w:hAnsi="Calibri"/>
                <w:b/>
                <w:color w:val="000000" w:themeColor="text1"/>
                <w:sz w:val="22"/>
                <w:szCs w:val="22"/>
              </w:rPr>
              <w:t>at 574.</w:t>
            </w:r>
          </w:p>
        </w:tc>
        <w:tc>
          <w:tcPr>
            <w:tcW w:w="5904" w:type="dxa"/>
            <w:vAlign w:val="center"/>
          </w:tcPr>
          <w:p w14:paraId="29484B76"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583AC3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FEE75DF" w14:textId="77777777" w:rsidTr="0010708E">
        <w:trPr>
          <w:trHeight w:val="4795"/>
        </w:trPr>
        <w:tc>
          <w:tcPr>
            <w:tcW w:w="5904" w:type="dxa"/>
            <w:vAlign w:val="center"/>
          </w:tcPr>
          <w:p w14:paraId="522BA574" w14:textId="4A2C935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proofErr w:type="spellStart"/>
            <w:r>
              <w:rPr>
                <w:rFonts w:ascii="Calibri" w:hAnsi="Calibri"/>
                <w:b/>
                <w:i/>
                <w:color w:val="000000" w:themeColor="text1"/>
                <w:sz w:val="28"/>
                <w:szCs w:val="28"/>
              </w:rPr>
              <w:t>Lapides</w:t>
            </w:r>
            <w:proofErr w:type="spellEnd"/>
            <w:r>
              <w:rPr>
                <w:rFonts w:ascii="Calibri" w:hAnsi="Calibri"/>
                <w:b/>
                <w:color w:val="000000" w:themeColor="text1"/>
                <w:sz w:val="28"/>
                <w:szCs w:val="28"/>
              </w:rPr>
              <w:t>?</w:t>
            </w:r>
          </w:p>
        </w:tc>
        <w:tc>
          <w:tcPr>
            <w:tcW w:w="5904" w:type="dxa"/>
            <w:vAlign w:val="center"/>
          </w:tcPr>
          <w:p w14:paraId="6F772D94" w14:textId="2B1DA509"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 </w:t>
            </w:r>
            <w:r w:rsidRPr="00A91FDE">
              <w:rPr>
                <w:rFonts w:ascii="Calibri" w:eastAsia="Times New Roman" w:hAnsi="Calibri"/>
                <w:b/>
                <w:color w:val="000000" w:themeColor="text1"/>
                <w:sz w:val="22"/>
                <w:szCs w:val="22"/>
              </w:rPr>
              <w:t xml:space="preserve">defendant state </w:t>
            </w:r>
            <w:r>
              <w:rPr>
                <w:rFonts w:ascii="Calibri" w:eastAsia="Times New Roman" w:hAnsi="Calibri"/>
                <w:b/>
                <w:color w:val="000000" w:themeColor="text1"/>
                <w:sz w:val="22"/>
                <w:szCs w:val="22"/>
              </w:rPr>
              <w:t xml:space="preserve">elected to remove a state-court </w:t>
            </w:r>
            <w:r w:rsidRPr="00A91FDE">
              <w:rPr>
                <w:rFonts w:ascii="Calibri" w:eastAsia="Times New Roman" w:hAnsi="Calibri"/>
                <w:b/>
                <w:color w:val="000000" w:themeColor="text1"/>
                <w:sz w:val="22"/>
                <w:szCs w:val="22"/>
              </w:rPr>
              <w:t>dispute to federal court, seeking certai</w:t>
            </w:r>
            <w:r>
              <w:rPr>
                <w:rFonts w:ascii="Calibri" w:eastAsia="Times New Roman" w:hAnsi="Calibri"/>
                <w:b/>
                <w:color w:val="000000" w:themeColor="text1"/>
                <w:sz w:val="22"/>
                <w:szCs w:val="22"/>
              </w:rPr>
              <w:t>n benefits of the federal forum.  Those benefits included</w:t>
            </w:r>
            <w:r w:rsidRPr="00A91FDE">
              <w:rPr>
                <w:rFonts w:ascii="Calibri" w:eastAsia="Times New Roman" w:hAnsi="Calibri"/>
                <w:b/>
                <w:color w:val="000000" w:themeColor="text1"/>
                <w:sz w:val="22"/>
                <w:szCs w:val="22"/>
              </w:rPr>
              <w:t xml:space="preserve"> more “generous interlocutory appeal provisions” for its</w:t>
            </w:r>
            <w:r>
              <w:rPr>
                <w:rFonts w:ascii="Calibri" w:eastAsia="Times New Roman" w:hAnsi="Calibri"/>
                <w:b/>
                <w:color w:val="000000" w:themeColor="text1"/>
                <w:sz w:val="22"/>
                <w:szCs w:val="22"/>
              </w:rPr>
              <w:t xml:space="preserve"> </w:t>
            </w:r>
            <w:r w:rsidRPr="00A91FDE">
              <w:rPr>
                <w:rFonts w:ascii="Calibri" w:eastAsia="Times New Roman" w:hAnsi="Calibri"/>
                <w:b/>
                <w:color w:val="000000" w:themeColor="text1"/>
                <w:sz w:val="22"/>
                <w:szCs w:val="22"/>
              </w:rPr>
              <w:t xml:space="preserve">employees who were named as co-defendants. </w:t>
            </w:r>
            <w:r>
              <w:rPr>
                <w:rFonts w:ascii="Calibri" w:eastAsia="Times New Roman" w:hAnsi="Calibri"/>
                <w:b/>
                <w:color w:val="000000" w:themeColor="text1"/>
                <w:sz w:val="22"/>
                <w:szCs w:val="22"/>
              </w:rPr>
              <w:t xml:space="preserve"> </w:t>
            </w:r>
            <w:proofErr w:type="spellStart"/>
            <w:r>
              <w:rPr>
                <w:rFonts w:ascii="Calibri" w:eastAsia="Times New Roman" w:hAnsi="Calibri"/>
                <w:b/>
                <w:i/>
                <w:color w:val="000000" w:themeColor="text1"/>
                <w:sz w:val="22"/>
                <w:szCs w:val="22"/>
              </w:rPr>
              <w:t>Lapides</w:t>
            </w:r>
            <w:proofErr w:type="spellEnd"/>
            <w:r w:rsidRPr="00A91FDE">
              <w:rPr>
                <w:rFonts w:ascii="Calibri" w:eastAsia="Times New Roman" w:hAnsi="Calibri"/>
                <w:b/>
                <w:color w:val="000000" w:themeColor="text1"/>
                <w:sz w:val="22"/>
                <w:szCs w:val="22"/>
              </w:rPr>
              <w:t xml:space="preserve"> at 616, 621.</w:t>
            </w:r>
            <w:r>
              <w:rPr>
                <w:rFonts w:ascii="Calibri" w:eastAsia="Times New Roman" w:hAnsi="Calibri"/>
                <w:b/>
                <w:color w:val="000000" w:themeColor="text1"/>
                <w:sz w:val="22"/>
                <w:szCs w:val="22"/>
              </w:rPr>
              <w:t xml:space="preserve">  </w:t>
            </w:r>
            <w:r w:rsidRPr="00A91FDE">
              <w:rPr>
                <w:rFonts w:ascii="Calibri" w:eastAsia="Times New Roman" w:hAnsi="Calibri"/>
                <w:b/>
                <w:color w:val="000000" w:themeColor="text1"/>
                <w:sz w:val="22"/>
                <w:szCs w:val="22"/>
              </w:rPr>
              <w:t>When the state’s adversary pressed its claims in federal court, however,</w:t>
            </w:r>
            <w:r>
              <w:rPr>
                <w:rFonts w:ascii="Calibri" w:eastAsia="Times New Roman" w:hAnsi="Calibri"/>
                <w:b/>
                <w:color w:val="000000" w:themeColor="text1"/>
                <w:sz w:val="22"/>
                <w:szCs w:val="22"/>
              </w:rPr>
              <w:t xml:space="preserve"> </w:t>
            </w:r>
            <w:r w:rsidRPr="00A91FDE">
              <w:rPr>
                <w:rFonts w:ascii="Calibri" w:eastAsia="Times New Roman" w:hAnsi="Calibri"/>
                <w:b/>
                <w:color w:val="000000" w:themeColor="text1"/>
                <w:sz w:val="22"/>
                <w:szCs w:val="22"/>
              </w:rPr>
              <w:t>the state argued that it remained i</w:t>
            </w:r>
            <w:r>
              <w:rPr>
                <w:rFonts w:ascii="Calibri" w:eastAsia="Times New Roman" w:hAnsi="Calibri"/>
                <w:b/>
                <w:color w:val="000000" w:themeColor="text1"/>
                <w:sz w:val="22"/>
                <w:szCs w:val="22"/>
              </w:rPr>
              <w:t xml:space="preserve">mmune from federal jurisdiction </w:t>
            </w:r>
            <w:r w:rsidRPr="00A91FDE">
              <w:rPr>
                <w:rFonts w:ascii="Calibri" w:eastAsia="Times New Roman" w:hAnsi="Calibri"/>
                <w:b/>
                <w:color w:val="000000" w:themeColor="text1"/>
                <w:sz w:val="22"/>
                <w:szCs w:val="22"/>
              </w:rPr>
              <w:t xml:space="preserve">notwithstanding its own successful removal motion. </w:t>
            </w:r>
            <w:r>
              <w:rPr>
                <w:rFonts w:ascii="Calibri" w:eastAsia="Times New Roman" w:hAnsi="Calibri"/>
                <w:b/>
                <w:color w:val="000000" w:themeColor="text1"/>
                <w:sz w:val="22"/>
                <w:szCs w:val="22"/>
              </w:rPr>
              <w:t xml:space="preserve"> </w:t>
            </w:r>
            <w:r w:rsidRPr="00A91FDE">
              <w:rPr>
                <w:rFonts w:ascii="Calibri" w:eastAsia="Times New Roman" w:hAnsi="Calibri"/>
                <w:b/>
                <w:i/>
                <w:color w:val="000000" w:themeColor="text1"/>
                <w:sz w:val="22"/>
                <w:szCs w:val="22"/>
              </w:rPr>
              <w:t>Id.</w:t>
            </w:r>
            <w:r w:rsidRPr="00A91FDE">
              <w:rPr>
                <w:rFonts w:ascii="Calibri" w:eastAsia="Times New Roman" w:hAnsi="Calibri"/>
                <w:b/>
                <w:color w:val="000000" w:themeColor="text1"/>
                <w:sz w:val="22"/>
                <w:szCs w:val="22"/>
              </w:rPr>
              <w:t xml:space="preserve"> at 616.</w:t>
            </w:r>
          </w:p>
        </w:tc>
        <w:tc>
          <w:tcPr>
            <w:tcW w:w="5904" w:type="dxa"/>
            <w:vAlign w:val="center"/>
          </w:tcPr>
          <w:p w14:paraId="4A1C69D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F147C3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310E8FB" w14:textId="77777777" w:rsidTr="0010708E">
        <w:trPr>
          <w:trHeight w:val="4795"/>
        </w:trPr>
        <w:tc>
          <w:tcPr>
            <w:tcW w:w="5904" w:type="dxa"/>
            <w:vAlign w:val="center"/>
          </w:tcPr>
          <w:p w14:paraId="4093926E" w14:textId="1AC6CBEA"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did </w:t>
            </w:r>
            <w:proofErr w:type="spellStart"/>
            <w:r>
              <w:rPr>
                <w:rFonts w:ascii="Calibri" w:hAnsi="Calibri"/>
                <w:b/>
                <w:i/>
                <w:color w:val="000000" w:themeColor="text1"/>
                <w:sz w:val="28"/>
                <w:szCs w:val="28"/>
              </w:rPr>
              <w:t>Lapides</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apply the waiver-by-litigation rule?</w:t>
            </w:r>
          </w:p>
        </w:tc>
        <w:tc>
          <w:tcPr>
            <w:tcW w:w="5904" w:type="dxa"/>
            <w:vAlign w:val="center"/>
          </w:tcPr>
          <w:p w14:paraId="7865681D" w14:textId="57899012"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It foreclosed the state from invoking immunity.  </w:t>
            </w:r>
            <w:r w:rsidRPr="00150638">
              <w:rPr>
                <w:rFonts w:ascii="Calibri" w:eastAsia="Times New Roman" w:hAnsi="Calibri"/>
                <w:b/>
                <w:color w:val="000000" w:themeColor="text1"/>
                <w:sz w:val="22"/>
                <w:szCs w:val="22"/>
                <w:lang w:val="x-none"/>
              </w:rPr>
              <w:t>Having “voluntarily” asserted that the case should be</w:t>
            </w:r>
            <w:r>
              <w:rPr>
                <w:rFonts w:ascii="Calibri" w:eastAsia="Times New Roman" w:hAnsi="Calibri"/>
                <w:b/>
                <w:color w:val="000000" w:themeColor="text1"/>
                <w:sz w:val="22"/>
                <w:szCs w:val="22"/>
              </w:rPr>
              <w:t xml:space="preserve"> </w:t>
            </w:r>
            <w:r w:rsidRPr="00150638">
              <w:rPr>
                <w:rFonts w:ascii="Calibri" w:eastAsia="Times New Roman" w:hAnsi="Calibri"/>
                <w:b/>
                <w:color w:val="000000" w:themeColor="text1"/>
                <w:sz w:val="22"/>
                <w:szCs w:val="22"/>
                <w:lang w:val="x-none"/>
              </w:rPr>
              <w:t>resolved in federal court, the state had to abide federal jurisdiction in</w:t>
            </w:r>
            <w:r>
              <w:rPr>
                <w:rFonts w:ascii="Calibri" w:eastAsia="Times New Roman" w:hAnsi="Calibri"/>
                <w:b/>
                <w:color w:val="000000" w:themeColor="text1"/>
                <w:sz w:val="22"/>
                <w:szCs w:val="22"/>
              </w:rPr>
              <w:t xml:space="preserve"> </w:t>
            </w:r>
            <w:r w:rsidRPr="00150638">
              <w:rPr>
                <w:rFonts w:ascii="Calibri" w:eastAsia="Times New Roman" w:hAnsi="Calibri"/>
                <w:b/>
                <w:color w:val="000000" w:themeColor="text1"/>
                <w:sz w:val="22"/>
                <w:szCs w:val="22"/>
                <w:lang w:val="x-none"/>
              </w:rPr>
              <w:t>full.</w:t>
            </w:r>
            <w:r>
              <w:rPr>
                <w:rFonts w:ascii="Calibri" w:eastAsia="Times New Roman" w:hAnsi="Calibri"/>
                <w:b/>
                <w:color w:val="000000" w:themeColor="text1"/>
                <w:sz w:val="22"/>
                <w:szCs w:val="22"/>
              </w:rPr>
              <w:t xml:space="preserve"> </w:t>
            </w:r>
            <w:r w:rsidRPr="00150638">
              <w:rPr>
                <w:rFonts w:ascii="Calibri" w:eastAsia="Times New Roman" w:hAnsi="Calibri"/>
                <w:b/>
                <w:color w:val="000000" w:themeColor="text1"/>
                <w:sz w:val="22"/>
                <w:szCs w:val="22"/>
                <w:lang w:val="x-none"/>
              </w:rPr>
              <w:t xml:space="preserve"> </w:t>
            </w:r>
            <w:r w:rsidRPr="00150638">
              <w:rPr>
                <w:rFonts w:ascii="Calibri" w:eastAsia="Times New Roman" w:hAnsi="Calibri"/>
                <w:b/>
                <w:i/>
                <w:color w:val="000000" w:themeColor="text1"/>
                <w:sz w:val="22"/>
                <w:szCs w:val="22"/>
                <w:lang w:val="x-none"/>
              </w:rPr>
              <w:t xml:space="preserve">Id. </w:t>
            </w:r>
            <w:r w:rsidRPr="00150638">
              <w:rPr>
                <w:rFonts w:ascii="Calibri" w:eastAsia="Times New Roman" w:hAnsi="Calibri"/>
                <w:b/>
                <w:color w:val="000000" w:themeColor="text1"/>
                <w:sz w:val="22"/>
                <w:szCs w:val="22"/>
                <w:lang w:val="x-none"/>
              </w:rPr>
              <w:t>at 620.</w:t>
            </w:r>
          </w:p>
        </w:tc>
        <w:tc>
          <w:tcPr>
            <w:tcW w:w="5904" w:type="dxa"/>
            <w:vAlign w:val="center"/>
          </w:tcPr>
          <w:p w14:paraId="65581ECA"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0A207C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9E75817" w14:textId="77777777" w:rsidTr="0010708E">
        <w:trPr>
          <w:trHeight w:val="4795"/>
        </w:trPr>
        <w:tc>
          <w:tcPr>
            <w:tcW w:w="5904" w:type="dxa"/>
            <w:vAlign w:val="center"/>
          </w:tcPr>
          <w:p w14:paraId="419DA715" w14:textId="3B2B55BA"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How does </w:t>
            </w:r>
            <w:proofErr w:type="spellStart"/>
            <w:r>
              <w:rPr>
                <w:rFonts w:ascii="Calibri" w:hAnsi="Calibri"/>
                <w:b/>
                <w:i/>
                <w:color w:val="000000" w:themeColor="text1"/>
                <w:sz w:val="28"/>
                <w:szCs w:val="28"/>
              </w:rPr>
              <w:t>Lapides</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support the shield v. sword distinction you’re drawing regarding waiver by litigation?</w:t>
            </w:r>
          </w:p>
        </w:tc>
        <w:tc>
          <w:tcPr>
            <w:tcW w:w="5904" w:type="dxa"/>
            <w:vAlign w:val="center"/>
          </w:tcPr>
          <w:p w14:paraId="0884A5A7" w14:textId="77777777" w:rsidR="000F7558" w:rsidRDefault="000F7558" w:rsidP="000F7558">
            <w:pPr>
              <w:spacing w:after="120"/>
              <w:ind w:left="200" w:right="245"/>
              <w:jc w:val="both"/>
              <w:rPr>
                <w:rFonts w:ascii="Calibri" w:eastAsia="Times New Roman" w:hAnsi="Calibri"/>
                <w:b/>
                <w:color w:val="000000" w:themeColor="text1"/>
                <w:sz w:val="22"/>
                <w:szCs w:val="22"/>
                <w:lang w:val="x-none"/>
              </w:rPr>
            </w:pPr>
            <w:proofErr w:type="spellStart"/>
            <w:r w:rsidRPr="00D84D15">
              <w:rPr>
                <w:rFonts w:ascii="Calibri" w:eastAsia="Times New Roman" w:hAnsi="Calibri"/>
                <w:b/>
                <w:i/>
                <w:color w:val="000000" w:themeColor="text1"/>
                <w:sz w:val="22"/>
                <w:szCs w:val="22"/>
                <w:lang w:val="x-none"/>
              </w:rPr>
              <w:t>Lapides</w:t>
            </w:r>
            <w:proofErr w:type="spellEnd"/>
            <w:r w:rsidRPr="00D84D15">
              <w:rPr>
                <w:rFonts w:ascii="Calibri" w:eastAsia="Times New Roman" w:hAnsi="Calibri"/>
                <w:b/>
                <w:i/>
                <w:color w:val="000000" w:themeColor="text1"/>
                <w:sz w:val="22"/>
                <w:szCs w:val="22"/>
                <w:lang w:val="x-none"/>
              </w:rPr>
              <w:t xml:space="preserve"> </w:t>
            </w:r>
            <w:r>
              <w:rPr>
                <w:rFonts w:ascii="Calibri" w:eastAsia="Times New Roman" w:hAnsi="Calibri"/>
                <w:b/>
                <w:color w:val="000000" w:themeColor="text1"/>
                <w:sz w:val="22"/>
                <w:szCs w:val="22"/>
              </w:rPr>
              <w:t>reaffirmed</w:t>
            </w:r>
            <w:r w:rsidRPr="00D84D15">
              <w:rPr>
                <w:rFonts w:ascii="Calibri" w:eastAsia="Times New Roman" w:hAnsi="Calibri"/>
                <w:b/>
                <w:color w:val="000000" w:themeColor="text1"/>
                <w:sz w:val="22"/>
                <w:szCs w:val="22"/>
                <w:lang w:val="x-none"/>
              </w:rPr>
              <w:t xml:space="preserve"> the shield-not-sword</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 xml:space="preserve">distinction established in </w:t>
            </w:r>
            <w:r w:rsidRPr="00D84D15">
              <w:rPr>
                <w:rFonts w:ascii="Calibri" w:eastAsia="Times New Roman" w:hAnsi="Calibri"/>
                <w:b/>
                <w:i/>
                <w:color w:val="000000" w:themeColor="text1"/>
                <w:sz w:val="22"/>
                <w:szCs w:val="22"/>
                <w:lang w:val="x-none"/>
              </w:rPr>
              <w:t xml:space="preserve">Clark, Gunter, </w:t>
            </w:r>
            <w:r w:rsidRPr="00D84D15">
              <w:rPr>
                <w:rFonts w:ascii="Calibri" w:eastAsia="Times New Roman" w:hAnsi="Calibri"/>
                <w:b/>
                <w:color w:val="000000" w:themeColor="text1"/>
                <w:sz w:val="22"/>
                <w:szCs w:val="22"/>
                <w:lang w:val="x-none"/>
              </w:rPr>
              <w:t xml:space="preserve">and </w:t>
            </w:r>
            <w:r w:rsidRPr="00D84D15">
              <w:rPr>
                <w:rFonts w:ascii="Calibri" w:eastAsia="Times New Roman" w:hAnsi="Calibri"/>
                <w:b/>
                <w:i/>
                <w:color w:val="000000" w:themeColor="text1"/>
                <w:sz w:val="22"/>
                <w:szCs w:val="22"/>
                <w:lang w:val="x-none"/>
              </w:rPr>
              <w:t xml:space="preserve">Gardner. </w:t>
            </w:r>
            <w:r>
              <w:rPr>
                <w:rFonts w:ascii="Calibri" w:eastAsia="Times New Roman" w:hAnsi="Calibri"/>
                <w:b/>
                <w:i/>
                <w:color w:val="000000" w:themeColor="text1"/>
                <w:sz w:val="22"/>
                <w:szCs w:val="22"/>
              </w:rPr>
              <w:t xml:space="preserve"> </w:t>
            </w:r>
            <w:r w:rsidRPr="00D84D15">
              <w:rPr>
                <w:rFonts w:ascii="Calibri" w:eastAsia="Times New Roman" w:hAnsi="Calibri"/>
                <w:b/>
                <w:color w:val="000000" w:themeColor="text1"/>
                <w:sz w:val="22"/>
                <w:szCs w:val="22"/>
                <w:lang w:val="x-none"/>
              </w:rPr>
              <w:t>It warned that</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“a Constitution that permitted States to follow their litigation interests”</w:t>
            </w:r>
            <w:r>
              <w:rPr>
                <w:rFonts w:ascii="Calibri" w:eastAsia="Times New Roman" w:hAnsi="Calibri"/>
                <w:b/>
                <w:color w:val="000000" w:themeColor="text1"/>
                <w:sz w:val="22"/>
                <w:szCs w:val="22"/>
                <w:lang w:val="x-none"/>
              </w:rPr>
              <w:t xml:space="preserve"> </w:t>
            </w:r>
            <w:r w:rsidRPr="00D84D15">
              <w:rPr>
                <w:rFonts w:ascii="Calibri" w:eastAsia="Times New Roman" w:hAnsi="Calibri"/>
                <w:b/>
                <w:color w:val="000000" w:themeColor="text1"/>
                <w:sz w:val="22"/>
                <w:szCs w:val="22"/>
                <w:lang w:val="x-none"/>
              </w:rPr>
              <w:t>by selectively invoking immunity “could generate seriously unfair</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results.”</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 xml:space="preserve"> </w:t>
            </w:r>
            <w:proofErr w:type="spellStart"/>
            <w:r>
              <w:rPr>
                <w:rFonts w:ascii="Calibri" w:eastAsia="Times New Roman" w:hAnsi="Calibri"/>
                <w:b/>
                <w:i/>
                <w:color w:val="000000" w:themeColor="text1"/>
                <w:sz w:val="22"/>
                <w:szCs w:val="22"/>
                <w:lang w:val="x-none"/>
              </w:rPr>
              <w:t>Lapides</w:t>
            </w:r>
            <w:proofErr w:type="spellEnd"/>
            <w:r w:rsidRPr="00D84D15">
              <w:rPr>
                <w:rFonts w:ascii="Calibri" w:eastAsia="Times New Roman" w:hAnsi="Calibri"/>
                <w:b/>
                <w:i/>
                <w:color w:val="000000" w:themeColor="text1"/>
                <w:sz w:val="22"/>
                <w:szCs w:val="22"/>
                <w:lang w:val="x-none"/>
              </w:rPr>
              <w:t xml:space="preserve"> </w:t>
            </w:r>
            <w:r w:rsidRPr="00D84D15">
              <w:rPr>
                <w:rFonts w:ascii="Calibri" w:eastAsia="Times New Roman" w:hAnsi="Calibri"/>
                <w:b/>
                <w:color w:val="000000" w:themeColor="text1"/>
                <w:sz w:val="22"/>
                <w:szCs w:val="22"/>
                <w:lang w:val="x-none"/>
              </w:rPr>
              <w:t xml:space="preserve">at 619. </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 xml:space="preserve">And it confirmed that </w:t>
            </w:r>
            <w:r>
              <w:rPr>
                <w:rFonts w:ascii="Calibri" w:eastAsia="Times New Roman" w:hAnsi="Calibri"/>
                <w:b/>
                <w:color w:val="000000" w:themeColor="text1"/>
                <w:sz w:val="22"/>
                <w:szCs w:val="22"/>
                <w:lang w:val="x-none"/>
              </w:rPr>
              <w:t xml:space="preserve">waiver by </w:t>
            </w:r>
            <w:r w:rsidRPr="00D84D15">
              <w:rPr>
                <w:rFonts w:ascii="Calibri" w:eastAsia="Times New Roman" w:hAnsi="Calibri"/>
                <w:b/>
                <w:color w:val="000000" w:themeColor="text1"/>
                <w:sz w:val="22"/>
                <w:szCs w:val="22"/>
                <w:lang w:val="x-none"/>
              </w:rPr>
              <w:t>litigation</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pre</w:t>
            </w:r>
            <w:r>
              <w:rPr>
                <w:rFonts w:ascii="Calibri" w:eastAsia="Times New Roman" w:hAnsi="Calibri"/>
                <w:b/>
                <w:color w:val="000000" w:themeColor="text1"/>
                <w:sz w:val="22"/>
                <w:szCs w:val="22"/>
                <w:lang w:val="x-none"/>
              </w:rPr>
              <w:t>vents unfair litigation advantages:</w:t>
            </w:r>
          </w:p>
          <w:p w14:paraId="581FB94D" w14:textId="63D3AC6A" w:rsidR="000F7558" w:rsidRDefault="000F7558" w:rsidP="000F7558">
            <w:pPr>
              <w:spacing w:after="120"/>
              <w:ind w:left="200" w:right="245"/>
              <w:jc w:val="both"/>
              <w:rPr>
                <w:rFonts w:ascii="Calibri" w:eastAsia="Times New Roman" w:hAnsi="Calibri"/>
                <w:b/>
                <w:color w:val="000000" w:themeColor="text1"/>
                <w:sz w:val="22"/>
                <w:szCs w:val="22"/>
              </w:rPr>
            </w:pPr>
            <w:r w:rsidRPr="00D84D15">
              <w:rPr>
                <w:rFonts w:ascii="Calibri" w:eastAsia="Times New Roman" w:hAnsi="Calibri"/>
                <w:b/>
                <w:color w:val="000000" w:themeColor="text1"/>
                <w:sz w:val="22"/>
                <w:szCs w:val="22"/>
                <w:lang w:val="x-none"/>
              </w:rPr>
              <w:t>“[W]</w:t>
            </w:r>
            <w:proofErr w:type="spellStart"/>
            <w:r w:rsidRPr="00D84D15">
              <w:rPr>
                <w:rFonts w:ascii="Calibri" w:eastAsia="Times New Roman" w:hAnsi="Calibri"/>
                <w:b/>
                <w:color w:val="000000" w:themeColor="text1"/>
                <w:sz w:val="22"/>
                <w:szCs w:val="22"/>
                <w:lang w:val="x-none"/>
              </w:rPr>
              <w:t>aiver</w:t>
            </w:r>
            <w:proofErr w:type="spellEnd"/>
            <w:r w:rsidRPr="00D84D15">
              <w:rPr>
                <w:rFonts w:ascii="Calibri" w:eastAsia="Times New Roman" w:hAnsi="Calibri"/>
                <w:b/>
                <w:color w:val="000000" w:themeColor="text1"/>
                <w:sz w:val="22"/>
                <w:szCs w:val="22"/>
                <w:lang w:val="x-none"/>
              </w:rPr>
              <w:t xml:space="preserve"> in the litigation</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context</w:t>
            </w:r>
            <w:r w:rsidRPr="00D84D15">
              <w:rPr>
                <w:rFonts w:ascii="Calibri" w:eastAsia="Times New Roman" w:hAnsi="Calibri"/>
                <w:b/>
                <w:color w:val="000000" w:themeColor="text1"/>
                <w:sz w:val="22"/>
                <w:szCs w:val="22"/>
                <w:lang w:val="x-none"/>
              </w:rPr>
              <w:t xml:space="preserve"> rests</w:t>
            </w:r>
            <w:r>
              <w:rPr>
                <w:rFonts w:ascii="Calibri" w:eastAsia="Times New Roman" w:hAnsi="Calibri"/>
                <w:b/>
                <w:color w:val="000000" w:themeColor="text1"/>
                <w:sz w:val="22"/>
                <w:szCs w:val="22"/>
                <w:lang w:val="x-none"/>
              </w:rPr>
              <w:t xml:space="preserve"> upon the [Eleventh] Amendment’</w:t>
            </w:r>
            <w:r>
              <w:rPr>
                <w:rFonts w:ascii="Calibri" w:eastAsia="Times New Roman" w:hAnsi="Calibri"/>
                <w:b/>
                <w:color w:val="000000" w:themeColor="text1"/>
                <w:sz w:val="22"/>
                <w:szCs w:val="22"/>
              </w:rPr>
              <w:t xml:space="preserve">s </w:t>
            </w:r>
            <w:r w:rsidRPr="00D84D15">
              <w:rPr>
                <w:rFonts w:ascii="Calibri" w:eastAsia="Times New Roman" w:hAnsi="Calibri"/>
                <w:b/>
                <w:color w:val="000000" w:themeColor="text1"/>
                <w:sz w:val="22"/>
                <w:szCs w:val="22"/>
                <w:lang w:val="x-none"/>
              </w:rPr>
              <w:t xml:space="preserve">presumed recognition of the judicial need to </w:t>
            </w:r>
            <w:r w:rsidRPr="00AF2FF4">
              <w:rPr>
                <w:rFonts w:ascii="Calibri" w:eastAsia="Times New Roman" w:hAnsi="Calibri"/>
                <w:b/>
                <w:color w:val="000000" w:themeColor="text1"/>
                <w:sz w:val="22"/>
                <w:szCs w:val="22"/>
                <w:u w:val="single"/>
                <w:lang w:val="x-none"/>
              </w:rPr>
              <w:t>avoid inconsistency, anomaly, and unfairness</w:t>
            </w:r>
            <w:r w:rsidRPr="00D84D15">
              <w:rPr>
                <w:rFonts w:ascii="Calibri" w:eastAsia="Times New Roman" w:hAnsi="Calibri"/>
                <w:b/>
                <w:color w:val="000000" w:themeColor="text1"/>
                <w:sz w:val="22"/>
                <w:szCs w:val="22"/>
                <w:lang w:val="x-none"/>
              </w:rPr>
              <w:t xml:space="preserve">, and </w:t>
            </w:r>
            <w:r w:rsidRPr="00AF2FF4">
              <w:rPr>
                <w:rFonts w:ascii="Calibri" w:eastAsia="Times New Roman" w:hAnsi="Calibri"/>
                <w:b/>
                <w:color w:val="000000" w:themeColor="text1"/>
                <w:sz w:val="22"/>
                <w:szCs w:val="22"/>
                <w:u w:val="single"/>
                <w:lang w:val="x-none"/>
              </w:rPr>
              <w:t>not</w:t>
            </w:r>
            <w:r w:rsidRPr="00D84D15">
              <w:rPr>
                <w:rFonts w:ascii="Calibri" w:eastAsia="Times New Roman" w:hAnsi="Calibri"/>
                <w:b/>
                <w:color w:val="000000" w:themeColor="text1"/>
                <w:sz w:val="22"/>
                <w:szCs w:val="22"/>
                <w:lang w:val="x-none"/>
              </w:rPr>
              <w:t xml:space="preserve"> upon a </w:t>
            </w:r>
            <w:r w:rsidRPr="00AF2FF4">
              <w:rPr>
                <w:rFonts w:ascii="Calibri" w:eastAsia="Times New Roman" w:hAnsi="Calibri"/>
                <w:b/>
                <w:color w:val="000000" w:themeColor="text1"/>
                <w:sz w:val="22"/>
                <w:szCs w:val="22"/>
                <w:u w:val="single"/>
                <w:lang w:val="x-none"/>
              </w:rPr>
              <w:t>State’s actual preference</w:t>
            </w:r>
            <w:r w:rsidRPr="00D84D15">
              <w:rPr>
                <w:rFonts w:ascii="Calibri" w:eastAsia="Times New Roman" w:hAnsi="Calibri"/>
                <w:b/>
                <w:color w:val="000000" w:themeColor="text1"/>
                <w:sz w:val="22"/>
                <w:szCs w:val="22"/>
                <w:lang w:val="x-none"/>
              </w:rPr>
              <w:t xml:space="preserve"> or</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 xml:space="preserve">desire, which might, after all, </w:t>
            </w:r>
            <w:r w:rsidRPr="00AF2FF4">
              <w:rPr>
                <w:rFonts w:ascii="Calibri" w:eastAsia="Times New Roman" w:hAnsi="Calibri"/>
                <w:b/>
                <w:color w:val="000000" w:themeColor="text1"/>
                <w:sz w:val="22"/>
                <w:szCs w:val="22"/>
                <w:u w:val="single"/>
                <w:lang w:val="x-none"/>
              </w:rPr>
              <w:t>favor selective use</w:t>
            </w:r>
            <w:r w:rsidRPr="00D84D15">
              <w:rPr>
                <w:rFonts w:ascii="Calibri" w:eastAsia="Times New Roman" w:hAnsi="Calibri"/>
                <w:b/>
                <w:color w:val="000000" w:themeColor="text1"/>
                <w:sz w:val="22"/>
                <w:szCs w:val="22"/>
                <w:lang w:val="x-none"/>
              </w:rPr>
              <w:t xml:space="preserve"> of ‘immunity’ to</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 xml:space="preserve">achieve </w:t>
            </w:r>
            <w:r w:rsidRPr="00AF2FF4">
              <w:rPr>
                <w:rFonts w:ascii="Calibri" w:eastAsia="Times New Roman" w:hAnsi="Calibri"/>
                <w:b/>
                <w:color w:val="000000" w:themeColor="text1"/>
                <w:sz w:val="22"/>
                <w:szCs w:val="22"/>
                <w:u w:val="single"/>
                <w:lang w:val="x-none"/>
              </w:rPr>
              <w:t>litigation advantages</w:t>
            </w:r>
            <w:r w:rsidRPr="00D84D15">
              <w:rPr>
                <w:rFonts w:ascii="Calibri" w:eastAsia="Times New Roman" w:hAnsi="Calibri"/>
                <w:b/>
                <w:color w:val="000000" w:themeColor="text1"/>
                <w:sz w:val="22"/>
                <w:szCs w:val="22"/>
                <w:lang w:val="x-none"/>
              </w:rPr>
              <w:t>.”</w:t>
            </w:r>
            <w:r>
              <w:rPr>
                <w:rFonts w:ascii="Calibri" w:eastAsia="Times New Roman" w:hAnsi="Calibri"/>
                <w:b/>
                <w:color w:val="000000" w:themeColor="text1"/>
                <w:sz w:val="22"/>
                <w:szCs w:val="22"/>
              </w:rPr>
              <w:t xml:space="preserve"> </w:t>
            </w:r>
            <w:r w:rsidRPr="00D84D15">
              <w:rPr>
                <w:rFonts w:ascii="Calibri" w:eastAsia="Times New Roman" w:hAnsi="Calibri"/>
                <w:b/>
                <w:color w:val="000000" w:themeColor="text1"/>
                <w:sz w:val="22"/>
                <w:szCs w:val="22"/>
                <w:lang w:val="x-none"/>
              </w:rPr>
              <w:t xml:space="preserve"> </w:t>
            </w:r>
            <w:r w:rsidRPr="00D84D15">
              <w:rPr>
                <w:rFonts w:ascii="Calibri" w:eastAsia="Times New Roman" w:hAnsi="Calibri"/>
                <w:b/>
                <w:i/>
                <w:color w:val="000000" w:themeColor="text1"/>
                <w:sz w:val="22"/>
                <w:szCs w:val="22"/>
                <w:lang w:val="x-none"/>
              </w:rPr>
              <w:t xml:space="preserve">Id. </w:t>
            </w:r>
            <w:r w:rsidRPr="00D84D15">
              <w:rPr>
                <w:rFonts w:ascii="Calibri" w:eastAsia="Times New Roman" w:hAnsi="Calibri"/>
                <w:b/>
                <w:color w:val="000000" w:themeColor="text1"/>
                <w:sz w:val="22"/>
                <w:szCs w:val="22"/>
                <w:lang w:val="x-none"/>
              </w:rPr>
              <w:t>at 620.</w:t>
            </w:r>
          </w:p>
        </w:tc>
        <w:tc>
          <w:tcPr>
            <w:tcW w:w="5904" w:type="dxa"/>
            <w:vAlign w:val="center"/>
          </w:tcPr>
          <w:p w14:paraId="5414B5A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989E37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F0951B1" w14:textId="77777777" w:rsidTr="0010708E">
        <w:trPr>
          <w:trHeight w:val="4795"/>
        </w:trPr>
        <w:tc>
          <w:tcPr>
            <w:tcW w:w="5904" w:type="dxa"/>
            <w:vAlign w:val="center"/>
          </w:tcPr>
          <w:p w14:paraId="40F103AB" w14:textId="538FEF0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Didn’t </w:t>
            </w:r>
            <w:proofErr w:type="spellStart"/>
            <w:r>
              <w:rPr>
                <w:rFonts w:ascii="Calibri" w:hAnsi="Calibri"/>
                <w:b/>
                <w:i/>
                <w:color w:val="000000" w:themeColor="text1"/>
                <w:sz w:val="28"/>
                <w:szCs w:val="28"/>
                <w:lang w:val="x-none"/>
              </w:rPr>
              <w:t>Lapides</w:t>
            </w:r>
            <w:proofErr w:type="spellEnd"/>
            <w:r>
              <w:rPr>
                <w:rFonts w:ascii="Calibri" w:hAnsi="Calibri"/>
                <w:b/>
                <w:i/>
                <w:color w:val="000000" w:themeColor="text1"/>
                <w:sz w:val="28"/>
                <w:szCs w:val="28"/>
                <w:lang w:val="x-none"/>
              </w:rPr>
              <w:t xml:space="preserve"> </w:t>
            </w:r>
            <w:r>
              <w:rPr>
                <w:rFonts w:ascii="Calibri" w:hAnsi="Calibri"/>
                <w:b/>
                <w:color w:val="000000" w:themeColor="text1"/>
                <w:sz w:val="28"/>
                <w:szCs w:val="28"/>
              </w:rPr>
              <w:t>hold that</w:t>
            </w:r>
            <w:r>
              <w:rPr>
                <w:rFonts w:ascii="Calibri" w:hAnsi="Calibri"/>
                <w:b/>
                <w:color w:val="000000" w:themeColor="text1"/>
                <w:sz w:val="28"/>
                <w:szCs w:val="28"/>
                <w:lang w:val="x-none"/>
              </w:rPr>
              <w:t xml:space="preserve"> </w:t>
            </w:r>
            <w:r w:rsidRPr="00D13766">
              <w:rPr>
                <w:rFonts w:ascii="Calibri" w:hAnsi="Calibri"/>
                <w:b/>
                <w:color w:val="000000" w:themeColor="text1"/>
                <w:sz w:val="28"/>
                <w:szCs w:val="28"/>
                <w:lang w:val="x-none"/>
              </w:rPr>
              <w:t>a state’s waiver of sovereign</w:t>
            </w:r>
            <w:r>
              <w:rPr>
                <w:rFonts w:ascii="Calibri" w:hAnsi="Calibri"/>
                <w:b/>
                <w:color w:val="000000" w:themeColor="text1"/>
                <w:sz w:val="28"/>
                <w:szCs w:val="28"/>
              </w:rPr>
              <w:t xml:space="preserve"> </w:t>
            </w:r>
            <w:r>
              <w:rPr>
                <w:rFonts w:ascii="Calibri" w:hAnsi="Calibri"/>
                <w:b/>
                <w:color w:val="000000" w:themeColor="text1"/>
                <w:sz w:val="28"/>
                <w:szCs w:val="28"/>
                <w:lang w:val="x-none"/>
              </w:rPr>
              <w:t>immunity must be “clear</w:t>
            </w:r>
            <w:r w:rsidRPr="00D13766">
              <w:rPr>
                <w:rFonts w:ascii="Calibri" w:hAnsi="Calibri"/>
                <w:b/>
                <w:color w:val="000000" w:themeColor="text1"/>
                <w:sz w:val="28"/>
                <w:szCs w:val="28"/>
                <w:lang w:val="x-none"/>
              </w:rPr>
              <w:t>”</w:t>
            </w:r>
            <w:r>
              <w:rPr>
                <w:rFonts w:ascii="Calibri" w:hAnsi="Calibri"/>
                <w:b/>
                <w:color w:val="000000" w:themeColor="text1"/>
                <w:sz w:val="28"/>
                <w:szCs w:val="28"/>
              </w:rPr>
              <w:t xml:space="preserve">?  How could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have made clear that it was waiving immunity in this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when it’s always denied any such intention?</w:t>
            </w:r>
          </w:p>
        </w:tc>
        <w:tc>
          <w:tcPr>
            <w:tcW w:w="5904" w:type="dxa"/>
            <w:vAlign w:val="center"/>
          </w:tcPr>
          <w:p w14:paraId="53D0F55E" w14:textId="77777777" w:rsidR="000F7558" w:rsidRDefault="000F7558" w:rsidP="000F7558">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i/>
                <w:color w:val="000000" w:themeColor="text1"/>
                <w:sz w:val="22"/>
                <w:szCs w:val="22"/>
              </w:rPr>
              <w:t>Lapides</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did not hold that a state must makes its </w:t>
            </w:r>
            <w:r>
              <w:rPr>
                <w:rFonts w:ascii="Calibri" w:eastAsia="Times New Roman" w:hAnsi="Calibri"/>
                <w:b/>
                <w:color w:val="000000" w:themeColor="text1"/>
                <w:sz w:val="22"/>
                <w:szCs w:val="22"/>
                <w:u w:val="single"/>
              </w:rPr>
              <w:t>intention</w:t>
            </w:r>
            <w:r>
              <w:rPr>
                <w:rFonts w:ascii="Calibri" w:eastAsia="Times New Roman" w:hAnsi="Calibri"/>
                <w:b/>
                <w:color w:val="000000" w:themeColor="text1"/>
                <w:sz w:val="22"/>
                <w:szCs w:val="22"/>
              </w:rPr>
              <w:t xml:space="preserve"> to waive immunity in this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“clear.”  To the contrary:  A state’s “actual preference or desire” is irrelevant to waiver analysis.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at 620.</w:t>
            </w:r>
          </w:p>
          <w:p w14:paraId="7926917B" w14:textId="12620898" w:rsidR="000F7558" w:rsidRPr="00D84D15" w:rsidRDefault="000F7558" w:rsidP="000F7558">
            <w:pPr>
              <w:spacing w:after="120"/>
              <w:ind w:left="200" w:right="245"/>
              <w:jc w:val="both"/>
              <w:rPr>
                <w:rFonts w:ascii="Calibri" w:eastAsia="Times New Roman" w:hAnsi="Calibri"/>
                <w:b/>
                <w:i/>
                <w:color w:val="000000" w:themeColor="text1"/>
                <w:sz w:val="22"/>
                <w:szCs w:val="22"/>
                <w:lang w:val="x-none"/>
              </w:rPr>
            </w:pPr>
            <w:r>
              <w:rPr>
                <w:rFonts w:ascii="Calibri" w:eastAsia="Times New Roman" w:hAnsi="Calibri"/>
                <w:b/>
                <w:color w:val="000000" w:themeColor="text1"/>
                <w:sz w:val="22"/>
                <w:szCs w:val="22"/>
              </w:rPr>
              <w:t xml:space="preserve">Instead,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held that </w:t>
            </w:r>
            <w:r w:rsidRPr="00D13766">
              <w:rPr>
                <w:rFonts w:ascii="Calibri" w:eastAsia="Times New Roman" w:hAnsi="Calibri"/>
                <w:b/>
                <w:color w:val="000000" w:themeColor="text1"/>
                <w:sz w:val="22"/>
                <w:szCs w:val="22"/>
                <w:lang w:val="x-none"/>
              </w:rPr>
              <w:t>“[t]he relevant ‘clarity’</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must</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focus on the</w:t>
            </w:r>
            <w:r>
              <w:rPr>
                <w:rFonts w:ascii="Calibri" w:eastAsia="Times New Roman" w:hAnsi="Calibri"/>
                <w:b/>
                <w:color w:val="000000" w:themeColor="text1"/>
                <w:sz w:val="22"/>
                <w:szCs w:val="22"/>
                <w:lang w:val="x-none"/>
              </w:rPr>
              <w:t xml:space="preserve"> litigation act the State takes.</w:t>
            </w:r>
            <w:r w:rsidRPr="00D13766">
              <w:rPr>
                <w:rFonts w:ascii="Calibri" w:eastAsia="Times New Roman" w:hAnsi="Calibri"/>
                <w:b/>
                <w:color w:val="000000" w:themeColor="text1"/>
                <w:sz w:val="22"/>
                <w:szCs w:val="22"/>
                <w:lang w:val="x-none"/>
              </w:rPr>
              <w:t>”</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Id.</w:t>
            </w:r>
            <w:r>
              <w:rPr>
                <w:rFonts w:ascii="Calibri" w:eastAsia="Times New Roman" w:hAnsi="Calibri"/>
                <w:b/>
                <w:color w:val="000000" w:themeColor="text1"/>
                <w:sz w:val="22"/>
                <w:szCs w:val="22"/>
              </w:rPr>
              <w:t xml:space="preserve">  Here, </w:t>
            </w:r>
            <w:proofErr w:type="spellStart"/>
            <w:r>
              <w:rPr>
                <w:rFonts w:ascii="Calibri" w:eastAsia="Times New Roman" w:hAnsi="Calibri"/>
                <w:b/>
                <w:color w:val="000000" w:themeColor="text1"/>
                <w:sz w:val="22"/>
                <w:szCs w:val="22"/>
              </w:rPr>
              <w:t>UMN’s</w:t>
            </w:r>
            <w:proofErr w:type="spellEnd"/>
            <w:r>
              <w:rPr>
                <w:rFonts w:ascii="Calibri" w:eastAsia="Times New Roman" w:hAnsi="Calibri"/>
                <w:b/>
                <w:color w:val="000000" w:themeColor="text1"/>
                <w:sz w:val="22"/>
                <w:szCs w:val="22"/>
              </w:rPr>
              <w:t xml:space="preserve"> litigation act was clear and unmistakable:  It brought affirmative claims</w:t>
            </w:r>
            <w:r>
              <w:rPr>
                <w:rFonts w:ascii="Calibri" w:eastAsia="Times New Roman" w:hAnsi="Calibri"/>
                <w:b/>
                <w:color w:val="000000" w:themeColor="text1"/>
                <w:sz w:val="22"/>
                <w:szCs w:val="22"/>
                <w:lang w:val="x-none"/>
              </w:rPr>
              <w:t xml:space="preserve"> for patent infringement against the app</w:t>
            </w:r>
            <w:r>
              <w:rPr>
                <w:rFonts w:ascii="Calibri" w:eastAsia="Times New Roman" w:hAnsi="Calibri"/>
                <w:b/>
                <w:color w:val="000000" w:themeColor="text1"/>
                <w:sz w:val="22"/>
                <w:szCs w:val="22"/>
              </w:rPr>
              <w:t>ellees.</w:t>
            </w:r>
          </w:p>
        </w:tc>
        <w:tc>
          <w:tcPr>
            <w:tcW w:w="5904" w:type="dxa"/>
            <w:vAlign w:val="center"/>
          </w:tcPr>
          <w:p w14:paraId="57A81E2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798E15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D438223" w14:textId="77777777" w:rsidTr="0010708E">
        <w:trPr>
          <w:trHeight w:val="4795"/>
        </w:trPr>
        <w:tc>
          <w:tcPr>
            <w:tcW w:w="5904" w:type="dxa"/>
            <w:vAlign w:val="center"/>
          </w:tcPr>
          <w:p w14:paraId="6DCC45C2" w14:textId="61E45B18"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Doesn’t </w:t>
            </w:r>
            <w:r w:rsidRPr="004B2A8C">
              <w:rPr>
                <w:rFonts w:ascii="Calibri" w:hAnsi="Calibri"/>
                <w:b/>
                <w:i/>
                <w:color w:val="000000" w:themeColor="text1"/>
                <w:sz w:val="28"/>
                <w:szCs w:val="28"/>
                <w:lang w:val="x-none"/>
              </w:rPr>
              <w:t>College Savings Bank v. Florida Prepaid Postsecondary Education</w:t>
            </w:r>
            <w:r>
              <w:rPr>
                <w:rFonts w:ascii="Calibri" w:hAnsi="Calibri"/>
                <w:b/>
                <w:i/>
                <w:color w:val="000000" w:themeColor="text1"/>
                <w:sz w:val="28"/>
                <w:szCs w:val="28"/>
              </w:rPr>
              <w:t xml:space="preserve"> </w:t>
            </w:r>
            <w:r w:rsidRPr="004B2A8C">
              <w:rPr>
                <w:rFonts w:ascii="Calibri" w:hAnsi="Calibri"/>
                <w:b/>
                <w:i/>
                <w:color w:val="000000" w:themeColor="text1"/>
                <w:sz w:val="28"/>
                <w:szCs w:val="28"/>
                <w:lang w:val="x-none"/>
              </w:rPr>
              <w:t>Expense Board</w:t>
            </w:r>
            <w:r>
              <w:rPr>
                <w:rFonts w:ascii="Calibri" w:hAnsi="Calibri"/>
                <w:b/>
                <w:color w:val="000000" w:themeColor="text1"/>
                <w:sz w:val="28"/>
                <w:szCs w:val="28"/>
                <w:lang w:val="x-none"/>
              </w:rPr>
              <w:t xml:space="preserve"> (1999) show that it’</w:t>
            </w:r>
            <w:r>
              <w:rPr>
                <w:rFonts w:ascii="Calibri" w:hAnsi="Calibri"/>
                <w:b/>
                <w:color w:val="000000" w:themeColor="text1"/>
                <w:sz w:val="28"/>
                <w:szCs w:val="28"/>
              </w:rPr>
              <w:t>s fine for states to use their immunity to gain advantages when litigating their own claims?</w:t>
            </w:r>
          </w:p>
        </w:tc>
        <w:tc>
          <w:tcPr>
            <w:tcW w:w="5904" w:type="dxa"/>
            <w:vAlign w:val="center"/>
          </w:tcPr>
          <w:p w14:paraId="509D09E7" w14:textId="10879485"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rPr>
              <w:t xml:space="preserve">No.  </w:t>
            </w:r>
            <w:proofErr w:type="spellStart"/>
            <w:r w:rsidRPr="00D13766">
              <w:rPr>
                <w:rFonts w:ascii="Calibri" w:eastAsia="Times New Roman" w:hAnsi="Calibri"/>
                <w:b/>
                <w:color w:val="000000" w:themeColor="text1"/>
                <w:sz w:val="22"/>
                <w:szCs w:val="22"/>
                <w:lang w:val="x-none"/>
              </w:rPr>
              <w:t>UMN’s</w:t>
            </w:r>
            <w:proofErr w:type="spellEnd"/>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opening brief repeatedly quotes that case for the proposition that</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w:t>
            </w:r>
            <w:proofErr w:type="spellStart"/>
            <w:r w:rsidRPr="00D13766">
              <w:rPr>
                <w:rFonts w:ascii="Calibri" w:eastAsia="Times New Roman" w:hAnsi="Calibri"/>
                <w:b/>
                <w:color w:val="000000" w:themeColor="text1"/>
                <w:sz w:val="22"/>
                <w:szCs w:val="22"/>
                <w:lang w:val="x-none"/>
              </w:rPr>
              <w:t>evenhandness</w:t>
            </w:r>
            <w:proofErr w:type="spellEnd"/>
            <w:r w:rsidRPr="00D13766">
              <w:rPr>
                <w:rFonts w:ascii="Calibri" w:eastAsia="Times New Roman" w:hAnsi="Calibri"/>
                <w:b/>
                <w:color w:val="000000" w:themeColor="text1"/>
                <w:sz w:val="22"/>
                <w:szCs w:val="22"/>
                <w:lang w:val="x-none"/>
              </w:rPr>
              <w:t>’ [sic] between individuals and States is not to be</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 xml:space="preserve">expected.” </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But</w:t>
            </w:r>
            <w:r>
              <w:rPr>
                <w:rFonts w:ascii="Calibri" w:eastAsia="Times New Roman" w:hAnsi="Calibri"/>
                <w:b/>
                <w:color w:val="000000" w:themeColor="text1"/>
                <w:sz w:val="22"/>
                <w:szCs w:val="22"/>
              </w:rPr>
              <w:t xml:space="preserve"> </w:t>
            </w:r>
            <w:r w:rsidRPr="00D13766">
              <w:rPr>
                <w:rFonts w:ascii="Calibri" w:eastAsia="Times New Roman" w:hAnsi="Calibri"/>
                <w:b/>
                <w:i/>
                <w:color w:val="000000" w:themeColor="text1"/>
                <w:sz w:val="22"/>
                <w:szCs w:val="22"/>
                <w:lang w:val="x-none"/>
              </w:rPr>
              <w:t xml:space="preserve">College Savings </w:t>
            </w:r>
            <w:r w:rsidRPr="00D13766">
              <w:rPr>
                <w:rFonts w:ascii="Calibri" w:eastAsia="Times New Roman" w:hAnsi="Calibri"/>
                <w:b/>
                <w:color w:val="000000" w:themeColor="text1"/>
                <w:sz w:val="22"/>
                <w:szCs w:val="22"/>
                <w:lang w:val="x-none"/>
              </w:rPr>
              <w:t>did not endorse unevenness in the way individuals and</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 xml:space="preserve">states litigate their </w:t>
            </w:r>
            <w:r w:rsidRPr="00D13766">
              <w:rPr>
                <w:rFonts w:ascii="Calibri" w:eastAsia="Times New Roman" w:hAnsi="Calibri"/>
                <w:b/>
                <w:color w:val="000000" w:themeColor="text1"/>
                <w:sz w:val="22"/>
                <w:szCs w:val="22"/>
                <w:u w:val="single"/>
                <w:lang w:val="x-none"/>
              </w:rPr>
              <w:t>own</w:t>
            </w:r>
            <w:r w:rsidRPr="00D13766">
              <w:rPr>
                <w:rFonts w:ascii="Calibri" w:eastAsia="Times New Roman" w:hAnsi="Calibri"/>
                <w:b/>
                <w:i/>
                <w:color w:val="000000" w:themeColor="text1"/>
                <w:sz w:val="22"/>
                <w:szCs w:val="22"/>
                <w:lang w:val="x-none"/>
              </w:rPr>
              <w:t xml:space="preserve"> </w:t>
            </w:r>
            <w:r w:rsidRPr="00D13766">
              <w:rPr>
                <w:rFonts w:ascii="Calibri" w:eastAsia="Times New Roman" w:hAnsi="Calibri"/>
                <w:b/>
                <w:color w:val="000000" w:themeColor="text1"/>
                <w:sz w:val="22"/>
                <w:szCs w:val="22"/>
                <w:lang w:val="x-none"/>
              </w:rPr>
              <w:t xml:space="preserve">affirmative </w:t>
            </w:r>
            <w:r>
              <w:rPr>
                <w:rFonts w:ascii="Calibri" w:eastAsia="Times New Roman" w:hAnsi="Calibri"/>
                <w:b/>
                <w:color w:val="000000" w:themeColor="text1"/>
                <w:sz w:val="22"/>
                <w:szCs w:val="22"/>
                <w:lang w:val="x-none"/>
              </w:rPr>
              <w:t>claims</w:t>
            </w:r>
            <w:r w:rsidRPr="00D13766">
              <w:rPr>
                <w:rFonts w:ascii="Calibri" w:eastAsia="Times New Roman" w:hAnsi="Calibri"/>
                <w:b/>
                <w:color w:val="000000" w:themeColor="text1"/>
                <w:sz w:val="22"/>
                <w:szCs w:val="22"/>
                <w:lang w:val="x-none"/>
              </w:rPr>
              <w:t xml:space="preserve">. </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It held only that when individuals and states both act</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as non-litigating “market participants,” their corresponding exposure to</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 xml:space="preserve">the affirmative claims </w:t>
            </w:r>
            <w:r w:rsidRPr="00D13766">
              <w:rPr>
                <w:rFonts w:ascii="Calibri" w:eastAsia="Times New Roman" w:hAnsi="Calibri"/>
                <w:b/>
                <w:color w:val="000000" w:themeColor="text1"/>
                <w:sz w:val="22"/>
                <w:szCs w:val="22"/>
                <w:u w:val="single"/>
                <w:lang w:val="x-none"/>
              </w:rPr>
              <w:t>of others</w:t>
            </w:r>
            <w:r w:rsidRPr="00D13766">
              <w:rPr>
                <w:rFonts w:ascii="Calibri" w:eastAsia="Times New Roman" w:hAnsi="Calibri"/>
                <w:b/>
                <w:i/>
                <w:color w:val="000000" w:themeColor="text1"/>
                <w:sz w:val="22"/>
                <w:szCs w:val="22"/>
                <w:lang w:val="x-none"/>
              </w:rPr>
              <w:t xml:space="preserve"> </w:t>
            </w:r>
            <w:r w:rsidRPr="00D13766">
              <w:rPr>
                <w:rFonts w:ascii="Calibri" w:eastAsia="Times New Roman" w:hAnsi="Calibri"/>
                <w:b/>
                <w:color w:val="000000" w:themeColor="text1"/>
                <w:sz w:val="22"/>
                <w:szCs w:val="22"/>
                <w:lang w:val="x-none"/>
              </w:rPr>
              <w:t>may be uneven because the states’</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 xml:space="preserve">immunity generally shields them from liability. </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College Savings </w:t>
            </w:r>
            <w:r>
              <w:rPr>
                <w:rFonts w:ascii="Calibri" w:eastAsia="Times New Roman" w:hAnsi="Calibri"/>
                <w:b/>
                <w:color w:val="000000" w:themeColor="text1"/>
                <w:sz w:val="22"/>
                <w:szCs w:val="22"/>
              </w:rPr>
              <w:t>at</w:t>
            </w:r>
            <w:r w:rsidRPr="00D13766">
              <w:rPr>
                <w:rFonts w:ascii="Calibri" w:eastAsia="Times New Roman" w:hAnsi="Calibri"/>
                <w:b/>
                <w:color w:val="000000" w:themeColor="text1"/>
                <w:sz w:val="22"/>
                <w:szCs w:val="22"/>
                <w:lang w:val="x-none"/>
              </w:rPr>
              <w:t xml:space="preserve"> 684-86.</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That holding sheds no light on th</w:t>
            </w:r>
            <w:r>
              <w:rPr>
                <w:rFonts w:ascii="Calibri" w:eastAsia="Times New Roman" w:hAnsi="Calibri"/>
                <w:b/>
                <w:color w:val="000000" w:themeColor="text1"/>
                <w:sz w:val="22"/>
                <w:szCs w:val="22"/>
                <w:lang w:val="x-none"/>
              </w:rPr>
              <w:t>e scope of waiver by litigation.</w:t>
            </w:r>
          </w:p>
        </w:tc>
        <w:tc>
          <w:tcPr>
            <w:tcW w:w="5904" w:type="dxa"/>
            <w:vAlign w:val="center"/>
          </w:tcPr>
          <w:p w14:paraId="3391C87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AC39BF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8D393C8" w14:textId="77777777" w:rsidTr="0010708E">
        <w:trPr>
          <w:trHeight w:val="4795"/>
        </w:trPr>
        <w:tc>
          <w:tcPr>
            <w:tcW w:w="5904" w:type="dxa"/>
            <w:vAlign w:val="center"/>
          </w:tcPr>
          <w:p w14:paraId="193609B9" w14:textId="27D9220B"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You’re suggesting that </w:t>
            </w:r>
            <w:r>
              <w:rPr>
                <w:rFonts w:ascii="Calibri" w:hAnsi="Calibri"/>
                <w:b/>
                <w:i/>
                <w:color w:val="000000" w:themeColor="text1"/>
                <w:sz w:val="28"/>
                <w:szCs w:val="28"/>
              </w:rPr>
              <w:t xml:space="preserve">College Savings </w:t>
            </w:r>
            <w:r>
              <w:rPr>
                <w:rFonts w:ascii="Calibri" w:hAnsi="Calibri"/>
                <w:b/>
                <w:color w:val="000000" w:themeColor="text1"/>
                <w:sz w:val="28"/>
                <w:szCs w:val="28"/>
              </w:rPr>
              <w:t>doesn’t bear on the scope of waiver by litigation.  Has any other circuit said that?</w:t>
            </w:r>
          </w:p>
        </w:tc>
        <w:tc>
          <w:tcPr>
            <w:tcW w:w="5904" w:type="dxa"/>
            <w:vAlign w:val="center"/>
          </w:tcPr>
          <w:p w14:paraId="491FC64A" w14:textId="4FFBD749"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In </w:t>
            </w:r>
            <w:r>
              <w:rPr>
                <w:rFonts w:ascii="Calibri" w:eastAsia="Times New Roman" w:hAnsi="Calibri"/>
                <w:b/>
                <w:i/>
                <w:color w:val="000000" w:themeColor="text1"/>
                <w:sz w:val="22"/>
                <w:szCs w:val="22"/>
                <w:lang w:val="x-none"/>
              </w:rPr>
              <w:t>Arecibo Community</w:t>
            </w:r>
            <w:r w:rsidRPr="00D13766">
              <w:rPr>
                <w:rFonts w:ascii="Calibri" w:eastAsia="Times New Roman" w:hAnsi="Calibri"/>
                <w:b/>
                <w:i/>
                <w:color w:val="000000" w:themeColor="text1"/>
                <w:sz w:val="22"/>
                <w:szCs w:val="22"/>
                <w:lang w:val="x-none"/>
              </w:rPr>
              <w:t xml:space="preserve"> He</w:t>
            </w:r>
            <w:r>
              <w:rPr>
                <w:rFonts w:ascii="Calibri" w:eastAsia="Times New Roman" w:hAnsi="Calibri"/>
                <w:b/>
                <w:i/>
                <w:color w:val="000000" w:themeColor="text1"/>
                <w:sz w:val="22"/>
                <w:szCs w:val="22"/>
                <w:lang w:val="x-none"/>
              </w:rPr>
              <w:t>alth Care, Inc. v. Puerto Rico</w:t>
            </w:r>
            <w:r>
              <w:rPr>
                <w:rFonts w:ascii="Calibri" w:eastAsia="Times New Roman" w:hAnsi="Calibri"/>
                <w:b/>
                <w:i/>
                <w:color w:val="000000" w:themeColor="text1"/>
                <w:sz w:val="22"/>
                <w:szCs w:val="22"/>
              </w:rPr>
              <w:t xml:space="preserve"> </w:t>
            </w:r>
            <w:r w:rsidRPr="00D13766">
              <w:rPr>
                <w:rFonts w:ascii="Calibri" w:eastAsia="Times New Roman" w:hAnsi="Calibri"/>
                <w:b/>
                <w:color w:val="000000" w:themeColor="text1"/>
                <w:sz w:val="22"/>
                <w:szCs w:val="22"/>
                <w:lang w:val="x-none"/>
              </w:rPr>
              <w:t>(1st Cir.</w:t>
            </w:r>
            <w:r>
              <w:rPr>
                <w:rFonts w:ascii="Calibri" w:eastAsia="Times New Roman" w:hAnsi="Calibri"/>
                <w:b/>
                <w:color w:val="000000" w:themeColor="text1"/>
                <w:sz w:val="22"/>
                <w:szCs w:val="22"/>
              </w:rPr>
              <w:t xml:space="preserve"> 2001), the First Circuit said</w:t>
            </w:r>
            <w:proofErr w:type="gramStart"/>
            <w:r>
              <w:rPr>
                <w:rFonts w:ascii="Calibri" w:eastAsia="Times New Roman" w:hAnsi="Calibri"/>
                <w:b/>
                <w:color w:val="000000" w:themeColor="text1"/>
                <w:sz w:val="22"/>
                <w:szCs w:val="22"/>
              </w:rPr>
              <w:t>:  “</w:t>
            </w:r>
            <w:proofErr w:type="gramEnd"/>
            <w:r w:rsidRPr="00D13766">
              <w:rPr>
                <w:rFonts w:ascii="Calibri" w:eastAsia="Times New Roman" w:hAnsi="Calibri"/>
                <w:b/>
                <w:color w:val="000000" w:themeColor="text1"/>
                <w:sz w:val="22"/>
                <w:szCs w:val="22"/>
                <w:lang w:val="x-none"/>
              </w:rPr>
              <w:t xml:space="preserve">Nothing in </w:t>
            </w:r>
            <w:r w:rsidRPr="00D13766">
              <w:rPr>
                <w:rFonts w:ascii="Calibri" w:eastAsia="Times New Roman" w:hAnsi="Calibri"/>
                <w:b/>
                <w:i/>
                <w:color w:val="000000" w:themeColor="text1"/>
                <w:sz w:val="22"/>
                <w:szCs w:val="22"/>
                <w:lang w:val="x-none"/>
              </w:rPr>
              <w:t xml:space="preserve">College Savings </w:t>
            </w:r>
            <w:r w:rsidRPr="00D13766">
              <w:rPr>
                <w:rFonts w:ascii="Calibri" w:eastAsia="Times New Roman" w:hAnsi="Calibri"/>
                <w:b/>
                <w:color w:val="000000" w:themeColor="text1"/>
                <w:sz w:val="22"/>
                <w:szCs w:val="22"/>
                <w:lang w:val="x-none"/>
              </w:rPr>
              <w:t>purports to restrict the</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constitutionally permissible scope of waiver triggered by the state’s</w:t>
            </w:r>
            <w:r>
              <w:rPr>
                <w:rFonts w:ascii="Calibri" w:eastAsia="Times New Roman" w:hAnsi="Calibri"/>
                <w:b/>
                <w:color w:val="000000" w:themeColor="text1"/>
                <w:sz w:val="22"/>
                <w:szCs w:val="22"/>
              </w:rPr>
              <w:t xml:space="preserve"> </w:t>
            </w:r>
            <w:r w:rsidRPr="00D13766">
              <w:rPr>
                <w:rFonts w:ascii="Calibri" w:eastAsia="Times New Roman" w:hAnsi="Calibri"/>
                <w:b/>
                <w:color w:val="000000" w:themeColor="text1"/>
                <w:sz w:val="22"/>
                <w:szCs w:val="22"/>
                <w:lang w:val="x-none"/>
              </w:rPr>
              <w:t>invocation of the jur</w:t>
            </w:r>
            <w:r>
              <w:rPr>
                <w:rFonts w:ascii="Calibri" w:eastAsia="Times New Roman" w:hAnsi="Calibri"/>
                <w:b/>
                <w:color w:val="000000" w:themeColor="text1"/>
                <w:sz w:val="22"/>
                <w:szCs w:val="22"/>
                <w:lang w:val="x-none"/>
              </w:rPr>
              <w:t>isdiction of a federal court.”</w:t>
            </w:r>
          </w:p>
        </w:tc>
        <w:tc>
          <w:tcPr>
            <w:tcW w:w="5904" w:type="dxa"/>
            <w:vAlign w:val="center"/>
          </w:tcPr>
          <w:p w14:paraId="6306D4A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81A023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4F559BE" w14:textId="77777777" w:rsidTr="0010708E">
        <w:trPr>
          <w:trHeight w:val="4795"/>
        </w:trPr>
        <w:tc>
          <w:tcPr>
            <w:tcW w:w="5904" w:type="dxa"/>
            <w:vAlign w:val="center"/>
          </w:tcPr>
          <w:p w14:paraId="255CE54E" w14:textId="3380C72F" w:rsidR="000F7558" w:rsidRDefault="000F7558" w:rsidP="000F7558">
            <w:pPr>
              <w:pStyle w:val="O-BodyText"/>
              <w:spacing w:afterLines="120" w:after="288"/>
              <w:ind w:right="108"/>
              <w:rPr>
                <w:rFonts w:ascii="Calibri" w:hAnsi="Calibri"/>
                <w:b/>
                <w:color w:val="000000" w:themeColor="text1"/>
                <w:sz w:val="28"/>
                <w:szCs w:val="28"/>
              </w:rPr>
            </w:pPr>
            <w:proofErr w:type="spellStart"/>
            <w:r w:rsidRPr="00EC12FB">
              <w:rPr>
                <w:rFonts w:ascii="Calibri" w:hAnsi="Calibri"/>
                <w:b/>
                <w:color w:val="000000" w:themeColor="text1"/>
                <w:sz w:val="28"/>
                <w:szCs w:val="28"/>
                <w:lang w:val="x-none"/>
              </w:rPr>
              <w:t>UMN</w:t>
            </w:r>
            <w:proofErr w:type="spellEnd"/>
            <w:r w:rsidRPr="00EC12FB">
              <w:rPr>
                <w:rFonts w:ascii="Calibri" w:hAnsi="Calibri"/>
                <w:b/>
                <w:color w:val="000000" w:themeColor="text1"/>
                <w:sz w:val="28"/>
                <w:szCs w:val="28"/>
                <w:lang w:val="x-none"/>
              </w:rPr>
              <w:t xml:space="preserve"> suggests that </w:t>
            </w:r>
            <w:r w:rsidRPr="00EC12FB">
              <w:rPr>
                <w:rFonts w:ascii="Calibri" w:hAnsi="Calibri"/>
                <w:b/>
                <w:i/>
                <w:color w:val="000000" w:themeColor="text1"/>
                <w:sz w:val="28"/>
                <w:szCs w:val="28"/>
                <w:lang w:val="x-none"/>
              </w:rPr>
              <w:t xml:space="preserve">College Savings Bank </w:t>
            </w:r>
            <w:r w:rsidRPr="00EC12FB">
              <w:rPr>
                <w:rFonts w:ascii="Calibri" w:hAnsi="Calibri"/>
                <w:b/>
                <w:color w:val="000000" w:themeColor="text1"/>
                <w:sz w:val="28"/>
                <w:szCs w:val="28"/>
                <w:lang w:val="x-none"/>
              </w:rPr>
              <w:t>bears on whether it “waived</w:t>
            </w:r>
            <w:r>
              <w:rPr>
                <w:rFonts w:ascii="Calibri" w:hAnsi="Calibri"/>
                <w:b/>
                <w:color w:val="000000" w:themeColor="text1"/>
                <w:sz w:val="28"/>
                <w:szCs w:val="28"/>
              </w:rPr>
              <w:t xml:space="preserve"> </w:t>
            </w:r>
            <w:r w:rsidRPr="00EC12FB">
              <w:rPr>
                <w:rFonts w:ascii="Calibri" w:hAnsi="Calibri"/>
                <w:b/>
                <w:color w:val="000000" w:themeColor="text1"/>
                <w:sz w:val="28"/>
                <w:szCs w:val="28"/>
                <w:lang w:val="x-none"/>
              </w:rPr>
              <w:t>its sovereign immunity merely by applying for and obtaining the</w:t>
            </w:r>
            <w:r>
              <w:rPr>
                <w:rFonts w:ascii="Calibri" w:hAnsi="Calibri"/>
                <w:b/>
                <w:color w:val="000000" w:themeColor="text1"/>
                <w:sz w:val="28"/>
                <w:szCs w:val="28"/>
              </w:rPr>
              <w:t xml:space="preserve"> </w:t>
            </w:r>
            <w:r w:rsidRPr="00EC12FB">
              <w:rPr>
                <w:rFonts w:ascii="Calibri" w:hAnsi="Calibri"/>
                <w:b/>
                <w:color w:val="000000" w:themeColor="text1"/>
                <w:sz w:val="28"/>
                <w:szCs w:val="28"/>
                <w:lang w:val="x-none"/>
              </w:rPr>
              <w:t xml:space="preserve">Challenged Patents.” </w:t>
            </w:r>
            <w:r>
              <w:rPr>
                <w:rFonts w:ascii="Calibri" w:hAnsi="Calibri"/>
                <w:b/>
                <w:color w:val="000000" w:themeColor="text1"/>
                <w:sz w:val="28"/>
                <w:szCs w:val="28"/>
              </w:rPr>
              <w:t xml:space="preserve"> </w:t>
            </w:r>
            <w:r w:rsidRPr="00EC12FB">
              <w:rPr>
                <w:rFonts w:ascii="Calibri" w:hAnsi="Calibri"/>
                <w:b/>
                <w:color w:val="000000" w:themeColor="text1"/>
                <w:sz w:val="28"/>
                <w:szCs w:val="28"/>
                <w:lang w:val="x-none"/>
              </w:rPr>
              <w:t xml:space="preserve">OB38. </w:t>
            </w:r>
            <w:r>
              <w:rPr>
                <w:rFonts w:ascii="Calibri" w:hAnsi="Calibri"/>
                <w:b/>
                <w:color w:val="000000" w:themeColor="text1"/>
                <w:sz w:val="28"/>
                <w:szCs w:val="28"/>
              </w:rPr>
              <w:t xml:space="preserve"> Isn’t that right?</w:t>
            </w:r>
          </w:p>
        </w:tc>
        <w:tc>
          <w:tcPr>
            <w:tcW w:w="5904" w:type="dxa"/>
            <w:vAlign w:val="center"/>
          </w:tcPr>
          <w:p w14:paraId="77D5A8E4" w14:textId="6E6624E5"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That’s beside the point.  </w:t>
            </w:r>
            <w:proofErr w:type="spellStart"/>
            <w:r w:rsidRPr="00EC12FB">
              <w:rPr>
                <w:rFonts w:ascii="Calibri" w:hAnsi="Calibri"/>
                <w:b/>
                <w:color w:val="000000" w:themeColor="text1"/>
                <w:sz w:val="22"/>
                <w:szCs w:val="22"/>
                <w:lang w:val="x-none"/>
              </w:rPr>
              <w:t>UMN</w:t>
            </w:r>
            <w:proofErr w:type="spellEnd"/>
            <w:r>
              <w:rPr>
                <w:rFonts w:ascii="Calibri" w:hAnsi="Calibri"/>
                <w:b/>
                <w:color w:val="000000" w:themeColor="text1"/>
                <w:sz w:val="22"/>
                <w:szCs w:val="22"/>
              </w:rPr>
              <w:t xml:space="preserve"> </w:t>
            </w:r>
            <w:r w:rsidRPr="00EC12FB">
              <w:rPr>
                <w:rFonts w:ascii="Calibri" w:eastAsia="Times New Roman" w:hAnsi="Calibri"/>
                <w:b/>
                <w:color w:val="000000" w:themeColor="text1"/>
                <w:sz w:val="22"/>
                <w:szCs w:val="22"/>
                <w:lang w:val="x-none"/>
              </w:rPr>
              <w:t>waived immunity here through its affirmative litigation conduct</w:t>
            </w:r>
            <w:r>
              <w:rPr>
                <w:rFonts w:ascii="Calibri" w:eastAsia="Times New Roman" w:hAnsi="Calibri"/>
                <w:b/>
                <w:color w:val="000000" w:themeColor="text1"/>
                <w:sz w:val="22"/>
                <w:szCs w:val="22"/>
              </w:rPr>
              <w:t>, not merely by obtaining the patents</w:t>
            </w:r>
            <w:r w:rsidRPr="00EC12FB">
              <w:rPr>
                <w:rFonts w:ascii="Calibri" w:eastAsia="Times New Roman" w:hAnsi="Calibri"/>
                <w:b/>
                <w:color w:val="000000" w:themeColor="text1"/>
                <w:sz w:val="22"/>
                <w:szCs w:val="22"/>
                <w:lang w:val="x-none"/>
              </w:rPr>
              <w:t>.</w:t>
            </w:r>
          </w:p>
        </w:tc>
        <w:tc>
          <w:tcPr>
            <w:tcW w:w="5904" w:type="dxa"/>
            <w:vAlign w:val="center"/>
          </w:tcPr>
          <w:p w14:paraId="5ABD1E93"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44ACF0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FAA72C9" w14:textId="77777777" w:rsidTr="0010708E">
        <w:trPr>
          <w:trHeight w:val="4795"/>
        </w:trPr>
        <w:tc>
          <w:tcPr>
            <w:tcW w:w="5904" w:type="dxa"/>
            <w:vAlign w:val="center"/>
          </w:tcPr>
          <w:p w14:paraId="08CBCD57" w14:textId="69025A04" w:rsidR="000F7558" w:rsidRPr="00EC12FB" w:rsidRDefault="000F7558" w:rsidP="000F7558">
            <w:pPr>
              <w:pStyle w:val="O-BodyText"/>
              <w:spacing w:afterLines="120" w:after="288"/>
              <w:ind w:right="108"/>
              <w:rPr>
                <w:rFonts w:ascii="Calibri" w:hAnsi="Calibri"/>
                <w:b/>
                <w:color w:val="000000" w:themeColor="text1"/>
                <w:sz w:val="28"/>
                <w:szCs w:val="28"/>
                <w:lang w:val="x-none"/>
              </w:rPr>
            </w:pPr>
            <w:r>
              <w:rPr>
                <w:rFonts w:ascii="Calibri" w:hAnsi="Calibri"/>
                <w:b/>
                <w:color w:val="000000" w:themeColor="text1"/>
                <w:sz w:val="28"/>
                <w:szCs w:val="28"/>
              </w:rPr>
              <w:t xml:space="preserve">Don’t </w:t>
            </w:r>
            <w:r>
              <w:rPr>
                <w:rFonts w:ascii="Calibri" w:hAnsi="Calibri"/>
                <w:b/>
                <w:i/>
                <w:color w:val="000000" w:themeColor="text1"/>
                <w:sz w:val="28"/>
                <w:szCs w:val="28"/>
              </w:rPr>
              <w:t>Clark</w:t>
            </w:r>
            <w:r>
              <w:rPr>
                <w:rFonts w:ascii="Calibri" w:hAnsi="Calibri"/>
                <w:b/>
                <w:color w:val="000000" w:themeColor="text1"/>
                <w:sz w:val="28"/>
                <w:szCs w:val="28"/>
              </w:rPr>
              <w:t xml:space="preserve">, </w:t>
            </w:r>
            <w:r>
              <w:rPr>
                <w:rFonts w:ascii="Calibri" w:hAnsi="Calibri"/>
                <w:b/>
                <w:i/>
                <w:color w:val="000000" w:themeColor="text1"/>
                <w:sz w:val="28"/>
                <w:szCs w:val="28"/>
              </w:rPr>
              <w:t>Gunter</w:t>
            </w:r>
            <w:r>
              <w:rPr>
                <w:rFonts w:ascii="Calibri" w:hAnsi="Calibri"/>
                <w:b/>
                <w:color w:val="000000" w:themeColor="text1"/>
                <w:sz w:val="28"/>
                <w:szCs w:val="28"/>
              </w:rPr>
              <w:t xml:space="preserve">, </w:t>
            </w:r>
            <w:r>
              <w:rPr>
                <w:rFonts w:ascii="Calibri" w:hAnsi="Calibri"/>
                <w:b/>
                <w:i/>
                <w:color w:val="000000" w:themeColor="text1"/>
                <w:sz w:val="28"/>
                <w:szCs w:val="28"/>
              </w:rPr>
              <w:t>Gardner</w:t>
            </w:r>
            <w:r>
              <w:rPr>
                <w:rFonts w:ascii="Calibri" w:hAnsi="Calibri"/>
                <w:b/>
                <w:color w:val="000000" w:themeColor="text1"/>
                <w:sz w:val="28"/>
                <w:szCs w:val="28"/>
              </w:rPr>
              <w:t xml:space="preserve"> and </w:t>
            </w:r>
            <w:proofErr w:type="spellStart"/>
            <w:r>
              <w:rPr>
                <w:rFonts w:ascii="Calibri" w:hAnsi="Calibri"/>
                <w:b/>
                <w:i/>
                <w:color w:val="000000" w:themeColor="text1"/>
                <w:sz w:val="28"/>
                <w:szCs w:val="28"/>
              </w:rPr>
              <w:t>Lapides</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merely establish the “traditional rule” that waiver by litigation extends only to the “chosen forum” where the state initially files?</w:t>
            </w:r>
          </w:p>
        </w:tc>
        <w:tc>
          <w:tcPr>
            <w:tcW w:w="5904" w:type="dxa"/>
            <w:vAlign w:val="center"/>
          </w:tcPr>
          <w:p w14:paraId="0D912A8C" w14:textId="1A4432DB"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No.  The Supreme Court’s waiver rule is far more expansive:  O</w:t>
            </w:r>
            <w:r w:rsidRPr="00E1418A">
              <w:rPr>
                <w:rFonts w:ascii="Calibri" w:eastAsia="Times New Roman" w:hAnsi="Calibri"/>
                <w:b/>
                <w:color w:val="000000" w:themeColor="text1"/>
                <w:sz w:val="22"/>
                <w:szCs w:val="22"/>
              </w:rPr>
              <w:t>nce a state</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submits its own affirmative claim for resolution, it must “abide the</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 xml:space="preserve">consequences,” </w:t>
            </w:r>
            <w:r w:rsidRPr="00E1418A">
              <w:rPr>
                <w:rFonts w:ascii="Calibri" w:eastAsia="Times New Roman" w:hAnsi="Calibri"/>
                <w:b/>
                <w:i/>
                <w:color w:val="000000" w:themeColor="text1"/>
                <w:sz w:val="22"/>
                <w:szCs w:val="22"/>
              </w:rPr>
              <w:t>Gardner</w:t>
            </w:r>
            <w:r w:rsidRPr="00E1418A">
              <w:rPr>
                <w:rFonts w:ascii="Calibri" w:eastAsia="Times New Roman" w:hAnsi="Calibri"/>
                <w:b/>
                <w:color w:val="000000" w:themeColor="text1"/>
                <w:sz w:val="22"/>
                <w:szCs w:val="22"/>
              </w:rPr>
              <w:t xml:space="preserve"> at 573, by waiving immunity to the</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 xml:space="preserve">“full extent required for its complete determination,” </w:t>
            </w:r>
            <w:r w:rsidRPr="00E1418A">
              <w:rPr>
                <w:rFonts w:ascii="Calibri" w:eastAsia="Times New Roman" w:hAnsi="Calibri"/>
                <w:b/>
                <w:i/>
                <w:color w:val="000000" w:themeColor="text1"/>
                <w:sz w:val="22"/>
                <w:szCs w:val="22"/>
              </w:rPr>
              <w:t>Clark</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at</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 xml:space="preserve">448. </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That rule is not limited to consequences</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 xml:space="preserve">within a </w:t>
            </w:r>
            <w:proofErr w:type="gramStart"/>
            <w:r w:rsidRPr="00E1418A">
              <w:rPr>
                <w:rFonts w:ascii="Calibri" w:eastAsia="Times New Roman" w:hAnsi="Calibri"/>
                <w:b/>
                <w:color w:val="000000" w:themeColor="text1"/>
                <w:sz w:val="22"/>
                <w:szCs w:val="22"/>
              </w:rPr>
              <w:t>particular forum</w:t>
            </w:r>
            <w:proofErr w:type="gramEnd"/>
            <w:r w:rsidRPr="00E1418A">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 It covers</w:t>
            </w:r>
            <w:r w:rsidRPr="00E1418A">
              <w:rPr>
                <w:rFonts w:ascii="Calibri" w:eastAsia="Times New Roman" w:hAnsi="Calibri"/>
                <w:b/>
                <w:color w:val="000000" w:themeColor="text1"/>
                <w:sz w:val="22"/>
                <w:szCs w:val="22"/>
              </w:rPr>
              <w:t xml:space="preserve"> whatever proceedings may be necessary for the “complete</w:t>
            </w:r>
            <w:r>
              <w:rPr>
                <w:rFonts w:ascii="Calibri" w:eastAsia="Times New Roman" w:hAnsi="Calibri"/>
                <w:b/>
                <w:color w:val="000000" w:themeColor="text1"/>
                <w:sz w:val="22"/>
                <w:szCs w:val="22"/>
              </w:rPr>
              <w:t xml:space="preserve"> </w:t>
            </w:r>
            <w:r w:rsidRPr="00E1418A">
              <w:rPr>
                <w:rFonts w:ascii="Calibri" w:eastAsia="Times New Roman" w:hAnsi="Calibri"/>
                <w:b/>
                <w:color w:val="000000" w:themeColor="text1"/>
                <w:sz w:val="22"/>
                <w:szCs w:val="22"/>
              </w:rPr>
              <w:t>determination” of the state’s claim, without qualification.</w:t>
            </w:r>
          </w:p>
        </w:tc>
        <w:tc>
          <w:tcPr>
            <w:tcW w:w="5904" w:type="dxa"/>
            <w:vAlign w:val="center"/>
          </w:tcPr>
          <w:p w14:paraId="1519E93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E14D13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769A459" w14:textId="77777777" w:rsidTr="0010708E">
        <w:trPr>
          <w:trHeight w:val="4795"/>
        </w:trPr>
        <w:tc>
          <w:tcPr>
            <w:tcW w:w="5904" w:type="dxa"/>
            <w:vAlign w:val="center"/>
          </w:tcPr>
          <w:p w14:paraId="4E1CDD81" w14:textId="4AD2B5B6"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 at least agree that </w:t>
            </w:r>
            <w:r>
              <w:rPr>
                <w:rFonts w:ascii="Calibri" w:hAnsi="Calibri"/>
                <w:b/>
                <w:i/>
                <w:color w:val="000000" w:themeColor="text1"/>
                <w:sz w:val="28"/>
                <w:szCs w:val="28"/>
              </w:rPr>
              <w:t>Clark</w:t>
            </w:r>
            <w:r>
              <w:rPr>
                <w:rFonts w:ascii="Calibri" w:hAnsi="Calibri"/>
                <w:b/>
                <w:color w:val="000000" w:themeColor="text1"/>
                <w:sz w:val="28"/>
                <w:szCs w:val="28"/>
              </w:rPr>
              <w:t xml:space="preserve">, </w:t>
            </w:r>
            <w:r>
              <w:rPr>
                <w:rFonts w:ascii="Calibri" w:hAnsi="Calibri"/>
                <w:b/>
                <w:i/>
                <w:color w:val="000000" w:themeColor="text1"/>
                <w:sz w:val="28"/>
                <w:szCs w:val="28"/>
              </w:rPr>
              <w:t>Gunter</w:t>
            </w:r>
            <w:r>
              <w:rPr>
                <w:rFonts w:ascii="Calibri" w:hAnsi="Calibri"/>
                <w:b/>
                <w:color w:val="000000" w:themeColor="text1"/>
                <w:sz w:val="28"/>
                <w:szCs w:val="28"/>
              </w:rPr>
              <w:t xml:space="preserve">, </w:t>
            </w:r>
            <w:r>
              <w:rPr>
                <w:rFonts w:ascii="Calibri" w:hAnsi="Calibri"/>
                <w:b/>
                <w:i/>
                <w:color w:val="000000" w:themeColor="text1"/>
                <w:sz w:val="28"/>
                <w:szCs w:val="28"/>
              </w:rPr>
              <w:t>Gardner</w:t>
            </w:r>
            <w:r>
              <w:rPr>
                <w:rFonts w:ascii="Calibri" w:hAnsi="Calibri"/>
                <w:b/>
                <w:color w:val="000000" w:themeColor="text1"/>
                <w:sz w:val="28"/>
                <w:szCs w:val="28"/>
              </w:rPr>
              <w:t xml:space="preserve">, and </w:t>
            </w:r>
            <w:proofErr w:type="spellStart"/>
            <w:r>
              <w:rPr>
                <w:rFonts w:ascii="Calibri" w:hAnsi="Calibri"/>
                <w:b/>
                <w:i/>
                <w:color w:val="000000" w:themeColor="text1"/>
                <w:sz w:val="28"/>
                <w:szCs w:val="28"/>
              </w:rPr>
              <w:t>Lapides</w:t>
            </w:r>
            <w:proofErr w:type="spellEnd"/>
            <w:r>
              <w:rPr>
                <w:rFonts w:ascii="Calibri" w:hAnsi="Calibri"/>
                <w:b/>
                <w:color w:val="000000" w:themeColor="text1"/>
                <w:sz w:val="28"/>
                <w:szCs w:val="28"/>
              </w:rPr>
              <w:t xml:space="preserve"> did not extend waiver beyond the state’s initial chosen forum, right?</w:t>
            </w:r>
          </w:p>
        </w:tc>
        <w:tc>
          <w:tcPr>
            <w:tcW w:w="5904" w:type="dxa"/>
            <w:vAlign w:val="center"/>
          </w:tcPr>
          <w:p w14:paraId="446A7887" w14:textId="1091D69F"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On the facts of those </w:t>
            </w:r>
            <w:proofErr w:type="gramStart"/>
            <w:r>
              <w:rPr>
                <w:rFonts w:ascii="Calibri" w:eastAsia="Times New Roman" w:hAnsi="Calibri"/>
                <w:b/>
                <w:color w:val="000000" w:themeColor="text1"/>
                <w:sz w:val="22"/>
                <w:szCs w:val="22"/>
              </w:rPr>
              <w:t>particular cases</w:t>
            </w:r>
            <w:proofErr w:type="gramEnd"/>
            <w:r>
              <w:rPr>
                <w:rFonts w:ascii="Calibri" w:eastAsia="Times New Roman" w:hAnsi="Calibri"/>
                <w:b/>
                <w:color w:val="000000" w:themeColor="text1"/>
                <w:sz w:val="22"/>
                <w:szCs w:val="22"/>
              </w:rPr>
              <w:t xml:space="preserve">, the Supreme Court had no occasion to extend waiver beyond the initial chosen forum.  But waiver </w:t>
            </w:r>
            <w:r>
              <w:rPr>
                <w:rFonts w:ascii="Calibri" w:eastAsia="Times New Roman" w:hAnsi="Calibri"/>
                <w:b/>
                <w:color w:val="000000" w:themeColor="text1"/>
                <w:sz w:val="22"/>
                <w:szCs w:val="22"/>
                <w:u w:val="single"/>
              </w:rPr>
              <w:t>can</w:t>
            </w:r>
            <w:r>
              <w:rPr>
                <w:rFonts w:ascii="Calibri" w:eastAsia="Times New Roman" w:hAnsi="Calibri"/>
                <w:b/>
                <w:color w:val="000000" w:themeColor="text1"/>
                <w:sz w:val="22"/>
                <w:szCs w:val="22"/>
              </w:rPr>
              <w:t xml:space="preserve"> extend across forums, as this Court has recognized repeatedly.</w:t>
            </w:r>
          </w:p>
        </w:tc>
        <w:tc>
          <w:tcPr>
            <w:tcW w:w="5904" w:type="dxa"/>
            <w:vAlign w:val="center"/>
          </w:tcPr>
          <w:p w14:paraId="439EA4A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81EFA00"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DB56AC5" w14:textId="77777777" w:rsidTr="0010708E">
        <w:trPr>
          <w:trHeight w:val="4795"/>
        </w:trPr>
        <w:tc>
          <w:tcPr>
            <w:tcW w:w="5904" w:type="dxa"/>
            <w:vAlign w:val="center"/>
          </w:tcPr>
          <w:p w14:paraId="6A0312BB" w14:textId="33CE035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Didn’t </w:t>
            </w:r>
            <w:r>
              <w:rPr>
                <w:rFonts w:ascii="Calibri" w:hAnsi="Calibri"/>
                <w:b/>
                <w:i/>
                <w:color w:val="000000" w:themeColor="text1"/>
                <w:sz w:val="28"/>
                <w:szCs w:val="28"/>
              </w:rPr>
              <w:t xml:space="preserve">Pennhurst State School &amp; Hospital v. </w:t>
            </w:r>
            <w:proofErr w:type="spellStart"/>
            <w:r>
              <w:rPr>
                <w:rFonts w:ascii="Calibri" w:hAnsi="Calibri"/>
                <w:b/>
                <w:i/>
                <w:color w:val="000000" w:themeColor="text1"/>
                <w:sz w:val="28"/>
                <w:szCs w:val="28"/>
              </w:rPr>
              <w:t>Halderman</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(1984)</w:t>
            </w:r>
            <w:r>
              <w:rPr>
                <w:rFonts w:ascii="Calibri" w:hAnsi="Calibri"/>
                <w:b/>
                <w:i/>
                <w:color w:val="000000" w:themeColor="text1"/>
                <w:sz w:val="28"/>
                <w:szCs w:val="28"/>
              </w:rPr>
              <w:t xml:space="preserve"> </w:t>
            </w:r>
            <w:r>
              <w:rPr>
                <w:rFonts w:ascii="Calibri" w:hAnsi="Calibri"/>
                <w:b/>
                <w:color w:val="000000" w:themeColor="text1"/>
                <w:sz w:val="28"/>
                <w:szCs w:val="28"/>
              </w:rPr>
              <w:t>hold that a state may choose “where” its adversary can defend itself?  Doesn’t that show that states are entitled to limit waiver to their initial chosen forum?</w:t>
            </w:r>
          </w:p>
        </w:tc>
        <w:tc>
          <w:tcPr>
            <w:tcW w:w="5904" w:type="dxa"/>
            <w:vAlign w:val="center"/>
          </w:tcPr>
          <w:p w14:paraId="016349DF" w14:textId="77777777" w:rsidR="000F7558" w:rsidRDefault="000F7558" w:rsidP="000F7558">
            <w:pPr>
              <w:spacing w:after="120"/>
              <w:ind w:left="200" w:right="245"/>
              <w:jc w:val="both"/>
              <w:rPr>
                <w:rFonts w:ascii="Calibri" w:eastAsia="Times New Roman" w:hAnsi="Calibri"/>
                <w:b/>
                <w:color w:val="000000" w:themeColor="text1"/>
                <w:sz w:val="22"/>
                <w:szCs w:val="22"/>
                <w:lang w:val="x-none"/>
              </w:rPr>
            </w:pPr>
            <w:r w:rsidRPr="00AF3D06">
              <w:rPr>
                <w:rFonts w:ascii="Calibri" w:eastAsia="Times New Roman" w:hAnsi="Calibri"/>
                <w:b/>
                <w:i/>
                <w:color w:val="000000" w:themeColor="text1"/>
                <w:sz w:val="22"/>
                <w:szCs w:val="22"/>
                <w:lang w:val="x-none"/>
              </w:rPr>
              <w:t xml:space="preserve">Pennhurst </w:t>
            </w:r>
            <w:r w:rsidRPr="00AF3D06">
              <w:rPr>
                <w:rFonts w:ascii="Calibri" w:eastAsia="Times New Roman" w:hAnsi="Calibri"/>
                <w:b/>
                <w:color w:val="000000" w:themeColor="text1"/>
                <w:sz w:val="22"/>
                <w:szCs w:val="22"/>
                <w:lang w:val="x-none"/>
              </w:rPr>
              <w:t xml:space="preserve">has nothing to do with waiver by litigation. </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The quoted</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 xml:space="preserve">passage observes only that a state may </w:t>
            </w:r>
            <w:r w:rsidRPr="00AF3D06">
              <w:rPr>
                <w:rFonts w:ascii="Calibri" w:eastAsia="Times New Roman" w:hAnsi="Calibri"/>
                <w:b/>
                <w:color w:val="000000" w:themeColor="text1"/>
                <w:sz w:val="22"/>
                <w:szCs w:val="22"/>
                <w:u w:val="single"/>
                <w:lang w:val="x-none"/>
              </w:rPr>
              <w:t>expressly consent</w:t>
            </w:r>
            <w:r w:rsidRPr="00AF3D06">
              <w:rPr>
                <w:rFonts w:ascii="Calibri" w:eastAsia="Times New Roman" w:hAnsi="Calibri"/>
                <w:b/>
                <w:i/>
                <w:color w:val="000000" w:themeColor="text1"/>
                <w:sz w:val="22"/>
                <w:szCs w:val="22"/>
                <w:lang w:val="x-none"/>
              </w:rPr>
              <w:t xml:space="preserve"> </w:t>
            </w:r>
            <w:r w:rsidRPr="00AF3D06">
              <w:rPr>
                <w:rFonts w:ascii="Calibri" w:eastAsia="Times New Roman" w:hAnsi="Calibri"/>
                <w:b/>
                <w:color w:val="000000" w:themeColor="text1"/>
                <w:sz w:val="22"/>
                <w:szCs w:val="22"/>
                <w:lang w:val="x-none"/>
              </w:rPr>
              <w:t>to the</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claims of private parties in its own courts while retaining</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immunity in federal court.</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 xml:space="preserve">As </w:t>
            </w:r>
            <w:proofErr w:type="spellStart"/>
            <w:r w:rsidRPr="00AF3D06">
              <w:rPr>
                <w:rFonts w:ascii="Calibri" w:eastAsia="Times New Roman" w:hAnsi="Calibri"/>
                <w:b/>
                <w:i/>
                <w:color w:val="000000" w:themeColor="text1"/>
                <w:sz w:val="22"/>
                <w:szCs w:val="22"/>
                <w:lang w:val="x-none"/>
              </w:rPr>
              <w:t>Lapides</w:t>
            </w:r>
            <w:proofErr w:type="spellEnd"/>
            <w:r w:rsidRPr="00AF3D06">
              <w:rPr>
                <w:rFonts w:ascii="Calibri" w:eastAsia="Times New Roman" w:hAnsi="Calibri"/>
                <w:b/>
                <w:i/>
                <w:color w:val="000000" w:themeColor="text1"/>
                <w:sz w:val="22"/>
                <w:szCs w:val="22"/>
                <w:lang w:val="x-none"/>
              </w:rPr>
              <w:t xml:space="preserve"> </w:t>
            </w:r>
            <w:r w:rsidRPr="00AF3D06">
              <w:rPr>
                <w:rFonts w:ascii="Calibri" w:eastAsia="Times New Roman" w:hAnsi="Calibri"/>
                <w:b/>
                <w:color w:val="000000" w:themeColor="text1"/>
                <w:sz w:val="22"/>
                <w:szCs w:val="22"/>
                <w:lang w:val="x-none"/>
              </w:rPr>
              <w:t xml:space="preserve">makes clear, waiver by litigation </w:t>
            </w:r>
            <w:r>
              <w:rPr>
                <w:rFonts w:ascii="Calibri" w:eastAsia="Times New Roman" w:hAnsi="Calibri"/>
                <w:b/>
                <w:color w:val="000000" w:themeColor="text1"/>
                <w:sz w:val="22"/>
                <w:szCs w:val="22"/>
              </w:rPr>
              <w:t>doesn’t offer the same control over venue</w:t>
            </w:r>
            <w:r w:rsidRPr="00AF3D06">
              <w:rPr>
                <w:rFonts w:ascii="Calibri" w:eastAsia="Times New Roman" w:hAnsi="Calibri"/>
                <w:b/>
                <w:color w:val="000000" w:themeColor="text1"/>
                <w:sz w:val="22"/>
                <w:szCs w:val="22"/>
                <w:lang w:val="x-none"/>
              </w:rPr>
              <w:t xml:space="preserve">: </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 xml:space="preserve">It is </w:t>
            </w:r>
            <w:r w:rsidRPr="0050347C">
              <w:rPr>
                <w:rFonts w:ascii="Calibri" w:eastAsia="Times New Roman" w:hAnsi="Calibri"/>
                <w:b/>
                <w:color w:val="000000" w:themeColor="text1"/>
                <w:sz w:val="22"/>
                <w:szCs w:val="22"/>
                <w:u w:val="single"/>
                <w:lang w:val="x-none"/>
              </w:rPr>
              <w:t>not</w:t>
            </w:r>
            <w:r>
              <w:rPr>
                <w:rFonts w:ascii="Calibri" w:eastAsia="Times New Roman" w:hAnsi="Calibri"/>
                <w:b/>
                <w:i/>
                <w:color w:val="000000" w:themeColor="text1"/>
                <w:sz w:val="22"/>
                <w:szCs w:val="22"/>
              </w:rPr>
              <w:t xml:space="preserve"> </w:t>
            </w:r>
            <w:r w:rsidRPr="00AF3D06">
              <w:rPr>
                <w:rFonts w:ascii="Calibri" w:eastAsia="Times New Roman" w:hAnsi="Calibri"/>
                <w:b/>
                <w:color w:val="000000" w:themeColor="text1"/>
                <w:sz w:val="22"/>
                <w:szCs w:val="22"/>
                <w:lang w:val="x-none"/>
              </w:rPr>
              <w:t>defined by “a State’s actual preference or desire, which might, after all,</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favor selective use of ‘immunity’ to achieve litigation advantages.”</w:t>
            </w:r>
            <w:r>
              <w:rPr>
                <w:rFonts w:ascii="Calibri" w:eastAsia="Times New Roman" w:hAnsi="Calibri"/>
                <w:b/>
                <w:color w:val="000000" w:themeColor="text1"/>
                <w:sz w:val="22"/>
                <w:szCs w:val="22"/>
              </w:rPr>
              <w:t xml:space="preserve"> </w:t>
            </w:r>
            <w:r w:rsidRPr="00AF3D06">
              <w:rPr>
                <w:rFonts w:ascii="Calibri" w:eastAsia="Times New Roman" w:hAnsi="Calibri"/>
                <w:b/>
                <w:color w:val="000000" w:themeColor="text1"/>
                <w:sz w:val="22"/>
                <w:szCs w:val="22"/>
                <w:lang w:val="x-none"/>
              </w:rPr>
              <w:t xml:space="preserve"> </w:t>
            </w:r>
            <w:proofErr w:type="spellStart"/>
            <w:r>
              <w:rPr>
                <w:rFonts w:ascii="Calibri" w:eastAsia="Times New Roman" w:hAnsi="Calibri"/>
                <w:b/>
                <w:i/>
                <w:color w:val="000000" w:themeColor="text1"/>
                <w:sz w:val="22"/>
                <w:szCs w:val="22"/>
              </w:rPr>
              <w:t>Lapides</w:t>
            </w:r>
            <w:proofErr w:type="spellEnd"/>
            <w:r w:rsidRPr="00AF3D06">
              <w:rPr>
                <w:rFonts w:ascii="Calibri" w:eastAsia="Times New Roman" w:hAnsi="Calibri"/>
                <w:b/>
                <w:color w:val="000000" w:themeColor="text1"/>
                <w:sz w:val="22"/>
                <w:szCs w:val="22"/>
                <w:lang w:val="x-none"/>
              </w:rPr>
              <w:t xml:space="preserve"> at 620.</w:t>
            </w:r>
          </w:p>
          <w:p w14:paraId="12F27ADC" w14:textId="5915B000" w:rsidR="000F7558" w:rsidRDefault="000F7558" w:rsidP="000F7558">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cites other cases about express consent that are irrelevant for the same reason:  </w:t>
            </w:r>
            <w:r w:rsidRPr="006775DD">
              <w:rPr>
                <w:rFonts w:ascii="Calibri" w:eastAsia="Times New Roman" w:hAnsi="Calibri"/>
                <w:b/>
                <w:i/>
                <w:color w:val="000000" w:themeColor="text1"/>
                <w:sz w:val="22"/>
                <w:szCs w:val="22"/>
              </w:rPr>
              <w:t>U.S.</w:t>
            </w:r>
            <w:r>
              <w:rPr>
                <w:rFonts w:ascii="Calibri" w:eastAsia="Times New Roman" w:hAnsi="Calibri"/>
                <w:b/>
                <w:i/>
                <w:color w:val="000000" w:themeColor="text1"/>
                <w:sz w:val="22"/>
                <w:szCs w:val="22"/>
              </w:rPr>
              <w:t xml:space="preserve"> v. Nordic Village</w:t>
            </w:r>
            <w:r w:rsidRPr="006775DD">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(1992), </w:t>
            </w:r>
            <w:r w:rsidRPr="006775DD">
              <w:rPr>
                <w:rFonts w:ascii="Calibri" w:eastAsia="Times New Roman" w:hAnsi="Calibri"/>
                <w:b/>
                <w:i/>
                <w:color w:val="000000" w:themeColor="text1"/>
                <w:sz w:val="22"/>
                <w:szCs w:val="22"/>
              </w:rPr>
              <w:t>Port Authority Trans-Hudson Corp. v. Feeney</w:t>
            </w:r>
            <w:r w:rsidRPr="006775DD">
              <w:rPr>
                <w:rFonts w:ascii="Calibri" w:eastAsia="Times New Roman" w:hAnsi="Calibri"/>
                <w:b/>
                <w:color w:val="000000" w:themeColor="text1"/>
                <w:sz w:val="22"/>
                <w:szCs w:val="22"/>
              </w:rPr>
              <w:t xml:space="preserve"> (1990)</w:t>
            </w:r>
            <w:r>
              <w:rPr>
                <w:rFonts w:ascii="Calibri" w:eastAsia="Times New Roman" w:hAnsi="Calibri"/>
                <w:b/>
                <w:color w:val="000000" w:themeColor="text1"/>
                <w:sz w:val="22"/>
                <w:szCs w:val="22"/>
              </w:rPr>
              <w:t xml:space="preserve">, and </w:t>
            </w:r>
            <w:r w:rsidRPr="006775DD">
              <w:rPr>
                <w:rFonts w:ascii="Calibri" w:eastAsia="Times New Roman" w:hAnsi="Calibri"/>
                <w:b/>
                <w:i/>
                <w:color w:val="000000" w:themeColor="text1"/>
                <w:sz w:val="22"/>
                <w:szCs w:val="22"/>
              </w:rPr>
              <w:t>Atascadero State Hospital v. Scanlon</w:t>
            </w:r>
            <w:r>
              <w:rPr>
                <w:rFonts w:ascii="Calibri" w:eastAsia="Times New Roman" w:hAnsi="Calibri"/>
                <w:b/>
                <w:color w:val="000000" w:themeColor="text1"/>
                <w:sz w:val="22"/>
                <w:szCs w:val="22"/>
              </w:rPr>
              <w:t xml:space="preserve"> (1985).</w:t>
            </w:r>
          </w:p>
        </w:tc>
        <w:tc>
          <w:tcPr>
            <w:tcW w:w="5904" w:type="dxa"/>
            <w:vAlign w:val="center"/>
          </w:tcPr>
          <w:p w14:paraId="7B60051D"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DB1166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0A11D57" w14:textId="77777777" w:rsidTr="0010708E">
        <w:trPr>
          <w:trHeight w:val="4795"/>
        </w:trPr>
        <w:tc>
          <w:tcPr>
            <w:tcW w:w="5904" w:type="dxa"/>
            <w:vAlign w:val="center"/>
          </w:tcPr>
          <w:p w14:paraId="49BBB020" w14:textId="7FEF673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You argue that </w:t>
            </w:r>
            <w:r>
              <w:rPr>
                <w:rFonts w:ascii="Calibri" w:hAnsi="Calibri"/>
                <w:b/>
                <w:i/>
                <w:color w:val="000000" w:themeColor="text1"/>
                <w:sz w:val="28"/>
                <w:szCs w:val="28"/>
              </w:rPr>
              <w:t xml:space="preserve">Pennhurst </w:t>
            </w:r>
            <w:r>
              <w:rPr>
                <w:rFonts w:ascii="Calibri" w:hAnsi="Calibri"/>
                <w:b/>
                <w:color w:val="000000" w:themeColor="text1"/>
                <w:sz w:val="28"/>
                <w:szCs w:val="28"/>
              </w:rPr>
              <w:t xml:space="preserve">has nothing to do with waiver by litigation.  But if that’s true, why did we cite it in </w:t>
            </w:r>
            <w:proofErr w:type="spellStart"/>
            <w:r>
              <w:rPr>
                <w:rFonts w:ascii="Calibri" w:hAnsi="Calibri"/>
                <w:b/>
                <w:i/>
                <w:color w:val="000000" w:themeColor="text1"/>
                <w:sz w:val="28"/>
                <w:szCs w:val="28"/>
              </w:rPr>
              <w:t>Tegic</w:t>
            </w:r>
            <w:proofErr w:type="spellEnd"/>
            <w:r>
              <w:rPr>
                <w:rFonts w:ascii="Calibri" w:hAnsi="Calibri"/>
                <w:b/>
                <w:i/>
                <w:color w:val="000000" w:themeColor="text1"/>
                <w:sz w:val="28"/>
                <w:szCs w:val="28"/>
              </w:rPr>
              <w:t xml:space="preserve"> Communications v. University of Texas </w:t>
            </w:r>
            <w:r>
              <w:rPr>
                <w:rFonts w:ascii="Calibri" w:hAnsi="Calibri"/>
                <w:b/>
                <w:color w:val="000000" w:themeColor="text1"/>
                <w:sz w:val="28"/>
                <w:szCs w:val="28"/>
              </w:rPr>
              <w:t>(</w:t>
            </w:r>
            <w:proofErr w:type="spellStart"/>
            <w:r>
              <w:rPr>
                <w:rFonts w:ascii="Calibri" w:hAnsi="Calibri"/>
                <w:b/>
                <w:color w:val="000000" w:themeColor="text1"/>
                <w:sz w:val="28"/>
                <w:szCs w:val="28"/>
              </w:rPr>
              <w:t>CAFC</w:t>
            </w:r>
            <w:proofErr w:type="spellEnd"/>
            <w:r>
              <w:rPr>
                <w:rFonts w:ascii="Calibri" w:hAnsi="Calibri"/>
                <w:b/>
                <w:color w:val="000000" w:themeColor="text1"/>
                <w:sz w:val="28"/>
                <w:szCs w:val="28"/>
              </w:rPr>
              <w:t xml:space="preserve"> 2006)—a case about waiver?</w:t>
            </w:r>
          </w:p>
        </w:tc>
        <w:tc>
          <w:tcPr>
            <w:tcW w:w="5904" w:type="dxa"/>
            <w:vAlign w:val="center"/>
          </w:tcPr>
          <w:p w14:paraId="4060A0B4" w14:textId="1E56EC24" w:rsidR="000F7558" w:rsidRPr="00AF3D06" w:rsidRDefault="000F7558" w:rsidP="000F7558">
            <w:pPr>
              <w:spacing w:after="120"/>
              <w:ind w:left="200" w:right="245"/>
              <w:jc w:val="both"/>
              <w:rPr>
                <w:rFonts w:ascii="Calibri" w:eastAsia="Times New Roman" w:hAnsi="Calibri"/>
                <w:b/>
                <w:i/>
                <w:color w:val="000000" w:themeColor="text1"/>
                <w:sz w:val="22"/>
                <w:szCs w:val="22"/>
                <w:lang w:val="x-none"/>
              </w:rPr>
            </w:pPr>
            <w:proofErr w:type="spellStart"/>
            <w:r>
              <w:rPr>
                <w:rFonts w:ascii="Calibri" w:eastAsia="Times New Roman" w:hAnsi="Calibri"/>
                <w:b/>
                <w:i/>
                <w:color w:val="000000" w:themeColor="text1"/>
                <w:sz w:val="22"/>
                <w:szCs w:val="22"/>
              </w:rPr>
              <w:t>Tegic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mentioned </w:t>
            </w:r>
            <w:r>
              <w:rPr>
                <w:rFonts w:ascii="Calibri" w:eastAsia="Times New Roman" w:hAnsi="Calibri"/>
                <w:b/>
                <w:i/>
                <w:color w:val="000000" w:themeColor="text1"/>
                <w:sz w:val="22"/>
                <w:szCs w:val="22"/>
              </w:rPr>
              <w:t xml:space="preserve">Pennhurst </w:t>
            </w:r>
            <w:r>
              <w:rPr>
                <w:rFonts w:ascii="Calibri" w:eastAsia="Times New Roman" w:hAnsi="Calibri"/>
                <w:b/>
                <w:color w:val="000000" w:themeColor="text1"/>
                <w:sz w:val="22"/>
                <w:szCs w:val="22"/>
              </w:rPr>
              <w:t xml:space="preserve">only in passing, when providing a general overview of the Supreme Court’s sovereign immunity jurisprudence.  </w:t>
            </w:r>
            <w:proofErr w:type="spellStart"/>
            <w:r>
              <w:rPr>
                <w:rFonts w:ascii="Calibri" w:eastAsia="Times New Roman" w:hAnsi="Calibri"/>
                <w:b/>
                <w:i/>
                <w:color w:val="000000" w:themeColor="text1"/>
                <w:sz w:val="22"/>
                <w:szCs w:val="22"/>
              </w:rPr>
              <w:t>Tegic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at 1342.  When </w:t>
            </w:r>
            <w:proofErr w:type="spellStart"/>
            <w:r>
              <w:rPr>
                <w:rFonts w:ascii="Calibri" w:eastAsia="Times New Roman" w:hAnsi="Calibri"/>
                <w:b/>
                <w:i/>
                <w:color w:val="000000" w:themeColor="text1"/>
                <w:sz w:val="22"/>
                <w:szCs w:val="22"/>
              </w:rPr>
              <w:t>Tegic</w:t>
            </w:r>
            <w:proofErr w:type="spellEnd"/>
            <w:r>
              <w:rPr>
                <w:rFonts w:ascii="Calibri" w:eastAsia="Times New Roman" w:hAnsi="Calibri"/>
                <w:b/>
                <w:i/>
                <w:color w:val="000000" w:themeColor="text1"/>
                <w:sz w:val="22"/>
                <w:szCs w:val="22"/>
              </w:rPr>
              <w:t xml:space="preserve"> </w:t>
            </w:r>
            <w:proofErr w:type="gramStart"/>
            <w:r>
              <w:rPr>
                <w:rFonts w:ascii="Calibri" w:eastAsia="Times New Roman" w:hAnsi="Calibri"/>
                <w:b/>
                <w:color w:val="000000" w:themeColor="text1"/>
                <w:sz w:val="22"/>
                <w:szCs w:val="22"/>
              </w:rPr>
              <w:t>actually decided</w:t>
            </w:r>
            <w:proofErr w:type="gramEnd"/>
            <w:r>
              <w:rPr>
                <w:rFonts w:ascii="Calibri" w:eastAsia="Times New Roman" w:hAnsi="Calibri"/>
                <w:b/>
                <w:color w:val="000000" w:themeColor="text1"/>
                <w:sz w:val="22"/>
                <w:szCs w:val="22"/>
              </w:rPr>
              <w:t xml:space="preserve"> the issue at hand, it relied solely on waiver precedents:  </w:t>
            </w:r>
            <w:r>
              <w:rPr>
                <w:rFonts w:ascii="Calibri" w:eastAsia="Times New Roman" w:hAnsi="Calibri"/>
                <w:b/>
                <w:i/>
                <w:color w:val="000000" w:themeColor="text1"/>
                <w:sz w:val="22"/>
                <w:szCs w:val="22"/>
              </w:rPr>
              <w:t>Clark, Gardner</w:t>
            </w:r>
            <w:r>
              <w:rPr>
                <w:rFonts w:ascii="Calibri" w:eastAsia="Times New Roman" w:hAnsi="Calibri"/>
                <w:b/>
                <w:color w:val="000000" w:themeColor="text1"/>
                <w:sz w:val="22"/>
                <w:szCs w:val="22"/>
              </w:rPr>
              <w:t xml:space="preserve">, and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See Id. </w:t>
            </w:r>
            <w:r>
              <w:rPr>
                <w:rFonts w:ascii="Calibri" w:eastAsia="Times New Roman" w:hAnsi="Calibri"/>
                <w:b/>
                <w:color w:val="000000" w:themeColor="text1"/>
                <w:sz w:val="22"/>
                <w:szCs w:val="22"/>
              </w:rPr>
              <w:t>at 1342-43.</w:t>
            </w:r>
          </w:p>
        </w:tc>
        <w:tc>
          <w:tcPr>
            <w:tcW w:w="5904" w:type="dxa"/>
            <w:vAlign w:val="center"/>
          </w:tcPr>
          <w:p w14:paraId="5601F48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40DCDE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6B8F55E" w14:textId="77777777" w:rsidTr="0010708E">
        <w:trPr>
          <w:trHeight w:val="4795"/>
        </w:trPr>
        <w:tc>
          <w:tcPr>
            <w:tcW w:w="5904" w:type="dxa"/>
            <w:vAlign w:val="center"/>
          </w:tcPr>
          <w:p w14:paraId="39DEB491" w14:textId="40A9F0FD"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Which Federal Circuit cases extended waiver by litigation beyond the forum where the state initially filed?</w:t>
            </w:r>
          </w:p>
        </w:tc>
        <w:tc>
          <w:tcPr>
            <w:tcW w:w="5904" w:type="dxa"/>
            <w:vAlign w:val="center"/>
          </w:tcPr>
          <w:p w14:paraId="2FC1F837" w14:textId="528EEB95"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i/>
                <w:color w:val="000000" w:themeColor="text1"/>
                <w:sz w:val="22"/>
                <w:szCs w:val="22"/>
              </w:rPr>
              <w:t xml:space="preserve">Vas-Cath </w:t>
            </w:r>
            <w:r>
              <w:rPr>
                <w:rFonts w:ascii="Calibri" w:eastAsia="Times New Roman" w:hAnsi="Calibri"/>
                <w:b/>
                <w:color w:val="000000" w:themeColor="text1"/>
                <w:sz w:val="22"/>
                <w:szCs w:val="22"/>
              </w:rPr>
              <w:t xml:space="preserve">is the best example, with further confirmation from </w:t>
            </w:r>
            <w:proofErr w:type="spellStart"/>
            <w:r w:rsidRPr="00C74DF0">
              <w:rPr>
                <w:rFonts w:ascii="Calibri" w:eastAsia="Times New Roman" w:hAnsi="Calibri"/>
                <w:b/>
                <w:i/>
                <w:color w:val="000000" w:themeColor="text1"/>
                <w:sz w:val="22"/>
                <w:szCs w:val="22"/>
              </w:rPr>
              <w:t>BPMC</w:t>
            </w:r>
            <w:proofErr w:type="spellEnd"/>
            <w:r w:rsidRPr="00C74DF0">
              <w:rPr>
                <w:rFonts w:ascii="Calibri" w:eastAsia="Times New Roman" w:hAnsi="Calibri"/>
                <w:b/>
                <w:i/>
                <w:color w:val="000000" w:themeColor="text1"/>
                <w:sz w:val="22"/>
                <w:szCs w:val="22"/>
              </w:rPr>
              <w:t xml:space="preserve"> v. California Department of Health Services</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2007) and </w:t>
            </w:r>
            <w:r>
              <w:rPr>
                <w:rFonts w:ascii="Calibri" w:eastAsia="Times New Roman" w:hAnsi="Calibri"/>
                <w:b/>
                <w:i/>
                <w:color w:val="000000" w:themeColor="text1"/>
                <w:sz w:val="22"/>
                <w:szCs w:val="22"/>
              </w:rPr>
              <w:t xml:space="preserve">University of California v. Eli Lilly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1997).</w:t>
            </w:r>
          </w:p>
        </w:tc>
        <w:tc>
          <w:tcPr>
            <w:tcW w:w="5904" w:type="dxa"/>
            <w:vAlign w:val="center"/>
          </w:tcPr>
          <w:p w14:paraId="3F5C3225"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EFC78F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34F499C" w14:textId="77777777" w:rsidTr="0010708E">
        <w:trPr>
          <w:trHeight w:val="4795"/>
        </w:trPr>
        <w:tc>
          <w:tcPr>
            <w:tcW w:w="5904" w:type="dxa"/>
            <w:vAlign w:val="center"/>
          </w:tcPr>
          <w:p w14:paraId="5FAA20F3" w14:textId="33C79EEB"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r>
              <w:rPr>
                <w:rFonts w:ascii="Calibri" w:hAnsi="Calibri"/>
                <w:b/>
                <w:i/>
                <w:color w:val="000000" w:themeColor="text1"/>
                <w:sz w:val="28"/>
                <w:szCs w:val="28"/>
              </w:rPr>
              <w:t>Vas-Cath</w:t>
            </w:r>
            <w:r>
              <w:rPr>
                <w:rFonts w:ascii="Calibri" w:hAnsi="Calibri"/>
                <w:b/>
                <w:color w:val="000000" w:themeColor="text1"/>
                <w:sz w:val="28"/>
                <w:szCs w:val="28"/>
              </w:rPr>
              <w:t>?</w:t>
            </w:r>
          </w:p>
        </w:tc>
        <w:tc>
          <w:tcPr>
            <w:tcW w:w="5904" w:type="dxa"/>
            <w:vAlign w:val="center"/>
          </w:tcPr>
          <w:p w14:paraId="0C286E86" w14:textId="77777777" w:rsidR="000F7558"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A</w:t>
            </w:r>
            <w:r w:rsidRPr="00231AFD">
              <w:rPr>
                <w:rFonts w:ascii="Calibri" w:eastAsia="Times New Roman" w:hAnsi="Calibri"/>
                <w:b/>
                <w:color w:val="000000" w:themeColor="text1"/>
                <w:sz w:val="22"/>
                <w:szCs w:val="22"/>
                <w:lang w:val="x-none"/>
              </w:rPr>
              <w:t xml:space="preserve"> state university initiated an interference</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 xml:space="preserve">proceeding against a private patent holder before the USPTO. </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When</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the university prevailed before the agency, it attempted to block the</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private patent holder from appealing to federal district court, on the</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theory that the state had voluntarily appeared—and thus waived</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 xml:space="preserve">immunity—only before the USPTO. </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Vas-Cath </w:t>
            </w:r>
            <w:r>
              <w:rPr>
                <w:rFonts w:ascii="Calibri" w:eastAsia="Times New Roman" w:hAnsi="Calibri"/>
                <w:b/>
                <w:color w:val="000000" w:themeColor="text1"/>
                <w:sz w:val="22"/>
                <w:szCs w:val="22"/>
                <w:lang w:val="x-none"/>
              </w:rPr>
              <w:t>at 1380-81.</w:t>
            </w:r>
          </w:p>
          <w:p w14:paraId="1CBF052A" w14:textId="0624B34B" w:rsidR="000F7558" w:rsidRDefault="000F7558" w:rsidP="000F7558">
            <w:pPr>
              <w:spacing w:after="120"/>
              <w:ind w:left="200" w:right="245"/>
              <w:jc w:val="both"/>
              <w:rPr>
                <w:rFonts w:ascii="Calibri" w:eastAsia="Times New Roman" w:hAnsi="Calibri"/>
                <w:b/>
                <w:i/>
                <w:color w:val="000000" w:themeColor="text1"/>
                <w:sz w:val="22"/>
                <w:szCs w:val="22"/>
              </w:rPr>
            </w:pPr>
            <w:r w:rsidRPr="00231AFD">
              <w:rPr>
                <w:rFonts w:ascii="Calibri" w:eastAsia="Times New Roman" w:hAnsi="Calibri"/>
                <w:b/>
                <w:color w:val="000000" w:themeColor="text1"/>
                <w:sz w:val="22"/>
                <w:szCs w:val="22"/>
                <w:lang w:val="x-none"/>
              </w:rPr>
              <w:t>This Court</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disagreed. It held that the state’s waiver by litigation encompassed the</w:t>
            </w:r>
            <w:r>
              <w:rPr>
                <w:rFonts w:ascii="Calibri" w:eastAsia="Times New Roman" w:hAnsi="Calibri"/>
                <w:b/>
                <w:color w:val="000000" w:themeColor="text1"/>
                <w:sz w:val="22"/>
                <w:szCs w:val="22"/>
              </w:rPr>
              <w:t xml:space="preserve"> </w:t>
            </w:r>
            <w:r w:rsidRPr="00231AFD">
              <w:rPr>
                <w:rFonts w:ascii="Calibri" w:eastAsia="Times New Roman" w:hAnsi="Calibri"/>
                <w:b/>
                <w:color w:val="000000" w:themeColor="text1"/>
                <w:sz w:val="22"/>
                <w:szCs w:val="22"/>
                <w:lang w:val="x-none"/>
              </w:rPr>
              <w:t>full “</w:t>
            </w:r>
            <w:r w:rsidRPr="00231AFD">
              <w:rPr>
                <w:rFonts w:ascii="Calibri" w:eastAsia="Times New Roman" w:hAnsi="Calibri"/>
                <w:b/>
                <w:color w:val="000000" w:themeColor="text1"/>
                <w:sz w:val="22"/>
                <w:szCs w:val="22"/>
                <w:u w:val="single"/>
                <w:lang w:val="x-none"/>
              </w:rPr>
              <w:t>statutory system</w:t>
            </w:r>
            <w:r w:rsidRPr="00231AFD">
              <w:rPr>
                <w:rFonts w:ascii="Calibri" w:eastAsia="Times New Roman" w:hAnsi="Calibri"/>
                <w:b/>
                <w:i/>
                <w:color w:val="000000" w:themeColor="text1"/>
                <w:sz w:val="22"/>
                <w:szCs w:val="22"/>
                <w:lang w:val="x-none"/>
              </w:rPr>
              <w:t xml:space="preserve">” </w:t>
            </w:r>
            <w:r w:rsidRPr="00231AFD">
              <w:rPr>
                <w:rFonts w:ascii="Calibri" w:eastAsia="Times New Roman" w:hAnsi="Calibri"/>
                <w:b/>
                <w:color w:val="000000" w:themeColor="text1"/>
                <w:sz w:val="22"/>
                <w:szCs w:val="22"/>
                <w:lang w:val="x-none"/>
              </w:rPr>
              <w:t xml:space="preserve">governing resolution of the state’s claim—including proceedings in federal court. </w:t>
            </w:r>
            <w:r>
              <w:rPr>
                <w:rFonts w:ascii="Calibri" w:eastAsia="Times New Roman" w:hAnsi="Calibri"/>
                <w:b/>
                <w:color w:val="000000" w:themeColor="text1"/>
                <w:sz w:val="22"/>
                <w:szCs w:val="22"/>
              </w:rPr>
              <w:t xml:space="preserve"> </w:t>
            </w:r>
            <w:r w:rsidRPr="00231AFD">
              <w:rPr>
                <w:rFonts w:ascii="Calibri" w:eastAsia="Times New Roman" w:hAnsi="Calibri"/>
                <w:b/>
                <w:i/>
                <w:color w:val="000000" w:themeColor="text1"/>
                <w:sz w:val="22"/>
                <w:szCs w:val="22"/>
                <w:lang w:val="x-none"/>
              </w:rPr>
              <w:t xml:space="preserve">Id. </w:t>
            </w:r>
            <w:r>
              <w:rPr>
                <w:rFonts w:ascii="Calibri" w:eastAsia="Times New Roman" w:hAnsi="Calibri"/>
                <w:b/>
                <w:color w:val="000000" w:themeColor="text1"/>
                <w:sz w:val="22"/>
                <w:szCs w:val="22"/>
                <w:lang w:val="x-none"/>
              </w:rPr>
              <w:t>at 1383</w:t>
            </w:r>
            <w:r>
              <w:rPr>
                <w:rFonts w:ascii="Calibri" w:eastAsia="Times New Roman" w:hAnsi="Calibri"/>
                <w:b/>
                <w:color w:val="000000" w:themeColor="text1"/>
                <w:sz w:val="22"/>
                <w:szCs w:val="22"/>
              </w:rPr>
              <w:t>.</w:t>
            </w:r>
          </w:p>
        </w:tc>
        <w:tc>
          <w:tcPr>
            <w:tcW w:w="5904" w:type="dxa"/>
            <w:vAlign w:val="center"/>
          </w:tcPr>
          <w:p w14:paraId="6735CB89"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5CE3837"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7DCE113" w14:textId="77777777" w:rsidTr="0010708E">
        <w:trPr>
          <w:trHeight w:val="4795"/>
        </w:trPr>
        <w:tc>
          <w:tcPr>
            <w:tcW w:w="5904" w:type="dxa"/>
            <w:vAlign w:val="center"/>
          </w:tcPr>
          <w:p w14:paraId="6E4C5A78" w14:textId="0FB3602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does </w:t>
            </w:r>
            <w:r>
              <w:rPr>
                <w:rFonts w:ascii="Calibri" w:hAnsi="Calibri"/>
                <w:b/>
                <w:i/>
                <w:color w:val="000000" w:themeColor="text1"/>
                <w:sz w:val="28"/>
                <w:szCs w:val="28"/>
              </w:rPr>
              <w:t xml:space="preserve">Vas-Cath </w:t>
            </w:r>
            <w:r>
              <w:rPr>
                <w:rFonts w:ascii="Calibri" w:hAnsi="Calibri"/>
                <w:b/>
                <w:color w:val="000000" w:themeColor="text1"/>
                <w:sz w:val="28"/>
                <w:szCs w:val="28"/>
              </w:rPr>
              <w:t>show that waiver by litigation can extend beyond the state’s initial chosen forum?</w:t>
            </w:r>
          </w:p>
        </w:tc>
        <w:tc>
          <w:tcPr>
            <w:tcW w:w="5904" w:type="dxa"/>
            <w:vAlign w:val="center"/>
          </w:tcPr>
          <w:p w14:paraId="0237ADA6" w14:textId="6F7CB898"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The state university in Vas-Cath tried to limit waiver to its initial chosen forum (the USPTO), arguing that it had not voluntarily appeared anywhere else.  This Court rejected that narrow conception of waiver, instead extending it to other forums contemplated by the “statutory system” for claim resolution.  More specifically, this Court extended waiver across intertwined administrative and federal-court proceedings.</w:t>
            </w:r>
          </w:p>
        </w:tc>
        <w:tc>
          <w:tcPr>
            <w:tcW w:w="5904" w:type="dxa"/>
            <w:vAlign w:val="center"/>
          </w:tcPr>
          <w:p w14:paraId="2D0D7D1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985AA2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153DFB6" w14:textId="77777777" w:rsidTr="0010708E">
        <w:trPr>
          <w:trHeight w:val="4795"/>
        </w:trPr>
        <w:tc>
          <w:tcPr>
            <w:tcW w:w="5904" w:type="dxa"/>
            <w:vAlign w:val="center"/>
          </w:tcPr>
          <w:p w14:paraId="774981DF" w14:textId="79BA068F"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Did </w:t>
            </w:r>
            <w:r>
              <w:rPr>
                <w:rFonts w:ascii="Calibri" w:hAnsi="Calibri"/>
                <w:b/>
                <w:i/>
                <w:color w:val="000000" w:themeColor="text1"/>
                <w:sz w:val="28"/>
                <w:szCs w:val="28"/>
              </w:rPr>
              <w:t xml:space="preserve">Vas-Cath </w:t>
            </w:r>
            <w:r>
              <w:rPr>
                <w:rFonts w:ascii="Calibri" w:hAnsi="Calibri"/>
                <w:b/>
                <w:color w:val="000000" w:themeColor="text1"/>
                <w:sz w:val="28"/>
                <w:szCs w:val="28"/>
              </w:rPr>
              <w:t>rely on Supreme Court precedent regarding waiver by litigation?</w:t>
            </w:r>
          </w:p>
        </w:tc>
        <w:tc>
          <w:tcPr>
            <w:tcW w:w="5904" w:type="dxa"/>
            <w:vAlign w:val="center"/>
          </w:tcPr>
          <w:p w14:paraId="5A085181" w14:textId="709A8AB1"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it relied heavily on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By extending waiver to the full “statutory system” for claim resolution, this Court prevented states from </w:t>
            </w:r>
            <w:r>
              <w:rPr>
                <w:rFonts w:ascii="Calibri" w:eastAsia="Times New Roman" w:hAnsi="Calibri"/>
                <w:b/>
                <w:color w:val="000000" w:themeColor="text1"/>
                <w:sz w:val="22"/>
                <w:szCs w:val="22"/>
                <w:lang w:val="x-none"/>
              </w:rPr>
              <w:t>selectively avoiding</w:t>
            </w:r>
            <w:r>
              <w:rPr>
                <w:rFonts w:ascii="Calibri" w:eastAsia="Times New Roman" w:hAnsi="Calibri"/>
                <w:b/>
                <w:color w:val="000000" w:themeColor="text1"/>
                <w:sz w:val="22"/>
                <w:szCs w:val="22"/>
              </w:rPr>
              <w:t xml:space="preserve"> </w:t>
            </w:r>
            <w:r w:rsidRPr="009A241A">
              <w:rPr>
                <w:rFonts w:ascii="Calibri" w:eastAsia="Times New Roman" w:hAnsi="Calibri"/>
                <w:b/>
                <w:color w:val="000000" w:themeColor="text1"/>
                <w:sz w:val="22"/>
                <w:szCs w:val="22"/>
                <w:lang w:val="x-none"/>
              </w:rPr>
              <w:t>portions of the system that might not prove “favorable</w:t>
            </w:r>
            <w:r>
              <w:rPr>
                <w:rFonts w:ascii="Calibri" w:eastAsia="Times New Roman" w:hAnsi="Calibri"/>
                <w:b/>
                <w:color w:val="000000" w:themeColor="text1"/>
                <w:sz w:val="22"/>
                <w:szCs w:val="22"/>
              </w:rPr>
              <w:t>.</w:t>
            </w:r>
            <w:r w:rsidRPr="009A241A">
              <w:rPr>
                <w:rFonts w:ascii="Calibri" w:eastAsia="Times New Roman" w:hAnsi="Calibri"/>
                <w:b/>
                <w:color w:val="000000" w:themeColor="text1"/>
                <w:sz w:val="22"/>
                <w:szCs w:val="22"/>
                <w:lang w:val="x-none"/>
              </w:rPr>
              <w:t>”</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Vas-Cath </w:t>
            </w:r>
            <w:r>
              <w:rPr>
                <w:rFonts w:ascii="Calibri" w:eastAsia="Times New Roman" w:hAnsi="Calibri"/>
                <w:b/>
                <w:color w:val="000000" w:themeColor="text1"/>
                <w:sz w:val="22"/>
                <w:szCs w:val="22"/>
              </w:rPr>
              <w:t xml:space="preserve">at 1383.  That’s </w:t>
            </w:r>
            <w:r w:rsidRPr="009A241A">
              <w:rPr>
                <w:rFonts w:ascii="Calibri" w:eastAsia="Times New Roman" w:hAnsi="Calibri"/>
                <w:b/>
                <w:color w:val="000000" w:themeColor="text1"/>
                <w:sz w:val="22"/>
                <w:szCs w:val="22"/>
                <w:lang w:val="x-none"/>
              </w:rPr>
              <w:t xml:space="preserve">precisely what </w:t>
            </w:r>
            <w:proofErr w:type="spellStart"/>
            <w:r w:rsidRPr="009A241A">
              <w:rPr>
                <w:rFonts w:ascii="Calibri" w:eastAsia="Times New Roman" w:hAnsi="Calibri"/>
                <w:b/>
                <w:i/>
                <w:color w:val="000000" w:themeColor="text1"/>
                <w:sz w:val="22"/>
                <w:szCs w:val="22"/>
                <w:lang w:val="x-none"/>
              </w:rPr>
              <w:t>Lapides</w:t>
            </w:r>
            <w:proofErr w:type="spellEnd"/>
            <w:r w:rsidRPr="009A241A">
              <w:rPr>
                <w:rFonts w:ascii="Calibri" w:eastAsia="Times New Roman" w:hAnsi="Calibri"/>
                <w:b/>
                <w:i/>
                <w:color w:val="000000" w:themeColor="text1"/>
                <w:sz w:val="22"/>
                <w:szCs w:val="22"/>
                <w:lang w:val="x-none"/>
              </w:rPr>
              <w:t xml:space="preserve"> </w:t>
            </w:r>
            <w:r>
              <w:rPr>
                <w:rFonts w:ascii="Calibri" w:eastAsia="Times New Roman" w:hAnsi="Calibri"/>
                <w:b/>
                <w:color w:val="000000" w:themeColor="text1"/>
                <w:sz w:val="22"/>
                <w:szCs w:val="22"/>
                <w:lang w:val="x-none"/>
              </w:rPr>
              <w:t>prohibits.</w:t>
            </w:r>
          </w:p>
        </w:tc>
        <w:tc>
          <w:tcPr>
            <w:tcW w:w="5904" w:type="dxa"/>
            <w:vAlign w:val="center"/>
          </w:tcPr>
          <w:p w14:paraId="0C2BA7B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1CD0560"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F5E29D3" w14:textId="77777777" w:rsidTr="0010708E">
        <w:trPr>
          <w:trHeight w:val="4795"/>
        </w:trPr>
        <w:tc>
          <w:tcPr>
            <w:tcW w:w="5904" w:type="dxa"/>
            <w:vAlign w:val="center"/>
          </w:tcPr>
          <w:p w14:paraId="4A6EACBE" w14:textId="6A775C71"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is this case analogous to </w:t>
            </w:r>
            <w:r>
              <w:rPr>
                <w:rFonts w:ascii="Calibri" w:hAnsi="Calibri"/>
                <w:b/>
                <w:i/>
                <w:color w:val="000000" w:themeColor="text1"/>
                <w:sz w:val="28"/>
                <w:szCs w:val="28"/>
              </w:rPr>
              <w:t>Vas-Cath</w:t>
            </w:r>
            <w:r>
              <w:rPr>
                <w:rFonts w:ascii="Calibri" w:hAnsi="Calibri"/>
                <w:b/>
                <w:color w:val="000000" w:themeColor="text1"/>
                <w:sz w:val="28"/>
                <w:szCs w:val="28"/>
              </w:rPr>
              <w:t>?</w:t>
            </w:r>
          </w:p>
        </w:tc>
        <w:tc>
          <w:tcPr>
            <w:tcW w:w="5904" w:type="dxa"/>
            <w:vAlign w:val="center"/>
          </w:tcPr>
          <w:p w14:paraId="12E5C187" w14:textId="00223E43" w:rsidR="000F7558" w:rsidRDefault="000F7558" w:rsidP="000F7558">
            <w:pPr>
              <w:spacing w:after="120"/>
              <w:ind w:left="200" w:right="245"/>
              <w:jc w:val="both"/>
              <w:rPr>
                <w:rFonts w:ascii="Calibri" w:eastAsia="Times New Roman" w:hAnsi="Calibri"/>
                <w:b/>
                <w:color w:val="000000" w:themeColor="text1"/>
                <w:sz w:val="22"/>
                <w:szCs w:val="22"/>
              </w:rPr>
            </w:pPr>
            <w:r w:rsidRPr="009E62D3">
              <w:rPr>
                <w:rFonts w:ascii="Calibri" w:eastAsia="Times New Roman" w:hAnsi="Calibri"/>
                <w:b/>
                <w:color w:val="000000" w:themeColor="text1"/>
                <w:sz w:val="22"/>
                <w:szCs w:val="22"/>
                <w:lang w:val="x-none"/>
              </w:rPr>
              <w:t xml:space="preserve">Here, as in </w:t>
            </w:r>
            <w:r w:rsidRPr="009E62D3">
              <w:rPr>
                <w:rFonts w:ascii="Calibri" w:eastAsia="Times New Roman" w:hAnsi="Calibri"/>
                <w:b/>
                <w:i/>
                <w:color w:val="000000" w:themeColor="text1"/>
                <w:sz w:val="22"/>
                <w:szCs w:val="22"/>
                <w:lang w:val="x-none"/>
              </w:rPr>
              <w:t xml:space="preserve">Vas-Cath, </w:t>
            </w:r>
            <w:r w:rsidRPr="009E62D3">
              <w:rPr>
                <w:rFonts w:ascii="Calibri" w:eastAsia="Times New Roman" w:hAnsi="Calibri"/>
                <w:b/>
                <w:color w:val="000000" w:themeColor="text1"/>
                <w:sz w:val="22"/>
                <w:szCs w:val="22"/>
                <w:lang w:val="x-none"/>
              </w:rPr>
              <w:t>the governing statute provides for interlocking agency and</w:t>
            </w:r>
            <w:r>
              <w:rPr>
                <w:rFonts w:ascii="Calibri" w:eastAsia="Times New Roman" w:hAnsi="Calibri"/>
                <w:b/>
                <w:color w:val="000000" w:themeColor="text1"/>
                <w:sz w:val="22"/>
                <w:szCs w:val="22"/>
              </w:rPr>
              <w:t xml:space="preserve"> </w:t>
            </w:r>
            <w:r w:rsidRPr="009E62D3">
              <w:rPr>
                <w:rFonts w:ascii="Calibri" w:eastAsia="Times New Roman" w:hAnsi="Calibri"/>
                <w:b/>
                <w:color w:val="000000" w:themeColor="text1"/>
                <w:sz w:val="22"/>
                <w:szCs w:val="22"/>
                <w:lang w:val="x-none"/>
              </w:rPr>
              <w:t xml:space="preserve">judicial review. </w:t>
            </w:r>
            <w:r>
              <w:rPr>
                <w:rFonts w:ascii="Calibri" w:eastAsia="Times New Roman" w:hAnsi="Calibri"/>
                <w:b/>
                <w:i/>
                <w:color w:val="000000" w:themeColor="text1"/>
                <w:sz w:val="22"/>
                <w:szCs w:val="22"/>
              </w:rPr>
              <w:t xml:space="preserve"> </w:t>
            </w:r>
            <w:r w:rsidRPr="009E62D3">
              <w:rPr>
                <w:rFonts w:ascii="Calibri" w:eastAsia="Times New Roman" w:hAnsi="Calibri"/>
                <w:b/>
                <w:color w:val="000000" w:themeColor="text1"/>
                <w:sz w:val="22"/>
                <w:szCs w:val="22"/>
                <w:lang w:val="x-none"/>
              </w:rPr>
              <w:t xml:space="preserve">As a defendant in </w:t>
            </w:r>
            <w:proofErr w:type="spellStart"/>
            <w:r w:rsidRPr="009E62D3">
              <w:rPr>
                <w:rFonts w:ascii="Calibri" w:eastAsia="Times New Roman" w:hAnsi="Calibri"/>
                <w:b/>
                <w:color w:val="000000" w:themeColor="text1"/>
                <w:sz w:val="22"/>
                <w:szCs w:val="22"/>
                <w:lang w:val="x-none"/>
              </w:rPr>
              <w:t>UMN’s</w:t>
            </w:r>
            <w:proofErr w:type="spellEnd"/>
            <w:r>
              <w:rPr>
                <w:rFonts w:ascii="Calibri" w:eastAsia="Times New Roman" w:hAnsi="Calibri"/>
                <w:b/>
                <w:color w:val="000000" w:themeColor="text1"/>
                <w:sz w:val="22"/>
                <w:szCs w:val="22"/>
              </w:rPr>
              <w:t xml:space="preserve"> </w:t>
            </w:r>
            <w:r w:rsidRPr="009E62D3">
              <w:rPr>
                <w:rFonts w:ascii="Calibri" w:eastAsia="Times New Roman" w:hAnsi="Calibri"/>
                <w:b/>
                <w:color w:val="000000" w:themeColor="text1"/>
                <w:sz w:val="22"/>
                <w:szCs w:val="22"/>
                <w:lang w:val="x-none"/>
              </w:rPr>
              <w:t>infringement action, Ericsson is statutorily entitled to contest liability</w:t>
            </w:r>
            <w:r>
              <w:rPr>
                <w:rFonts w:ascii="Calibri" w:eastAsia="Times New Roman" w:hAnsi="Calibri"/>
                <w:b/>
                <w:color w:val="000000" w:themeColor="text1"/>
                <w:sz w:val="22"/>
                <w:szCs w:val="22"/>
              </w:rPr>
              <w:t xml:space="preserve"> </w:t>
            </w:r>
            <w:r w:rsidRPr="009E62D3">
              <w:rPr>
                <w:rFonts w:ascii="Calibri" w:eastAsia="Times New Roman" w:hAnsi="Calibri"/>
                <w:b/>
                <w:color w:val="000000" w:themeColor="text1"/>
                <w:sz w:val="22"/>
                <w:szCs w:val="22"/>
                <w:lang w:val="x-none"/>
              </w:rPr>
              <w:t xml:space="preserve">in both forums. </w:t>
            </w:r>
            <w:r>
              <w:rPr>
                <w:rFonts w:ascii="Calibri" w:eastAsia="Times New Roman" w:hAnsi="Calibri"/>
                <w:b/>
                <w:color w:val="000000" w:themeColor="text1"/>
                <w:sz w:val="22"/>
                <w:szCs w:val="22"/>
              </w:rPr>
              <w:t xml:space="preserve"> </w:t>
            </w:r>
            <w:proofErr w:type="spellStart"/>
            <w:r w:rsidRPr="009E62D3">
              <w:rPr>
                <w:rFonts w:ascii="Calibri" w:eastAsia="Times New Roman" w:hAnsi="Calibri"/>
                <w:b/>
                <w:color w:val="000000" w:themeColor="text1"/>
                <w:sz w:val="22"/>
                <w:szCs w:val="22"/>
                <w:lang w:val="x-none"/>
              </w:rPr>
              <w:t>UMN</w:t>
            </w:r>
            <w:proofErr w:type="spellEnd"/>
            <w:r w:rsidRPr="009E62D3">
              <w:rPr>
                <w:rFonts w:ascii="Calibri" w:eastAsia="Times New Roman" w:hAnsi="Calibri"/>
                <w:b/>
                <w:color w:val="000000" w:themeColor="text1"/>
                <w:sz w:val="22"/>
                <w:szCs w:val="22"/>
                <w:lang w:val="x-none"/>
              </w:rPr>
              <w:t xml:space="preserve"> cannot use its sovereign immunity to constrain</w:t>
            </w:r>
            <w:r>
              <w:rPr>
                <w:rFonts w:ascii="Calibri" w:eastAsia="Times New Roman" w:hAnsi="Calibri"/>
                <w:b/>
                <w:color w:val="000000" w:themeColor="text1"/>
                <w:sz w:val="22"/>
                <w:szCs w:val="22"/>
              </w:rPr>
              <w:t xml:space="preserve"> </w:t>
            </w:r>
            <w:r w:rsidRPr="009E62D3">
              <w:rPr>
                <w:rFonts w:ascii="Calibri" w:eastAsia="Times New Roman" w:hAnsi="Calibri"/>
                <w:b/>
                <w:color w:val="000000" w:themeColor="text1"/>
                <w:sz w:val="22"/>
                <w:szCs w:val="22"/>
                <w:lang w:val="x-none"/>
              </w:rPr>
              <w:t>Ericsson’s defensive options to federal court alone, however “favorable”</w:t>
            </w:r>
            <w:r>
              <w:rPr>
                <w:rFonts w:ascii="Calibri" w:eastAsia="Times New Roman" w:hAnsi="Calibri"/>
                <w:b/>
                <w:color w:val="000000" w:themeColor="text1"/>
                <w:sz w:val="22"/>
                <w:szCs w:val="22"/>
              </w:rPr>
              <w:t xml:space="preserve"> </w:t>
            </w:r>
            <w:r w:rsidRPr="009E62D3">
              <w:rPr>
                <w:rFonts w:ascii="Calibri" w:eastAsia="Times New Roman" w:hAnsi="Calibri"/>
                <w:b/>
                <w:color w:val="000000" w:themeColor="text1"/>
                <w:sz w:val="22"/>
                <w:szCs w:val="22"/>
                <w:lang w:val="x-none"/>
              </w:rPr>
              <w:t xml:space="preserve">such a tactic might be. </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Vas-Cath</w:t>
            </w:r>
            <w:r w:rsidRPr="009E62D3">
              <w:rPr>
                <w:rFonts w:ascii="Calibri" w:eastAsia="Times New Roman" w:hAnsi="Calibri"/>
                <w:b/>
                <w:color w:val="000000" w:themeColor="text1"/>
                <w:sz w:val="22"/>
                <w:szCs w:val="22"/>
                <w:lang w:val="x-none"/>
              </w:rPr>
              <w:t xml:space="preserve"> at 1383.</w:t>
            </w:r>
          </w:p>
        </w:tc>
        <w:tc>
          <w:tcPr>
            <w:tcW w:w="5904" w:type="dxa"/>
            <w:vAlign w:val="center"/>
          </w:tcPr>
          <w:p w14:paraId="133E1CF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0EA80DB"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5A8D38C" w14:textId="77777777" w:rsidTr="0010708E">
        <w:trPr>
          <w:trHeight w:val="4795"/>
        </w:trPr>
        <w:tc>
          <w:tcPr>
            <w:tcW w:w="5904" w:type="dxa"/>
            <w:vAlign w:val="center"/>
          </w:tcPr>
          <w:p w14:paraId="01975258" w14:textId="18C8809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Isn’t </w:t>
            </w:r>
            <w:r>
              <w:rPr>
                <w:rFonts w:ascii="Calibri" w:hAnsi="Calibri"/>
                <w:b/>
                <w:i/>
                <w:color w:val="000000" w:themeColor="text1"/>
                <w:sz w:val="28"/>
                <w:szCs w:val="28"/>
              </w:rPr>
              <w:t xml:space="preserve">Vas-Cath </w:t>
            </w:r>
            <w:r>
              <w:rPr>
                <w:rFonts w:ascii="Calibri" w:hAnsi="Calibri"/>
                <w:b/>
                <w:color w:val="000000" w:themeColor="text1"/>
                <w:sz w:val="28"/>
                <w:szCs w:val="28"/>
              </w:rPr>
              <w:t xml:space="preserve">distinguishable because it extended immunity to different stages of a single </w:t>
            </w:r>
            <w:r>
              <w:rPr>
                <w:rFonts w:ascii="Calibri" w:hAnsi="Calibri"/>
                <w:b/>
                <w:color w:val="000000" w:themeColor="text1"/>
                <w:sz w:val="28"/>
                <w:szCs w:val="28"/>
                <w:u w:val="single"/>
              </w:rPr>
              <w:t>continuous</w:t>
            </w:r>
            <w:r>
              <w:rPr>
                <w:rFonts w:ascii="Calibri" w:hAnsi="Calibri"/>
                <w:b/>
                <w:color w:val="000000" w:themeColor="text1"/>
                <w:sz w:val="28"/>
                <w:szCs w:val="28"/>
              </w:rPr>
              <w:t xml:space="preserve"> proceeding?  Didn’t we say exactly that in </w:t>
            </w:r>
            <w:proofErr w:type="spellStart"/>
            <w:r w:rsidRPr="00AA5051">
              <w:rPr>
                <w:rFonts w:ascii="Calibri" w:hAnsi="Calibri"/>
                <w:b/>
                <w:i/>
                <w:color w:val="000000" w:themeColor="text1"/>
                <w:sz w:val="28"/>
                <w:szCs w:val="28"/>
              </w:rPr>
              <w:t>BPMC</w:t>
            </w:r>
            <w:proofErr w:type="spellEnd"/>
            <w:r>
              <w:rPr>
                <w:rFonts w:ascii="Calibri" w:hAnsi="Calibri"/>
                <w:b/>
                <w:color w:val="000000" w:themeColor="text1"/>
                <w:sz w:val="28"/>
                <w:szCs w:val="28"/>
              </w:rPr>
              <w:t>?</w:t>
            </w:r>
          </w:p>
        </w:tc>
        <w:tc>
          <w:tcPr>
            <w:tcW w:w="5904" w:type="dxa"/>
            <w:vAlign w:val="center"/>
          </w:tcPr>
          <w:p w14:paraId="253EB683" w14:textId="5EF92B4B" w:rsidR="000F7558" w:rsidRPr="009E62D3"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Per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 xml:space="preserve">Vas-Cath </w:t>
            </w:r>
            <w:r>
              <w:rPr>
                <w:rFonts w:ascii="Calibri" w:eastAsia="Times New Roman" w:hAnsi="Calibri"/>
                <w:b/>
                <w:color w:val="000000" w:themeColor="text1"/>
                <w:sz w:val="22"/>
                <w:szCs w:val="22"/>
              </w:rPr>
              <w:t xml:space="preserve">“found that the waiver of Eleventh Amendment sovereign immunity extended to a later phase of a </w:t>
            </w:r>
            <w:r>
              <w:rPr>
                <w:rFonts w:ascii="Calibri" w:eastAsia="Times New Roman" w:hAnsi="Calibri"/>
                <w:b/>
                <w:i/>
                <w:color w:val="000000" w:themeColor="text1"/>
                <w:sz w:val="22"/>
                <w:szCs w:val="22"/>
              </w:rPr>
              <w:t xml:space="preserve">continuous </w:t>
            </w:r>
            <w:r>
              <w:rPr>
                <w:rFonts w:ascii="Calibri" w:eastAsia="Times New Roman" w:hAnsi="Calibri"/>
                <w:b/>
                <w:color w:val="000000" w:themeColor="text1"/>
                <w:sz w:val="22"/>
                <w:szCs w:val="22"/>
              </w:rPr>
              <w:t xml:space="preserve">proceeding.”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at 1337.  But that doesn’t take away from its precedential force here.  Under the AIA, a defendant’s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intertwined with district court litigation—they are two dimensions of a single claim resolution process.</w:t>
            </w:r>
          </w:p>
        </w:tc>
        <w:tc>
          <w:tcPr>
            <w:tcW w:w="5904" w:type="dxa"/>
            <w:vAlign w:val="center"/>
          </w:tcPr>
          <w:p w14:paraId="71EC9070"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B6DFDA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6332A0F" w14:textId="77777777" w:rsidTr="0010708E">
        <w:trPr>
          <w:trHeight w:val="4795"/>
        </w:trPr>
        <w:tc>
          <w:tcPr>
            <w:tcW w:w="5904" w:type="dxa"/>
            <w:vAlign w:val="center"/>
          </w:tcPr>
          <w:p w14:paraId="242C56C5" w14:textId="63E16195"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 suggest that </w:t>
            </w:r>
            <w:r>
              <w:rPr>
                <w:rFonts w:ascii="Calibri" w:hAnsi="Calibri"/>
                <w:b/>
                <w:i/>
                <w:color w:val="000000" w:themeColor="text1"/>
                <w:sz w:val="28"/>
                <w:szCs w:val="28"/>
              </w:rPr>
              <w:t>Vas-Cath</w:t>
            </w:r>
            <w:r>
              <w:rPr>
                <w:rFonts w:ascii="Calibri" w:hAnsi="Calibri"/>
                <w:b/>
                <w:color w:val="000000" w:themeColor="text1"/>
                <w:sz w:val="28"/>
                <w:szCs w:val="28"/>
              </w:rPr>
              <w:t xml:space="preserve"> extended</w:t>
            </w:r>
            <w:r w:rsidRPr="00671DB7">
              <w:rPr>
                <w:rFonts w:ascii="Calibri" w:hAnsi="Calibri"/>
                <w:b/>
                <w:color w:val="000000" w:themeColor="text1"/>
                <w:sz w:val="28"/>
                <w:szCs w:val="28"/>
              </w:rPr>
              <w:t xml:space="preserve"> waiver to an entire “statutory system.”</w:t>
            </w:r>
            <w:r>
              <w:rPr>
                <w:rFonts w:ascii="Calibri" w:hAnsi="Calibri"/>
                <w:b/>
                <w:color w:val="000000" w:themeColor="text1"/>
                <w:sz w:val="28"/>
                <w:szCs w:val="28"/>
              </w:rPr>
              <w:t xml:space="preserve">  But that can’t be right, can it?  Wouldn’t that mean</w:t>
            </w:r>
            <w:r w:rsidRPr="00671DB7">
              <w:rPr>
                <w:rFonts w:ascii="Calibri" w:hAnsi="Calibri"/>
                <w:b/>
                <w:color w:val="000000" w:themeColor="text1"/>
                <w:sz w:val="28"/>
                <w:szCs w:val="28"/>
              </w:rPr>
              <w:t xml:space="preserve"> the waiver would extend to a </w:t>
            </w:r>
            <w:r>
              <w:rPr>
                <w:rFonts w:ascii="Calibri" w:hAnsi="Calibri"/>
                <w:b/>
                <w:color w:val="000000" w:themeColor="text1"/>
                <w:sz w:val="28"/>
                <w:szCs w:val="28"/>
              </w:rPr>
              <w:t>defendant’s declaratory judgment action, Reply 29?</w:t>
            </w:r>
          </w:p>
        </w:tc>
        <w:tc>
          <w:tcPr>
            <w:tcW w:w="5904" w:type="dxa"/>
            <w:vAlign w:val="center"/>
          </w:tcPr>
          <w:p w14:paraId="58696CB1"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 xml:space="preserve">Vas-Cath </w:t>
            </w:r>
            <w:r>
              <w:rPr>
                <w:rFonts w:ascii="Calibri" w:eastAsia="Times New Roman" w:hAnsi="Calibri"/>
                <w:b/>
                <w:color w:val="000000" w:themeColor="text1"/>
                <w:sz w:val="22"/>
                <w:szCs w:val="22"/>
              </w:rPr>
              <w:t xml:space="preserve">confirms that waiver extends to the entire statutory system </w:t>
            </w:r>
            <w:r>
              <w:rPr>
                <w:rFonts w:ascii="Calibri" w:eastAsia="Times New Roman" w:hAnsi="Calibri"/>
                <w:b/>
                <w:i/>
                <w:color w:val="000000" w:themeColor="text1"/>
                <w:sz w:val="22"/>
                <w:szCs w:val="22"/>
              </w:rPr>
              <w:t>for resolving the state’s claim</w:t>
            </w:r>
            <w:r>
              <w:rPr>
                <w:rFonts w:ascii="Calibri" w:eastAsia="Times New Roman" w:hAnsi="Calibri"/>
                <w:b/>
                <w:color w:val="000000" w:themeColor="text1"/>
                <w:sz w:val="22"/>
                <w:szCs w:val="22"/>
              </w:rPr>
              <w:t xml:space="preserve">.  That includes all statutory defensive measures.  And under the AIA,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petition is a critical “defensive measure,” as this Court recently put it in </w:t>
            </w:r>
            <w:proofErr w:type="spellStart"/>
            <w:r w:rsidRPr="008E4ECE">
              <w:rPr>
                <w:rFonts w:ascii="Calibri" w:eastAsia="Times New Roman" w:hAnsi="Calibri"/>
                <w:b/>
                <w:i/>
                <w:color w:val="000000" w:themeColor="text1"/>
                <w:sz w:val="22"/>
                <w:szCs w:val="22"/>
              </w:rPr>
              <w:t>WesternGeco</w:t>
            </w:r>
            <w:proofErr w:type="spellEnd"/>
            <w:r w:rsidRPr="008E4ECE">
              <w:rPr>
                <w:rFonts w:ascii="Calibri" w:eastAsia="Times New Roman" w:hAnsi="Calibri"/>
                <w:b/>
                <w:i/>
                <w:color w:val="000000" w:themeColor="text1"/>
                <w:sz w:val="22"/>
                <w:szCs w:val="22"/>
              </w:rPr>
              <w:t xml:space="preserve"> LLC v. ION Geophysical Corp.</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(Fed. Cir. 2018) at 1320.</w:t>
            </w:r>
          </w:p>
          <w:p w14:paraId="5409783D" w14:textId="5F7B9ACA"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 defendant’s declaratory judgment action is different.  It’s not a defensive measure enshrined in the AIA—it’s simply a duplicative district court action.  Foreclosing duplicative federal litigation may not be unfair to defendants under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color w:val="000000" w:themeColor="text1"/>
                <w:sz w:val="22"/>
                <w:szCs w:val="22"/>
              </w:rPr>
              <w:t xml:space="preserve">.  Foreclosing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in contrast, puts defendants at a clear disadvantage.</w:t>
            </w:r>
          </w:p>
        </w:tc>
        <w:tc>
          <w:tcPr>
            <w:tcW w:w="5904" w:type="dxa"/>
            <w:vAlign w:val="center"/>
          </w:tcPr>
          <w:p w14:paraId="0A56B09A"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AC1C1C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428D7FA" w14:textId="77777777" w:rsidTr="0010708E">
        <w:trPr>
          <w:trHeight w:val="4795"/>
        </w:trPr>
        <w:tc>
          <w:tcPr>
            <w:tcW w:w="5904" w:type="dxa"/>
            <w:vAlign w:val="center"/>
          </w:tcPr>
          <w:p w14:paraId="36BD5505" w14:textId="5DF27BC4"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proofErr w:type="spellStart"/>
            <w:r w:rsidRPr="006D2F10">
              <w:rPr>
                <w:rFonts w:ascii="Calibri" w:hAnsi="Calibri"/>
                <w:b/>
                <w:i/>
                <w:color w:val="000000" w:themeColor="text1"/>
                <w:sz w:val="28"/>
                <w:szCs w:val="28"/>
              </w:rPr>
              <w:t>BPMC</w:t>
            </w:r>
            <w:proofErr w:type="spellEnd"/>
            <w:r>
              <w:rPr>
                <w:rFonts w:ascii="Calibri" w:hAnsi="Calibri"/>
                <w:b/>
                <w:color w:val="000000" w:themeColor="text1"/>
                <w:sz w:val="28"/>
                <w:szCs w:val="28"/>
              </w:rPr>
              <w:t>?</w:t>
            </w:r>
          </w:p>
        </w:tc>
        <w:tc>
          <w:tcPr>
            <w:tcW w:w="5904" w:type="dxa"/>
            <w:vAlign w:val="center"/>
          </w:tcPr>
          <w:p w14:paraId="3A830869" w14:textId="77777777" w:rsidR="000F7558" w:rsidRDefault="000F7558" w:rsidP="000F7558">
            <w:pPr>
              <w:spacing w:after="120"/>
              <w:ind w:left="20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 state</w:t>
            </w:r>
            <w:r w:rsidRPr="001A4C48">
              <w:rPr>
                <w:rFonts w:ascii="Calibri" w:eastAsia="Times New Roman" w:hAnsi="Calibri"/>
                <w:b/>
                <w:color w:val="000000" w:themeColor="text1"/>
                <w:sz w:val="22"/>
                <w:szCs w:val="22"/>
              </w:rPr>
              <w:t xml:space="preserve"> intervened in a 1997 federal lawsuit against </w:t>
            </w:r>
            <w:r>
              <w:rPr>
                <w:rFonts w:ascii="Calibri" w:eastAsia="Times New Roman" w:hAnsi="Calibri"/>
                <w:b/>
                <w:color w:val="000000" w:themeColor="text1"/>
                <w:sz w:val="22"/>
                <w:szCs w:val="22"/>
              </w:rPr>
              <w:t>a private patentee</w:t>
            </w:r>
            <w:r w:rsidRPr="001A4C48">
              <w:rPr>
                <w:rFonts w:ascii="Calibri" w:eastAsia="Times New Roman" w:hAnsi="Calibri"/>
                <w:b/>
                <w:color w:val="000000" w:themeColor="text1"/>
                <w:sz w:val="22"/>
                <w:szCs w:val="22"/>
              </w:rPr>
              <w:t xml:space="preserve"> in California district court.  The state sought a declaratory judgment </w:t>
            </w:r>
            <w:r>
              <w:rPr>
                <w:rFonts w:ascii="Calibri" w:eastAsia="Times New Roman" w:hAnsi="Calibri"/>
                <w:b/>
                <w:color w:val="000000" w:themeColor="text1"/>
                <w:sz w:val="22"/>
                <w:szCs w:val="22"/>
              </w:rPr>
              <w:t>of invalidity and noninfringement.</w:t>
            </w:r>
            <w:r w:rsidRPr="001A4C48">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 </w:t>
            </w:r>
            <w:r w:rsidRPr="001A4C48">
              <w:rPr>
                <w:rFonts w:ascii="Calibri" w:eastAsia="Times New Roman" w:hAnsi="Calibri"/>
                <w:b/>
                <w:color w:val="000000" w:themeColor="text1"/>
                <w:sz w:val="22"/>
                <w:szCs w:val="22"/>
              </w:rPr>
              <w:t>That lawsuit was dismissed without prejudice for improper venue.</w:t>
            </w:r>
          </w:p>
          <w:p w14:paraId="4FE687CC" w14:textId="77777777" w:rsidR="000F7558" w:rsidRDefault="000F7558" w:rsidP="000F7558">
            <w:pPr>
              <w:spacing w:after="120"/>
              <w:ind w:left="20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 decade later, in 2006, the patentee</w:t>
            </w:r>
            <w:r w:rsidRPr="001A4C48">
              <w:rPr>
                <w:rFonts w:ascii="Calibri" w:eastAsia="Times New Roman" w:hAnsi="Calibri"/>
                <w:b/>
                <w:color w:val="000000" w:themeColor="text1"/>
                <w:sz w:val="22"/>
                <w:szCs w:val="22"/>
              </w:rPr>
              <w:t xml:space="preserve"> filed a new fe</w:t>
            </w:r>
            <w:r>
              <w:rPr>
                <w:rFonts w:ascii="Calibri" w:eastAsia="Times New Roman" w:hAnsi="Calibri"/>
                <w:b/>
                <w:color w:val="000000" w:themeColor="text1"/>
                <w:sz w:val="22"/>
                <w:szCs w:val="22"/>
              </w:rPr>
              <w:t>deral lawsuit against the state (</w:t>
            </w:r>
            <w:r w:rsidRPr="001A4C48">
              <w:rPr>
                <w:rFonts w:ascii="Calibri" w:eastAsia="Times New Roman" w:hAnsi="Calibri"/>
                <w:b/>
                <w:color w:val="000000" w:themeColor="text1"/>
                <w:sz w:val="22"/>
                <w:szCs w:val="22"/>
              </w:rPr>
              <w:t>in the</w:t>
            </w:r>
            <w:r>
              <w:rPr>
                <w:rFonts w:ascii="Calibri" w:eastAsia="Times New Roman" w:hAnsi="Calibri"/>
                <w:b/>
                <w:color w:val="000000" w:themeColor="text1"/>
                <w:sz w:val="22"/>
                <w:szCs w:val="22"/>
              </w:rPr>
              <w:t xml:space="preserve"> same California district court) </w:t>
            </w:r>
            <w:r w:rsidRPr="001A4C48">
              <w:rPr>
                <w:rFonts w:ascii="Calibri" w:eastAsia="Times New Roman" w:hAnsi="Calibri"/>
                <w:b/>
                <w:color w:val="000000" w:themeColor="text1"/>
                <w:sz w:val="22"/>
                <w:szCs w:val="22"/>
              </w:rPr>
              <w:t xml:space="preserve">asserting infringement of the same patent.  </w:t>
            </w:r>
            <w:r>
              <w:rPr>
                <w:rFonts w:ascii="Calibri" w:eastAsia="Times New Roman" w:hAnsi="Calibri"/>
                <w:b/>
                <w:iCs/>
                <w:color w:val="000000" w:themeColor="text1"/>
                <w:sz w:val="22"/>
                <w:szCs w:val="22"/>
              </w:rPr>
              <w:t>The patentee</w:t>
            </w:r>
            <w:r w:rsidRPr="001A4C48">
              <w:rPr>
                <w:rFonts w:ascii="Calibri" w:eastAsia="Times New Roman" w:hAnsi="Calibri"/>
                <w:b/>
                <w:color w:val="000000" w:themeColor="text1"/>
                <w:sz w:val="22"/>
                <w:szCs w:val="22"/>
              </w:rPr>
              <w:t xml:space="preserve"> argued that the state had waived immunity as to the new action by filing its previous lawsuit in 1997, simply because the two actions involved “the same subject matter and same parties.”  </w:t>
            </w:r>
            <w:proofErr w:type="spellStart"/>
            <w:r>
              <w:rPr>
                <w:rFonts w:ascii="Calibri" w:eastAsia="Times New Roman" w:hAnsi="Calibri"/>
                <w:b/>
                <w:i/>
                <w:iCs/>
                <w:color w:val="000000" w:themeColor="text1"/>
                <w:sz w:val="22"/>
                <w:szCs w:val="22"/>
              </w:rPr>
              <w:t>BPMC</w:t>
            </w:r>
            <w:proofErr w:type="spellEnd"/>
            <w:r w:rsidRPr="001A4C48">
              <w:rPr>
                <w:rFonts w:ascii="Calibri" w:eastAsia="Times New Roman" w:hAnsi="Calibri"/>
                <w:b/>
                <w:i/>
                <w:iCs/>
                <w:color w:val="000000" w:themeColor="text1"/>
                <w:sz w:val="22"/>
                <w:szCs w:val="22"/>
              </w:rPr>
              <w:t xml:space="preserve"> </w:t>
            </w:r>
            <w:r w:rsidRPr="001A4C48">
              <w:rPr>
                <w:rFonts w:ascii="Calibri" w:eastAsia="Times New Roman" w:hAnsi="Calibri"/>
                <w:b/>
                <w:color w:val="000000" w:themeColor="text1"/>
                <w:sz w:val="22"/>
                <w:szCs w:val="22"/>
              </w:rPr>
              <w:t>at 1334-35.</w:t>
            </w:r>
          </w:p>
          <w:p w14:paraId="18737D48" w14:textId="59F48D47"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rPr>
              <w:t>The Federal Circuit held that the state had not waived immunity from the 2006 lawsuit.</w:t>
            </w:r>
          </w:p>
        </w:tc>
        <w:tc>
          <w:tcPr>
            <w:tcW w:w="5904" w:type="dxa"/>
            <w:vAlign w:val="center"/>
          </w:tcPr>
          <w:p w14:paraId="2199EC2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9065CF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AF0210A" w14:textId="77777777" w:rsidTr="0010708E">
        <w:trPr>
          <w:trHeight w:val="4795"/>
        </w:trPr>
        <w:tc>
          <w:tcPr>
            <w:tcW w:w="5904" w:type="dxa"/>
            <w:vAlign w:val="center"/>
          </w:tcPr>
          <w:p w14:paraId="7F3C6A16" w14:textId="49306947"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does </w:t>
            </w:r>
            <w:proofErr w:type="spellStart"/>
            <w:r>
              <w:rPr>
                <w:rFonts w:ascii="Calibri" w:hAnsi="Calibri"/>
                <w:b/>
                <w:i/>
                <w:color w:val="000000" w:themeColor="text1"/>
                <w:sz w:val="28"/>
                <w:szCs w:val="28"/>
              </w:rPr>
              <w:t>BPMC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show that waiver by litigation can extend beyond the state’s initial chosen forum?</w:t>
            </w:r>
          </w:p>
        </w:tc>
        <w:tc>
          <w:tcPr>
            <w:tcW w:w="5904" w:type="dxa"/>
            <w:vAlign w:val="center"/>
          </w:tcPr>
          <w:p w14:paraId="6143B12B" w14:textId="77777777" w:rsidR="000F7558" w:rsidRDefault="000F7558" w:rsidP="000F7558">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made a point of clarifying that there</w:t>
            </w:r>
            <w:r w:rsidRPr="00835FFB">
              <w:rPr>
                <w:rFonts w:ascii="Calibri" w:eastAsia="Times New Roman" w:hAnsi="Calibri"/>
                <w:b/>
                <w:color w:val="000000" w:themeColor="text1"/>
                <w:sz w:val="22"/>
                <w:szCs w:val="22"/>
                <w:lang w:val="x-none"/>
              </w:rPr>
              <w:t xml:space="preserve"> is no “bright-line rule whereby</w:t>
            </w:r>
            <w:r>
              <w:rPr>
                <w:rFonts w:ascii="Calibri" w:eastAsia="Times New Roman" w:hAnsi="Calibri"/>
                <w:b/>
                <w:color w:val="000000" w:themeColor="text1"/>
                <w:sz w:val="22"/>
                <w:szCs w:val="22"/>
              </w:rPr>
              <w:t xml:space="preserve"> </w:t>
            </w:r>
            <w:r w:rsidRPr="00835FFB">
              <w:rPr>
                <w:rFonts w:ascii="Calibri" w:eastAsia="Times New Roman" w:hAnsi="Calibri"/>
                <w:b/>
                <w:color w:val="000000" w:themeColor="text1"/>
                <w:sz w:val="22"/>
                <w:szCs w:val="22"/>
                <w:lang w:val="x-none"/>
              </w:rPr>
              <w:t>a State’s waiver of sovereign immunity can never extend to a …</w:t>
            </w:r>
            <w:r>
              <w:rPr>
                <w:rFonts w:ascii="Calibri" w:eastAsia="Times New Roman" w:hAnsi="Calibri"/>
                <w:b/>
                <w:color w:val="000000" w:themeColor="text1"/>
                <w:sz w:val="22"/>
                <w:szCs w:val="22"/>
              </w:rPr>
              <w:t xml:space="preserve"> </w:t>
            </w:r>
            <w:r w:rsidRPr="00835FFB">
              <w:rPr>
                <w:rFonts w:ascii="Calibri" w:eastAsia="Times New Roman" w:hAnsi="Calibri"/>
                <w:b/>
                <w:color w:val="000000" w:themeColor="text1"/>
                <w:sz w:val="22"/>
                <w:szCs w:val="22"/>
                <w:lang w:val="x-none"/>
              </w:rPr>
              <w:t xml:space="preserve">separate lawsuit.” </w:t>
            </w:r>
            <w:r>
              <w:rPr>
                <w:rFonts w:ascii="Calibri" w:eastAsia="Times New Roman" w:hAnsi="Calibri"/>
                <w:b/>
                <w:color w:val="000000" w:themeColor="text1"/>
                <w:sz w:val="22"/>
                <w:szCs w:val="22"/>
              </w:rPr>
              <w:t xml:space="preserve"> </w:t>
            </w:r>
            <w:proofErr w:type="spellStart"/>
            <w:r>
              <w:rPr>
                <w:rFonts w:ascii="Calibri" w:eastAsia="Times New Roman" w:hAnsi="Calibri"/>
                <w:b/>
                <w:i/>
                <w:color w:val="000000" w:themeColor="text1"/>
                <w:sz w:val="22"/>
                <w:szCs w:val="22"/>
              </w:rPr>
              <w:t>BPMC</w:t>
            </w:r>
            <w:proofErr w:type="spellEnd"/>
            <w:r w:rsidRPr="00835FFB">
              <w:rPr>
                <w:rFonts w:ascii="Calibri" w:eastAsia="Times New Roman" w:hAnsi="Calibri"/>
                <w:b/>
                <w:i/>
                <w:color w:val="000000" w:themeColor="text1"/>
                <w:sz w:val="22"/>
                <w:szCs w:val="22"/>
                <w:lang w:val="x-none"/>
              </w:rPr>
              <w:t xml:space="preserve"> </w:t>
            </w:r>
            <w:r w:rsidRPr="00835FFB">
              <w:rPr>
                <w:rFonts w:ascii="Calibri" w:eastAsia="Times New Roman" w:hAnsi="Calibri"/>
                <w:b/>
                <w:color w:val="000000" w:themeColor="text1"/>
                <w:sz w:val="22"/>
                <w:szCs w:val="22"/>
                <w:lang w:val="x-none"/>
              </w:rPr>
              <w:t>at 1339.</w:t>
            </w:r>
            <w:r>
              <w:rPr>
                <w:rFonts w:ascii="Calibri" w:eastAsia="Times New Roman" w:hAnsi="Calibri"/>
                <w:b/>
                <w:color w:val="000000" w:themeColor="text1"/>
                <w:sz w:val="22"/>
                <w:szCs w:val="22"/>
              </w:rPr>
              <w:t xml:space="preserve">  That confirms the sweeping scope of waiver by litigation.</w:t>
            </w:r>
          </w:p>
          <w:p w14:paraId="4BBEC401" w14:textId="7CF0996E" w:rsidR="000F7558" w:rsidRDefault="000F7558" w:rsidP="000F7558">
            <w:pPr>
              <w:spacing w:after="120"/>
              <w:ind w:left="20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Indeed, before this lawsuit,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insisted that under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color w:val="000000" w:themeColor="text1"/>
                <w:sz w:val="22"/>
                <w:szCs w:val="22"/>
              </w:rPr>
              <w:t>,</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 state’s waiver of immunity in district court patent litigation could extend to a related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It said so in </w:t>
            </w:r>
            <w:proofErr w:type="spellStart"/>
            <w:r>
              <w:rPr>
                <w:rFonts w:ascii="Calibri" w:eastAsia="Times New Roman" w:hAnsi="Calibri"/>
                <w:b/>
                <w:color w:val="000000" w:themeColor="text1"/>
                <w:sz w:val="22"/>
                <w:szCs w:val="22"/>
              </w:rPr>
              <w:t>PTAB</w:t>
            </w:r>
            <w:proofErr w:type="spellEnd"/>
            <w:r>
              <w:rPr>
                <w:rFonts w:ascii="Calibri" w:eastAsia="Times New Roman" w:hAnsi="Calibri"/>
                <w:b/>
                <w:color w:val="000000" w:themeColor="text1"/>
                <w:sz w:val="22"/>
                <w:szCs w:val="22"/>
              </w:rPr>
              <w:t xml:space="preserve"> filings in the </w:t>
            </w:r>
            <w:r>
              <w:rPr>
                <w:rFonts w:ascii="Calibri" w:eastAsia="Times New Roman" w:hAnsi="Calibri"/>
                <w:b/>
                <w:i/>
                <w:color w:val="000000" w:themeColor="text1"/>
                <w:sz w:val="22"/>
                <w:szCs w:val="22"/>
              </w:rPr>
              <w:t xml:space="preserve">Reactive Surfaces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w:t>
            </w:r>
          </w:p>
        </w:tc>
        <w:tc>
          <w:tcPr>
            <w:tcW w:w="5904" w:type="dxa"/>
            <w:vAlign w:val="center"/>
          </w:tcPr>
          <w:p w14:paraId="7072377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8C7FADF"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1304F4A" w14:textId="77777777" w:rsidTr="0010708E">
        <w:trPr>
          <w:trHeight w:val="4795"/>
        </w:trPr>
        <w:tc>
          <w:tcPr>
            <w:tcW w:w="5904" w:type="dxa"/>
            <w:vAlign w:val="center"/>
          </w:tcPr>
          <w:p w14:paraId="7EC1783B" w14:textId="755E9050"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 mention that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construed </w:t>
            </w:r>
            <w:proofErr w:type="spellStart"/>
            <w:r>
              <w:rPr>
                <w:rFonts w:ascii="Calibri" w:hAnsi="Calibri"/>
                <w:b/>
                <w:i/>
                <w:color w:val="000000" w:themeColor="text1"/>
                <w:sz w:val="28"/>
                <w:szCs w:val="28"/>
              </w:rPr>
              <w:t>BPMC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 xml:space="preserve">broadly when litigating the </w:t>
            </w:r>
            <w:r>
              <w:rPr>
                <w:rFonts w:ascii="Calibri" w:hAnsi="Calibri"/>
                <w:b/>
                <w:i/>
                <w:color w:val="000000" w:themeColor="text1"/>
                <w:sz w:val="28"/>
                <w:szCs w:val="28"/>
              </w:rPr>
              <w:t xml:space="preserve">Reactive Surfaces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What happened in that case, and why was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involved</w:t>
            </w:r>
            <w:proofErr w:type="gramStart"/>
            <w:r>
              <w:rPr>
                <w:rFonts w:ascii="Calibri" w:hAnsi="Calibri"/>
                <w:b/>
                <w:color w:val="000000" w:themeColor="text1"/>
                <w:sz w:val="28"/>
                <w:szCs w:val="28"/>
              </w:rPr>
              <w:t xml:space="preserve">? </w:t>
            </w:r>
            <w:proofErr w:type="gramEnd"/>
          </w:p>
        </w:tc>
        <w:tc>
          <w:tcPr>
            <w:tcW w:w="5904" w:type="dxa"/>
            <w:vAlign w:val="center"/>
          </w:tcPr>
          <w:p w14:paraId="5F2E6525" w14:textId="47D34360"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lang w:val="x-none"/>
              </w:rPr>
              <w:t>A</w:t>
            </w:r>
            <w:r w:rsidRPr="00FB4213">
              <w:rPr>
                <w:rFonts w:ascii="Calibri" w:eastAsia="Times New Roman" w:hAnsi="Calibri"/>
                <w:b/>
                <w:color w:val="000000" w:themeColor="text1"/>
                <w:sz w:val="22"/>
                <w:szCs w:val="22"/>
                <w:lang w:val="x-none"/>
              </w:rPr>
              <w:t xml:space="preserve"> private party petitioned for an </w:t>
            </w:r>
            <w:proofErr w:type="spellStart"/>
            <w:r w:rsidRPr="00FB4213">
              <w:rPr>
                <w:rFonts w:ascii="Calibri" w:eastAsia="Times New Roman" w:hAnsi="Calibri"/>
                <w:b/>
                <w:color w:val="000000" w:themeColor="text1"/>
                <w:sz w:val="22"/>
                <w:szCs w:val="22"/>
                <w:lang w:val="x-none"/>
              </w:rPr>
              <w:t>IPR</w:t>
            </w:r>
            <w:proofErr w:type="spellEnd"/>
            <w:r w:rsidRPr="00FB4213">
              <w:rPr>
                <w:rFonts w:ascii="Calibri" w:eastAsia="Times New Roman" w:hAnsi="Calibri"/>
                <w:b/>
                <w:color w:val="000000" w:themeColor="text1"/>
                <w:sz w:val="22"/>
                <w:szCs w:val="22"/>
                <w:lang w:val="x-none"/>
              </w:rPr>
              <w:t xml:space="preserve"> of a patent that </w:t>
            </w:r>
            <w:proofErr w:type="spellStart"/>
            <w:r w:rsidRPr="00FB4213">
              <w:rPr>
                <w:rFonts w:ascii="Calibri" w:eastAsia="Times New Roman" w:hAnsi="Calibri"/>
                <w:b/>
                <w:color w:val="000000" w:themeColor="text1"/>
                <w:sz w:val="22"/>
                <w:szCs w:val="22"/>
                <w:lang w:val="x-none"/>
              </w:rPr>
              <w:t>UMN</w:t>
            </w:r>
            <w:proofErr w:type="spellEnd"/>
            <w:r w:rsidRPr="00FB4213">
              <w:rPr>
                <w:rFonts w:ascii="Calibri" w:eastAsia="Times New Roman" w:hAnsi="Calibri"/>
                <w:b/>
                <w:color w:val="000000" w:themeColor="text1"/>
                <w:sz w:val="22"/>
                <w:szCs w:val="22"/>
                <w:lang w:val="x-none"/>
              </w:rPr>
              <w:t xml:space="preserve"> co-owned. </w:t>
            </w:r>
            <w:r>
              <w:rPr>
                <w:rFonts w:ascii="Calibri" w:eastAsia="Times New Roman" w:hAnsi="Calibri"/>
                <w:b/>
                <w:color w:val="000000" w:themeColor="text1"/>
                <w:sz w:val="22"/>
                <w:szCs w:val="22"/>
              </w:rPr>
              <w:t xml:space="preserve"> </w:t>
            </w:r>
            <w:proofErr w:type="spellStart"/>
            <w:r w:rsidRPr="00FB4213">
              <w:rPr>
                <w:rFonts w:ascii="Calibri" w:eastAsia="Times New Roman" w:hAnsi="Calibri"/>
                <w:b/>
                <w:color w:val="000000" w:themeColor="text1"/>
                <w:sz w:val="22"/>
                <w:szCs w:val="22"/>
                <w:lang w:val="x-none"/>
              </w:rPr>
              <w:t>UMN</w:t>
            </w:r>
            <w:proofErr w:type="spellEnd"/>
            <w:r w:rsidRPr="00FB4213">
              <w:rPr>
                <w:rFonts w:ascii="Calibri" w:eastAsia="Times New Roman" w:hAnsi="Calibri"/>
                <w:b/>
                <w:color w:val="000000" w:themeColor="text1"/>
                <w:sz w:val="22"/>
                <w:szCs w:val="22"/>
                <w:lang w:val="x-none"/>
              </w:rPr>
              <w:t xml:space="preserve"> moved to dismiss on sovereign immunity grounds.</w:t>
            </w:r>
          </w:p>
        </w:tc>
        <w:tc>
          <w:tcPr>
            <w:tcW w:w="5904" w:type="dxa"/>
            <w:vAlign w:val="center"/>
          </w:tcPr>
          <w:p w14:paraId="11EB241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4D3820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D910235" w14:textId="77777777" w:rsidTr="0010708E">
        <w:trPr>
          <w:trHeight w:val="4795"/>
        </w:trPr>
        <w:tc>
          <w:tcPr>
            <w:tcW w:w="5904" w:type="dxa"/>
            <w:vAlign w:val="center"/>
          </w:tcPr>
          <w:p w14:paraId="02D6C4AE" w14:textId="7F0E8AA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Why did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invoke </w:t>
            </w:r>
            <w:proofErr w:type="spellStart"/>
            <w:r>
              <w:rPr>
                <w:rFonts w:ascii="Calibri" w:hAnsi="Calibri"/>
                <w:b/>
                <w:i/>
                <w:color w:val="000000" w:themeColor="text1"/>
                <w:sz w:val="28"/>
                <w:szCs w:val="28"/>
              </w:rPr>
              <w:t>BPMC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 xml:space="preserve">in the </w:t>
            </w:r>
            <w:r>
              <w:rPr>
                <w:rFonts w:ascii="Calibri" w:hAnsi="Calibri"/>
                <w:b/>
                <w:i/>
                <w:color w:val="000000" w:themeColor="text1"/>
                <w:sz w:val="28"/>
                <w:szCs w:val="28"/>
              </w:rPr>
              <w:t xml:space="preserve">Reactive Surfaces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w:t>
            </w:r>
          </w:p>
        </w:tc>
        <w:tc>
          <w:tcPr>
            <w:tcW w:w="5904" w:type="dxa"/>
            <w:vAlign w:val="center"/>
          </w:tcPr>
          <w:p w14:paraId="6BE971D1"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private petitioner in </w:t>
            </w:r>
            <w:r>
              <w:rPr>
                <w:rFonts w:ascii="Calibri" w:eastAsia="Times New Roman" w:hAnsi="Calibri"/>
                <w:b/>
                <w:i/>
                <w:color w:val="000000" w:themeColor="text1"/>
                <w:sz w:val="22"/>
                <w:szCs w:val="22"/>
              </w:rPr>
              <w:t xml:space="preserve">Reactive Surfaces </w:t>
            </w:r>
            <w:r>
              <w:rPr>
                <w:rFonts w:ascii="Calibri" w:eastAsia="Times New Roman" w:hAnsi="Calibri"/>
                <w:b/>
                <w:color w:val="000000" w:themeColor="text1"/>
                <w:sz w:val="22"/>
                <w:szCs w:val="22"/>
              </w:rPr>
              <w:t>raised concerns</w:t>
            </w:r>
            <w:r w:rsidRPr="00FB4213">
              <w:rPr>
                <w:rFonts w:ascii="Calibri" w:eastAsia="Times New Roman" w:hAnsi="Calibri"/>
                <w:b/>
                <w:color w:val="000000" w:themeColor="text1"/>
                <w:sz w:val="22"/>
                <w:szCs w:val="22"/>
                <w:lang w:val="x-none"/>
              </w:rPr>
              <w:t xml:space="preserve"> that </w:t>
            </w:r>
            <w:r>
              <w:rPr>
                <w:rFonts w:ascii="Calibri" w:eastAsia="Times New Roman" w:hAnsi="Calibri"/>
                <w:b/>
                <w:color w:val="000000" w:themeColor="text1"/>
                <w:sz w:val="22"/>
                <w:szCs w:val="22"/>
              </w:rPr>
              <w:t xml:space="preserve">if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were granted immunity from the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could later seize unfair litigation advantages by enforcing the patent (which had escaped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scrutiny) in district court.</w:t>
            </w:r>
          </w:p>
          <w:p w14:paraId="75C060A0" w14:textId="77777777" w:rsidR="000F7558" w:rsidRDefault="000F7558" w:rsidP="000F7558">
            <w:pPr>
              <w:spacing w:after="120"/>
              <w:ind w:left="200" w:right="245"/>
              <w:jc w:val="both"/>
              <w:rPr>
                <w:rFonts w:ascii="Calibri" w:eastAsia="Times New Roman" w:hAnsi="Calibri"/>
                <w:b/>
                <w:color w:val="000000" w:themeColor="text1"/>
                <w:sz w:val="22"/>
                <w:szCs w:val="22"/>
                <w:lang w:val="x-none"/>
              </w:rPr>
            </w:pP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invoked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to allay those concerns.  It</w:t>
            </w:r>
            <w:r w:rsidRPr="00FB4213">
              <w:rPr>
                <w:rFonts w:ascii="Calibri" w:eastAsia="Times New Roman" w:hAnsi="Calibri"/>
                <w:b/>
                <w:color w:val="000000" w:themeColor="text1"/>
                <w:sz w:val="22"/>
                <w:szCs w:val="22"/>
                <w:lang w:val="x-none"/>
              </w:rPr>
              <w:t xml:space="preserve"> insisted that if it ever enforced</w:t>
            </w:r>
            <w:r w:rsidRPr="00FB4213">
              <w:rPr>
                <w:rFonts w:ascii="Calibri" w:eastAsia="Times New Roman" w:hAnsi="Calibri"/>
                <w:b/>
                <w:i/>
                <w:color w:val="000000" w:themeColor="text1"/>
                <w:sz w:val="22"/>
                <w:szCs w:val="22"/>
                <w:lang w:val="x-none"/>
              </w:rPr>
              <w:t xml:space="preserve"> </w:t>
            </w:r>
            <w:r w:rsidRPr="00FB4213">
              <w:rPr>
                <w:rFonts w:ascii="Calibri" w:eastAsia="Times New Roman" w:hAnsi="Calibri"/>
                <w:b/>
                <w:color w:val="000000" w:themeColor="text1"/>
                <w:sz w:val="22"/>
                <w:szCs w:val="22"/>
                <w:lang w:val="x-none"/>
              </w:rPr>
              <w:t>the</w:t>
            </w:r>
            <w:r>
              <w:rPr>
                <w:rFonts w:ascii="Calibri" w:eastAsia="Times New Roman" w:hAnsi="Calibri"/>
                <w:b/>
                <w:color w:val="000000" w:themeColor="text1"/>
                <w:sz w:val="22"/>
                <w:szCs w:val="22"/>
              </w:rPr>
              <w:t xml:space="preserve"> </w:t>
            </w:r>
            <w:r w:rsidRPr="00FB4213">
              <w:rPr>
                <w:rFonts w:ascii="Calibri" w:eastAsia="Times New Roman" w:hAnsi="Calibri"/>
                <w:b/>
                <w:color w:val="000000" w:themeColor="text1"/>
                <w:sz w:val="22"/>
                <w:szCs w:val="22"/>
                <w:lang w:val="x-none"/>
              </w:rPr>
              <w:t>patent by filing an infringement action, it “could be deemed to have</w:t>
            </w:r>
            <w:r>
              <w:rPr>
                <w:rFonts w:ascii="Calibri" w:eastAsia="Times New Roman" w:hAnsi="Calibri"/>
                <w:b/>
                <w:color w:val="000000" w:themeColor="text1"/>
                <w:sz w:val="22"/>
                <w:szCs w:val="22"/>
                <w:lang w:val="x-none"/>
              </w:rPr>
              <w:t xml:space="preserve"> </w:t>
            </w:r>
            <w:r w:rsidRPr="00FB4213">
              <w:rPr>
                <w:rFonts w:ascii="Calibri" w:eastAsia="Times New Roman" w:hAnsi="Calibri"/>
                <w:b/>
                <w:color w:val="000000" w:themeColor="text1"/>
                <w:sz w:val="22"/>
                <w:szCs w:val="22"/>
                <w:lang w:val="x-none"/>
              </w:rPr>
              <w:t xml:space="preserve">waived its sovereign immunity to the </w:t>
            </w:r>
            <w:proofErr w:type="spellStart"/>
            <w:r w:rsidRPr="00FB4213">
              <w:rPr>
                <w:rFonts w:ascii="Calibri" w:eastAsia="Times New Roman" w:hAnsi="Calibri"/>
                <w:b/>
                <w:color w:val="000000" w:themeColor="text1"/>
                <w:sz w:val="22"/>
                <w:szCs w:val="22"/>
                <w:lang w:val="x-none"/>
              </w:rPr>
              <w:t>IPR</w:t>
            </w:r>
            <w:proofErr w:type="spellEnd"/>
            <w:r w:rsidRPr="00FB4213">
              <w:rPr>
                <w:rFonts w:ascii="Calibri" w:eastAsia="Times New Roman" w:hAnsi="Calibri"/>
                <w:b/>
                <w:color w:val="000000" w:themeColor="text1"/>
                <w:sz w:val="22"/>
                <w:szCs w:val="22"/>
                <w:lang w:val="x-none"/>
              </w:rPr>
              <w:t xml:space="preserve"> process.”</w:t>
            </w:r>
            <w:r>
              <w:rPr>
                <w:rFonts w:ascii="Calibri" w:eastAsia="Times New Roman" w:hAnsi="Calibri"/>
                <w:b/>
                <w:color w:val="000000" w:themeColor="text1"/>
                <w:sz w:val="22"/>
                <w:szCs w:val="22"/>
              </w:rPr>
              <w:t xml:space="preserve">  To explain why,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quoted </w:t>
            </w:r>
            <w:proofErr w:type="spellStart"/>
            <w:r w:rsidRPr="00FB4213">
              <w:rPr>
                <w:rFonts w:ascii="Calibri" w:eastAsia="Times New Roman" w:hAnsi="Calibri"/>
                <w:b/>
                <w:i/>
                <w:color w:val="000000" w:themeColor="text1"/>
                <w:sz w:val="22"/>
                <w:szCs w:val="22"/>
                <w:lang w:val="x-none"/>
              </w:rPr>
              <w:t>BPMC</w:t>
            </w:r>
            <w:proofErr w:type="spellEnd"/>
            <w:r w:rsidRPr="00FB4213">
              <w:rPr>
                <w:rFonts w:ascii="Calibri" w:eastAsia="Times New Roman" w:hAnsi="Calibri"/>
                <w:b/>
                <w:i/>
                <w:color w:val="000000" w:themeColor="text1"/>
                <w:sz w:val="22"/>
                <w:szCs w:val="22"/>
                <w:lang w:val="x-none"/>
              </w:rPr>
              <w:t xml:space="preserve">, </w:t>
            </w:r>
            <w:r>
              <w:rPr>
                <w:rFonts w:ascii="Calibri" w:eastAsia="Times New Roman" w:hAnsi="Calibri"/>
                <w:b/>
                <w:color w:val="000000" w:themeColor="text1"/>
                <w:sz w:val="22"/>
                <w:szCs w:val="22"/>
              </w:rPr>
              <w:t xml:space="preserve">along with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color w:val="000000" w:themeColor="text1"/>
                <w:sz w:val="22"/>
                <w:szCs w:val="22"/>
              </w:rPr>
              <w:t>:</w:t>
            </w:r>
          </w:p>
          <w:p w14:paraId="04440269" w14:textId="7047C425" w:rsidR="000F7558" w:rsidRDefault="000F7558" w:rsidP="000F7558">
            <w:pPr>
              <w:spacing w:after="120"/>
              <w:ind w:left="200" w:right="245"/>
              <w:jc w:val="both"/>
              <w:rPr>
                <w:rFonts w:ascii="Calibri" w:eastAsia="Times New Roman" w:hAnsi="Calibri"/>
                <w:b/>
                <w:color w:val="000000" w:themeColor="text1"/>
                <w:sz w:val="22"/>
                <w:szCs w:val="22"/>
                <w:lang w:val="x-none"/>
              </w:rPr>
            </w:pPr>
            <w:r w:rsidRPr="00FB4213">
              <w:rPr>
                <w:rFonts w:ascii="Calibri" w:eastAsia="Times New Roman" w:hAnsi="Calibri"/>
                <w:b/>
                <w:color w:val="000000" w:themeColor="text1"/>
                <w:sz w:val="22"/>
                <w:szCs w:val="22"/>
                <w:lang w:val="x-none"/>
              </w:rPr>
              <w:t>“As the Federal Circuit has made clear, there is ‘no</w:t>
            </w:r>
            <w:r>
              <w:rPr>
                <w:rFonts w:ascii="Calibri" w:eastAsia="Times New Roman" w:hAnsi="Calibri"/>
                <w:b/>
                <w:color w:val="000000" w:themeColor="text1"/>
                <w:sz w:val="22"/>
                <w:szCs w:val="22"/>
              </w:rPr>
              <w:t xml:space="preserve"> </w:t>
            </w:r>
            <w:r w:rsidRPr="00FB4213">
              <w:rPr>
                <w:rFonts w:ascii="Calibri" w:eastAsia="Times New Roman" w:hAnsi="Calibri"/>
                <w:b/>
                <w:color w:val="000000" w:themeColor="text1"/>
                <w:sz w:val="22"/>
                <w:szCs w:val="22"/>
                <w:lang w:val="x-none"/>
              </w:rPr>
              <w:t>bright-line rule’ that prevents waiver in one forum (</w:t>
            </w:r>
            <w:r w:rsidRPr="00FB4213">
              <w:rPr>
                <w:rFonts w:ascii="Calibri" w:eastAsia="Times New Roman" w:hAnsi="Calibri"/>
                <w:b/>
                <w:i/>
                <w:color w:val="000000" w:themeColor="text1"/>
                <w:sz w:val="22"/>
                <w:szCs w:val="22"/>
                <w:lang w:val="x-none"/>
              </w:rPr>
              <w:t xml:space="preserve">e.g., </w:t>
            </w:r>
            <w:r w:rsidRPr="00FB4213">
              <w:rPr>
                <w:rFonts w:ascii="Calibri" w:eastAsia="Times New Roman" w:hAnsi="Calibri"/>
                <w:b/>
                <w:color w:val="000000" w:themeColor="text1"/>
                <w:sz w:val="22"/>
                <w:szCs w:val="22"/>
                <w:lang w:val="x-none"/>
              </w:rPr>
              <w:t>a district court)</w:t>
            </w:r>
            <w:r>
              <w:rPr>
                <w:rFonts w:ascii="Calibri" w:eastAsia="Times New Roman" w:hAnsi="Calibri"/>
                <w:b/>
                <w:color w:val="000000" w:themeColor="text1"/>
                <w:sz w:val="22"/>
                <w:szCs w:val="22"/>
              </w:rPr>
              <w:t xml:space="preserve"> </w:t>
            </w:r>
            <w:r w:rsidRPr="00FB4213">
              <w:rPr>
                <w:rFonts w:ascii="Calibri" w:eastAsia="Times New Roman" w:hAnsi="Calibri"/>
                <w:b/>
                <w:color w:val="000000" w:themeColor="text1"/>
                <w:sz w:val="22"/>
                <w:szCs w:val="22"/>
                <w:lang w:val="x-none"/>
              </w:rPr>
              <w:t>from giving rise to waiver in another forum (</w:t>
            </w:r>
            <w:r w:rsidRPr="00FB4213">
              <w:rPr>
                <w:rFonts w:ascii="Calibri" w:eastAsia="Times New Roman" w:hAnsi="Calibri"/>
                <w:b/>
                <w:i/>
                <w:color w:val="000000" w:themeColor="text1"/>
                <w:sz w:val="22"/>
                <w:szCs w:val="22"/>
                <w:lang w:val="x-none"/>
              </w:rPr>
              <w:t xml:space="preserve">e.g., </w:t>
            </w:r>
            <w:r w:rsidRPr="00FB4213">
              <w:rPr>
                <w:rFonts w:ascii="Calibri" w:eastAsia="Times New Roman" w:hAnsi="Calibri"/>
                <w:b/>
                <w:color w:val="000000" w:themeColor="text1"/>
                <w:sz w:val="22"/>
                <w:szCs w:val="22"/>
                <w:lang w:val="x-none"/>
              </w:rPr>
              <w:t>an agency tribunal);</w:t>
            </w:r>
            <w:r>
              <w:rPr>
                <w:rFonts w:ascii="Calibri" w:eastAsia="Times New Roman" w:hAnsi="Calibri"/>
                <w:b/>
                <w:color w:val="000000" w:themeColor="text1"/>
                <w:sz w:val="22"/>
                <w:szCs w:val="22"/>
              </w:rPr>
              <w:t xml:space="preserve"> </w:t>
            </w:r>
            <w:r w:rsidRPr="00FB4213">
              <w:rPr>
                <w:rFonts w:ascii="Calibri" w:eastAsia="Times New Roman" w:hAnsi="Calibri"/>
                <w:b/>
                <w:color w:val="000000" w:themeColor="text1"/>
                <w:sz w:val="22"/>
                <w:szCs w:val="22"/>
                <w:lang w:val="x-none"/>
              </w:rPr>
              <w:t>rather, how far waiver will extend is dictated by the need to avoid</w:t>
            </w:r>
            <w:r>
              <w:rPr>
                <w:rFonts w:ascii="Calibri" w:eastAsia="Times New Roman" w:hAnsi="Calibri"/>
                <w:b/>
                <w:color w:val="000000" w:themeColor="text1"/>
                <w:sz w:val="22"/>
                <w:szCs w:val="22"/>
              </w:rPr>
              <w:t xml:space="preserve"> </w:t>
            </w:r>
            <w:r w:rsidRPr="00FB4213">
              <w:rPr>
                <w:rFonts w:ascii="Calibri" w:eastAsia="Times New Roman" w:hAnsi="Calibri"/>
                <w:b/>
                <w:color w:val="000000" w:themeColor="text1"/>
                <w:sz w:val="22"/>
                <w:szCs w:val="22"/>
                <w:lang w:val="x-none"/>
              </w:rPr>
              <w:t xml:space="preserve">‘unfairness’ and ‘inconsistency.’” </w:t>
            </w:r>
            <w:r>
              <w:rPr>
                <w:rFonts w:ascii="Calibri" w:eastAsia="Times New Roman" w:hAnsi="Calibri"/>
                <w:b/>
                <w:color w:val="000000" w:themeColor="text1"/>
                <w:sz w:val="22"/>
                <w:szCs w:val="22"/>
              </w:rPr>
              <w:t xml:space="preserve"> Paper 23</w:t>
            </w:r>
            <w:r w:rsidRPr="00FB4213">
              <w:rPr>
                <w:rFonts w:ascii="Calibri" w:eastAsia="Times New Roman" w:hAnsi="Calibri"/>
                <w:b/>
                <w:i/>
                <w:color w:val="000000" w:themeColor="text1"/>
                <w:sz w:val="22"/>
                <w:szCs w:val="22"/>
                <w:lang w:val="x-none"/>
              </w:rPr>
              <w:t xml:space="preserve"> </w:t>
            </w:r>
            <w:r w:rsidRPr="00FB4213">
              <w:rPr>
                <w:rFonts w:ascii="Calibri" w:eastAsia="Times New Roman" w:hAnsi="Calibri"/>
                <w:b/>
                <w:color w:val="000000" w:themeColor="text1"/>
                <w:sz w:val="22"/>
                <w:szCs w:val="22"/>
                <w:lang w:val="x-none"/>
              </w:rPr>
              <w:t xml:space="preserve">at 19-20 n.3 (quoting </w:t>
            </w:r>
            <w:proofErr w:type="spellStart"/>
            <w:r>
              <w:rPr>
                <w:rFonts w:ascii="Calibri" w:eastAsia="Times New Roman" w:hAnsi="Calibri"/>
                <w:b/>
                <w:i/>
                <w:color w:val="000000" w:themeColor="text1"/>
                <w:sz w:val="22"/>
                <w:szCs w:val="22"/>
                <w:lang w:val="x-none"/>
              </w:rPr>
              <w:t>BPMC</w:t>
            </w:r>
            <w:proofErr w:type="spellEnd"/>
            <w:r>
              <w:rPr>
                <w:rFonts w:ascii="Calibri" w:eastAsia="Times New Roman" w:hAnsi="Calibri"/>
                <w:b/>
                <w:i/>
                <w:color w:val="000000" w:themeColor="text1"/>
                <w:sz w:val="22"/>
                <w:szCs w:val="22"/>
                <w:lang w:val="x-none"/>
              </w:rPr>
              <w:t xml:space="preserve"> </w:t>
            </w:r>
            <w:r w:rsidRPr="00FB4213">
              <w:rPr>
                <w:rFonts w:ascii="Calibri" w:eastAsia="Times New Roman" w:hAnsi="Calibri"/>
                <w:b/>
                <w:color w:val="000000" w:themeColor="text1"/>
                <w:sz w:val="22"/>
                <w:szCs w:val="22"/>
                <w:lang w:val="x-none"/>
              </w:rPr>
              <w:t xml:space="preserve">at 1329; </w:t>
            </w:r>
            <w:proofErr w:type="spellStart"/>
            <w:r>
              <w:rPr>
                <w:rFonts w:ascii="Calibri" w:eastAsia="Times New Roman" w:hAnsi="Calibri"/>
                <w:b/>
                <w:i/>
                <w:color w:val="000000" w:themeColor="text1"/>
                <w:sz w:val="22"/>
                <w:szCs w:val="22"/>
                <w:lang w:val="x-none"/>
              </w:rPr>
              <w:t>Lapides</w:t>
            </w:r>
            <w:proofErr w:type="spellEnd"/>
            <w:r w:rsidRPr="00FB4213">
              <w:rPr>
                <w:rFonts w:ascii="Calibri" w:eastAsia="Times New Roman" w:hAnsi="Calibri"/>
                <w:b/>
                <w:color w:val="000000" w:themeColor="text1"/>
                <w:sz w:val="22"/>
                <w:szCs w:val="22"/>
                <w:lang w:val="x-none"/>
              </w:rPr>
              <w:t xml:space="preserve"> at 620).</w:t>
            </w:r>
          </w:p>
        </w:tc>
        <w:tc>
          <w:tcPr>
            <w:tcW w:w="5904" w:type="dxa"/>
            <w:vAlign w:val="center"/>
          </w:tcPr>
          <w:p w14:paraId="401D164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6ED02CB"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CB9F5B0" w14:textId="77777777" w:rsidTr="0010708E">
        <w:trPr>
          <w:trHeight w:val="4795"/>
        </w:trPr>
        <w:tc>
          <w:tcPr>
            <w:tcW w:w="5904" w:type="dxa"/>
            <w:vAlign w:val="center"/>
          </w:tcPr>
          <w:p w14:paraId="20FE900A" w14:textId="35135BBF"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does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have to say now about its filing in </w:t>
            </w:r>
            <w:r>
              <w:rPr>
                <w:rFonts w:ascii="Calibri" w:hAnsi="Calibri"/>
                <w:b/>
                <w:i/>
                <w:color w:val="000000" w:themeColor="text1"/>
                <w:sz w:val="28"/>
                <w:szCs w:val="28"/>
              </w:rPr>
              <w:t>Reactive Surfaces</w:t>
            </w:r>
            <w:r>
              <w:rPr>
                <w:rFonts w:ascii="Calibri" w:hAnsi="Calibri"/>
                <w:b/>
                <w:color w:val="000000" w:themeColor="text1"/>
                <w:sz w:val="28"/>
                <w:szCs w:val="28"/>
              </w:rPr>
              <w:t>?</w:t>
            </w:r>
          </w:p>
        </w:tc>
        <w:tc>
          <w:tcPr>
            <w:tcW w:w="5904" w:type="dxa"/>
            <w:vAlign w:val="center"/>
          </w:tcPr>
          <w:p w14:paraId="42B37D23" w14:textId="77777777" w:rsidR="000F7558" w:rsidRDefault="000F7558" w:rsidP="000F7558">
            <w:pPr>
              <w:spacing w:after="120"/>
              <w:ind w:left="200" w:right="245"/>
              <w:jc w:val="both"/>
              <w:rPr>
                <w:rFonts w:ascii="Calibri" w:eastAsia="Times New Roman" w:hAnsi="Calibri"/>
                <w:b/>
                <w:color w:val="000000" w:themeColor="text1"/>
                <w:sz w:val="22"/>
                <w:szCs w:val="22"/>
              </w:rPr>
            </w:pPr>
          </w:p>
          <w:p w14:paraId="7AD47DE1"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It first contends that “</w:t>
            </w:r>
            <w:r>
              <w:rPr>
                <w:rFonts w:ascii="Calibri" w:eastAsia="Times New Roman" w:hAnsi="Calibri"/>
                <w:b/>
                <w:i/>
                <w:color w:val="000000" w:themeColor="text1"/>
                <w:sz w:val="22"/>
                <w:szCs w:val="22"/>
              </w:rPr>
              <w:t>Reactive Surfaces …</w:t>
            </w:r>
            <w:r w:rsidRPr="00BA642F">
              <w:rPr>
                <w:rFonts w:ascii="Calibri" w:eastAsia="Times New Roman" w:hAnsi="Calibri"/>
                <w:b/>
                <w:color w:val="000000" w:themeColor="text1"/>
                <w:sz w:val="22"/>
                <w:szCs w:val="22"/>
              </w:rPr>
              <w:t xml:space="preserve"> did not concern waiver</w:t>
            </w:r>
            <w:r>
              <w:rPr>
                <w:rFonts w:ascii="Calibri" w:eastAsia="Times New Roman" w:hAnsi="Calibri"/>
                <w:b/>
                <w:color w:val="000000" w:themeColor="text1"/>
                <w:sz w:val="22"/>
                <w:szCs w:val="22"/>
              </w:rPr>
              <w:t xml:space="preserve">.”  Reply 27 n.11.  But obviously, </w:t>
            </w:r>
            <w:proofErr w:type="spellStart"/>
            <w:r>
              <w:rPr>
                <w:rFonts w:ascii="Calibri" w:eastAsia="Times New Roman" w:hAnsi="Calibri"/>
                <w:b/>
                <w:color w:val="000000" w:themeColor="text1"/>
                <w:sz w:val="22"/>
                <w:szCs w:val="22"/>
              </w:rPr>
              <w:t>UMN’s</w:t>
            </w:r>
            <w:proofErr w:type="spellEnd"/>
            <w:r>
              <w:rPr>
                <w:rFonts w:ascii="Calibri" w:eastAsia="Times New Roman" w:hAnsi="Calibri"/>
                <w:b/>
                <w:color w:val="000000" w:themeColor="text1"/>
                <w:sz w:val="22"/>
                <w:szCs w:val="22"/>
              </w:rPr>
              <w:t xml:space="preserve"> analysis of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was expressly about waiver.</w:t>
            </w:r>
          </w:p>
          <w:p w14:paraId="60E88701" w14:textId="44EE1C98" w:rsidR="000F7558" w:rsidRDefault="000F7558" w:rsidP="000F7558">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then tries to disavow its prior analysis</w:t>
            </w:r>
            <w:proofErr w:type="gramStart"/>
            <w:r>
              <w:rPr>
                <w:rFonts w:ascii="Calibri" w:eastAsia="Times New Roman" w:hAnsi="Calibri"/>
                <w:b/>
                <w:color w:val="000000" w:themeColor="text1"/>
                <w:sz w:val="22"/>
                <w:szCs w:val="22"/>
              </w:rPr>
              <w:t>:  “</w:t>
            </w:r>
            <w:proofErr w:type="gramEnd"/>
            <w:r>
              <w:rPr>
                <w:rFonts w:ascii="Calibri" w:eastAsia="Times New Roman" w:hAnsi="Calibri"/>
                <w:b/>
                <w:color w:val="000000" w:themeColor="text1"/>
                <w:sz w:val="22"/>
                <w:szCs w:val="22"/>
              </w:rPr>
              <w:t>[I]</w:t>
            </w:r>
            <w:r w:rsidRPr="00441070">
              <w:rPr>
                <w:rFonts w:ascii="Calibri" w:eastAsia="Times New Roman" w:hAnsi="Calibri"/>
                <w:b/>
                <w:color w:val="000000" w:themeColor="text1"/>
                <w:sz w:val="22"/>
                <w:szCs w:val="22"/>
              </w:rPr>
              <w:t xml:space="preserve">f </w:t>
            </w:r>
            <w:proofErr w:type="spellStart"/>
            <w:r w:rsidRPr="00441070">
              <w:rPr>
                <w:rFonts w:ascii="Calibri" w:eastAsia="Times New Roman" w:hAnsi="Calibri"/>
                <w:b/>
                <w:color w:val="000000" w:themeColor="text1"/>
                <w:sz w:val="22"/>
                <w:szCs w:val="22"/>
              </w:rPr>
              <w:t>UMN’s</w:t>
            </w:r>
            <w:proofErr w:type="spellEnd"/>
            <w:r w:rsidRPr="00441070">
              <w:rPr>
                <w:rFonts w:ascii="Calibri" w:eastAsia="Times New Roman" w:hAnsi="Calibri"/>
                <w:b/>
                <w:color w:val="000000" w:themeColor="text1"/>
                <w:sz w:val="22"/>
                <w:szCs w:val="22"/>
              </w:rPr>
              <w:t xml:space="preserve"> statements there were</w:t>
            </w:r>
            <w:r>
              <w:rPr>
                <w:rFonts w:ascii="Calibri" w:eastAsia="Times New Roman" w:hAnsi="Calibri"/>
                <w:b/>
                <w:color w:val="000000" w:themeColor="text1"/>
                <w:sz w:val="22"/>
                <w:szCs w:val="22"/>
              </w:rPr>
              <w:t xml:space="preserve"> …</w:t>
            </w:r>
            <w:r w:rsidRPr="00441070">
              <w:rPr>
                <w:rFonts w:ascii="Calibri" w:eastAsia="Times New Roman" w:hAnsi="Calibri"/>
                <w:b/>
                <w:color w:val="000000" w:themeColor="text1"/>
                <w:sz w:val="22"/>
                <w:szCs w:val="22"/>
              </w:rPr>
              <w:t xml:space="preserve"> construed as having been about the circumstances here</w:t>
            </w:r>
            <w:r>
              <w:rPr>
                <w:rFonts w:ascii="Calibri" w:eastAsia="Times New Roman" w:hAnsi="Calibri"/>
                <w:b/>
                <w:color w:val="000000" w:themeColor="text1"/>
                <w:sz w:val="22"/>
                <w:szCs w:val="22"/>
              </w:rPr>
              <w:t xml:space="preserve">, the assertion </w:t>
            </w:r>
            <w:r w:rsidRPr="00441070">
              <w:rPr>
                <w:rFonts w:ascii="Calibri" w:eastAsia="Times New Roman" w:hAnsi="Calibri"/>
                <w:b/>
                <w:color w:val="000000" w:themeColor="text1"/>
                <w:sz w:val="22"/>
                <w:szCs w:val="22"/>
              </w:rPr>
              <w:t>there was wrong and has no estoppel effect here.</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Id.</w:t>
            </w:r>
            <w:r>
              <w:rPr>
                <w:rFonts w:ascii="Calibri" w:eastAsia="Times New Roman" w:hAnsi="Calibri"/>
                <w:b/>
                <w:color w:val="000000" w:themeColor="text1"/>
                <w:sz w:val="22"/>
                <w:szCs w:val="22"/>
              </w:rPr>
              <w:t xml:space="preserve">  But it was right the first time.</w:t>
            </w:r>
          </w:p>
        </w:tc>
        <w:tc>
          <w:tcPr>
            <w:tcW w:w="5904" w:type="dxa"/>
            <w:vAlign w:val="center"/>
          </w:tcPr>
          <w:p w14:paraId="5390141E"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960AC2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AA1F471" w14:textId="77777777" w:rsidTr="0010708E">
        <w:trPr>
          <w:trHeight w:val="4795"/>
        </w:trPr>
        <w:tc>
          <w:tcPr>
            <w:tcW w:w="5904" w:type="dxa"/>
            <w:vAlign w:val="center"/>
          </w:tcPr>
          <w:p w14:paraId="42451EEA" w14:textId="322B9CB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 quote one passage from </w:t>
            </w:r>
            <w:proofErr w:type="spellStart"/>
            <w:r>
              <w:rPr>
                <w:rFonts w:ascii="Calibri" w:hAnsi="Calibri"/>
                <w:b/>
                <w:i/>
                <w:color w:val="000000" w:themeColor="text1"/>
                <w:sz w:val="28"/>
                <w:szCs w:val="28"/>
              </w:rPr>
              <w:t>BPMC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 xml:space="preserve">that suggests waiver by litigation might extend across lawsuits in certain circumstances.  But doesn’t the opinion also reject </w:t>
            </w:r>
            <w:r w:rsidRPr="00FD499C">
              <w:rPr>
                <w:rFonts w:ascii="Calibri" w:hAnsi="Calibri"/>
                <w:b/>
                <w:color w:val="000000" w:themeColor="text1"/>
                <w:sz w:val="28"/>
                <w:szCs w:val="28"/>
              </w:rPr>
              <w:t>“</w:t>
            </w:r>
            <w:r>
              <w:rPr>
                <w:rFonts w:ascii="Calibri" w:hAnsi="Calibri"/>
                <w:b/>
                <w:color w:val="000000" w:themeColor="text1"/>
                <w:sz w:val="28"/>
                <w:szCs w:val="28"/>
              </w:rPr>
              <w:t xml:space="preserve">the </w:t>
            </w:r>
            <w:r w:rsidRPr="00FD499C">
              <w:rPr>
                <w:rFonts w:ascii="Calibri" w:hAnsi="Calibri"/>
                <w:b/>
                <w:color w:val="000000" w:themeColor="text1"/>
                <w:sz w:val="28"/>
                <w:szCs w:val="28"/>
              </w:rPr>
              <w:t xml:space="preserve">contention that waiver of immunity in one suit should extend to a separate action </w:t>
            </w:r>
            <w:r w:rsidRPr="00FD499C">
              <w:rPr>
                <w:rFonts w:ascii="Calibri" w:hAnsi="Calibri"/>
                <w:b/>
                <w:iCs/>
                <w:color w:val="000000" w:themeColor="text1"/>
                <w:sz w:val="28"/>
                <w:szCs w:val="28"/>
              </w:rPr>
              <w:t>simply because</w:t>
            </w:r>
            <w:r w:rsidRPr="00FD499C">
              <w:rPr>
                <w:rFonts w:ascii="Calibri" w:hAnsi="Calibri"/>
                <w:b/>
                <w:color w:val="000000" w:themeColor="text1"/>
                <w:sz w:val="28"/>
                <w:szCs w:val="28"/>
              </w:rPr>
              <w:t xml:space="preserve"> the action involves the same </w:t>
            </w:r>
            <w:r>
              <w:rPr>
                <w:rFonts w:ascii="Calibri" w:hAnsi="Calibri"/>
                <w:b/>
                <w:color w:val="000000" w:themeColor="text1"/>
                <w:sz w:val="28"/>
                <w:szCs w:val="28"/>
              </w:rPr>
              <w:t xml:space="preserve">parties and same subject matter,” </w:t>
            </w:r>
            <w:proofErr w:type="spellStart"/>
            <w:r>
              <w:rPr>
                <w:rFonts w:ascii="Calibri" w:hAnsi="Calibri"/>
                <w:b/>
                <w:i/>
                <w:color w:val="000000" w:themeColor="text1"/>
                <w:sz w:val="28"/>
                <w:szCs w:val="28"/>
              </w:rPr>
              <w:t>BPMC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at 1339?</w:t>
            </w:r>
            <w:r>
              <w:rPr>
                <w:rFonts w:ascii="Calibri" w:hAnsi="Calibri"/>
                <w:b/>
                <w:iCs/>
                <w:color w:val="000000" w:themeColor="text1"/>
                <w:sz w:val="28"/>
                <w:szCs w:val="28"/>
              </w:rPr>
              <w:t xml:space="preserve">  Doesn’t that language hurt your position here?</w:t>
            </w:r>
          </w:p>
        </w:tc>
        <w:tc>
          <w:tcPr>
            <w:tcW w:w="5904" w:type="dxa"/>
            <w:vAlign w:val="center"/>
          </w:tcPr>
          <w:p w14:paraId="70BFC9BA" w14:textId="4E272610"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 language is entirely consistent with our argument.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says that waiver by litigation doesn’t automatically extend to another action or venue “</w:t>
            </w:r>
            <w:r w:rsidRPr="00FD499C">
              <w:rPr>
                <w:rFonts w:ascii="Calibri" w:eastAsia="Times New Roman" w:hAnsi="Calibri"/>
                <w:b/>
                <w:color w:val="000000" w:themeColor="text1"/>
                <w:sz w:val="22"/>
                <w:szCs w:val="22"/>
                <w:u w:val="single"/>
              </w:rPr>
              <w:t>simply because</w:t>
            </w:r>
            <w:r w:rsidRPr="00FD499C">
              <w:rPr>
                <w:rFonts w:ascii="Calibri" w:eastAsia="Times New Roman" w:hAnsi="Calibri"/>
                <w:b/>
                <w:color w:val="000000" w:themeColor="text1"/>
                <w:sz w:val="22"/>
                <w:szCs w:val="22"/>
              </w:rPr>
              <w:t xml:space="preserve"> the </w:t>
            </w:r>
            <w:r>
              <w:rPr>
                <w:rFonts w:ascii="Calibri" w:eastAsia="Times New Roman" w:hAnsi="Calibri"/>
                <w:b/>
                <w:color w:val="000000" w:themeColor="text1"/>
                <w:sz w:val="22"/>
                <w:szCs w:val="22"/>
              </w:rPr>
              <w:t>action</w:t>
            </w:r>
            <w:r w:rsidRPr="00FD499C">
              <w:rPr>
                <w:rFonts w:ascii="Calibri" w:eastAsia="Times New Roman" w:hAnsi="Calibri"/>
                <w:b/>
                <w:color w:val="000000" w:themeColor="text1"/>
                <w:sz w:val="22"/>
                <w:szCs w:val="22"/>
              </w:rPr>
              <w:t xml:space="preserve"> involves the same parties and same subject matter.”  </w:t>
            </w:r>
            <w:r>
              <w:rPr>
                <w:rFonts w:ascii="Calibri" w:eastAsia="Times New Roman" w:hAnsi="Calibri"/>
                <w:b/>
                <w:color w:val="000000" w:themeColor="text1"/>
                <w:sz w:val="22"/>
                <w:szCs w:val="22"/>
              </w:rPr>
              <w:t xml:space="preserve">We agree.  </w:t>
            </w:r>
            <w:proofErr w:type="spellStart"/>
            <w:r>
              <w:rPr>
                <w:rFonts w:ascii="Calibri" w:eastAsia="Times New Roman" w:hAnsi="Calibri"/>
                <w:b/>
                <w:color w:val="000000" w:themeColor="text1"/>
                <w:sz w:val="22"/>
                <w:szCs w:val="22"/>
              </w:rPr>
              <w:t>UMN’s</w:t>
            </w:r>
            <w:proofErr w:type="spellEnd"/>
            <w:r>
              <w:rPr>
                <w:rFonts w:ascii="Calibri" w:eastAsia="Times New Roman" w:hAnsi="Calibri"/>
                <w:b/>
                <w:color w:val="000000" w:themeColor="text1"/>
                <w:sz w:val="22"/>
                <w:szCs w:val="22"/>
              </w:rPr>
              <w:t xml:space="preserve"> waiver extends to these </w:t>
            </w:r>
            <w:proofErr w:type="spellStart"/>
            <w:r>
              <w:rPr>
                <w:rFonts w:ascii="Calibri" w:eastAsia="Times New Roman" w:hAnsi="Calibri"/>
                <w:b/>
                <w:color w:val="000000" w:themeColor="text1"/>
                <w:sz w:val="22"/>
                <w:szCs w:val="22"/>
              </w:rPr>
              <w:t>IPRs</w:t>
            </w:r>
            <w:proofErr w:type="spellEnd"/>
            <w:r>
              <w:rPr>
                <w:rFonts w:ascii="Calibri" w:eastAsia="Times New Roman" w:hAnsi="Calibri"/>
                <w:b/>
                <w:color w:val="000000" w:themeColor="text1"/>
                <w:sz w:val="22"/>
                <w:szCs w:val="22"/>
              </w:rPr>
              <w:t xml:space="preserve"> not merely because they involve the same parties and subject matter, but because they’re </w:t>
            </w:r>
            <w:r w:rsidRPr="00FD499C">
              <w:rPr>
                <w:rFonts w:ascii="Calibri" w:eastAsia="Times New Roman" w:hAnsi="Calibri"/>
                <w:b/>
                <w:color w:val="000000" w:themeColor="text1"/>
                <w:sz w:val="22"/>
                <w:szCs w:val="22"/>
              </w:rPr>
              <w:t xml:space="preserve">part of a unitary </w:t>
            </w:r>
            <w:r>
              <w:rPr>
                <w:rFonts w:ascii="Calibri" w:eastAsia="Times New Roman" w:hAnsi="Calibri"/>
                <w:b/>
                <w:color w:val="000000" w:themeColor="text1"/>
                <w:sz w:val="22"/>
                <w:szCs w:val="22"/>
              </w:rPr>
              <w:t xml:space="preserve">statutory scheme for resolving </w:t>
            </w:r>
            <w:proofErr w:type="spellStart"/>
            <w:r>
              <w:rPr>
                <w:rFonts w:ascii="Calibri" w:eastAsia="Times New Roman" w:hAnsi="Calibri"/>
                <w:b/>
                <w:color w:val="000000" w:themeColor="text1"/>
                <w:sz w:val="22"/>
                <w:szCs w:val="22"/>
              </w:rPr>
              <w:t>UMN’s</w:t>
            </w:r>
            <w:proofErr w:type="spellEnd"/>
            <w:r w:rsidRPr="00FD499C">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affirmative claims for </w:t>
            </w:r>
            <w:r w:rsidRPr="00FD499C">
              <w:rPr>
                <w:rFonts w:ascii="Calibri" w:eastAsia="Times New Roman" w:hAnsi="Calibri"/>
                <w:b/>
                <w:color w:val="000000" w:themeColor="text1"/>
                <w:sz w:val="22"/>
                <w:szCs w:val="22"/>
              </w:rPr>
              <w:t xml:space="preserve">patent </w:t>
            </w:r>
            <w:r>
              <w:rPr>
                <w:rFonts w:ascii="Calibri" w:eastAsia="Times New Roman" w:hAnsi="Calibri"/>
                <w:b/>
                <w:color w:val="000000" w:themeColor="text1"/>
                <w:sz w:val="22"/>
                <w:szCs w:val="22"/>
              </w:rPr>
              <w:t xml:space="preserve">infringement.  For Ericsson and LSI, these </w:t>
            </w:r>
            <w:proofErr w:type="spellStart"/>
            <w:r>
              <w:rPr>
                <w:rFonts w:ascii="Calibri" w:eastAsia="Times New Roman" w:hAnsi="Calibri"/>
                <w:b/>
                <w:color w:val="000000" w:themeColor="text1"/>
                <w:sz w:val="22"/>
                <w:szCs w:val="22"/>
              </w:rPr>
              <w:t>IPRs</w:t>
            </w:r>
            <w:proofErr w:type="spellEnd"/>
            <w:r>
              <w:rPr>
                <w:rFonts w:ascii="Calibri" w:eastAsia="Times New Roman" w:hAnsi="Calibri"/>
                <w:b/>
                <w:color w:val="000000" w:themeColor="text1"/>
                <w:sz w:val="22"/>
                <w:szCs w:val="22"/>
              </w:rPr>
              <w:t xml:space="preserve"> are critical</w:t>
            </w:r>
            <w:r w:rsidRPr="00FD499C">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defensive measures in the disputes that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initiated.</w:t>
            </w:r>
          </w:p>
        </w:tc>
        <w:tc>
          <w:tcPr>
            <w:tcW w:w="5904" w:type="dxa"/>
            <w:vAlign w:val="center"/>
          </w:tcPr>
          <w:p w14:paraId="08AAD2C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C6570B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202FEC0" w14:textId="77777777" w:rsidTr="0010708E">
        <w:trPr>
          <w:trHeight w:val="4795"/>
        </w:trPr>
        <w:tc>
          <w:tcPr>
            <w:tcW w:w="5904" w:type="dxa"/>
            <w:vAlign w:val="center"/>
          </w:tcPr>
          <w:p w14:paraId="231B0FF7" w14:textId="67F3BDBA"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You quote one passage from </w:t>
            </w:r>
            <w:proofErr w:type="spellStart"/>
            <w:r>
              <w:rPr>
                <w:rFonts w:ascii="Calibri" w:hAnsi="Calibri"/>
                <w:b/>
                <w:i/>
                <w:color w:val="000000" w:themeColor="text1"/>
                <w:sz w:val="28"/>
                <w:szCs w:val="28"/>
              </w:rPr>
              <w:t>BPMC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 xml:space="preserve">that suggests waiver by litigation might extend across lawsuits in certain circumstances.  But the actual holding of the case was that waiver </w:t>
            </w:r>
            <w:r>
              <w:rPr>
                <w:rFonts w:ascii="Calibri" w:hAnsi="Calibri"/>
                <w:b/>
                <w:i/>
                <w:color w:val="000000" w:themeColor="text1"/>
                <w:sz w:val="28"/>
                <w:szCs w:val="28"/>
              </w:rPr>
              <w:t xml:space="preserve">didn’t </w:t>
            </w:r>
            <w:r>
              <w:rPr>
                <w:rFonts w:ascii="Calibri" w:hAnsi="Calibri"/>
                <w:b/>
                <w:color w:val="000000" w:themeColor="text1"/>
                <w:sz w:val="28"/>
                <w:szCs w:val="28"/>
              </w:rPr>
              <w:t>extend across lawsuits.  Doesn’t that holding hurt your position here?</w:t>
            </w:r>
          </w:p>
        </w:tc>
        <w:tc>
          <w:tcPr>
            <w:tcW w:w="5904" w:type="dxa"/>
            <w:vAlign w:val="center"/>
          </w:tcPr>
          <w:p w14:paraId="0CC26855"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That facts of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were very different, so the holding is distinguishable.  The patentee there filed a new </w:t>
            </w:r>
            <w:r w:rsidRPr="00E93DD1">
              <w:rPr>
                <w:rFonts w:ascii="Calibri" w:eastAsia="Times New Roman" w:hAnsi="Calibri"/>
                <w:b/>
                <w:color w:val="000000" w:themeColor="text1"/>
                <w:sz w:val="22"/>
                <w:szCs w:val="22"/>
              </w:rPr>
              <w:t>district court action</w:t>
            </w:r>
            <w:r>
              <w:rPr>
                <w:rFonts w:ascii="Calibri" w:eastAsia="Times New Roman" w:hAnsi="Calibri"/>
                <w:b/>
                <w:color w:val="000000" w:themeColor="text1"/>
                <w:sz w:val="22"/>
                <w:szCs w:val="22"/>
              </w:rPr>
              <w:t xml:space="preserve"> nearly a decade after the initial action was dismissed.  Our </w:t>
            </w:r>
            <w:proofErr w:type="spellStart"/>
            <w:r>
              <w:rPr>
                <w:rFonts w:ascii="Calibri" w:eastAsia="Times New Roman" w:hAnsi="Calibri"/>
                <w:b/>
                <w:color w:val="000000" w:themeColor="text1"/>
                <w:sz w:val="22"/>
                <w:szCs w:val="22"/>
              </w:rPr>
              <w:t>IPRs</w:t>
            </w:r>
            <w:proofErr w:type="spellEnd"/>
            <w:r>
              <w:rPr>
                <w:rFonts w:ascii="Calibri" w:eastAsia="Times New Roman" w:hAnsi="Calibri"/>
                <w:b/>
                <w:color w:val="000000" w:themeColor="text1"/>
                <w:sz w:val="22"/>
                <w:szCs w:val="22"/>
              </w:rPr>
              <w:t xml:space="preserve"> are something entirely different:  Contemporaneous administrative proceedings designed to work in tandem with </w:t>
            </w:r>
            <w:proofErr w:type="spellStart"/>
            <w:r>
              <w:rPr>
                <w:rFonts w:ascii="Calibri" w:eastAsia="Times New Roman" w:hAnsi="Calibri"/>
                <w:b/>
                <w:color w:val="000000" w:themeColor="text1"/>
                <w:sz w:val="22"/>
                <w:szCs w:val="22"/>
              </w:rPr>
              <w:t>UMN’s</w:t>
            </w:r>
            <w:proofErr w:type="spellEnd"/>
            <w:r>
              <w:rPr>
                <w:rFonts w:ascii="Calibri" w:eastAsia="Times New Roman" w:hAnsi="Calibri"/>
                <w:b/>
                <w:color w:val="000000" w:themeColor="text1"/>
                <w:sz w:val="22"/>
                <w:szCs w:val="22"/>
              </w:rPr>
              <w:t xml:space="preserve"> ongoing district court action.</w:t>
            </w:r>
          </w:p>
          <w:p w14:paraId="60402D34" w14:textId="19293D9A" w:rsidR="000F7558" w:rsidRDefault="000F7558" w:rsidP="000F7558">
            <w:pPr>
              <w:spacing w:after="120"/>
              <w:ind w:left="200" w:right="245"/>
              <w:jc w:val="both"/>
              <w:rPr>
                <w:rFonts w:ascii="Calibri" w:eastAsia="Times New Roman" w:hAnsi="Calibri"/>
                <w:b/>
                <w:color w:val="000000" w:themeColor="text1"/>
                <w:sz w:val="22"/>
                <w:szCs w:val="22"/>
              </w:rPr>
            </w:pP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also had another distinguishing oddity:  When the state brought the initial 1997 lawsuit to establish noninfringement, </w:t>
            </w:r>
            <w:r w:rsidRPr="000C1D1B">
              <w:rPr>
                <w:rFonts w:ascii="Calibri" w:eastAsia="Times New Roman" w:hAnsi="Calibri"/>
                <w:b/>
                <w:color w:val="000000" w:themeColor="text1"/>
                <w:sz w:val="22"/>
                <w:szCs w:val="22"/>
              </w:rPr>
              <w:t xml:space="preserve">binding Federal Circuit precedent held that states were never immune from patent litigation.  </w:t>
            </w:r>
            <w:proofErr w:type="spellStart"/>
            <w:r>
              <w:rPr>
                <w:rFonts w:ascii="Calibri" w:eastAsia="Times New Roman" w:hAnsi="Calibri"/>
                <w:b/>
                <w:i/>
                <w:color w:val="000000" w:themeColor="text1"/>
                <w:sz w:val="22"/>
                <w:szCs w:val="22"/>
              </w:rPr>
              <w:t>BPMC</w:t>
            </w:r>
            <w:proofErr w:type="spellEnd"/>
            <w:r w:rsidRPr="000C1D1B">
              <w:rPr>
                <w:rFonts w:ascii="Calibri" w:eastAsia="Times New Roman" w:hAnsi="Calibri"/>
                <w:b/>
                <w:color w:val="000000" w:themeColor="text1"/>
                <w:sz w:val="22"/>
                <w:szCs w:val="22"/>
              </w:rPr>
              <w:t xml:space="preserve"> at 1331-32.</w:t>
            </w:r>
            <w:r>
              <w:rPr>
                <w:rFonts w:ascii="Calibri" w:eastAsia="Times New Roman" w:hAnsi="Calibri"/>
                <w:b/>
                <w:color w:val="000000" w:themeColor="text1"/>
                <w:sz w:val="22"/>
                <w:szCs w:val="22"/>
              </w:rPr>
              <w:t xml:space="preserve">  That precedent was subsequently overruled by </w:t>
            </w:r>
            <w:r>
              <w:rPr>
                <w:rFonts w:ascii="Calibri" w:eastAsia="Times New Roman" w:hAnsi="Calibri"/>
                <w:b/>
                <w:i/>
                <w:color w:val="000000" w:themeColor="text1"/>
                <w:sz w:val="22"/>
                <w:szCs w:val="22"/>
              </w:rPr>
              <w:t xml:space="preserve">Florida Prepaid v. College Savings </w:t>
            </w:r>
            <w:r>
              <w:rPr>
                <w:rFonts w:ascii="Calibri" w:eastAsia="Times New Roman" w:hAnsi="Calibri"/>
                <w:b/>
                <w:color w:val="000000" w:themeColor="text1"/>
                <w:sz w:val="22"/>
                <w:szCs w:val="22"/>
              </w:rPr>
              <w:t xml:space="preserve">(1999).  But in 1997, </w:t>
            </w:r>
            <w:r w:rsidRPr="000C1D1B">
              <w:rPr>
                <w:rFonts w:ascii="Calibri" w:eastAsia="Times New Roman" w:hAnsi="Calibri"/>
                <w:b/>
                <w:color w:val="000000" w:themeColor="text1"/>
                <w:sz w:val="22"/>
                <w:szCs w:val="22"/>
              </w:rPr>
              <w:t xml:space="preserve">the state </w:t>
            </w:r>
            <w:r>
              <w:rPr>
                <w:rFonts w:ascii="Calibri" w:eastAsia="Times New Roman" w:hAnsi="Calibri"/>
                <w:b/>
                <w:color w:val="000000" w:themeColor="text1"/>
                <w:sz w:val="22"/>
                <w:szCs w:val="22"/>
              </w:rPr>
              <w:t>didn’t have the option to use immunity as a shield from private infringement actions.  This Court sensibly concluded that the state had not waived a dimension of immunity that wasn’t yet established by controlling case law.</w:t>
            </w:r>
          </w:p>
        </w:tc>
        <w:tc>
          <w:tcPr>
            <w:tcW w:w="5904" w:type="dxa"/>
            <w:vAlign w:val="center"/>
          </w:tcPr>
          <w:p w14:paraId="1912FFC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8EA5D1E"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2C45047" w14:textId="77777777" w:rsidTr="0010708E">
        <w:trPr>
          <w:trHeight w:val="4795"/>
        </w:trPr>
        <w:tc>
          <w:tcPr>
            <w:tcW w:w="5904" w:type="dxa"/>
            <w:vAlign w:val="center"/>
          </w:tcPr>
          <w:p w14:paraId="22BE0072" w14:textId="00487FC6"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r>
              <w:rPr>
                <w:rFonts w:ascii="Calibri" w:hAnsi="Calibri"/>
                <w:b/>
                <w:i/>
                <w:color w:val="000000" w:themeColor="text1"/>
                <w:sz w:val="28"/>
                <w:szCs w:val="28"/>
              </w:rPr>
              <w:t>Eli Lilly</w:t>
            </w:r>
            <w:r>
              <w:rPr>
                <w:rFonts w:ascii="Calibri" w:hAnsi="Calibri"/>
                <w:b/>
                <w:color w:val="000000" w:themeColor="text1"/>
                <w:sz w:val="28"/>
                <w:szCs w:val="28"/>
              </w:rPr>
              <w:t>?</w:t>
            </w:r>
          </w:p>
        </w:tc>
        <w:tc>
          <w:tcPr>
            <w:tcW w:w="5904" w:type="dxa"/>
            <w:vAlign w:val="center"/>
          </w:tcPr>
          <w:p w14:paraId="785A8972"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lang w:val="x-none"/>
              </w:rPr>
              <w:t>A</w:t>
            </w:r>
            <w:r w:rsidRPr="005A5AB6">
              <w:rPr>
                <w:rFonts w:ascii="Calibri" w:eastAsia="Times New Roman" w:hAnsi="Calibri"/>
                <w:b/>
                <w:color w:val="000000" w:themeColor="text1"/>
                <w:sz w:val="22"/>
                <w:szCs w:val="22"/>
                <w:lang w:val="x-none"/>
              </w:rPr>
              <w:t xml:space="preserve"> state university</w:t>
            </w:r>
            <w:r>
              <w:rPr>
                <w:rFonts w:ascii="Calibri" w:eastAsia="Times New Roman" w:hAnsi="Calibri"/>
                <w:b/>
                <w:color w:val="000000" w:themeColor="text1"/>
                <w:sz w:val="22"/>
                <w:szCs w:val="22"/>
              </w:rPr>
              <w:t xml:space="preserve"> sued a private party for patent infringement in California district court.  When the private party moved to transfer</w:t>
            </w:r>
            <w:r>
              <w:rPr>
                <w:rFonts w:ascii="Calibri" w:eastAsia="Times New Roman" w:hAnsi="Calibri"/>
                <w:b/>
                <w:color w:val="000000" w:themeColor="text1"/>
                <w:sz w:val="22"/>
                <w:szCs w:val="22"/>
                <w:lang w:val="x-none"/>
              </w:rPr>
              <w:t xml:space="preserve"> venue</w:t>
            </w:r>
            <w:r>
              <w:rPr>
                <w:rFonts w:ascii="Calibri" w:eastAsia="Times New Roman" w:hAnsi="Calibri"/>
                <w:b/>
                <w:color w:val="000000" w:themeColor="text1"/>
                <w:sz w:val="22"/>
                <w:szCs w:val="22"/>
              </w:rPr>
              <w:t xml:space="preserve"> </w:t>
            </w:r>
            <w:r w:rsidRPr="005A5AB6">
              <w:rPr>
                <w:rFonts w:ascii="Calibri" w:eastAsia="Times New Roman" w:hAnsi="Calibri"/>
                <w:b/>
                <w:color w:val="000000" w:themeColor="text1"/>
                <w:sz w:val="22"/>
                <w:szCs w:val="22"/>
                <w:lang w:val="x-none"/>
              </w:rPr>
              <w:t>to Indiana district court</w:t>
            </w:r>
            <w:r>
              <w:rPr>
                <w:rFonts w:ascii="Calibri" w:eastAsia="Times New Roman" w:hAnsi="Calibri"/>
                <w:b/>
                <w:color w:val="000000" w:themeColor="text1"/>
                <w:sz w:val="22"/>
                <w:szCs w:val="22"/>
              </w:rPr>
              <w:t>, the university attempted to block the transfer by invoking sovereign immunity.  The state argued that the action could not shift to Indiana because it had voluntarily appeared, and so waived immunity, only in California.</w:t>
            </w:r>
          </w:p>
          <w:p w14:paraId="6E23D7B9" w14:textId="4457D54C"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This Court disagreed.  It held that the private party was</w:t>
            </w:r>
            <w:r w:rsidRPr="005A5AB6">
              <w:rPr>
                <w:rFonts w:ascii="Calibri" w:eastAsia="Times New Roman" w:hAnsi="Calibri"/>
                <w:b/>
                <w:color w:val="000000" w:themeColor="text1"/>
                <w:sz w:val="22"/>
                <w:szCs w:val="22"/>
                <w:lang w:val="x-none"/>
              </w:rPr>
              <w:t xml:space="preserve"> free to defend itself by</w:t>
            </w:r>
            <w:r>
              <w:rPr>
                <w:rFonts w:ascii="Calibri" w:eastAsia="Times New Roman" w:hAnsi="Calibri"/>
                <w:b/>
                <w:color w:val="000000" w:themeColor="text1"/>
                <w:sz w:val="22"/>
                <w:szCs w:val="22"/>
                <w:lang w:val="x-none"/>
              </w:rPr>
              <w:t xml:space="preserve"> </w:t>
            </w:r>
            <w:r w:rsidRPr="005A5AB6">
              <w:rPr>
                <w:rFonts w:ascii="Calibri" w:eastAsia="Times New Roman" w:hAnsi="Calibri"/>
                <w:b/>
                <w:color w:val="000000" w:themeColor="text1"/>
                <w:sz w:val="22"/>
                <w:szCs w:val="22"/>
                <w:lang w:val="x-none"/>
              </w:rPr>
              <w:t>transferring venue, notwithstanding the university’s sovereign</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immunity.</w:t>
            </w:r>
          </w:p>
        </w:tc>
        <w:tc>
          <w:tcPr>
            <w:tcW w:w="5904" w:type="dxa"/>
            <w:vAlign w:val="center"/>
          </w:tcPr>
          <w:p w14:paraId="7017CAE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BCF823D"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2624A78" w14:textId="77777777" w:rsidTr="0010708E">
        <w:trPr>
          <w:trHeight w:val="4795"/>
        </w:trPr>
        <w:tc>
          <w:tcPr>
            <w:tcW w:w="5904" w:type="dxa"/>
            <w:vAlign w:val="center"/>
          </w:tcPr>
          <w:p w14:paraId="1D760D6C" w14:textId="1FCFB57D"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How does </w:t>
            </w:r>
            <w:r>
              <w:rPr>
                <w:rFonts w:ascii="Calibri" w:hAnsi="Calibri"/>
                <w:b/>
                <w:i/>
                <w:color w:val="000000" w:themeColor="text1"/>
                <w:sz w:val="28"/>
                <w:szCs w:val="28"/>
              </w:rPr>
              <w:t xml:space="preserve">Eli Lilly </w:t>
            </w:r>
            <w:r>
              <w:rPr>
                <w:rFonts w:ascii="Calibri" w:hAnsi="Calibri"/>
                <w:b/>
                <w:color w:val="000000" w:themeColor="text1"/>
                <w:sz w:val="28"/>
                <w:szCs w:val="28"/>
              </w:rPr>
              <w:t>show that waiver by litigation can extend beyond the state’s initial chosen forum?</w:t>
            </w:r>
          </w:p>
        </w:tc>
        <w:tc>
          <w:tcPr>
            <w:tcW w:w="5904" w:type="dxa"/>
            <w:vAlign w:val="center"/>
          </w:tcPr>
          <w:p w14:paraId="54EDAF0A" w14:textId="7E72325B" w:rsidR="000F7558"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Once the state chose to file suit in California district court, it could not invoke immunity to block the action from moving to a different venue.  That confirms a state cannot unilaterally limit litigation of its affirmative claim to its initial chosen forum.</w:t>
            </w:r>
          </w:p>
        </w:tc>
        <w:tc>
          <w:tcPr>
            <w:tcW w:w="5904" w:type="dxa"/>
            <w:vAlign w:val="center"/>
          </w:tcPr>
          <w:p w14:paraId="3D61056C"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E19E490"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1CC2728" w14:textId="77777777" w:rsidTr="0010708E">
        <w:trPr>
          <w:trHeight w:val="4795"/>
        </w:trPr>
        <w:tc>
          <w:tcPr>
            <w:tcW w:w="5904" w:type="dxa"/>
            <w:vAlign w:val="center"/>
          </w:tcPr>
          <w:p w14:paraId="3E48582A" w14:textId="3006DDC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You suggest that </w:t>
            </w:r>
            <w:r>
              <w:rPr>
                <w:rFonts w:ascii="Calibri" w:hAnsi="Calibri"/>
                <w:b/>
                <w:i/>
                <w:color w:val="000000" w:themeColor="text1"/>
                <w:sz w:val="28"/>
                <w:szCs w:val="28"/>
              </w:rPr>
              <w:t xml:space="preserve">Eli Lilly </w:t>
            </w:r>
            <w:r>
              <w:rPr>
                <w:rFonts w:ascii="Calibri" w:hAnsi="Calibri"/>
                <w:b/>
                <w:color w:val="000000" w:themeColor="text1"/>
                <w:sz w:val="28"/>
                <w:szCs w:val="28"/>
              </w:rPr>
              <w:t xml:space="preserve">sheds light on the waiver by litigation doctrine.  But that wasn’t a waiver decision, was it?  Didn’t it hold that “we need not determine whether [the state] waived its immunity only in California, because this case does not create an Eleventh Amendment jurisdictional issue concerning which the question of waiver even arises,” </w:t>
            </w:r>
            <w:r>
              <w:rPr>
                <w:rFonts w:ascii="Calibri" w:hAnsi="Calibri"/>
                <w:b/>
                <w:i/>
                <w:color w:val="000000" w:themeColor="text1"/>
                <w:sz w:val="28"/>
                <w:szCs w:val="28"/>
              </w:rPr>
              <w:t xml:space="preserve">Eli Lilly </w:t>
            </w:r>
            <w:r>
              <w:rPr>
                <w:rFonts w:ascii="Calibri" w:hAnsi="Calibri"/>
                <w:b/>
                <w:color w:val="000000" w:themeColor="text1"/>
                <w:sz w:val="28"/>
                <w:szCs w:val="28"/>
              </w:rPr>
              <w:t>at 1564-65?</w:t>
            </w:r>
          </w:p>
        </w:tc>
        <w:tc>
          <w:tcPr>
            <w:tcW w:w="5904" w:type="dxa"/>
            <w:vAlign w:val="center"/>
          </w:tcPr>
          <w:p w14:paraId="786B1214" w14:textId="1276261C"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 xml:space="preserve">Eli Lilly </w:t>
            </w:r>
            <w:r>
              <w:rPr>
                <w:rFonts w:ascii="Calibri" w:eastAsia="Times New Roman" w:hAnsi="Calibri"/>
                <w:b/>
                <w:color w:val="000000" w:themeColor="text1"/>
                <w:sz w:val="22"/>
                <w:szCs w:val="22"/>
              </w:rPr>
              <w:t xml:space="preserve">held that the private defendant’s motion to transfer venue was not akin to a “claim or counterclaim” that might trigger immunity absent waiver.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 xml:space="preserve">at 1565.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it technically decided that immunity was never implicated—not that it would apply but for waiver.  Still, </w:t>
            </w:r>
            <w:r>
              <w:rPr>
                <w:rFonts w:ascii="Calibri" w:eastAsia="Times New Roman" w:hAnsi="Calibri"/>
                <w:b/>
                <w:i/>
                <w:color w:val="000000" w:themeColor="text1"/>
                <w:sz w:val="22"/>
                <w:szCs w:val="22"/>
              </w:rPr>
              <w:t xml:space="preserve">Eli Lilly </w:t>
            </w:r>
            <w:r>
              <w:rPr>
                <w:rFonts w:ascii="Calibri" w:eastAsia="Times New Roman" w:hAnsi="Calibri"/>
                <w:b/>
                <w:color w:val="000000" w:themeColor="text1"/>
                <w:sz w:val="22"/>
                <w:szCs w:val="22"/>
              </w:rPr>
              <w:t xml:space="preserve">confirms what </w:t>
            </w:r>
            <w:r>
              <w:rPr>
                <w:rFonts w:ascii="Calibri" w:eastAsia="Times New Roman" w:hAnsi="Calibri"/>
                <w:b/>
                <w:i/>
                <w:color w:val="000000" w:themeColor="text1"/>
                <w:sz w:val="22"/>
                <w:szCs w:val="22"/>
              </w:rPr>
              <w:t xml:space="preserve">Vas-Cath </w:t>
            </w:r>
            <w:r>
              <w:rPr>
                <w:rFonts w:ascii="Calibri" w:eastAsia="Times New Roman" w:hAnsi="Calibri"/>
                <w:b/>
                <w:color w:val="000000" w:themeColor="text1"/>
                <w:sz w:val="22"/>
                <w:szCs w:val="22"/>
              </w:rPr>
              <w:t xml:space="preserve">and </w:t>
            </w:r>
            <w:proofErr w:type="spellStart"/>
            <w:r>
              <w:rPr>
                <w:rFonts w:ascii="Calibri" w:eastAsia="Times New Roman" w:hAnsi="Calibri"/>
                <w:b/>
                <w:i/>
                <w:color w:val="000000" w:themeColor="text1"/>
                <w:sz w:val="22"/>
                <w:szCs w:val="22"/>
              </w:rPr>
              <w:t>BPMC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already make clear:  A state cannot unilaterally limit litigation of its affirmative claim to its initial chosen forum.</w:t>
            </w:r>
          </w:p>
        </w:tc>
        <w:tc>
          <w:tcPr>
            <w:tcW w:w="5904" w:type="dxa"/>
            <w:vAlign w:val="center"/>
          </w:tcPr>
          <w:p w14:paraId="3EA18CC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6A20CA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5BAA0FF" w14:textId="77777777" w:rsidTr="0010708E">
        <w:trPr>
          <w:trHeight w:val="4795"/>
        </w:trPr>
        <w:tc>
          <w:tcPr>
            <w:tcW w:w="5904" w:type="dxa"/>
            <w:vAlign w:val="center"/>
          </w:tcPr>
          <w:p w14:paraId="28E9BEFD" w14:textId="23BF2F0E"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Have other circuits held that waiver by litigation may extend beyond the state’s initial chosen forum?</w:t>
            </w:r>
          </w:p>
        </w:tc>
        <w:tc>
          <w:tcPr>
            <w:tcW w:w="5904" w:type="dxa"/>
            <w:vAlign w:val="center"/>
          </w:tcPr>
          <w:p w14:paraId="2A50ADE1" w14:textId="787CEC72" w:rsidR="000F7558" w:rsidRDefault="000F7558" w:rsidP="000F7558">
            <w:pPr>
              <w:spacing w:after="120"/>
              <w:ind w:left="200" w:right="245"/>
              <w:jc w:val="both"/>
              <w:rPr>
                <w:rFonts w:ascii="Calibri" w:eastAsia="Times New Roman" w:hAnsi="Calibri"/>
                <w:b/>
                <w:i/>
                <w:color w:val="000000" w:themeColor="text1"/>
                <w:sz w:val="22"/>
                <w:szCs w:val="22"/>
              </w:rPr>
            </w:pPr>
            <w:r>
              <w:rPr>
                <w:rFonts w:ascii="Calibri" w:eastAsia="Times New Roman" w:hAnsi="Calibri"/>
                <w:b/>
                <w:color w:val="000000" w:themeColor="text1"/>
                <w:sz w:val="22"/>
                <w:szCs w:val="22"/>
              </w:rPr>
              <w:t xml:space="preserve">Yes.  </w:t>
            </w:r>
            <w:r w:rsidRPr="006E78B5">
              <w:rPr>
                <w:rFonts w:ascii="Calibri" w:eastAsia="Times New Roman" w:hAnsi="Calibri"/>
                <w:b/>
                <w:color w:val="000000" w:themeColor="text1"/>
                <w:sz w:val="22"/>
                <w:szCs w:val="22"/>
                <w:lang w:val="x-none"/>
              </w:rPr>
              <w:t>As the Seventh Circuit put</w:t>
            </w:r>
            <w:r>
              <w:rPr>
                <w:rFonts w:ascii="Calibri" w:eastAsia="Times New Roman" w:hAnsi="Calibri"/>
                <w:b/>
                <w:color w:val="000000" w:themeColor="text1"/>
                <w:sz w:val="22"/>
                <w:szCs w:val="22"/>
              </w:rPr>
              <w:t>s</w:t>
            </w:r>
            <w:r w:rsidRPr="006E78B5">
              <w:rPr>
                <w:rFonts w:ascii="Calibri" w:eastAsia="Times New Roman" w:hAnsi="Calibri"/>
                <w:b/>
                <w:color w:val="000000" w:themeColor="text1"/>
                <w:sz w:val="22"/>
                <w:szCs w:val="22"/>
                <w:lang w:val="x-none"/>
              </w:rPr>
              <w:t xml:space="preserve"> it, “a waiver of</w:t>
            </w:r>
            <w:r>
              <w:rPr>
                <w:rFonts w:ascii="Calibri" w:eastAsia="Times New Roman" w:hAnsi="Calibri"/>
                <w:b/>
                <w:color w:val="000000" w:themeColor="text1"/>
                <w:sz w:val="22"/>
                <w:szCs w:val="22"/>
              </w:rPr>
              <w:t xml:space="preserve"> </w:t>
            </w:r>
            <w:r w:rsidRPr="006E78B5">
              <w:rPr>
                <w:rFonts w:ascii="Calibri" w:eastAsia="Times New Roman" w:hAnsi="Calibri"/>
                <w:b/>
                <w:color w:val="000000" w:themeColor="text1"/>
                <w:sz w:val="22"/>
                <w:szCs w:val="22"/>
                <w:lang w:val="x-none"/>
              </w:rPr>
              <w:t>immunity in an initial proceeding extends to all ancillary proceedings</w:t>
            </w:r>
            <w:r>
              <w:rPr>
                <w:rFonts w:ascii="Calibri" w:eastAsia="Times New Roman" w:hAnsi="Calibri"/>
                <w:b/>
                <w:color w:val="000000" w:themeColor="text1"/>
                <w:sz w:val="22"/>
                <w:szCs w:val="22"/>
              </w:rPr>
              <w:t xml:space="preserve"> </w:t>
            </w:r>
            <w:r w:rsidRPr="006E78B5">
              <w:rPr>
                <w:rFonts w:ascii="Calibri" w:eastAsia="Times New Roman" w:hAnsi="Calibri"/>
                <w:b/>
                <w:color w:val="000000" w:themeColor="text1"/>
                <w:sz w:val="22"/>
                <w:szCs w:val="22"/>
                <w:lang w:val="x-none"/>
              </w:rPr>
              <w:t xml:space="preserve">that follow.” </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University of Wisconsin v. Phoenix Int’l</w:t>
            </w:r>
            <w:r>
              <w:rPr>
                <w:rFonts w:ascii="Calibri" w:eastAsia="Times New Roman" w:hAnsi="Calibri"/>
                <w:b/>
                <w:i/>
                <w:color w:val="000000" w:themeColor="text1"/>
                <w:sz w:val="22"/>
                <w:szCs w:val="22"/>
                <w:lang w:val="x-none"/>
              </w:rPr>
              <w:t xml:space="preserve"> </w:t>
            </w:r>
            <w:r>
              <w:rPr>
                <w:rFonts w:ascii="Calibri" w:eastAsia="Times New Roman" w:hAnsi="Calibri"/>
                <w:b/>
                <w:color w:val="000000" w:themeColor="text1"/>
                <w:sz w:val="22"/>
                <w:szCs w:val="22"/>
              </w:rPr>
              <w:t>(CA7 2012)</w:t>
            </w:r>
            <w:r w:rsidRPr="006E78B5">
              <w:rPr>
                <w:rFonts w:ascii="Calibri" w:eastAsia="Times New Roman" w:hAnsi="Calibri"/>
                <w:b/>
                <w:color w:val="000000" w:themeColor="text1"/>
                <w:sz w:val="22"/>
                <w:szCs w:val="22"/>
                <w:lang w:val="x-none"/>
              </w:rPr>
              <w:t xml:space="preserve"> at 464.</w:t>
            </w:r>
          </w:p>
        </w:tc>
        <w:tc>
          <w:tcPr>
            <w:tcW w:w="5904" w:type="dxa"/>
            <w:vAlign w:val="center"/>
          </w:tcPr>
          <w:p w14:paraId="742B4C87"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C23D54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5282880" w14:textId="77777777" w:rsidTr="0010708E">
        <w:trPr>
          <w:trHeight w:val="4795"/>
        </w:trPr>
        <w:tc>
          <w:tcPr>
            <w:tcW w:w="5904" w:type="dxa"/>
            <w:vAlign w:val="center"/>
          </w:tcPr>
          <w:p w14:paraId="3A98ABAC" w14:textId="60A6784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What has the Federal Circuit said about waiver by litigation </w:t>
            </w:r>
            <w:proofErr w:type="gramStart"/>
            <w:r>
              <w:rPr>
                <w:rFonts w:ascii="Calibri" w:hAnsi="Calibri"/>
                <w:b/>
                <w:color w:val="000000" w:themeColor="text1"/>
                <w:sz w:val="28"/>
                <w:szCs w:val="28"/>
              </w:rPr>
              <w:t>with regard to</w:t>
            </w:r>
            <w:proofErr w:type="gramEnd"/>
            <w:r>
              <w:rPr>
                <w:rFonts w:ascii="Calibri" w:hAnsi="Calibri"/>
                <w:b/>
                <w:color w:val="000000" w:themeColor="text1"/>
                <w:sz w:val="28"/>
                <w:szCs w:val="28"/>
              </w:rPr>
              <w:t xml:space="preserve"> affirmative defenses?</w:t>
            </w:r>
          </w:p>
        </w:tc>
        <w:tc>
          <w:tcPr>
            <w:tcW w:w="5904" w:type="dxa"/>
            <w:vAlign w:val="center"/>
          </w:tcPr>
          <w:p w14:paraId="0DFEB68F" w14:textId="6D6174CA"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This Court has held that when a state pursues its own affirmative claim, it waives immunity as to all affirmative defenses.  </w:t>
            </w:r>
            <w:r>
              <w:rPr>
                <w:rFonts w:ascii="Calibri" w:eastAsia="Times New Roman" w:hAnsi="Calibri"/>
                <w:b/>
                <w:i/>
                <w:color w:val="000000" w:themeColor="text1"/>
                <w:sz w:val="22"/>
                <w:szCs w:val="22"/>
              </w:rPr>
              <w:t xml:space="preserve">Genentech v. Eli Lilly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1993).  That is consistent with Supreme Court precedent, since affirmative defenses are “</w:t>
            </w:r>
            <w:r w:rsidRPr="000268AC">
              <w:rPr>
                <w:rFonts w:ascii="Calibri" w:eastAsia="Times New Roman" w:hAnsi="Calibri"/>
                <w:b/>
                <w:color w:val="000000" w:themeColor="text1"/>
                <w:sz w:val="22"/>
                <w:szCs w:val="22"/>
              </w:rPr>
              <w:t>required</w:t>
            </w:r>
            <w:r>
              <w:rPr>
                <w:rFonts w:ascii="Calibri" w:eastAsia="Times New Roman" w:hAnsi="Calibri"/>
                <w:b/>
                <w:color w:val="000000" w:themeColor="text1"/>
                <w:sz w:val="22"/>
                <w:szCs w:val="22"/>
              </w:rPr>
              <w:t>” for the “</w:t>
            </w:r>
            <w:r w:rsidRPr="000268AC">
              <w:rPr>
                <w:rFonts w:ascii="Calibri" w:eastAsia="Times New Roman" w:hAnsi="Calibri"/>
                <w:b/>
                <w:color w:val="000000" w:themeColor="text1"/>
                <w:sz w:val="22"/>
                <w:szCs w:val="22"/>
              </w:rPr>
              <w:t>complete determination”</w:t>
            </w:r>
            <w:r>
              <w:rPr>
                <w:rFonts w:ascii="Calibri" w:eastAsia="Times New Roman" w:hAnsi="Calibri"/>
                <w:b/>
                <w:color w:val="000000" w:themeColor="text1"/>
                <w:sz w:val="22"/>
                <w:szCs w:val="22"/>
              </w:rPr>
              <w:t xml:space="preserve"> of the state’s claim.  </w:t>
            </w:r>
            <w:r>
              <w:rPr>
                <w:rFonts w:ascii="Calibri" w:eastAsia="Times New Roman" w:hAnsi="Calibri"/>
                <w:b/>
                <w:i/>
                <w:color w:val="000000" w:themeColor="text1"/>
                <w:sz w:val="22"/>
                <w:szCs w:val="22"/>
              </w:rPr>
              <w:t>Clark</w:t>
            </w:r>
            <w:r>
              <w:rPr>
                <w:rFonts w:ascii="Calibri" w:eastAsia="Times New Roman" w:hAnsi="Calibri"/>
                <w:b/>
                <w:color w:val="000000" w:themeColor="text1"/>
                <w:sz w:val="22"/>
                <w:szCs w:val="22"/>
              </w:rPr>
              <w:t xml:space="preserve"> at 448.</w:t>
            </w:r>
          </w:p>
        </w:tc>
        <w:tc>
          <w:tcPr>
            <w:tcW w:w="5904" w:type="dxa"/>
            <w:vAlign w:val="center"/>
          </w:tcPr>
          <w:p w14:paraId="7FAE53F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DD7A6D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782E297" w14:textId="77777777" w:rsidTr="0010708E">
        <w:trPr>
          <w:trHeight w:val="4795"/>
        </w:trPr>
        <w:tc>
          <w:tcPr>
            <w:tcW w:w="5904" w:type="dxa"/>
            <w:vAlign w:val="center"/>
          </w:tcPr>
          <w:p w14:paraId="6D8BDF29" w14:textId="033B8E08"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What is a counterclaim in recoupment, and how does it differ from other types of compulsory counterclaims?</w:t>
            </w:r>
          </w:p>
        </w:tc>
        <w:tc>
          <w:tcPr>
            <w:tcW w:w="5904" w:type="dxa"/>
            <w:vAlign w:val="center"/>
          </w:tcPr>
          <w:p w14:paraId="1EC46DD9"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All compulsory counterclaims “arise from the same transaction or occurrence as the state’s claims,” such that they “should be litigated together” on pain of waiver</w:t>
            </w:r>
            <w:proofErr w:type="gramStart"/>
            <w:r>
              <w:rPr>
                <w:rFonts w:ascii="Calibri" w:eastAsia="Times New Roman" w:hAnsi="Calibri"/>
                <w:b/>
                <w:color w:val="000000" w:themeColor="text1"/>
                <w:sz w:val="22"/>
                <w:szCs w:val="22"/>
              </w:rPr>
              <w:t>.</w:t>
            </w:r>
            <w:r>
              <w:rPr>
                <w:rFonts w:ascii="Calibri" w:eastAsia="Times New Roman" w:hAnsi="Calibri"/>
                <w:b/>
                <w:i/>
                <w:color w:val="000000" w:themeColor="text1"/>
                <w:sz w:val="22"/>
                <w:szCs w:val="22"/>
              </w:rPr>
              <w:t xml:space="preserve"> </w:t>
            </w:r>
            <w:proofErr w:type="spellStart"/>
            <w:proofErr w:type="gramEnd"/>
            <w:r>
              <w:rPr>
                <w:rFonts w:ascii="Calibri" w:eastAsia="Times New Roman" w:hAnsi="Calibri"/>
                <w:b/>
                <w:i/>
                <w:color w:val="000000" w:themeColor="text1"/>
                <w:sz w:val="22"/>
                <w:szCs w:val="22"/>
              </w:rPr>
              <w:t>UMN</w:t>
            </w:r>
            <w:proofErr w:type="spellEnd"/>
            <w:r>
              <w:rPr>
                <w:rFonts w:ascii="Calibri" w:eastAsia="Times New Roman" w:hAnsi="Calibri"/>
                <w:b/>
                <w:i/>
                <w:color w:val="000000" w:themeColor="text1"/>
                <w:sz w:val="22"/>
                <w:szCs w:val="22"/>
              </w:rPr>
              <w:t xml:space="preserve"> v. Knight</w:t>
            </w:r>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2003) at 1124-25.</w:t>
            </w:r>
          </w:p>
          <w:p w14:paraId="29FD093A" w14:textId="70B6E65D"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Counterclaims in recoupment meet additional conditions:  They “</w:t>
            </w:r>
            <w:r w:rsidRPr="001E0243">
              <w:rPr>
                <w:rFonts w:ascii="Calibri" w:eastAsia="Times New Roman" w:hAnsi="Calibri"/>
                <w:b/>
                <w:color w:val="000000" w:themeColor="text1"/>
                <w:sz w:val="22"/>
                <w:szCs w:val="22"/>
              </w:rPr>
              <w:t>seek relief of the same</w:t>
            </w:r>
            <w:r>
              <w:rPr>
                <w:rFonts w:ascii="Calibri" w:eastAsia="Times New Roman" w:hAnsi="Calibri"/>
                <w:b/>
                <w:color w:val="000000" w:themeColor="text1"/>
                <w:sz w:val="22"/>
                <w:szCs w:val="22"/>
              </w:rPr>
              <w:t xml:space="preserve"> kind or nature as do the state’</w:t>
            </w:r>
            <w:r w:rsidRPr="001E0243">
              <w:rPr>
                <w:rFonts w:ascii="Calibri" w:eastAsia="Times New Roman" w:hAnsi="Calibri"/>
                <w:b/>
                <w:color w:val="000000" w:themeColor="text1"/>
                <w:sz w:val="22"/>
                <w:szCs w:val="22"/>
              </w:rPr>
              <w:t xml:space="preserve">s </w:t>
            </w:r>
            <w:proofErr w:type="gramStart"/>
            <w:r w:rsidRPr="001E0243">
              <w:rPr>
                <w:rFonts w:ascii="Calibri" w:eastAsia="Times New Roman" w:hAnsi="Calibri"/>
                <w:b/>
                <w:color w:val="000000" w:themeColor="text1"/>
                <w:sz w:val="22"/>
                <w:szCs w:val="22"/>
              </w:rPr>
              <w:t>claims, and</w:t>
            </w:r>
            <w:proofErr w:type="gramEnd"/>
            <w:r w:rsidRPr="001E0243">
              <w:rPr>
                <w:rFonts w:ascii="Calibri" w:eastAsia="Times New Roman" w:hAnsi="Calibri"/>
                <w:b/>
                <w:color w:val="000000" w:themeColor="text1"/>
                <w:sz w:val="22"/>
                <w:szCs w:val="22"/>
              </w:rPr>
              <w:t xml:space="preserve"> seek an amount not greater than the amount sought in the state’s claims.”  </w:t>
            </w:r>
            <w:r>
              <w:rPr>
                <w:rFonts w:ascii="Calibri" w:eastAsia="Times New Roman" w:hAnsi="Calibri"/>
                <w:b/>
                <w:i/>
                <w:color w:val="000000" w:themeColor="text1"/>
                <w:sz w:val="22"/>
                <w:szCs w:val="22"/>
              </w:rPr>
              <w:t>Id.</w:t>
            </w:r>
            <w:r>
              <w:rPr>
                <w:rFonts w:ascii="Calibri" w:eastAsia="Times New Roman" w:hAnsi="Calibri"/>
                <w:b/>
                <w:color w:val="000000" w:themeColor="text1"/>
                <w:sz w:val="22"/>
                <w:szCs w:val="22"/>
              </w:rPr>
              <w:t xml:space="preserve"> at 1124.  In other words, they seek only to neutralize the state’s claims—much like an affirmative defense.</w:t>
            </w:r>
          </w:p>
        </w:tc>
        <w:tc>
          <w:tcPr>
            <w:tcW w:w="5904" w:type="dxa"/>
            <w:vAlign w:val="center"/>
          </w:tcPr>
          <w:p w14:paraId="6B57CE1C"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28AF26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4B9A6FE" w14:textId="77777777" w:rsidTr="0010708E">
        <w:trPr>
          <w:trHeight w:val="4795"/>
        </w:trPr>
        <w:tc>
          <w:tcPr>
            <w:tcW w:w="5904" w:type="dxa"/>
            <w:vAlign w:val="center"/>
          </w:tcPr>
          <w:p w14:paraId="3CBE169D" w14:textId="6148186B"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has the Federal Circuit said about waiver by litigation </w:t>
            </w:r>
            <w:proofErr w:type="gramStart"/>
            <w:r>
              <w:rPr>
                <w:rFonts w:ascii="Calibri" w:hAnsi="Calibri"/>
                <w:b/>
                <w:color w:val="000000" w:themeColor="text1"/>
                <w:sz w:val="28"/>
                <w:szCs w:val="28"/>
              </w:rPr>
              <w:t>with regard to</w:t>
            </w:r>
            <w:proofErr w:type="gramEnd"/>
            <w:r>
              <w:rPr>
                <w:rFonts w:ascii="Calibri" w:hAnsi="Calibri"/>
                <w:b/>
                <w:color w:val="000000" w:themeColor="text1"/>
                <w:sz w:val="28"/>
                <w:szCs w:val="28"/>
              </w:rPr>
              <w:t xml:space="preserve"> compulsory counterclaims?  In which cases?</w:t>
            </w:r>
          </w:p>
        </w:tc>
        <w:tc>
          <w:tcPr>
            <w:tcW w:w="5904" w:type="dxa"/>
            <w:vAlign w:val="center"/>
          </w:tcPr>
          <w:p w14:paraId="25DD98EA"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This Court has held that when a state pursues its own affirmative claim, it waives immunity as to certain compulsory counterclaims.</w:t>
            </w:r>
          </w:p>
          <w:p w14:paraId="41400CE5"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First, </w:t>
            </w:r>
            <w:r>
              <w:rPr>
                <w:rFonts w:ascii="Calibri" w:eastAsia="Times New Roman" w:hAnsi="Calibri"/>
                <w:b/>
                <w:i/>
                <w:color w:val="000000" w:themeColor="text1"/>
                <w:sz w:val="22"/>
                <w:szCs w:val="22"/>
              </w:rPr>
              <w:t>Genentech</w:t>
            </w:r>
            <w:r>
              <w:rPr>
                <w:rFonts w:ascii="Calibri" w:eastAsia="Times New Roman" w:hAnsi="Calibri"/>
                <w:b/>
                <w:color w:val="000000" w:themeColor="text1"/>
                <w:sz w:val="22"/>
                <w:szCs w:val="22"/>
              </w:rPr>
              <w:t xml:space="preserve"> held that a state waives immunity as to all counterclaims </w:t>
            </w:r>
            <w:r>
              <w:rPr>
                <w:rFonts w:ascii="Calibri" w:eastAsia="Times New Roman" w:hAnsi="Calibri"/>
                <w:b/>
                <w:color w:val="000000" w:themeColor="text1"/>
                <w:sz w:val="22"/>
                <w:szCs w:val="22"/>
                <w:u w:val="single"/>
              </w:rPr>
              <w:t>in recoupment</w:t>
            </w:r>
            <w:r>
              <w:rPr>
                <w:rFonts w:ascii="Calibri" w:eastAsia="Times New Roman" w:hAnsi="Calibri"/>
                <w:b/>
                <w:color w:val="000000" w:themeColor="text1"/>
                <w:sz w:val="22"/>
                <w:szCs w:val="22"/>
              </w:rPr>
              <w:t>.  That’s because those counterclaims are analogous to affirmative defenses, which means they are “</w:t>
            </w:r>
            <w:r w:rsidRPr="000268AC">
              <w:rPr>
                <w:rFonts w:ascii="Calibri" w:eastAsia="Times New Roman" w:hAnsi="Calibri"/>
                <w:b/>
                <w:color w:val="000000" w:themeColor="text1"/>
                <w:sz w:val="22"/>
                <w:szCs w:val="22"/>
              </w:rPr>
              <w:t>required</w:t>
            </w:r>
            <w:r>
              <w:rPr>
                <w:rFonts w:ascii="Calibri" w:eastAsia="Times New Roman" w:hAnsi="Calibri"/>
                <w:b/>
                <w:color w:val="000000" w:themeColor="text1"/>
                <w:sz w:val="22"/>
                <w:szCs w:val="22"/>
              </w:rPr>
              <w:t>” for the “</w:t>
            </w:r>
            <w:r w:rsidRPr="000268AC">
              <w:rPr>
                <w:rFonts w:ascii="Calibri" w:eastAsia="Times New Roman" w:hAnsi="Calibri"/>
                <w:b/>
                <w:color w:val="000000" w:themeColor="text1"/>
                <w:sz w:val="22"/>
                <w:szCs w:val="22"/>
              </w:rPr>
              <w:t>complete determination”</w:t>
            </w:r>
            <w:r>
              <w:rPr>
                <w:rFonts w:ascii="Calibri" w:eastAsia="Times New Roman" w:hAnsi="Calibri"/>
                <w:b/>
                <w:color w:val="000000" w:themeColor="text1"/>
                <w:sz w:val="22"/>
                <w:szCs w:val="22"/>
              </w:rPr>
              <w:t xml:space="preserve"> of the state’s claim.  </w:t>
            </w:r>
            <w:r>
              <w:rPr>
                <w:rFonts w:ascii="Calibri" w:eastAsia="Times New Roman" w:hAnsi="Calibri"/>
                <w:b/>
                <w:i/>
                <w:color w:val="000000" w:themeColor="text1"/>
                <w:sz w:val="22"/>
                <w:szCs w:val="22"/>
              </w:rPr>
              <w:t>Clark</w:t>
            </w:r>
            <w:r>
              <w:rPr>
                <w:rFonts w:ascii="Calibri" w:eastAsia="Times New Roman" w:hAnsi="Calibri"/>
                <w:b/>
                <w:color w:val="000000" w:themeColor="text1"/>
                <w:sz w:val="22"/>
                <w:szCs w:val="22"/>
              </w:rPr>
              <w:t xml:space="preserve"> at 448.  </w:t>
            </w:r>
            <w:r>
              <w:rPr>
                <w:rFonts w:ascii="Calibri" w:eastAsia="Times New Roman" w:hAnsi="Calibri"/>
                <w:b/>
                <w:i/>
                <w:color w:val="000000" w:themeColor="text1"/>
                <w:sz w:val="22"/>
                <w:szCs w:val="22"/>
              </w:rPr>
              <w:t xml:space="preserve">Knight </w:t>
            </w:r>
            <w:r>
              <w:rPr>
                <w:rFonts w:ascii="Calibri" w:eastAsia="Times New Roman" w:hAnsi="Calibri"/>
                <w:b/>
                <w:color w:val="000000" w:themeColor="text1"/>
                <w:sz w:val="22"/>
                <w:szCs w:val="22"/>
              </w:rPr>
              <w:t>reaffirmed that holding.</w:t>
            </w:r>
          </w:p>
          <w:p w14:paraId="63765F3F" w14:textId="513B7665"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Separately, </w:t>
            </w:r>
            <w:r>
              <w:rPr>
                <w:rFonts w:ascii="Calibri" w:eastAsia="Times New Roman" w:hAnsi="Calibri"/>
                <w:b/>
                <w:i/>
                <w:color w:val="000000" w:themeColor="text1"/>
                <w:sz w:val="22"/>
                <w:szCs w:val="22"/>
              </w:rPr>
              <w:t xml:space="preserve">Knight </w:t>
            </w:r>
            <w:r>
              <w:rPr>
                <w:rFonts w:ascii="Calibri" w:eastAsia="Times New Roman" w:hAnsi="Calibri"/>
                <w:b/>
                <w:color w:val="000000" w:themeColor="text1"/>
                <w:sz w:val="22"/>
                <w:szCs w:val="22"/>
              </w:rPr>
              <w:t>also held that the state plaintiff at issue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as it happens) had waived immunity as to all other compulsory counterclaims.  The Court noted that the state could easily have “anticipate[d]” those counterclaims before it chose to file suit.  </w:t>
            </w:r>
            <w:r>
              <w:rPr>
                <w:rFonts w:ascii="Calibri" w:eastAsia="Times New Roman" w:hAnsi="Calibri"/>
                <w:b/>
                <w:i/>
                <w:color w:val="000000" w:themeColor="text1"/>
                <w:sz w:val="22"/>
                <w:szCs w:val="22"/>
              </w:rPr>
              <w:t xml:space="preserve">Knight </w:t>
            </w:r>
            <w:r>
              <w:rPr>
                <w:rFonts w:ascii="Calibri" w:eastAsia="Times New Roman" w:hAnsi="Calibri"/>
                <w:b/>
                <w:color w:val="000000" w:themeColor="text1"/>
                <w:sz w:val="22"/>
                <w:szCs w:val="22"/>
              </w:rPr>
              <w:t xml:space="preserve">at 1126.  And it concluded that barring compulsory counterclaims would result in the type of “seriously unfair results” that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forbids.  </w:t>
            </w:r>
            <w:r>
              <w:rPr>
                <w:rFonts w:ascii="Calibri" w:eastAsia="Times New Roman" w:hAnsi="Calibri"/>
                <w:b/>
                <w:i/>
                <w:color w:val="000000" w:themeColor="text1"/>
                <w:sz w:val="22"/>
                <w:szCs w:val="22"/>
              </w:rPr>
              <w:t xml:space="preserve">Id. </w:t>
            </w:r>
            <w:r>
              <w:rPr>
                <w:rFonts w:ascii="Calibri" w:eastAsia="Times New Roman" w:hAnsi="Calibri"/>
                <w:b/>
                <w:color w:val="000000" w:themeColor="text1"/>
                <w:sz w:val="22"/>
                <w:szCs w:val="22"/>
              </w:rPr>
              <w:t>at 1125.</w:t>
            </w:r>
          </w:p>
        </w:tc>
        <w:tc>
          <w:tcPr>
            <w:tcW w:w="5904" w:type="dxa"/>
            <w:vAlign w:val="center"/>
          </w:tcPr>
          <w:p w14:paraId="4F30E866"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2507C34"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E2D7231" w14:textId="77777777" w:rsidTr="0010708E">
        <w:trPr>
          <w:trHeight w:val="4795"/>
        </w:trPr>
        <w:tc>
          <w:tcPr>
            <w:tcW w:w="5904" w:type="dxa"/>
            <w:vAlign w:val="center"/>
          </w:tcPr>
          <w:p w14:paraId="3DAA3C12" w14:textId="6082C2AD"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It seems like </w:t>
            </w:r>
            <w:r>
              <w:rPr>
                <w:rFonts w:ascii="Calibri" w:hAnsi="Calibri"/>
                <w:b/>
                <w:i/>
                <w:color w:val="000000" w:themeColor="text1"/>
                <w:sz w:val="28"/>
                <w:szCs w:val="28"/>
              </w:rPr>
              <w:t xml:space="preserve">Genentech </w:t>
            </w:r>
            <w:r>
              <w:rPr>
                <w:rFonts w:ascii="Calibri" w:hAnsi="Calibri"/>
                <w:b/>
                <w:color w:val="000000" w:themeColor="text1"/>
                <w:sz w:val="28"/>
                <w:szCs w:val="28"/>
              </w:rPr>
              <w:t xml:space="preserve">and </w:t>
            </w:r>
            <w:r>
              <w:rPr>
                <w:rFonts w:ascii="Calibri" w:hAnsi="Calibri"/>
                <w:b/>
                <w:i/>
                <w:color w:val="000000" w:themeColor="text1"/>
                <w:sz w:val="28"/>
                <w:szCs w:val="28"/>
              </w:rPr>
              <w:t xml:space="preserve">Knight </w:t>
            </w:r>
            <w:r>
              <w:rPr>
                <w:rFonts w:ascii="Calibri" w:hAnsi="Calibri"/>
                <w:b/>
                <w:color w:val="000000" w:themeColor="text1"/>
                <w:sz w:val="28"/>
                <w:szCs w:val="28"/>
              </w:rPr>
              <w:t>endorsed two different rationales for extending waiver to counterclaims—one that applies to counterclaims in recoupment, and another that applies to other compulsory counterclaims.  Are you invoking both rationales here?  If not, why not?</w:t>
            </w:r>
          </w:p>
        </w:tc>
        <w:tc>
          <w:tcPr>
            <w:tcW w:w="5904" w:type="dxa"/>
            <w:vAlign w:val="center"/>
          </w:tcPr>
          <w:p w14:paraId="137350E0" w14:textId="77777777" w:rsidR="000F7558" w:rsidRPr="008E4ECE"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Ericsson is drawing an analogy only to counterclaims in recoupment.  Those counterclaims, like affirmative defenses, serve only to defeat the state’s claim—not to impose any additional liability.  Ericsson’s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works </w:t>
            </w:r>
            <w:proofErr w:type="gramStart"/>
            <w:r>
              <w:rPr>
                <w:rFonts w:ascii="Calibri" w:eastAsia="Times New Roman" w:hAnsi="Calibri"/>
                <w:b/>
                <w:color w:val="000000" w:themeColor="text1"/>
                <w:sz w:val="22"/>
                <w:szCs w:val="22"/>
              </w:rPr>
              <w:t>exactly the same</w:t>
            </w:r>
            <w:proofErr w:type="gramEnd"/>
            <w:r>
              <w:rPr>
                <w:rFonts w:ascii="Calibri" w:eastAsia="Times New Roman" w:hAnsi="Calibri"/>
                <w:b/>
                <w:color w:val="000000" w:themeColor="text1"/>
                <w:sz w:val="22"/>
                <w:szCs w:val="22"/>
              </w:rPr>
              <w:t xml:space="preserve"> way:  As this Court has recognized, it is a “defensive measure” against the state’s infringement claims.  </w:t>
            </w:r>
            <w:proofErr w:type="spellStart"/>
            <w:r w:rsidRPr="008E4ECE">
              <w:rPr>
                <w:rFonts w:ascii="Calibri" w:eastAsia="Times New Roman" w:hAnsi="Calibri"/>
                <w:b/>
                <w:i/>
                <w:color w:val="000000" w:themeColor="text1"/>
                <w:sz w:val="22"/>
                <w:szCs w:val="22"/>
              </w:rPr>
              <w:t>WesternGeco</w:t>
            </w:r>
            <w:proofErr w:type="spellEnd"/>
            <w:r w:rsidRPr="008E4ECE">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at 1320.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Ericsson’s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just like a counterclaim in recoupment or affirmative defense, is “required” for a “complete determination” of the state’s claims.  </w:t>
            </w:r>
            <w:r>
              <w:rPr>
                <w:rFonts w:ascii="Calibri" w:eastAsia="Times New Roman" w:hAnsi="Calibri"/>
                <w:b/>
                <w:i/>
                <w:color w:val="000000" w:themeColor="text1"/>
                <w:sz w:val="22"/>
                <w:szCs w:val="22"/>
              </w:rPr>
              <w:t>Clark</w:t>
            </w:r>
            <w:r>
              <w:rPr>
                <w:rFonts w:ascii="Calibri" w:eastAsia="Times New Roman" w:hAnsi="Calibri"/>
                <w:b/>
                <w:color w:val="000000" w:themeColor="text1"/>
                <w:sz w:val="22"/>
                <w:szCs w:val="22"/>
              </w:rPr>
              <w:t xml:space="preserve"> at 448; </w:t>
            </w:r>
            <w:r>
              <w:rPr>
                <w:rFonts w:ascii="Calibri" w:eastAsia="Times New Roman" w:hAnsi="Calibri"/>
                <w:b/>
                <w:i/>
                <w:color w:val="000000" w:themeColor="text1"/>
                <w:sz w:val="22"/>
                <w:szCs w:val="22"/>
              </w:rPr>
              <w:t>see Knight</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rPr>
              <w:t>Genentech</w:t>
            </w:r>
            <w:r>
              <w:rPr>
                <w:rFonts w:ascii="Calibri" w:eastAsia="Times New Roman" w:hAnsi="Calibri"/>
                <w:b/>
                <w:color w:val="000000" w:themeColor="text1"/>
                <w:sz w:val="22"/>
                <w:szCs w:val="22"/>
              </w:rPr>
              <w:t>.</w:t>
            </w:r>
          </w:p>
          <w:p w14:paraId="46CF65F1" w14:textId="49F255AD"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 analogy resolves this case.  This Court has no need to consider the portion of </w:t>
            </w:r>
            <w:r>
              <w:rPr>
                <w:rFonts w:ascii="Calibri" w:eastAsia="Times New Roman" w:hAnsi="Calibri"/>
                <w:b/>
                <w:i/>
                <w:color w:val="000000" w:themeColor="text1"/>
                <w:sz w:val="22"/>
                <w:szCs w:val="22"/>
              </w:rPr>
              <w:t xml:space="preserve">Knight </w:t>
            </w:r>
            <w:r>
              <w:rPr>
                <w:rFonts w:ascii="Calibri" w:eastAsia="Times New Roman" w:hAnsi="Calibri"/>
                <w:b/>
                <w:color w:val="000000" w:themeColor="text1"/>
                <w:sz w:val="22"/>
                <w:szCs w:val="22"/>
              </w:rPr>
              <w:t>that deals with other compulsory counterclaims.</w:t>
            </w:r>
          </w:p>
        </w:tc>
        <w:tc>
          <w:tcPr>
            <w:tcW w:w="5904" w:type="dxa"/>
            <w:vAlign w:val="center"/>
          </w:tcPr>
          <w:p w14:paraId="1D869B8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0086C3E"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922FC5B" w14:textId="77777777" w:rsidTr="0010708E">
        <w:trPr>
          <w:trHeight w:val="4795"/>
        </w:trPr>
        <w:tc>
          <w:tcPr>
            <w:tcW w:w="5904" w:type="dxa"/>
            <w:vAlign w:val="center"/>
          </w:tcPr>
          <w:p w14:paraId="6B957ACB" w14:textId="1E37D95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is an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filed by a defendant in federal court akin to a counterclaim in recoupment or an affirmative defense?</w:t>
            </w:r>
          </w:p>
        </w:tc>
        <w:tc>
          <w:tcPr>
            <w:tcW w:w="5904" w:type="dxa"/>
            <w:vAlign w:val="center"/>
          </w:tcPr>
          <w:p w14:paraId="5F98E359"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For several reasons,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a complementary alternative to a counterclaim in recoupment or affirmative defense:</w:t>
            </w:r>
          </w:p>
          <w:p w14:paraId="0756AEE4" w14:textId="77777777" w:rsidR="000F7558" w:rsidRDefault="000F7558" w:rsidP="000F7558">
            <w:pPr>
              <w:pStyle w:val="ListParagraph"/>
              <w:numPr>
                <w:ilvl w:val="0"/>
                <w:numId w:val="13"/>
              </w:numPr>
              <w:spacing w:after="120"/>
              <w:ind w:left="56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It</w:t>
            </w:r>
            <w:r w:rsidRPr="009E4280">
              <w:rPr>
                <w:rFonts w:ascii="Calibri" w:eastAsia="Times New Roman" w:hAnsi="Calibri"/>
                <w:b/>
                <w:color w:val="000000" w:themeColor="text1"/>
                <w:sz w:val="22"/>
                <w:szCs w:val="22"/>
              </w:rPr>
              <w:t xml:space="preserve"> seeks only to defeat the state’s</w:t>
            </w:r>
            <w:r>
              <w:rPr>
                <w:rFonts w:ascii="Calibri" w:eastAsia="Times New Roman" w:hAnsi="Calibri"/>
                <w:b/>
                <w:color w:val="000000" w:themeColor="text1"/>
                <w:sz w:val="22"/>
                <w:szCs w:val="22"/>
              </w:rPr>
              <w:t xml:space="preserve"> infringement claims, not to impose distinct liability on the state.</w:t>
            </w:r>
          </w:p>
          <w:p w14:paraId="23802756" w14:textId="77777777" w:rsidR="000F7558" w:rsidRPr="009E4280" w:rsidRDefault="000F7558" w:rsidP="000F7558">
            <w:pPr>
              <w:pStyle w:val="ListParagraph"/>
              <w:numPr>
                <w:ilvl w:val="0"/>
                <w:numId w:val="13"/>
              </w:numPr>
              <w:spacing w:after="120"/>
              <w:ind w:left="56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It must be filed within one year of service of the complaint, on pain of waiver.  </w:t>
            </w:r>
            <w:r w:rsidRPr="009E4280">
              <w:rPr>
                <w:rFonts w:ascii="Calibri" w:eastAsia="Times New Roman" w:hAnsi="Calibri"/>
                <w:b/>
                <w:color w:val="000000" w:themeColor="text1"/>
                <w:sz w:val="22"/>
                <w:szCs w:val="22"/>
                <w:lang w:val="x-none"/>
              </w:rPr>
              <w:t>35 U.S.C. § 315(b).</w:t>
            </w:r>
          </w:p>
          <w:p w14:paraId="6094B33B" w14:textId="0671E52A" w:rsidR="000F7558" w:rsidRDefault="000F7558" w:rsidP="000F7558">
            <w:pPr>
              <w:spacing w:after="120"/>
              <w:ind w:left="200" w:right="245"/>
              <w:jc w:val="both"/>
              <w:rPr>
                <w:rFonts w:ascii="Calibri" w:eastAsia="Times New Roman" w:hAnsi="Calibri"/>
                <w:b/>
                <w:color w:val="000000" w:themeColor="text1"/>
                <w:sz w:val="22"/>
                <w:szCs w:val="22"/>
              </w:rPr>
            </w:pPr>
            <w:r w:rsidRPr="009E4280">
              <w:rPr>
                <w:rFonts w:ascii="Calibri" w:eastAsia="Times New Roman" w:hAnsi="Calibri"/>
                <w:b/>
                <w:color w:val="000000" w:themeColor="text1"/>
                <w:sz w:val="22"/>
                <w:szCs w:val="22"/>
              </w:rPr>
              <w:t xml:space="preserve">It </w:t>
            </w:r>
            <w:r w:rsidRPr="009E4280">
              <w:rPr>
                <w:rFonts w:ascii="Calibri" w:eastAsia="Times New Roman" w:hAnsi="Calibri"/>
                <w:b/>
                <w:color w:val="000000" w:themeColor="text1"/>
                <w:sz w:val="22"/>
                <w:szCs w:val="22"/>
                <w:lang w:val="x-none"/>
              </w:rPr>
              <w:t>resolves all validity issues “that</w:t>
            </w:r>
            <w:r w:rsidRPr="009E4280">
              <w:rPr>
                <w:rFonts w:ascii="Calibri" w:eastAsia="Times New Roman" w:hAnsi="Calibri"/>
                <w:b/>
                <w:color w:val="000000" w:themeColor="text1"/>
                <w:sz w:val="22"/>
                <w:szCs w:val="22"/>
              </w:rPr>
              <w:t xml:space="preserve"> </w:t>
            </w:r>
            <w:r w:rsidRPr="009E4280">
              <w:rPr>
                <w:rFonts w:ascii="Calibri" w:eastAsia="Times New Roman" w:hAnsi="Calibri"/>
                <w:b/>
                <w:color w:val="000000" w:themeColor="text1"/>
                <w:sz w:val="22"/>
                <w:szCs w:val="22"/>
                <w:lang w:val="x-none"/>
              </w:rPr>
              <w:t>the petitioner raised or reasonably could have raised” before the agency,</w:t>
            </w:r>
            <w:r w:rsidRPr="009E4280">
              <w:rPr>
                <w:rFonts w:ascii="Calibri" w:eastAsia="Times New Roman" w:hAnsi="Calibri"/>
                <w:b/>
                <w:color w:val="000000" w:themeColor="text1"/>
                <w:sz w:val="22"/>
                <w:szCs w:val="22"/>
              </w:rPr>
              <w:t xml:space="preserve"> </w:t>
            </w:r>
            <w:r w:rsidRPr="009E4280">
              <w:rPr>
                <w:rFonts w:ascii="Calibri" w:eastAsia="Times New Roman" w:hAnsi="Calibri"/>
                <w:b/>
                <w:color w:val="000000" w:themeColor="text1"/>
                <w:sz w:val="22"/>
                <w:szCs w:val="22"/>
                <w:lang w:val="x-none"/>
              </w:rPr>
              <w:t>estopping further litigation of those issues in district court</w:t>
            </w:r>
            <w:proofErr w:type="gramStart"/>
            <w:r w:rsidRPr="009E4280">
              <w:rPr>
                <w:rFonts w:ascii="Calibri" w:eastAsia="Times New Roman" w:hAnsi="Calibri"/>
                <w:b/>
                <w:color w:val="000000" w:themeColor="text1"/>
                <w:sz w:val="22"/>
                <w:szCs w:val="22"/>
                <w:lang w:val="x-none"/>
              </w:rPr>
              <w:t xml:space="preserve">. </w:t>
            </w:r>
            <w:proofErr w:type="gramEnd"/>
            <w:r w:rsidRPr="009E4280">
              <w:rPr>
                <w:rFonts w:ascii="Calibri" w:eastAsia="Times New Roman" w:hAnsi="Calibri"/>
                <w:b/>
                <w:color w:val="000000" w:themeColor="text1"/>
                <w:sz w:val="22"/>
                <w:szCs w:val="22"/>
                <w:lang w:val="x-none"/>
              </w:rPr>
              <w:t>35 U.S.C.</w:t>
            </w:r>
            <w:r>
              <w:rPr>
                <w:rFonts w:ascii="Calibri" w:eastAsia="Times New Roman" w:hAnsi="Calibri"/>
                <w:b/>
                <w:color w:val="000000" w:themeColor="text1"/>
                <w:sz w:val="22"/>
                <w:szCs w:val="22"/>
                <w:lang w:val="x-none"/>
              </w:rPr>
              <w:t xml:space="preserve"> </w:t>
            </w:r>
            <w:r w:rsidRPr="009E4280">
              <w:rPr>
                <w:rFonts w:ascii="Calibri" w:eastAsia="Times New Roman" w:hAnsi="Calibri"/>
                <w:b/>
                <w:color w:val="000000" w:themeColor="text1"/>
                <w:sz w:val="22"/>
                <w:szCs w:val="22"/>
                <w:lang w:val="x-none"/>
              </w:rPr>
              <w:t xml:space="preserve">§ 315(e)(2). And it applies retroactively. </w:t>
            </w:r>
            <w:r>
              <w:rPr>
                <w:rFonts w:ascii="Calibri" w:eastAsia="Times New Roman" w:hAnsi="Calibri"/>
                <w:b/>
                <w:color w:val="000000" w:themeColor="text1"/>
                <w:sz w:val="22"/>
                <w:szCs w:val="22"/>
              </w:rPr>
              <w:t xml:space="preserve"> </w:t>
            </w:r>
            <w:r w:rsidRPr="009E4280">
              <w:rPr>
                <w:rFonts w:ascii="Calibri" w:eastAsia="Times New Roman" w:hAnsi="Calibri"/>
                <w:b/>
                <w:i/>
                <w:color w:val="000000" w:themeColor="text1"/>
                <w:sz w:val="22"/>
                <w:szCs w:val="22"/>
                <w:lang w:val="x-none"/>
              </w:rPr>
              <w:t xml:space="preserve">See id. </w:t>
            </w:r>
            <w:r w:rsidRPr="009E4280">
              <w:rPr>
                <w:rFonts w:ascii="Calibri" w:eastAsia="Times New Roman" w:hAnsi="Calibri"/>
                <w:b/>
                <w:color w:val="000000" w:themeColor="text1"/>
                <w:sz w:val="22"/>
                <w:szCs w:val="22"/>
                <w:lang w:val="x-none"/>
              </w:rPr>
              <w:t>§§ 2</w:t>
            </w:r>
            <w:r>
              <w:rPr>
                <w:rFonts w:ascii="Calibri" w:eastAsia="Times New Roman" w:hAnsi="Calibri"/>
                <w:b/>
                <w:color w:val="000000" w:themeColor="text1"/>
                <w:sz w:val="22"/>
                <w:szCs w:val="22"/>
                <w:lang w:val="x-none"/>
              </w:rPr>
              <w:t>52, 318(c).</w:t>
            </w:r>
          </w:p>
        </w:tc>
        <w:tc>
          <w:tcPr>
            <w:tcW w:w="5904" w:type="dxa"/>
            <w:vAlign w:val="center"/>
          </w:tcPr>
          <w:p w14:paraId="43ACD771"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8D1F14D"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4B3F864" w14:textId="77777777" w:rsidTr="0010708E">
        <w:trPr>
          <w:trHeight w:val="4795"/>
        </w:trPr>
        <w:tc>
          <w:tcPr>
            <w:tcW w:w="5904" w:type="dxa"/>
            <w:vAlign w:val="center"/>
          </w:tcPr>
          <w:p w14:paraId="06F10B19" w14:textId="774CE908" w:rsidR="000F7558" w:rsidRDefault="000F7558" w:rsidP="000F7558">
            <w:pPr>
              <w:pStyle w:val="O-BodyText"/>
              <w:spacing w:afterLines="120" w:after="288"/>
              <w:ind w:right="108"/>
              <w:rPr>
                <w:rFonts w:ascii="Calibri" w:hAnsi="Calibri"/>
                <w:b/>
                <w:color w:val="000000" w:themeColor="text1"/>
                <w:sz w:val="28"/>
                <w:szCs w:val="28"/>
              </w:rPr>
            </w:pPr>
            <w:r w:rsidRPr="00EB3A92">
              <w:rPr>
                <w:rFonts w:ascii="Calibri" w:hAnsi="Calibri"/>
                <w:b/>
                <w:color w:val="000000" w:themeColor="text1"/>
                <w:sz w:val="28"/>
                <w:szCs w:val="28"/>
              </w:rPr>
              <w:t xml:space="preserve">You mention that an </w:t>
            </w:r>
            <w:proofErr w:type="spellStart"/>
            <w:r w:rsidRPr="00EB3A92">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w:t>
            </w:r>
            <w:r w:rsidRPr="00EB3A92">
              <w:rPr>
                <w:rFonts w:ascii="Calibri" w:hAnsi="Calibri"/>
                <w:b/>
                <w:color w:val="000000" w:themeColor="text1"/>
                <w:sz w:val="28"/>
                <w:szCs w:val="28"/>
              </w:rPr>
              <w:t xml:space="preserve"> must be filed within one year of service of the complaint.  Was Ericsson, as an intervenor in the district court, subject to that rule?</w:t>
            </w:r>
          </w:p>
        </w:tc>
        <w:tc>
          <w:tcPr>
            <w:tcW w:w="5904" w:type="dxa"/>
            <w:vAlign w:val="center"/>
          </w:tcPr>
          <w:p w14:paraId="68437C45" w14:textId="5C94D226"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Yes.  We were served once we became a party, and we petitioned within a year of that date.</w:t>
            </w:r>
          </w:p>
        </w:tc>
        <w:tc>
          <w:tcPr>
            <w:tcW w:w="5904" w:type="dxa"/>
            <w:vAlign w:val="center"/>
          </w:tcPr>
          <w:p w14:paraId="00035A2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BA56F8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5BBD0C3" w14:textId="77777777" w:rsidTr="0010708E">
        <w:trPr>
          <w:trHeight w:val="4795"/>
        </w:trPr>
        <w:tc>
          <w:tcPr>
            <w:tcW w:w="5904" w:type="dxa"/>
            <w:vAlign w:val="center"/>
          </w:tcPr>
          <w:p w14:paraId="68761B6B" w14:textId="2144B377" w:rsidR="000F7558" w:rsidRPr="00EB3A92"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 urge us to analogize your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to a counterclaim in recoupment.  But don’t your fellow appellees, LSI and Avago, rely instead on the portion of </w:t>
            </w:r>
            <w:r>
              <w:rPr>
                <w:rFonts w:ascii="Calibri" w:hAnsi="Calibri"/>
                <w:b/>
                <w:i/>
                <w:color w:val="000000" w:themeColor="text1"/>
                <w:sz w:val="28"/>
                <w:szCs w:val="28"/>
              </w:rPr>
              <w:t xml:space="preserve">Knight </w:t>
            </w:r>
            <w:r>
              <w:rPr>
                <w:rFonts w:ascii="Calibri" w:hAnsi="Calibri"/>
                <w:b/>
                <w:color w:val="000000" w:themeColor="text1"/>
                <w:sz w:val="28"/>
                <w:szCs w:val="28"/>
              </w:rPr>
              <w:t>that extended waiver to other compulsory counterclaims, on the theory that they were foreseeable to the state?  And doesn’t the U.S., as amicus, do the same?</w:t>
            </w:r>
          </w:p>
        </w:tc>
        <w:tc>
          <w:tcPr>
            <w:tcW w:w="5904" w:type="dxa"/>
            <w:vAlign w:val="center"/>
          </w:tcPr>
          <w:p w14:paraId="1606C232" w14:textId="63A5A1E9"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and that portion of </w:t>
            </w:r>
            <w:r>
              <w:rPr>
                <w:rFonts w:ascii="Calibri" w:eastAsia="Times New Roman" w:hAnsi="Calibri"/>
                <w:b/>
                <w:i/>
                <w:color w:val="000000" w:themeColor="text1"/>
                <w:sz w:val="22"/>
                <w:szCs w:val="22"/>
              </w:rPr>
              <w:t xml:space="preserve">Knight </w:t>
            </w:r>
            <w:r>
              <w:rPr>
                <w:rFonts w:ascii="Calibri" w:eastAsia="Times New Roman" w:hAnsi="Calibri"/>
                <w:b/>
                <w:color w:val="000000" w:themeColor="text1"/>
                <w:sz w:val="22"/>
                <w:szCs w:val="22"/>
              </w:rPr>
              <w:t xml:space="preserve">may well lend further support to the waiver finding here.  We just don’t think this Court needs to reach the issue because </w:t>
            </w:r>
            <w:r>
              <w:rPr>
                <w:rFonts w:ascii="Calibri" w:eastAsia="Times New Roman" w:hAnsi="Calibri"/>
                <w:b/>
                <w:i/>
                <w:color w:val="000000" w:themeColor="text1"/>
                <w:sz w:val="22"/>
                <w:szCs w:val="22"/>
              </w:rPr>
              <w:t xml:space="preserve">Genentech </w:t>
            </w:r>
            <w:r>
              <w:rPr>
                <w:rFonts w:ascii="Calibri" w:eastAsia="Times New Roman" w:hAnsi="Calibri"/>
                <w:b/>
                <w:color w:val="000000" w:themeColor="text1"/>
                <w:sz w:val="22"/>
                <w:szCs w:val="22"/>
              </w:rPr>
              <w:t xml:space="preserve">and </w:t>
            </w:r>
            <w:r>
              <w:rPr>
                <w:rFonts w:ascii="Calibri" w:eastAsia="Times New Roman" w:hAnsi="Calibri"/>
                <w:b/>
                <w:i/>
                <w:color w:val="000000" w:themeColor="text1"/>
                <w:sz w:val="22"/>
                <w:szCs w:val="22"/>
              </w:rPr>
              <w:t>Knight</w:t>
            </w:r>
            <w:r>
              <w:rPr>
                <w:rFonts w:ascii="Calibri" w:eastAsia="Times New Roman" w:hAnsi="Calibri"/>
                <w:b/>
                <w:color w:val="000000" w:themeColor="text1"/>
                <w:sz w:val="22"/>
                <w:szCs w:val="22"/>
              </w:rPr>
              <w:t>’s holding regarding counterclaims in recoupment suffices to decide the case.</w:t>
            </w:r>
          </w:p>
        </w:tc>
        <w:tc>
          <w:tcPr>
            <w:tcW w:w="5904" w:type="dxa"/>
            <w:vAlign w:val="center"/>
          </w:tcPr>
          <w:p w14:paraId="1C54C857"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B9672B7"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E730F94" w14:textId="77777777" w:rsidTr="0010708E">
        <w:trPr>
          <w:trHeight w:val="4795"/>
        </w:trPr>
        <w:tc>
          <w:tcPr>
            <w:tcW w:w="5904" w:type="dxa"/>
            <w:vAlign w:val="center"/>
          </w:tcPr>
          <w:p w14:paraId="0E426DD7" w14:textId="4F298791"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You urge us to analogize your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to a counterclaim in recoupment.  But didn’t the </w:t>
            </w:r>
            <w:proofErr w:type="spellStart"/>
            <w:r>
              <w:rPr>
                <w:rFonts w:ascii="Calibri" w:hAnsi="Calibri"/>
                <w:b/>
                <w:color w:val="000000" w:themeColor="text1"/>
                <w:sz w:val="28"/>
                <w:szCs w:val="28"/>
              </w:rPr>
              <w:t>PTAB</w:t>
            </w:r>
            <w:proofErr w:type="spellEnd"/>
            <w:r>
              <w:rPr>
                <w:rFonts w:ascii="Calibri" w:hAnsi="Calibri"/>
                <w:b/>
                <w:color w:val="000000" w:themeColor="text1"/>
                <w:sz w:val="28"/>
                <w:szCs w:val="28"/>
              </w:rPr>
              <w:t xml:space="preserve"> rely instead on the portion of </w:t>
            </w:r>
            <w:r>
              <w:rPr>
                <w:rFonts w:ascii="Calibri" w:hAnsi="Calibri"/>
                <w:b/>
                <w:i/>
                <w:color w:val="000000" w:themeColor="text1"/>
                <w:sz w:val="28"/>
                <w:szCs w:val="28"/>
              </w:rPr>
              <w:t xml:space="preserve">Knight </w:t>
            </w:r>
            <w:r>
              <w:rPr>
                <w:rFonts w:ascii="Calibri" w:hAnsi="Calibri"/>
                <w:b/>
                <w:color w:val="000000" w:themeColor="text1"/>
                <w:sz w:val="28"/>
                <w:szCs w:val="28"/>
              </w:rPr>
              <w:t>that extended waiver to other compulsory counterclaims, on the theory that they were foreseeable to the state?</w:t>
            </w:r>
          </w:p>
        </w:tc>
        <w:tc>
          <w:tcPr>
            <w:tcW w:w="5904" w:type="dxa"/>
            <w:vAlign w:val="center"/>
          </w:tcPr>
          <w:p w14:paraId="257C8675" w14:textId="0742A79C"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and that portion of </w:t>
            </w:r>
            <w:r>
              <w:rPr>
                <w:rFonts w:ascii="Calibri" w:eastAsia="Times New Roman" w:hAnsi="Calibri"/>
                <w:b/>
                <w:i/>
                <w:color w:val="000000" w:themeColor="text1"/>
                <w:sz w:val="22"/>
                <w:szCs w:val="22"/>
              </w:rPr>
              <w:t xml:space="preserve">Knight </w:t>
            </w:r>
            <w:r>
              <w:rPr>
                <w:rFonts w:ascii="Calibri" w:eastAsia="Times New Roman" w:hAnsi="Calibri"/>
                <w:b/>
                <w:color w:val="000000" w:themeColor="text1"/>
                <w:sz w:val="22"/>
                <w:szCs w:val="22"/>
              </w:rPr>
              <w:t xml:space="preserve">may well lend further support to the waiver finding here.  We just don’t think this Court needs to reach the issue because </w:t>
            </w:r>
            <w:r>
              <w:rPr>
                <w:rFonts w:ascii="Calibri" w:eastAsia="Times New Roman" w:hAnsi="Calibri"/>
                <w:b/>
                <w:i/>
                <w:color w:val="000000" w:themeColor="text1"/>
                <w:sz w:val="22"/>
                <w:szCs w:val="22"/>
              </w:rPr>
              <w:t xml:space="preserve">Genentech </w:t>
            </w:r>
            <w:r>
              <w:rPr>
                <w:rFonts w:ascii="Calibri" w:eastAsia="Times New Roman" w:hAnsi="Calibri"/>
                <w:b/>
                <w:color w:val="000000" w:themeColor="text1"/>
                <w:sz w:val="22"/>
                <w:szCs w:val="22"/>
              </w:rPr>
              <w:t xml:space="preserve">and </w:t>
            </w:r>
            <w:r>
              <w:rPr>
                <w:rFonts w:ascii="Calibri" w:eastAsia="Times New Roman" w:hAnsi="Calibri"/>
                <w:b/>
                <w:i/>
                <w:color w:val="000000" w:themeColor="text1"/>
                <w:sz w:val="22"/>
                <w:szCs w:val="22"/>
              </w:rPr>
              <w:t>Knight</w:t>
            </w:r>
            <w:r>
              <w:rPr>
                <w:rFonts w:ascii="Calibri" w:eastAsia="Times New Roman" w:hAnsi="Calibri"/>
                <w:b/>
                <w:color w:val="000000" w:themeColor="text1"/>
                <w:sz w:val="22"/>
                <w:szCs w:val="22"/>
              </w:rPr>
              <w:t>’s holding regarding counterclaims in recoupment suffices to decide the case.</w:t>
            </w:r>
          </w:p>
        </w:tc>
        <w:tc>
          <w:tcPr>
            <w:tcW w:w="5904" w:type="dxa"/>
            <w:vAlign w:val="center"/>
          </w:tcPr>
          <w:p w14:paraId="353EF69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B85FE21"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90C253C" w14:textId="77777777" w:rsidTr="0010708E">
        <w:trPr>
          <w:trHeight w:val="4795"/>
        </w:trPr>
        <w:tc>
          <w:tcPr>
            <w:tcW w:w="5904" w:type="dxa"/>
            <w:vAlign w:val="center"/>
          </w:tcPr>
          <w:p w14:paraId="7E0ACC1A" w14:textId="21FD4ABC"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has the Federal Circuit said about waiver by litigation </w:t>
            </w:r>
            <w:proofErr w:type="gramStart"/>
            <w:r>
              <w:rPr>
                <w:rFonts w:ascii="Calibri" w:hAnsi="Calibri"/>
                <w:b/>
                <w:color w:val="000000" w:themeColor="text1"/>
                <w:sz w:val="28"/>
                <w:szCs w:val="28"/>
              </w:rPr>
              <w:t>with regard to</w:t>
            </w:r>
            <w:proofErr w:type="gramEnd"/>
            <w:r>
              <w:rPr>
                <w:rFonts w:ascii="Calibri" w:hAnsi="Calibri"/>
                <w:b/>
                <w:color w:val="000000" w:themeColor="text1"/>
                <w:sz w:val="28"/>
                <w:szCs w:val="28"/>
              </w:rPr>
              <w:t xml:space="preserve"> separate declaratory judgment actions filed by a defendant?</w:t>
            </w:r>
          </w:p>
        </w:tc>
        <w:tc>
          <w:tcPr>
            <w:tcW w:w="5904" w:type="dxa"/>
            <w:vAlign w:val="center"/>
          </w:tcPr>
          <w:p w14:paraId="7F44ECD0" w14:textId="0D28E345"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When a state files suit in district court, its waiver may not extend to a separate declaratory judgment action filed by a defendant.  </w:t>
            </w:r>
            <w:proofErr w:type="spellStart"/>
            <w:r>
              <w:rPr>
                <w:rFonts w:ascii="Calibri" w:eastAsia="Times New Roman" w:hAnsi="Calibri"/>
                <w:b/>
                <w:i/>
                <w:color w:val="000000" w:themeColor="text1"/>
                <w:sz w:val="22"/>
                <w:szCs w:val="22"/>
              </w:rPr>
              <w:t>Tegic</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and </w:t>
            </w:r>
            <w:r>
              <w:rPr>
                <w:rFonts w:ascii="Calibri" w:eastAsia="Times New Roman" w:hAnsi="Calibri"/>
                <w:b/>
                <w:i/>
                <w:color w:val="000000" w:themeColor="text1"/>
                <w:sz w:val="22"/>
                <w:szCs w:val="22"/>
              </w:rPr>
              <w:t>A123 Systems</w:t>
            </w:r>
            <w:r w:rsidRPr="00100988">
              <w:rPr>
                <w:rFonts w:ascii="Calibri" w:eastAsia="Times New Roman" w:hAnsi="Calibri"/>
                <w:b/>
                <w:i/>
                <w:color w:val="000000" w:themeColor="text1"/>
                <w:sz w:val="22"/>
                <w:szCs w:val="22"/>
              </w:rPr>
              <w:t xml:space="preserve"> v. Hydro-Quebec</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w:t>
            </w:r>
            <w:proofErr w:type="spellStart"/>
            <w:r>
              <w:rPr>
                <w:rFonts w:ascii="Calibri" w:eastAsia="Times New Roman" w:hAnsi="Calibri"/>
                <w:b/>
                <w:color w:val="000000" w:themeColor="text1"/>
                <w:sz w:val="22"/>
                <w:szCs w:val="22"/>
              </w:rPr>
              <w:t>CAFC</w:t>
            </w:r>
            <w:proofErr w:type="spellEnd"/>
            <w:r>
              <w:rPr>
                <w:rFonts w:ascii="Calibri" w:eastAsia="Times New Roman" w:hAnsi="Calibri"/>
                <w:b/>
                <w:color w:val="000000" w:themeColor="text1"/>
                <w:sz w:val="22"/>
                <w:szCs w:val="22"/>
              </w:rPr>
              <w:t xml:space="preserve"> 2010) point in that direction, but they don’t establish a categorical rule.</w:t>
            </w:r>
          </w:p>
        </w:tc>
        <w:tc>
          <w:tcPr>
            <w:tcW w:w="5904" w:type="dxa"/>
            <w:vAlign w:val="center"/>
          </w:tcPr>
          <w:p w14:paraId="123DF30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DA0488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7554709" w14:textId="77777777" w:rsidTr="0010708E">
        <w:trPr>
          <w:trHeight w:val="4795"/>
        </w:trPr>
        <w:tc>
          <w:tcPr>
            <w:tcW w:w="5904" w:type="dxa"/>
            <w:vAlign w:val="center"/>
          </w:tcPr>
          <w:p w14:paraId="5F87947D" w14:textId="4D9322F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I take your point that an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filed by a defendant in federal court could effectively defeat the state’s claims.  But </w:t>
            </w:r>
            <w:proofErr w:type="gramStart"/>
            <w:r>
              <w:rPr>
                <w:rFonts w:ascii="Calibri" w:hAnsi="Calibri"/>
                <w:b/>
                <w:color w:val="000000" w:themeColor="text1"/>
                <w:sz w:val="28"/>
                <w:szCs w:val="28"/>
              </w:rPr>
              <w:t>so</w:t>
            </w:r>
            <w:proofErr w:type="gramEnd"/>
            <w:r>
              <w:rPr>
                <w:rFonts w:ascii="Calibri" w:hAnsi="Calibri"/>
                <w:b/>
                <w:color w:val="000000" w:themeColor="text1"/>
                <w:sz w:val="28"/>
                <w:szCs w:val="28"/>
              </w:rPr>
              <w:t xml:space="preserve"> could a separate declaratory judgment action, which would presumably fall outside the scope of the state’s waiver by litigation.  Isn’t that a better analogy than a counterclaim, since an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(like a declaratory judgment action) is an entirely separate action with its own docket number, etc.?</w:t>
            </w:r>
          </w:p>
        </w:tc>
        <w:tc>
          <w:tcPr>
            <w:tcW w:w="5904" w:type="dxa"/>
            <w:vAlign w:val="center"/>
          </w:tcPr>
          <w:p w14:paraId="20B18A38"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not an entirely separate action.  It’s a statutory defense that works in tandem with the state’s district court case.  That’s clear from two features of the AIA:</w:t>
            </w:r>
          </w:p>
          <w:p w14:paraId="56103F10" w14:textId="77777777" w:rsidR="000F7558" w:rsidRPr="00330606" w:rsidRDefault="000F7558" w:rsidP="000F7558">
            <w:pPr>
              <w:pStyle w:val="ListParagraph"/>
              <w:numPr>
                <w:ilvl w:val="0"/>
                <w:numId w:val="14"/>
              </w:numPr>
              <w:spacing w:after="120"/>
              <w:ind w:left="56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S</w:t>
            </w:r>
            <w:r w:rsidRPr="00330606">
              <w:rPr>
                <w:rFonts w:ascii="Calibri" w:eastAsia="Times New Roman" w:hAnsi="Calibri"/>
                <w:b/>
                <w:color w:val="000000" w:themeColor="text1"/>
                <w:sz w:val="22"/>
                <w:szCs w:val="22"/>
              </w:rPr>
              <w:t xml:space="preserve">ervice of the state’s complaint triggers a one-year window for filing an </w:t>
            </w:r>
            <w:proofErr w:type="spellStart"/>
            <w:r w:rsidRPr="00330606">
              <w:rPr>
                <w:rFonts w:ascii="Calibri" w:eastAsia="Times New Roman" w:hAnsi="Calibri"/>
                <w:b/>
                <w:color w:val="000000" w:themeColor="text1"/>
                <w:sz w:val="22"/>
                <w:szCs w:val="22"/>
              </w:rPr>
              <w:t>IPR</w:t>
            </w:r>
            <w:proofErr w:type="spellEnd"/>
            <w:r w:rsidRPr="00330606">
              <w:rPr>
                <w:rFonts w:ascii="Calibri" w:eastAsia="Times New Roman" w:hAnsi="Calibri"/>
                <w:b/>
                <w:color w:val="000000" w:themeColor="text1"/>
                <w:sz w:val="22"/>
                <w:szCs w:val="22"/>
              </w:rPr>
              <w:t xml:space="preserve"> petition.</w:t>
            </w:r>
          </w:p>
          <w:p w14:paraId="485035E8" w14:textId="77777777" w:rsidR="000F7558" w:rsidRPr="00330606" w:rsidRDefault="000F7558" w:rsidP="000F7558">
            <w:pPr>
              <w:pStyle w:val="ListParagraph"/>
              <w:numPr>
                <w:ilvl w:val="0"/>
                <w:numId w:val="14"/>
              </w:numPr>
              <w:spacing w:after="120"/>
              <w:ind w:left="56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A</w:t>
            </w:r>
            <w:r w:rsidRPr="00330606">
              <w:rPr>
                <w:rFonts w:ascii="Calibri" w:eastAsia="Times New Roman" w:hAnsi="Calibri"/>
                <w:b/>
                <w:color w:val="000000" w:themeColor="text1"/>
                <w:sz w:val="22"/>
                <w:szCs w:val="22"/>
              </w:rPr>
              <w:t xml:space="preserve">n </w:t>
            </w:r>
            <w:proofErr w:type="spellStart"/>
            <w:r w:rsidRPr="00330606">
              <w:rPr>
                <w:rFonts w:ascii="Calibri" w:eastAsia="Times New Roman" w:hAnsi="Calibri"/>
                <w:b/>
                <w:color w:val="000000" w:themeColor="text1"/>
                <w:sz w:val="22"/>
                <w:szCs w:val="22"/>
              </w:rPr>
              <w:t>IPR</w:t>
            </w:r>
            <w:proofErr w:type="spellEnd"/>
            <w:r w:rsidRPr="00330606">
              <w:rPr>
                <w:rFonts w:ascii="Calibri" w:eastAsia="Times New Roman" w:hAnsi="Calibri"/>
                <w:b/>
                <w:color w:val="000000" w:themeColor="text1"/>
                <w:sz w:val="22"/>
                <w:szCs w:val="22"/>
              </w:rPr>
              <w:t xml:space="preserve"> </w:t>
            </w:r>
            <w:r w:rsidRPr="00330606">
              <w:rPr>
                <w:rFonts w:ascii="Calibri" w:eastAsia="Times New Roman" w:hAnsi="Calibri"/>
                <w:b/>
                <w:color w:val="000000" w:themeColor="text1"/>
                <w:sz w:val="22"/>
                <w:szCs w:val="22"/>
                <w:lang w:val="x-none"/>
              </w:rPr>
              <w:t>resolves all validity issues “that</w:t>
            </w:r>
            <w:r w:rsidRPr="00330606">
              <w:rPr>
                <w:rFonts w:ascii="Calibri" w:eastAsia="Times New Roman" w:hAnsi="Calibri"/>
                <w:b/>
                <w:color w:val="000000" w:themeColor="text1"/>
                <w:sz w:val="22"/>
                <w:szCs w:val="22"/>
              </w:rPr>
              <w:t xml:space="preserve"> </w:t>
            </w:r>
            <w:r w:rsidRPr="00330606">
              <w:rPr>
                <w:rFonts w:ascii="Calibri" w:eastAsia="Times New Roman" w:hAnsi="Calibri"/>
                <w:b/>
                <w:color w:val="000000" w:themeColor="text1"/>
                <w:sz w:val="22"/>
                <w:szCs w:val="22"/>
                <w:lang w:val="x-none"/>
              </w:rPr>
              <w:t>the petitioner raised or reasonably could have raised” before the agency,</w:t>
            </w:r>
            <w:r w:rsidRPr="00330606">
              <w:rPr>
                <w:rFonts w:ascii="Calibri" w:eastAsia="Times New Roman" w:hAnsi="Calibri"/>
                <w:b/>
                <w:color w:val="000000" w:themeColor="text1"/>
                <w:sz w:val="22"/>
                <w:szCs w:val="22"/>
              </w:rPr>
              <w:t xml:space="preserve"> </w:t>
            </w:r>
            <w:r w:rsidRPr="00330606">
              <w:rPr>
                <w:rFonts w:ascii="Calibri" w:eastAsia="Times New Roman" w:hAnsi="Calibri"/>
                <w:b/>
                <w:color w:val="000000" w:themeColor="text1"/>
                <w:sz w:val="22"/>
                <w:szCs w:val="22"/>
                <w:lang w:val="x-none"/>
              </w:rPr>
              <w:t>estopping further litigation of those issues in district court</w:t>
            </w:r>
            <w:proofErr w:type="gramStart"/>
            <w:r w:rsidRPr="00330606">
              <w:rPr>
                <w:rFonts w:ascii="Calibri" w:eastAsia="Times New Roman" w:hAnsi="Calibri"/>
                <w:b/>
                <w:color w:val="000000" w:themeColor="text1"/>
                <w:sz w:val="22"/>
                <w:szCs w:val="22"/>
                <w:lang w:val="x-none"/>
              </w:rPr>
              <w:t xml:space="preserve">. </w:t>
            </w:r>
            <w:proofErr w:type="gramEnd"/>
            <w:r w:rsidRPr="00330606">
              <w:rPr>
                <w:rFonts w:ascii="Calibri" w:eastAsia="Times New Roman" w:hAnsi="Calibri"/>
                <w:b/>
                <w:color w:val="000000" w:themeColor="text1"/>
                <w:sz w:val="22"/>
                <w:szCs w:val="22"/>
                <w:lang w:val="x-none"/>
              </w:rPr>
              <w:t>35 U.S.C. § 315(e)(2</w:t>
            </w:r>
            <w:r>
              <w:rPr>
                <w:rFonts w:ascii="Calibri" w:eastAsia="Times New Roman" w:hAnsi="Calibri"/>
                <w:b/>
                <w:color w:val="000000" w:themeColor="text1"/>
                <w:sz w:val="22"/>
                <w:szCs w:val="22"/>
              </w:rPr>
              <w:t xml:space="preserve">); </w:t>
            </w:r>
            <w:r>
              <w:rPr>
                <w:rFonts w:ascii="Calibri" w:eastAsia="Times New Roman" w:hAnsi="Calibri"/>
                <w:b/>
                <w:i/>
                <w:color w:val="000000" w:themeColor="text1"/>
                <w:sz w:val="22"/>
                <w:szCs w:val="22"/>
                <w:lang w:val="x-none"/>
              </w:rPr>
              <w:t>s</w:t>
            </w:r>
            <w:r w:rsidRPr="00330606">
              <w:rPr>
                <w:rFonts w:ascii="Calibri" w:eastAsia="Times New Roman" w:hAnsi="Calibri"/>
                <w:b/>
                <w:i/>
                <w:color w:val="000000" w:themeColor="text1"/>
                <w:sz w:val="22"/>
                <w:szCs w:val="22"/>
                <w:lang w:val="x-none"/>
              </w:rPr>
              <w:t xml:space="preserve">ee id. </w:t>
            </w:r>
            <w:r w:rsidRPr="00330606">
              <w:rPr>
                <w:rFonts w:ascii="Calibri" w:eastAsia="Times New Roman" w:hAnsi="Calibri"/>
                <w:b/>
                <w:color w:val="000000" w:themeColor="text1"/>
                <w:sz w:val="22"/>
                <w:szCs w:val="22"/>
                <w:lang w:val="x-none"/>
              </w:rPr>
              <w:t>§§ 252, 318(c).</w:t>
            </w:r>
          </w:p>
          <w:p w14:paraId="6F5859A0" w14:textId="4830F11A"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By statutory design, therefore,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shifts a portion of the patent dispute to an administrative venue.  The </w:t>
            </w:r>
            <w:r w:rsidRPr="00330606">
              <w:rPr>
                <w:rFonts w:ascii="Calibri" w:eastAsia="Times New Roman" w:hAnsi="Calibri"/>
                <w:b/>
                <w:color w:val="000000" w:themeColor="text1"/>
                <w:sz w:val="22"/>
                <w:szCs w:val="22"/>
              </w:rPr>
              <w:t xml:space="preserve">district court </w:t>
            </w:r>
            <w:r>
              <w:rPr>
                <w:rFonts w:ascii="Calibri" w:eastAsia="Times New Roman" w:hAnsi="Calibri"/>
                <w:b/>
                <w:color w:val="000000" w:themeColor="text1"/>
                <w:sz w:val="22"/>
                <w:szCs w:val="22"/>
              </w:rPr>
              <w:t>said so here</w:t>
            </w:r>
            <w:r w:rsidRPr="00330606">
              <w:rPr>
                <w:rFonts w:ascii="Calibri" w:eastAsia="Times New Roman" w:hAnsi="Calibri"/>
                <w:b/>
                <w:color w:val="000000" w:themeColor="text1"/>
                <w:sz w:val="22"/>
                <w:szCs w:val="22"/>
              </w:rPr>
              <w:t>,</w:t>
            </w:r>
            <w:r>
              <w:rPr>
                <w:rFonts w:ascii="Calibri" w:eastAsia="Times New Roman" w:hAnsi="Calibri"/>
                <w:b/>
                <w:color w:val="000000" w:themeColor="text1"/>
                <w:sz w:val="22"/>
                <w:szCs w:val="22"/>
              </w:rPr>
              <w:t xml:space="preserve"> noting that</w:t>
            </w:r>
            <w:r w:rsidRPr="00330606">
              <w:rPr>
                <w:rFonts w:ascii="Calibri" w:eastAsia="Times New Roman" w:hAnsi="Calibri"/>
                <w:b/>
                <w:color w:val="000000" w:themeColor="text1"/>
                <w:sz w:val="22"/>
                <w:szCs w:val="22"/>
              </w:rPr>
              <w:t xml:space="preserve"> Ericsson’s requested </w:t>
            </w:r>
            <w:proofErr w:type="spellStart"/>
            <w:r w:rsidRPr="00330606">
              <w:rPr>
                <w:rFonts w:ascii="Calibri" w:eastAsia="Times New Roman" w:hAnsi="Calibri"/>
                <w:b/>
                <w:color w:val="000000" w:themeColor="text1"/>
                <w:sz w:val="22"/>
                <w:szCs w:val="22"/>
              </w:rPr>
              <w:t>IPR</w:t>
            </w:r>
            <w:r>
              <w:rPr>
                <w:rFonts w:ascii="Calibri" w:eastAsia="Times New Roman" w:hAnsi="Calibri"/>
                <w:b/>
                <w:color w:val="000000" w:themeColor="text1"/>
                <w:sz w:val="22"/>
                <w:szCs w:val="22"/>
              </w:rPr>
              <w:t>s</w:t>
            </w:r>
            <w:proofErr w:type="spellEnd"/>
            <w:r>
              <w:rPr>
                <w:rFonts w:ascii="Calibri" w:eastAsia="Times New Roman" w:hAnsi="Calibri"/>
                <w:b/>
                <w:color w:val="000000" w:themeColor="text1"/>
                <w:sz w:val="22"/>
                <w:szCs w:val="22"/>
              </w:rPr>
              <w:t xml:space="preserve"> promise</w:t>
            </w:r>
            <w:r w:rsidRPr="00330606">
              <w:rPr>
                <w:rFonts w:ascii="Calibri" w:eastAsia="Times New Roman" w:hAnsi="Calibri"/>
                <w:b/>
                <w:color w:val="000000" w:themeColor="text1"/>
                <w:sz w:val="22"/>
                <w:szCs w:val="22"/>
              </w:rPr>
              <w:t xml:space="preserve"> to “simplify</w:t>
            </w:r>
            <w:r>
              <w:rPr>
                <w:rFonts w:ascii="Calibri" w:eastAsia="Times New Roman" w:hAnsi="Calibri"/>
                <w:b/>
                <w:color w:val="000000" w:themeColor="text1"/>
                <w:sz w:val="22"/>
                <w:szCs w:val="22"/>
              </w:rPr>
              <w:t xml:space="preserve"> </w:t>
            </w:r>
            <w:r w:rsidRPr="00330606">
              <w:rPr>
                <w:rFonts w:ascii="Calibri" w:eastAsia="Times New Roman" w:hAnsi="Calibri"/>
                <w:b/>
                <w:color w:val="000000" w:themeColor="text1"/>
                <w:sz w:val="22"/>
                <w:szCs w:val="22"/>
              </w:rPr>
              <w:t>the issues” by “shift[</w:t>
            </w:r>
            <w:proofErr w:type="spellStart"/>
            <w:r w:rsidRPr="00330606">
              <w:rPr>
                <w:rFonts w:ascii="Calibri" w:eastAsia="Times New Roman" w:hAnsi="Calibri"/>
                <w:b/>
                <w:color w:val="000000" w:themeColor="text1"/>
                <w:sz w:val="22"/>
                <w:szCs w:val="22"/>
              </w:rPr>
              <w:t>ing</w:t>
            </w:r>
            <w:proofErr w:type="spellEnd"/>
            <w:r w:rsidRPr="00330606">
              <w:rPr>
                <w:rFonts w:ascii="Calibri" w:eastAsia="Times New Roman" w:hAnsi="Calibri"/>
                <w:b/>
                <w:color w:val="000000" w:themeColor="text1"/>
                <w:sz w:val="22"/>
                <w:szCs w:val="22"/>
              </w:rPr>
              <w:t>]” the “parties’ dispute … temporarily from this</w:t>
            </w:r>
            <w:r>
              <w:rPr>
                <w:rFonts w:ascii="Calibri" w:eastAsia="Times New Roman" w:hAnsi="Calibri"/>
                <w:b/>
                <w:color w:val="000000" w:themeColor="text1"/>
                <w:sz w:val="22"/>
                <w:szCs w:val="22"/>
              </w:rPr>
              <w:t xml:space="preserve"> </w:t>
            </w:r>
            <w:r w:rsidRPr="00330606">
              <w:rPr>
                <w:rFonts w:ascii="Calibri" w:eastAsia="Times New Roman" w:hAnsi="Calibri"/>
                <w:b/>
                <w:color w:val="000000" w:themeColor="text1"/>
                <w:sz w:val="22"/>
                <w:szCs w:val="22"/>
              </w:rPr>
              <w:t>forum to the USPTO.”</w:t>
            </w:r>
            <w:r>
              <w:rPr>
                <w:rFonts w:ascii="Calibri" w:eastAsia="Times New Roman" w:hAnsi="Calibri"/>
                <w:b/>
                <w:color w:val="000000" w:themeColor="text1"/>
                <w:sz w:val="22"/>
                <w:szCs w:val="22"/>
              </w:rPr>
              <w:t xml:space="preserve">  It’s all part of a single statutory system—unlike a separate declaratory judgment action.</w:t>
            </w:r>
          </w:p>
        </w:tc>
        <w:tc>
          <w:tcPr>
            <w:tcW w:w="5904" w:type="dxa"/>
            <w:vAlign w:val="center"/>
          </w:tcPr>
          <w:p w14:paraId="2B73344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DA96A0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363AAAC" w14:textId="77777777" w:rsidTr="0010708E">
        <w:trPr>
          <w:trHeight w:val="4795"/>
        </w:trPr>
        <w:tc>
          <w:tcPr>
            <w:tcW w:w="5904" w:type="dxa"/>
            <w:vAlign w:val="center"/>
          </w:tcPr>
          <w:p w14:paraId="7C66023F" w14:textId="3197671F"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does 35 U.S.C. § 315(a)(1) say about the relationship between a defendant’s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and a defendant’s separate declaratory judgment action challenging patent validity?</w:t>
            </w:r>
          </w:p>
        </w:tc>
        <w:tc>
          <w:tcPr>
            <w:tcW w:w="5904" w:type="dxa"/>
            <w:vAlign w:val="center"/>
          </w:tcPr>
          <w:p w14:paraId="70712757" w14:textId="185BD38D"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If a party has already filed a declaratory judgment action, the party can’t petition for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w:t>
            </w:r>
          </w:p>
        </w:tc>
        <w:tc>
          <w:tcPr>
            <w:tcW w:w="5904" w:type="dxa"/>
            <w:vAlign w:val="center"/>
          </w:tcPr>
          <w:p w14:paraId="3FFF299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AEA8E5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FEC70C5" w14:textId="77777777" w:rsidTr="0010708E">
        <w:trPr>
          <w:trHeight w:val="4795"/>
        </w:trPr>
        <w:tc>
          <w:tcPr>
            <w:tcW w:w="5904" w:type="dxa"/>
            <w:vAlign w:val="center"/>
          </w:tcPr>
          <w:p w14:paraId="01CE1C3E" w14:textId="5CAF2A74"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does 35 U.S.C. § 315(a)(2) say about the relationship between a defendant’s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and a defendant’s separate declaratory judgment action challenging patent validity?</w:t>
            </w:r>
          </w:p>
        </w:tc>
        <w:tc>
          <w:tcPr>
            <w:tcW w:w="5904" w:type="dxa"/>
            <w:vAlign w:val="center"/>
          </w:tcPr>
          <w:p w14:paraId="46FC8BC4" w14:textId="77777777" w:rsidR="000F7558" w:rsidRPr="009D0C9C"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If a party files a declaratory judgment action </w:t>
            </w:r>
            <w:r>
              <w:rPr>
                <w:rFonts w:ascii="Calibri" w:eastAsia="Times New Roman" w:hAnsi="Calibri"/>
                <w:b/>
                <w:color w:val="000000" w:themeColor="text1"/>
                <w:sz w:val="22"/>
                <w:szCs w:val="22"/>
                <w:u w:val="single"/>
              </w:rPr>
              <w:t>after</w:t>
            </w:r>
            <w:r>
              <w:rPr>
                <w:rFonts w:ascii="Calibri" w:eastAsia="Times New Roman" w:hAnsi="Calibri"/>
                <w:b/>
                <w:color w:val="000000" w:themeColor="text1"/>
                <w:sz w:val="22"/>
                <w:szCs w:val="22"/>
              </w:rPr>
              <w:t xml:space="preserve"> petitioning for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the declaratory judgment action is automatically stayed until:</w:t>
            </w:r>
          </w:p>
          <w:p w14:paraId="618AC00F" w14:textId="77777777" w:rsidR="000F7558" w:rsidRDefault="000F7558" w:rsidP="000F7558">
            <w:pPr>
              <w:pStyle w:val="ListParagraph"/>
              <w:numPr>
                <w:ilvl w:val="0"/>
                <w:numId w:val="15"/>
              </w:numPr>
              <w:spacing w:after="120"/>
              <w:ind w:right="245"/>
              <w:jc w:val="both"/>
              <w:rPr>
                <w:rFonts w:ascii="Calibri" w:eastAsia="Times New Roman" w:hAnsi="Calibri"/>
                <w:b/>
                <w:color w:val="000000" w:themeColor="text1"/>
                <w:sz w:val="22"/>
                <w:szCs w:val="22"/>
              </w:rPr>
            </w:pPr>
            <w:r w:rsidRPr="009D0C9C">
              <w:rPr>
                <w:rFonts w:ascii="Calibri" w:eastAsia="Times New Roman" w:hAnsi="Calibri"/>
                <w:b/>
                <w:color w:val="000000" w:themeColor="text1"/>
                <w:sz w:val="22"/>
                <w:szCs w:val="22"/>
              </w:rPr>
              <w:t>the patent owner m</w:t>
            </w:r>
            <w:r>
              <w:rPr>
                <w:rFonts w:ascii="Calibri" w:eastAsia="Times New Roman" w:hAnsi="Calibri"/>
                <w:b/>
                <w:color w:val="000000" w:themeColor="text1"/>
                <w:sz w:val="22"/>
                <w:szCs w:val="22"/>
              </w:rPr>
              <w:t>oves the court to lift the stay</w:t>
            </w:r>
          </w:p>
          <w:p w14:paraId="22F6E1D5" w14:textId="77777777" w:rsidR="000F7558" w:rsidRDefault="000F7558" w:rsidP="000F7558">
            <w:pPr>
              <w:pStyle w:val="ListParagraph"/>
              <w:numPr>
                <w:ilvl w:val="0"/>
                <w:numId w:val="15"/>
              </w:numPr>
              <w:spacing w:after="120"/>
              <w:ind w:right="245"/>
              <w:jc w:val="both"/>
              <w:rPr>
                <w:rFonts w:ascii="Calibri" w:eastAsia="Times New Roman" w:hAnsi="Calibri"/>
                <w:b/>
                <w:color w:val="000000" w:themeColor="text1"/>
                <w:sz w:val="22"/>
                <w:szCs w:val="22"/>
              </w:rPr>
            </w:pPr>
            <w:r w:rsidRPr="009D0C9C">
              <w:rPr>
                <w:rFonts w:ascii="Calibri" w:eastAsia="Times New Roman" w:hAnsi="Calibri"/>
                <w:b/>
                <w:color w:val="000000" w:themeColor="text1"/>
                <w:sz w:val="22"/>
                <w:szCs w:val="22"/>
              </w:rPr>
              <w:t xml:space="preserve">the patent owner files a civil action or counterclaim </w:t>
            </w:r>
            <w:r>
              <w:rPr>
                <w:rFonts w:ascii="Calibri" w:eastAsia="Times New Roman" w:hAnsi="Calibri"/>
                <w:b/>
                <w:color w:val="000000" w:themeColor="text1"/>
                <w:sz w:val="22"/>
                <w:szCs w:val="22"/>
              </w:rPr>
              <w:t>for patent infringement</w:t>
            </w:r>
          </w:p>
          <w:p w14:paraId="5B1E165E" w14:textId="74426ECF" w:rsidR="000F7558" w:rsidRDefault="000F7558" w:rsidP="000F7558">
            <w:pPr>
              <w:spacing w:after="120"/>
              <w:ind w:left="200" w:right="245"/>
              <w:jc w:val="both"/>
              <w:rPr>
                <w:rFonts w:ascii="Calibri" w:eastAsia="Times New Roman" w:hAnsi="Calibri"/>
                <w:b/>
                <w:color w:val="000000" w:themeColor="text1"/>
                <w:sz w:val="22"/>
                <w:szCs w:val="22"/>
              </w:rPr>
            </w:pPr>
            <w:r w:rsidRPr="00EA4C23">
              <w:rPr>
                <w:rFonts w:ascii="Calibri" w:eastAsia="Times New Roman" w:hAnsi="Calibri"/>
                <w:b/>
                <w:color w:val="000000" w:themeColor="text1"/>
                <w:sz w:val="22"/>
                <w:szCs w:val="22"/>
              </w:rPr>
              <w:t xml:space="preserve">the </w:t>
            </w:r>
            <w:r>
              <w:rPr>
                <w:rFonts w:ascii="Calibri" w:eastAsia="Times New Roman" w:hAnsi="Calibri"/>
                <w:b/>
                <w:color w:val="000000" w:themeColor="text1"/>
                <w:sz w:val="22"/>
                <w:szCs w:val="22"/>
              </w:rPr>
              <w:t>petitioner</w:t>
            </w:r>
            <w:r w:rsidRPr="00EA4C23">
              <w:rPr>
                <w:rFonts w:ascii="Calibri" w:eastAsia="Times New Roman" w:hAnsi="Calibri"/>
                <w:b/>
                <w:color w:val="000000" w:themeColor="text1"/>
                <w:sz w:val="22"/>
                <w:szCs w:val="22"/>
              </w:rPr>
              <w:t xml:space="preserve"> moves to dismiss the declaratory judgment action</w:t>
            </w:r>
          </w:p>
        </w:tc>
        <w:tc>
          <w:tcPr>
            <w:tcW w:w="5904" w:type="dxa"/>
            <w:vAlign w:val="center"/>
          </w:tcPr>
          <w:p w14:paraId="2C4CF58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F753E8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E00F7D0" w14:textId="77777777" w:rsidTr="0010708E">
        <w:trPr>
          <w:trHeight w:val="4795"/>
        </w:trPr>
        <w:tc>
          <w:tcPr>
            <w:tcW w:w="5904" w:type="dxa"/>
            <w:vAlign w:val="center"/>
          </w:tcPr>
          <w:p w14:paraId="54764248" w14:textId="762FB502" w:rsidR="000F7558" w:rsidRDefault="000F7558" w:rsidP="000F7558">
            <w:pPr>
              <w:pStyle w:val="O-BodyText"/>
              <w:spacing w:afterLines="120" w:after="288"/>
              <w:ind w:right="108"/>
              <w:rPr>
                <w:rFonts w:ascii="Calibri" w:hAnsi="Calibri"/>
                <w:b/>
                <w:color w:val="000000" w:themeColor="text1"/>
                <w:sz w:val="28"/>
                <w:szCs w:val="28"/>
              </w:rPr>
            </w:pPr>
            <w:r w:rsidRPr="00F21EA2">
              <w:rPr>
                <w:rFonts w:ascii="Calibri" w:hAnsi="Calibri"/>
                <w:b/>
                <w:color w:val="000000" w:themeColor="text1"/>
                <w:sz w:val="28"/>
                <w:szCs w:val="28"/>
              </w:rPr>
              <w:lastRenderedPageBreak/>
              <w:br/>
              <w:t xml:space="preserve">Don’t 35 U.S.C. § 315(a)(1) and (a)(2) show that a defendant must choose between an </w:t>
            </w:r>
            <w:proofErr w:type="spellStart"/>
            <w:r w:rsidRPr="00F21EA2">
              <w:rPr>
                <w:rFonts w:ascii="Calibri" w:hAnsi="Calibri"/>
                <w:b/>
                <w:color w:val="000000" w:themeColor="text1"/>
                <w:sz w:val="28"/>
                <w:szCs w:val="28"/>
              </w:rPr>
              <w:t>IPR</w:t>
            </w:r>
            <w:proofErr w:type="spellEnd"/>
            <w:r w:rsidRPr="00F21EA2">
              <w:rPr>
                <w:rFonts w:ascii="Calibri" w:hAnsi="Calibri"/>
                <w:b/>
                <w:color w:val="000000" w:themeColor="text1"/>
                <w:sz w:val="28"/>
                <w:szCs w:val="28"/>
              </w:rPr>
              <w:t xml:space="preserve"> and a declaratory judgment action—suggesting they’re equivalent?</w:t>
            </w:r>
          </w:p>
        </w:tc>
        <w:tc>
          <w:tcPr>
            <w:tcW w:w="5904" w:type="dxa"/>
            <w:vAlign w:val="center"/>
          </w:tcPr>
          <w:p w14:paraId="57D9AF14" w14:textId="1F4014C0" w:rsidR="000F7558" w:rsidRDefault="000F7558" w:rsidP="000F7558">
            <w:pPr>
              <w:spacing w:after="120"/>
              <w:ind w:left="200" w:right="245"/>
              <w:jc w:val="both"/>
              <w:rPr>
                <w:rFonts w:ascii="Calibri" w:eastAsia="Times New Roman" w:hAnsi="Calibri"/>
                <w:b/>
                <w:color w:val="000000" w:themeColor="text1"/>
                <w:sz w:val="22"/>
                <w:szCs w:val="22"/>
              </w:rPr>
            </w:pPr>
            <w:r w:rsidRPr="00F21EA2">
              <w:rPr>
                <w:rFonts w:ascii="Calibri" w:eastAsia="Times New Roman" w:hAnsi="Calibri"/>
                <w:b/>
                <w:color w:val="000000" w:themeColor="text1"/>
                <w:sz w:val="22"/>
                <w:szCs w:val="22"/>
              </w:rPr>
              <w:t xml:space="preserve">No.  Those provisions </w:t>
            </w:r>
            <w:proofErr w:type="gramStart"/>
            <w:r w:rsidRPr="00F21EA2">
              <w:rPr>
                <w:rFonts w:ascii="Calibri" w:eastAsia="Times New Roman" w:hAnsi="Calibri"/>
                <w:b/>
                <w:color w:val="000000" w:themeColor="text1"/>
                <w:sz w:val="22"/>
                <w:szCs w:val="22"/>
              </w:rPr>
              <w:t>actually show</w:t>
            </w:r>
            <w:proofErr w:type="gramEnd"/>
            <w:r w:rsidRPr="00F21EA2">
              <w:rPr>
                <w:rFonts w:ascii="Calibri" w:eastAsia="Times New Roman" w:hAnsi="Calibri"/>
                <w:b/>
                <w:color w:val="000000" w:themeColor="text1"/>
                <w:sz w:val="22"/>
                <w:szCs w:val="22"/>
              </w:rPr>
              <w:t xml:space="preserve"> that a party can pursue both an </w:t>
            </w:r>
            <w:proofErr w:type="spellStart"/>
            <w:r w:rsidRPr="00F21EA2">
              <w:rPr>
                <w:rFonts w:ascii="Calibri" w:eastAsia="Times New Roman" w:hAnsi="Calibri"/>
                <w:b/>
                <w:color w:val="000000" w:themeColor="text1"/>
                <w:sz w:val="22"/>
                <w:szCs w:val="22"/>
              </w:rPr>
              <w:t>IPR</w:t>
            </w:r>
            <w:proofErr w:type="spellEnd"/>
            <w:r w:rsidRPr="00F21EA2">
              <w:rPr>
                <w:rFonts w:ascii="Calibri" w:eastAsia="Times New Roman" w:hAnsi="Calibri"/>
                <w:b/>
                <w:color w:val="000000" w:themeColor="text1"/>
                <w:sz w:val="22"/>
                <w:szCs w:val="22"/>
              </w:rPr>
              <w:t xml:space="preserve"> and a declaratory judgment action if the patentee files claims for patent infringement—that is, if the </w:t>
            </w:r>
            <w:proofErr w:type="spellStart"/>
            <w:r w:rsidRPr="00F21EA2">
              <w:rPr>
                <w:rFonts w:ascii="Calibri" w:eastAsia="Times New Roman" w:hAnsi="Calibri"/>
                <w:b/>
                <w:color w:val="000000" w:themeColor="text1"/>
                <w:sz w:val="22"/>
                <w:szCs w:val="22"/>
              </w:rPr>
              <w:t>IPR</w:t>
            </w:r>
            <w:proofErr w:type="spellEnd"/>
            <w:r w:rsidRPr="00F21EA2">
              <w:rPr>
                <w:rFonts w:ascii="Calibri" w:eastAsia="Times New Roman" w:hAnsi="Calibri"/>
                <w:b/>
                <w:color w:val="000000" w:themeColor="text1"/>
                <w:sz w:val="22"/>
                <w:szCs w:val="22"/>
              </w:rPr>
              <w:t xml:space="preserve"> serves as a defensive measure.</w:t>
            </w:r>
          </w:p>
        </w:tc>
        <w:tc>
          <w:tcPr>
            <w:tcW w:w="5904" w:type="dxa"/>
            <w:vAlign w:val="center"/>
          </w:tcPr>
          <w:p w14:paraId="551E73D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0C4E2C2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68697897" w14:textId="77777777" w:rsidTr="0010708E">
        <w:trPr>
          <w:trHeight w:val="4795"/>
        </w:trPr>
        <w:tc>
          <w:tcPr>
            <w:tcW w:w="5904" w:type="dxa"/>
            <w:vAlign w:val="center"/>
          </w:tcPr>
          <w:p w14:paraId="61CFED58" w14:textId="31442DE5" w:rsidR="000F7558" w:rsidRPr="00F21EA2"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does 35 U.S.C. § 315(a)(3) say about the relationship between a defendant’s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petition and a defendant’s counterclaim challenging patent validity?</w:t>
            </w:r>
          </w:p>
        </w:tc>
        <w:tc>
          <w:tcPr>
            <w:tcW w:w="5904" w:type="dxa"/>
            <w:vAlign w:val="center"/>
          </w:tcPr>
          <w:p w14:paraId="00D138C4" w14:textId="1FA17965" w:rsidR="000F7558" w:rsidRPr="00F21EA2"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It clarifies that such a counterclaim doesn’t trigger any of the provisions of § 315(a)(1) or (a)(2).  </w:t>
            </w:r>
            <w:proofErr w:type="gramStart"/>
            <w:r>
              <w:rPr>
                <w:rFonts w:ascii="Calibri" w:eastAsia="Times New Roman" w:hAnsi="Calibri"/>
                <w:b/>
                <w:color w:val="000000" w:themeColor="text1"/>
                <w:sz w:val="22"/>
                <w:szCs w:val="22"/>
              </w:rPr>
              <w:t>So</w:t>
            </w:r>
            <w:proofErr w:type="gramEnd"/>
            <w:r>
              <w:rPr>
                <w:rFonts w:ascii="Calibri" w:eastAsia="Times New Roman" w:hAnsi="Calibri"/>
                <w:b/>
                <w:color w:val="000000" w:themeColor="text1"/>
                <w:sz w:val="22"/>
                <w:szCs w:val="22"/>
              </w:rPr>
              <w:t xml:space="preserve"> it has no impact on the defendant’s ability to petition for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and vice versa.</w:t>
            </w:r>
          </w:p>
        </w:tc>
        <w:tc>
          <w:tcPr>
            <w:tcW w:w="5904" w:type="dxa"/>
            <w:vAlign w:val="center"/>
          </w:tcPr>
          <w:p w14:paraId="757B6AFA"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AC3E65F"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78D5D97" w14:textId="77777777" w:rsidTr="0010708E">
        <w:trPr>
          <w:trHeight w:val="4795"/>
        </w:trPr>
        <w:tc>
          <w:tcPr>
            <w:tcW w:w="5904" w:type="dxa"/>
            <w:vAlign w:val="center"/>
          </w:tcPr>
          <w:p w14:paraId="5F8FF3B2" w14:textId="254C3888" w:rsidR="000F7558" w:rsidRDefault="000F7558" w:rsidP="000F7558">
            <w:pPr>
              <w:pStyle w:val="O-BodyText"/>
              <w:spacing w:afterLines="120" w:after="288"/>
              <w:ind w:right="108"/>
              <w:rPr>
                <w:rFonts w:ascii="Calibri" w:hAnsi="Calibri"/>
                <w:b/>
                <w:color w:val="000000" w:themeColor="text1"/>
                <w:sz w:val="28"/>
                <w:szCs w:val="28"/>
              </w:rPr>
            </w:pPr>
            <w:r w:rsidRPr="00F21EA2">
              <w:rPr>
                <w:rFonts w:ascii="Calibri" w:hAnsi="Calibri"/>
                <w:b/>
                <w:color w:val="000000" w:themeColor="text1"/>
                <w:sz w:val="28"/>
                <w:szCs w:val="28"/>
              </w:rPr>
              <w:t xml:space="preserve">Doesn’t 35 U.S.C. § 315(a)(3) show that a defendant’s </w:t>
            </w:r>
            <w:proofErr w:type="spellStart"/>
            <w:r w:rsidRPr="00F21EA2">
              <w:rPr>
                <w:rFonts w:ascii="Calibri" w:hAnsi="Calibri"/>
                <w:b/>
                <w:color w:val="000000" w:themeColor="text1"/>
                <w:sz w:val="28"/>
                <w:szCs w:val="28"/>
              </w:rPr>
              <w:t>IPR</w:t>
            </w:r>
            <w:proofErr w:type="spellEnd"/>
            <w:r w:rsidRPr="00F21EA2">
              <w:rPr>
                <w:rFonts w:ascii="Calibri" w:hAnsi="Calibri"/>
                <w:b/>
                <w:color w:val="000000" w:themeColor="text1"/>
                <w:sz w:val="28"/>
                <w:szCs w:val="28"/>
              </w:rPr>
              <w:t xml:space="preserve"> is </w:t>
            </w:r>
            <w:r w:rsidRPr="00F21EA2">
              <w:rPr>
                <w:rFonts w:ascii="Calibri" w:hAnsi="Calibri"/>
                <w:b/>
                <w:color w:val="000000" w:themeColor="text1"/>
                <w:sz w:val="28"/>
                <w:szCs w:val="28"/>
                <w:u w:val="single"/>
              </w:rPr>
              <w:t>not</w:t>
            </w:r>
            <w:r w:rsidRPr="00F21EA2">
              <w:rPr>
                <w:rFonts w:ascii="Calibri" w:hAnsi="Calibri"/>
                <w:b/>
                <w:color w:val="000000" w:themeColor="text1"/>
                <w:sz w:val="28"/>
                <w:szCs w:val="28"/>
              </w:rPr>
              <w:t xml:space="preserve"> a defensive measure comparable to a counterclaim, since the defendant can bring both simultaneously?</w:t>
            </w:r>
          </w:p>
        </w:tc>
        <w:tc>
          <w:tcPr>
            <w:tcW w:w="5904" w:type="dxa"/>
            <w:vAlign w:val="center"/>
          </w:tcPr>
          <w:p w14:paraId="3084EE17" w14:textId="7821889A" w:rsidR="000F7558" w:rsidRDefault="000F7558" w:rsidP="000F7558">
            <w:pPr>
              <w:spacing w:after="120"/>
              <w:ind w:left="200" w:right="245"/>
              <w:jc w:val="both"/>
              <w:rPr>
                <w:rFonts w:ascii="Calibri" w:eastAsia="Times New Roman" w:hAnsi="Calibri"/>
                <w:b/>
                <w:color w:val="000000" w:themeColor="text1"/>
                <w:sz w:val="22"/>
                <w:szCs w:val="22"/>
              </w:rPr>
            </w:pPr>
            <w:r w:rsidRPr="00F21EA2">
              <w:rPr>
                <w:rFonts w:ascii="Calibri" w:eastAsia="Times New Roman" w:hAnsi="Calibri"/>
                <w:b/>
                <w:color w:val="000000" w:themeColor="text1"/>
                <w:sz w:val="22"/>
                <w:szCs w:val="22"/>
              </w:rPr>
              <w:t xml:space="preserve">The statute doesn’t support that inference.  Defendants are free to pursue a range of defensive measures at the same time, including counterclaims and affirmative defenses.  It makes sense that a defendant’s </w:t>
            </w:r>
            <w:proofErr w:type="spellStart"/>
            <w:r w:rsidRPr="00F21EA2">
              <w:rPr>
                <w:rFonts w:ascii="Calibri" w:eastAsia="Times New Roman" w:hAnsi="Calibri"/>
                <w:b/>
                <w:color w:val="000000" w:themeColor="text1"/>
                <w:sz w:val="22"/>
                <w:szCs w:val="22"/>
              </w:rPr>
              <w:t>IPR</w:t>
            </w:r>
            <w:proofErr w:type="spellEnd"/>
            <w:r w:rsidRPr="00F21EA2">
              <w:rPr>
                <w:rFonts w:ascii="Calibri" w:eastAsia="Times New Roman" w:hAnsi="Calibri"/>
                <w:b/>
                <w:color w:val="000000" w:themeColor="text1"/>
                <w:sz w:val="22"/>
                <w:szCs w:val="22"/>
              </w:rPr>
              <w:t xml:space="preserve">, </w:t>
            </w:r>
            <w:proofErr w:type="gramStart"/>
            <w:r w:rsidRPr="00F21EA2">
              <w:rPr>
                <w:rFonts w:ascii="Calibri" w:eastAsia="Times New Roman" w:hAnsi="Calibri"/>
                <w:b/>
                <w:color w:val="000000" w:themeColor="text1"/>
                <w:sz w:val="22"/>
                <w:szCs w:val="22"/>
              </w:rPr>
              <w:t>as yet</w:t>
            </w:r>
            <w:proofErr w:type="gramEnd"/>
            <w:r w:rsidRPr="00F21EA2">
              <w:rPr>
                <w:rFonts w:ascii="Calibri" w:eastAsia="Times New Roman" w:hAnsi="Calibri"/>
                <w:b/>
                <w:color w:val="000000" w:themeColor="text1"/>
                <w:sz w:val="22"/>
                <w:szCs w:val="22"/>
              </w:rPr>
              <w:t xml:space="preserve"> another defensive measure, would be treated the same way.</w:t>
            </w:r>
          </w:p>
        </w:tc>
        <w:tc>
          <w:tcPr>
            <w:tcW w:w="5904" w:type="dxa"/>
            <w:vAlign w:val="center"/>
          </w:tcPr>
          <w:p w14:paraId="76AEAB43"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5ED316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BFA36EE" w14:textId="77777777" w:rsidTr="0010708E">
        <w:trPr>
          <w:trHeight w:val="4795"/>
        </w:trPr>
        <w:tc>
          <w:tcPr>
            <w:tcW w:w="5904" w:type="dxa"/>
            <w:vAlign w:val="center"/>
          </w:tcPr>
          <w:p w14:paraId="27AC6D9E" w14:textId="391A1DCE" w:rsidR="000F7558" w:rsidRPr="00F21EA2"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You’re portraying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as intertwined with district court litigation in a single statutory scheme.  But isn’t it true that</w:t>
            </w:r>
            <w:r w:rsidRPr="00330606">
              <w:rPr>
                <w:rFonts w:ascii="Calibri" w:hAnsi="Calibri"/>
                <w:b/>
                <w:color w:val="000000" w:themeColor="text1"/>
                <w:sz w:val="28"/>
                <w:szCs w:val="28"/>
              </w:rPr>
              <w:t xml:space="preserve"> “</w:t>
            </w:r>
            <w:proofErr w:type="spellStart"/>
            <w:r w:rsidRPr="00330606">
              <w:rPr>
                <w:rFonts w:ascii="Calibri" w:hAnsi="Calibri"/>
                <w:b/>
                <w:color w:val="000000" w:themeColor="text1"/>
                <w:sz w:val="28"/>
                <w:szCs w:val="28"/>
              </w:rPr>
              <w:t>IPRs</w:t>
            </w:r>
            <w:proofErr w:type="spellEnd"/>
            <w:r w:rsidRPr="00330606">
              <w:rPr>
                <w:rFonts w:ascii="Calibri" w:hAnsi="Calibri"/>
                <w:b/>
                <w:color w:val="000000" w:themeColor="text1"/>
                <w:sz w:val="28"/>
                <w:szCs w:val="28"/>
              </w:rPr>
              <w:t xml:space="preserve"> proceed independently of district court</w:t>
            </w:r>
            <w:r>
              <w:rPr>
                <w:rFonts w:ascii="Calibri" w:hAnsi="Calibri"/>
                <w:b/>
                <w:color w:val="000000" w:themeColor="text1"/>
                <w:sz w:val="28"/>
                <w:szCs w:val="28"/>
              </w:rPr>
              <w:t xml:space="preserve"> </w:t>
            </w:r>
            <w:r w:rsidRPr="00330606">
              <w:rPr>
                <w:rFonts w:ascii="Calibri" w:hAnsi="Calibri"/>
                <w:b/>
                <w:color w:val="000000" w:themeColor="text1"/>
                <w:sz w:val="28"/>
                <w:szCs w:val="28"/>
              </w:rPr>
              <w:t>litigation, and can reach different results” that are “separately</w:t>
            </w:r>
            <w:r>
              <w:rPr>
                <w:rFonts w:ascii="Calibri" w:hAnsi="Calibri"/>
                <w:b/>
                <w:color w:val="000000" w:themeColor="text1"/>
                <w:sz w:val="28"/>
                <w:szCs w:val="28"/>
              </w:rPr>
              <w:t xml:space="preserve"> appealed,” OB 40-41?</w:t>
            </w:r>
          </w:p>
        </w:tc>
        <w:tc>
          <w:tcPr>
            <w:tcW w:w="5904" w:type="dxa"/>
            <w:vAlign w:val="center"/>
          </w:tcPr>
          <w:p w14:paraId="39F63D68" w14:textId="77777777" w:rsidR="000F7558" w:rsidRDefault="000F7558" w:rsidP="000F7558">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The state’s district court litigation and a defendant’s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are not independent.  District court litigation triggers a one-year window in which to file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And once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resolved, its outcome gives rise to estoppel in federal court.  It’s true, as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notes, that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may give rise to its own appeal in the Federal Circuit.  But that doesn’t change the bottom line: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a statutorily authorized defense to district court litigation and ultimately controls on validity issues.</w:t>
            </w:r>
          </w:p>
          <w:p w14:paraId="1CF60378" w14:textId="369E82E4" w:rsidR="000F7558" w:rsidRPr="00F21EA2"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For that reason, district courts often stay all proceedings while a related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plays out, as the courts below did here.</w:t>
            </w:r>
          </w:p>
        </w:tc>
        <w:tc>
          <w:tcPr>
            <w:tcW w:w="5904" w:type="dxa"/>
            <w:vAlign w:val="center"/>
          </w:tcPr>
          <w:p w14:paraId="24EFC77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DC50FC2"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D5C4078" w14:textId="77777777" w:rsidTr="0010708E">
        <w:trPr>
          <w:trHeight w:val="4795"/>
        </w:trPr>
        <w:tc>
          <w:tcPr>
            <w:tcW w:w="5904" w:type="dxa"/>
            <w:vAlign w:val="center"/>
          </w:tcPr>
          <w:p w14:paraId="6BC4A339" w14:textId="67221415"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Let’s say a patentee serves a patent infringement complaint on you.  A week later, the patentee voluntarily dismisses the action without prejudice.  Are you still required to petition for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within one year under § 315(c), on pain of waiver?</w:t>
            </w:r>
          </w:p>
        </w:tc>
        <w:tc>
          <w:tcPr>
            <w:tcW w:w="5904" w:type="dxa"/>
            <w:vAlign w:val="center"/>
          </w:tcPr>
          <w:p w14:paraId="71B6C32E" w14:textId="21695753" w:rsidR="000F7558" w:rsidRDefault="000F7558" w:rsidP="000F7558">
            <w:pPr>
              <w:spacing w:after="120"/>
              <w:ind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This Court, sitting </w:t>
            </w:r>
            <w:proofErr w:type="spellStart"/>
            <w:r>
              <w:rPr>
                <w:rFonts w:ascii="Calibri" w:eastAsia="Times New Roman" w:hAnsi="Calibri"/>
                <w:b/>
                <w:color w:val="000000" w:themeColor="text1"/>
                <w:sz w:val="22"/>
                <w:szCs w:val="22"/>
              </w:rPr>
              <w:t>en</w:t>
            </w:r>
            <w:proofErr w:type="spellEnd"/>
            <w:r>
              <w:rPr>
                <w:rFonts w:ascii="Calibri" w:eastAsia="Times New Roman" w:hAnsi="Calibri"/>
                <w:b/>
                <w:color w:val="000000" w:themeColor="text1"/>
                <w:sz w:val="22"/>
                <w:szCs w:val="22"/>
              </w:rPr>
              <w:t xml:space="preserve"> banc, so held in </w:t>
            </w:r>
            <w:r>
              <w:rPr>
                <w:rFonts w:ascii="Calibri" w:eastAsia="Times New Roman" w:hAnsi="Calibri"/>
                <w:b/>
                <w:i/>
                <w:color w:val="000000" w:themeColor="text1"/>
                <w:sz w:val="22"/>
                <w:szCs w:val="22"/>
              </w:rPr>
              <w:t>Click-To-Call Technologies</w:t>
            </w:r>
            <w:r w:rsidRPr="000F57D0">
              <w:rPr>
                <w:rFonts w:ascii="Calibri" w:eastAsia="Times New Roman" w:hAnsi="Calibri"/>
                <w:b/>
                <w:i/>
                <w:color w:val="000000" w:themeColor="text1"/>
                <w:sz w:val="22"/>
                <w:szCs w:val="22"/>
              </w:rPr>
              <w:t xml:space="preserve"> v. </w:t>
            </w:r>
            <w:proofErr w:type="spellStart"/>
            <w:r w:rsidRPr="000F57D0">
              <w:rPr>
                <w:rFonts w:ascii="Calibri" w:eastAsia="Times New Roman" w:hAnsi="Calibri"/>
                <w:b/>
                <w:i/>
                <w:color w:val="000000" w:themeColor="text1"/>
                <w:sz w:val="22"/>
                <w:szCs w:val="22"/>
              </w:rPr>
              <w:t>Ingenio</w:t>
            </w:r>
            <w:proofErr w:type="spellEnd"/>
            <w:r w:rsidRPr="000F57D0">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CAFC</w:t>
            </w:r>
            <w:proofErr w:type="spellEnd"/>
            <w:r w:rsidRPr="000F57D0">
              <w:rPr>
                <w:rFonts w:ascii="Calibri" w:eastAsia="Times New Roman" w:hAnsi="Calibri"/>
                <w:b/>
                <w:color w:val="000000" w:themeColor="text1"/>
                <w:sz w:val="22"/>
                <w:szCs w:val="22"/>
              </w:rPr>
              <w:t xml:space="preserve"> 2018).</w:t>
            </w:r>
          </w:p>
        </w:tc>
        <w:tc>
          <w:tcPr>
            <w:tcW w:w="5904" w:type="dxa"/>
            <w:vAlign w:val="center"/>
          </w:tcPr>
          <w:p w14:paraId="0B6AB71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17FFDA0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55423041" w14:textId="77777777" w:rsidTr="0010708E">
        <w:trPr>
          <w:trHeight w:val="4795"/>
        </w:trPr>
        <w:tc>
          <w:tcPr>
            <w:tcW w:w="5904" w:type="dxa"/>
            <w:vAlign w:val="center"/>
          </w:tcPr>
          <w:p w14:paraId="5EC6CD4E" w14:textId="674201C1" w:rsidR="000F7558" w:rsidRDefault="000F7558" w:rsidP="000F7558">
            <w:pPr>
              <w:pStyle w:val="O-BodyText"/>
              <w:spacing w:afterLines="120" w:after="288"/>
              <w:ind w:right="108"/>
              <w:rPr>
                <w:rFonts w:ascii="Calibri" w:hAnsi="Calibri"/>
                <w:b/>
                <w:color w:val="000000" w:themeColor="text1"/>
                <w:sz w:val="28"/>
                <w:szCs w:val="28"/>
              </w:rPr>
            </w:pPr>
            <w:r w:rsidRPr="008546B9">
              <w:rPr>
                <w:rFonts w:ascii="Calibri" w:hAnsi="Calibri"/>
                <w:b/>
                <w:color w:val="000000" w:themeColor="text1"/>
                <w:sz w:val="28"/>
                <w:szCs w:val="28"/>
              </w:rPr>
              <w:t>You agree that § 315(c)’s one-ye</w:t>
            </w:r>
            <w:bookmarkStart w:id="1" w:name="_GoBack"/>
            <w:bookmarkEnd w:id="1"/>
            <w:r w:rsidRPr="008546B9">
              <w:rPr>
                <w:rFonts w:ascii="Calibri" w:hAnsi="Calibri"/>
                <w:b/>
                <w:color w:val="000000" w:themeColor="text1"/>
                <w:sz w:val="28"/>
                <w:szCs w:val="28"/>
              </w:rPr>
              <w:t xml:space="preserve">ar window for filing an </w:t>
            </w:r>
            <w:proofErr w:type="spellStart"/>
            <w:r w:rsidRPr="008546B9">
              <w:rPr>
                <w:rFonts w:ascii="Calibri" w:hAnsi="Calibri"/>
                <w:b/>
                <w:color w:val="000000" w:themeColor="text1"/>
                <w:sz w:val="28"/>
                <w:szCs w:val="28"/>
              </w:rPr>
              <w:t>IPR</w:t>
            </w:r>
            <w:proofErr w:type="spellEnd"/>
            <w:r w:rsidRPr="008546B9">
              <w:rPr>
                <w:rFonts w:ascii="Calibri" w:hAnsi="Calibri"/>
                <w:b/>
                <w:color w:val="000000" w:themeColor="text1"/>
                <w:sz w:val="28"/>
                <w:szCs w:val="28"/>
              </w:rPr>
              <w:t xml:space="preserve">, once triggered, persists even if the patentee voluntarily dismisses the district court action.  Doesn’t that show that an </w:t>
            </w:r>
            <w:proofErr w:type="spellStart"/>
            <w:r w:rsidRPr="008546B9">
              <w:rPr>
                <w:rFonts w:ascii="Calibri" w:hAnsi="Calibri"/>
                <w:b/>
                <w:color w:val="000000" w:themeColor="text1"/>
                <w:sz w:val="28"/>
                <w:szCs w:val="28"/>
              </w:rPr>
              <w:t>IPR</w:t>
            </w:r>
            <w:proofErr w:type="spellEnd"/>
            <w:r w:rsidRPr="008546B9">
              <w:rPr>
                <w:rFonts w:ascii="Calibri" w:hAnsi="Calibri"/>
                <w:b/>
                <w:color w:val="000000" w:themeColor="text1"/>
                <w:sz w:val="28"/>
                <w:szCs w:val="28"/>
              </w:rPr>
              <w:t xml:space="preserve"> is a separate, freestanding proceeding?  And that an </w:t>
            </w:r>
            <w:proofErr w:type="spellStart"/>
            <w:r w:rsidRPr="008546B9">
              <w:rPr>
                <w:rFonts w:ascii="Calibri" w:hAnsi="Calibri"/>
                <w:b/>
                <w:color w:val="000000" w:themeColor="text1"/>
                <w:sz w:val="28"/>
                <w:szCs w:val="28"/>
              </w:rPr>
              <w:t>IPR</w:t>
            </w:r>
            <w:proofErr w:type="spellEnd"/>
            <w:r w:rsidRPr="008546B9">
              <w:rPr>
                <w:rFonts w:ascii="Calibri" w:hAnsi="Calibri"/>
                <w:b/>
                <w:color w:val="000000" w:themeColor="text1"/>
                <w:sz w:val="28"/>
                <w:szCs w:val="28"/>
              </w:rPr>
              <w:t xml:space="preserve"> is fundamentally different from counterclaims or affirmative defenses, which obviously can’t be brought after voluntary dismissal?</w:t>
            </w:r>
          </w:p>
        </w:tc>
        <w:tc>
          <w:tcPr>
            <w:tcW w:w="5904" w:type="dxa"/>
            <w:vAlign w:val="center"/>
          </w:tcPr>
          <w:p w14:paraId="0BBF07E6" w14:textId="41A083CA" w:rsidR="000F7558" w:rsidRDefault="000F7558" w:rsidP="000F7558">
            <w:pPr>
              <w:spacing w:after="120"/>
              <w:ind w:right="245"/>
              <w:jc w:val="both"/>
              <w:rPr>
                <w:rFonts w:ascii="Calibri" w:eastAsia="Times New Roman" w:hAnsi="Calibri"/>
                <w:b/>
                <w:color w:val="000000" w:themeColor="text1"/>
                <w:sz w:val="22"/>
                <w:szCs w:val="22"/>
              </w:rPr>
            </w:pPr>
            <w:r w:rsidRPr="00777462">
              <w:rPr>
                <w:rFonts w:ascii="Calibri" w:eastAsia="Times New Roman" w:hAnsi="Calibri"/>
                <w:b/>
                <w:color w:val="000000" w:themeColor="text1"/>
                <w:sz w:val="22"/>
                <w:szCs w:val="22"/>
                <w:highlight w:val="yellow"/>
              </w:rPr>
              <w:t>[</w:t>
            </w:r>
            <w:r w:rsidR="008546B9">
              <w:rPr>
                <w:rFonts w:ascii="Calibri" w:eastAsia="Times New Roman" w:hAnsi="Calibri"/>
                <w:b/>
                <w:color w:val="000000" w:themeColor="text1"/>
                <w:sz w:val="22"/>
                <w:szCs w:val="22"/>
                <w:highlight w:val="yellow"/>
              </w:rPr>
              <w:t>Explain.</w:t>
            </w:r>
            <w:r w:rsidRPr="00777462">
              <w:rPr>
                <w:rFonts w:ascii="Calibri" w:eastAsia="Times New Roman" w:hAnsi="Calibri"/>
                <w:b/>
                <w:color w:val="000000" w:themeColor="text1"/>
                <w:sz w:val="22"/>
                <w:szCs w:val="22"/>
                <w:highlight w:val="yellow"/>
              </w:rPr>
              <w:t>]</w:t>
            </w:r>
          </w:p>
        </w:tc>
        <w:tc>
          <w:tcPr>
            <w:tcW w:w="5904" w:type="dxa"/>
            <w:vAlign w:val="center"/>
          </w:tcPr>
          <w:p w14:paraId="3A9EBED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70D5351"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CB9593A" w14:textId="77777777" w:rsidTr="0010708E">
        <w:trPr>
          <w:trHeight w:val="4795"/>
        </w:trPr>
        <w:tc>
          <w:tcPr>
            <w:tcW w:w="5904" w:type="dxa"/>
            <w:vAlign w:val="center"/>
          </w:tcPr>
          <w:p w14:paraId="2C6EF6D6" w14:textId="0DA0D63F" w:rsidR="000F7558" w:rsidRPr="00E95CBF" w:rsidRDefault="000F7558" w:rsidP="000F7558">
            <w:pPr>
              <w:pStyle w:val="O-BodyText"/>
              <w:spacing w:afterLines="120" w:after="288"/>
              <w:ind w:right="108"/>
              <w:rPr>
                <w:rFonts w:ascii="Calibri" w:hAnsi="Calibri"/>
                <w:b/>
                <w:color w:val="000000" w:themeColor="text1"/>
                <w:sz w:val="28"/>
                <w:szCs w:val="28"/>
                <w:highlight w:val="yellow"/>
              </w:rPr>
            </w:pPr>
            <w:r>
              <w:rPr>
                <w:rFonts w:ascii="Calibri" w:hAnsi="Calibri"/>
                <w:b/>
                <w:color w:val="000000" w:themeColor="text1"/>
                <w:sz w:val="28"/>
                <w:szCs w:val="28"/>
              </w:rPr>
              <w:lastRenderedPageBreak/>
              <w:t xml:space="preserve">How does an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differ from district court litigation, as to both procedure and substance?</w:t>
            </w:r>
          </w:p>
        </w:tc>
        <w:tc>
          <w:tcPr>
            <w:tcW w:w="5904" w:type="dxa"/>
            <w:vAlign w:val="center"/>
          </w:tcPr>
          <w:p w14:paraId="6E47EFFF" w14:textId="77777777" w:rsidR="000F7558" w:rsidRDefault="000F7558" w:rsidP="000F7558">
            <w:pPr>
              <w:spacing w:after="120"/>
              <w:ind w:left="200" w:right="245"/>
              <w:jc w:val="both"/>
              <w:rPr>
                <w:rFonts w:ascii="Calibri" w:eastAsia="Times New Roman" w:hAnsi="Calibri"/>
                <w:b/>
                <w:color w:val="000000" w:themeColor="text1"/>
                <w:sz w:val="22"/>
                <w:szCs w:val="22"/>
              </w:rPr>
            </w:pPr>
            <w:proofErr w:type="spellStart"/>
            <w:r w:rsidRPr="001C7D43">
              <w:rPr>
                <w:rFonts w:ascii="Calibri" w:eastAsia="Times New Roman" w:hAnsi="Calibri"/>
                <w:b/>
                <w:color w:val="000000" w:themeColor="text1"/>
                <w:sz w:val="22"/>
                <w:szCs w:val="22"/>
              </w:rPr>
              <w:t>I</w:t>
            </w:r>
            <w:r>
              <w:rPr>
                <w:rFonts w:ascii="Calibri" w:eastAsia="Times New Roman" w:hAnsi="Calibri"/>
                <w:b/>
                <w:color w:val="000000" w:themeColor="text1"/>
                <w:sz w:val="22"/>
                <w:szCs w:val="22"/>
              </w:rPr>
              <w:t>PR</w:t>
            </w:r>
            <w:proofErr w:type="spellEnd"/>
            <w:r>
              <w:rPr>
                <w:rFonts w:ascii="Calibri" w:eastAsia="Times New Roman" w:hAnsi="Calibri"/>
                <w:b/>
                <w:color w:val="000000" w:themeColor="text1"/>
                <w:sz w:val="22"/>
                <w:szCs w:val="22"/>
              </w:rPr>
              <w:t xml:space="preserve"> offers several procedural and substantive advantages for defendants/petitioners:</w:t>
            </w:r>
          </w:p>
          <w:p w14:paraId="58CF03EB" w14:textId="77777777" w:rsidR="000F7558" w:rsidRDefault="000F7558" w:rsidP="000F7558">
            <w:pPr>
              <w:pStyle w:val="ListParagraph"/>
              <w:numPr>
                <w:ilvl w:val="0"/>
                <w:numId w:val="16"/>
              </w:numPr>
              <w:spacing w:after="120"/>
              <w:ind w:left="565" w:right="245"/>
              <w:jc w:val="both"/>
              <w:rPr>
                <w:rFonts w:ascii="Calibri" w:eastAsia="Times New Roman" w:hAnsi="Calibri"/>
                <w:b/>
                <w:color w:val="000000" w:themeColor="text1"/>
                <w:sz w:val="22"/>
                <w:szCs w:val="22"/>
              </w:rPr>
            </w:pPr>
            <w:r w:rsidRPr="00FC5F63">
              <w:rPr>
                <w:rFonts w:ascii="Calibri" w:eastAsia="Times New Roman" w:hAnsi="Calibri"/>
                <w:b/>
                <w:color w:val="000000" w:themeColor="text1"/>
                <w:sz w:val="22"/>
                <w:szCs w:val="22"/>
              </w:rPr>
              <w:t>Less demanding evidentiary standard</w:t>
            </w:r>
            <w:r>
              <w:rPr>
                <w:rFonts w:ascii="Calibri" w:eastAsia="Times New Roman" w:hAnsi="Calibri"/>
                <w:b/>
                <w:color w:val="000000" w:themeColor="text1"/>
                <w:sz w:val="22"/>
                <w:szCs w:val="22"/>
              </w:rPr>
              <w:t>: preponderance of the evidence</w:t>
            </w:r>
            <w:r w:rsidRPr="00FC5F63">
              <w:rPr>
                <w:rFonts w:ascii="Calibri" w:eastAsia="Times New Roman" w:hAnsi="Calibri"/>
                <w:b/>
                <w:color w:val="000000" w:themeColor="text1"/>
                <w:sz w:val="22"/>
                <w:szCs w:val="22"/>
              </w:rPr>
              <w:t xml:space="preserve"> rather</w:t>
            </w:r>
            <w:r>
              <w:rPr>
                <w:rFonts w:ascii="Calibri" w:eastAsia="Times New Roman" w:hAnsi="Calibri"/>
                <w:b/>
                <w:color w:val="000000" w:themeColor="text1"/>
                <w:sz w:val="22"/>
                <w:szCs w:val="22"/>
              </w:rPr>
              <w:t xml:space="preserve"> than the clear-and-convincing.</w:t>
            </w:r>
          </w:p>
          <w:p w14:paraId="18D638FF" w14:textId="77777777" w:rsidR="000F7558" w:rsidRDefault="000F7558" w:rsidP="000F7558">
            <w:pPr>
              <w:pStyle w:val="ListParagraph"/>
              <w:numPr>
                <w:ilvl w:val="0"/>
                <w:numId w:val="16"/>
              </w:numPr>
              <w:spacing w:after="120"/>
              <w:ind w:left="56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No presumption of validity.</w:t>
            </w:r>
          </w:p>
          <w:p w14:paraId="6D555451" w14:textId="77777777" w:rsidR="000F7558" w:rsidRDefault="000F7558" w:rsidP="000F7558">
            <w:pPr>
              <w:pStyle w:val="ListParagraph"/>
              <w:numPr>
                <w:ilvl w:val="0"/>
                <w:numId w:val="16"/>
              </w:numPr>
              <w:spacing w:after="120"/>
              <w:ind w:left="565"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F</w:t>
            </w:r>
            <w:r w:rsidRPr="00FC5F63">
              <w:rPr>
                <w:rFonts w:ascii="Calibri" w:eastAsia="Times New Roman" w:hAnsi="Calibri"/>
                <w:b/>
                <w:color w:val="000000" w:themeColor="text1"/>
                <w:sz w:val="22"/>
                <w:szCs w:val="22"/>
              </w:rPr>
              <w:t>aster and more affordable</w:t>
            </w:r>
            <w:r>
              <w:rPr>
                <w:rFonts w:ascii="Calibri" w:eastAsia="Times New Roman" w:hAnsi="Calibri"/>
                <w:b/>
                <w:color w:val="000000" w:themeColor="text1"/>
                <w:sz w:val="22"/>
                <w:szCs w:val="22"/>
              </w:rPr>
              <w:t xml:space="preserve"> than district court litigation, with a decision ordinarily required within 12 months.</w:t>
            </w:r>
            <w:r w:rsidRPr="001C7D43">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rPr>
              <w:t xml:space="preserve"> 35 U.S.C. § 316(a)(11).</w:t>
            </w:r>
          </w:p>
          <w:p w14:paraId="38003FD7" w14:textId="7D90A4C7" w:rsidR="000F7558" w:rsidRPr="00777462" w:rsidRDefault="000F7558" w:rsidP="000F7558">
            <w:pPr>
              <w:spacing w:after="120"/>
              <w:ind w:right="245"/>
              <w:jc w:val="both"/>
              <w:rPr>
                <w:rFonts w:ascii="Calibri" w:eastAsia="Times New Roman" w:hAnsi="Calibri"/>
                <w:b/>
                <w:color w:val="000000" w:themeColor="text1"/>
                <w:sz w:val="22"/>
                <w:szCs w:val="22"/>
                <w:highlight w:val="yellow"/>
              </w:rPr>
            </w:pPr>
            <w:r>
              <w:rPr>
                <w:rFonts w:ascii="Calibri" w:eastAsia="Times New Roman" w:hAnsi="Calibri"/>
                <w:b/>
                <w:color w:val="000000" w:themeColor="text1"/>
                <w:sz w:val="22"/>
                <w:szCs w:val="22"/>
              </w:rPr>
              <w:t>R</w:t>
            </w:r>
            <w:r w:rsidRPr="001C7D43">
              <w:rPr>
                <w:rFonts w:ascii="Calibri" w:eastAsia="Times New Roman" w:hAnsi="Calibri"/>
                <w:b/>
                <w:color w:val="000000" w:themeColor="text1"/>
                <w:sz w:val="22"/>
                <w:szCs w:val="22"/>
              </w:rPr>
              <w:t>esolved in the first instance by</w:t>
            </w:r>
            <w:r>
              <w:rPr>
                <w:rFonts w:ascii="Calibri" w:eastAsia="Times New Roman" w:hAnsi="Calibri"/>
                <w:b/>
                <w:color w:val="000000" w:themeColor="text1"/>
                <w:sz w:val="22"/>
                <w:szCs w:val="22"/>
              </w:rPr>
              <w:t xml:space="preserve"> </w:t>
            </w:r>
            <w:r w:rsidRPr="00FC5F63">
              <w:rPr>
                <w:rFonts w:ascii="Calibri" w:eastAsia="Times New Roman" w:hAnsi="Calibri"/>
                <w:b/>
                <w:color w:val="000000" w:themeColor="text1"/>
                <w:sz w:val="22"/>
                <w:szCs w:val="22"/>
              </w:rPr>
              <w:t>administrative law judges who must possess not only “competent legal</w:t>
            </w:r>
            <w:r>
              <w:rPr>
                <w:rFonts w:ascii="Calibri" w:eastAsia="Times New Roman" w:hAnsi="Calibri"/>
                <w:b/>
                <w:color w:val="000000" w:themeColor="text1"/>
                <w:sz w:val="22"/>
                <w:szCs w:val="22"/>
              </w:rPr>
              <w:t xml:space="preserve"> </w:t>
            </w:r>
            <w:r w:rsidRPr="00FC5F63">
              <w:rPr>
                <w:rFonts w:ascii="Calibri" w:eastAsia="Times New Roman" w:hAnsi="Calibri"/>
                <w:b/>
                <w:color w:val="000000" w:themeColor="text1"/>
                <w:sz w:val="22"/>
                <w:szCs w:val="22"/>
              </w:rPr>
              <w:t>knowledge,” but also “scientific ability” that ensures expert analysis of</w:t>
            </w:r>
            <w:r>
              <w:rPr>
                <w:rFonts w:ascii="Calibri" w:eastAsia="Times New Roman" w:hAnsi="Calibri"/>
                <w:b/>
                <w:color w:val="000000" w:themeColor="text1"/>
                <w:sz w:val="22"/>
                <w:szCs w:val="22"/>
              </w:rPr>
              <w:t xml:space="preserve"> </w:t>
            </w:r>
            <w:r w:rsidRPr="00FC5F63">
              <w:rPr>
                <w:rFonts w:ascii="Calibri" w:eastAsia="Times New Roman" w:hAnsi="Calibri"/>
                <w:b/>
                <w:color w:val="000000" w:themeColor="text1"/>
                <w:sz w:val="22"/>
                <w:szCs w:val="22"/>
              </w:rPr>
              <w:t xml:space="preserve">prior art. </w:t>
            </w:r>
            <w:r>
              <w:rPr>
                <w:rFonts w:ascii="Calibri" w:eastAsia="Times New Roman" w:hAnsi="Calibri"/>
                <w:b/>
                <w:color w:val="000000" w:themeColor="text1"/>
                <w:sz w:val="22"/>
                <w:szCs w:val="22"/>
              </w:rPr>
              <w:t xml:space="preserve"> </w:t>
            </w:r>
            <w:r w:rsidRPr="00FC5F63">
              <w:rPr>
                <w:rFonts w:ascii="Calibri" w:eastAsia="Times New Roman" w:hAnsi="Calibri"/>
                <w:b/>
                <w:i/>
                <w:color w:val="000000" w:themeColor="text1"/>
                <w:sz w:val="22"/>
                <w:szCs w:val="22"/>
              </w:rPr>
              <w:t>Id.</w:t>
            </w:r>
            <w:r w:rsidRPr="00FC5F63">
              <w:rPr>
                <w:rFonts w:ascii="Calibri" w:eastAsia="Times New Roman" w:hAnsi="Calibri"/>
                <w:b/>
                <w:color w:val="000000" w:themeColor="text1"/>
                <w:sz w:val="22"/>
                <w:szCs w:val="22"/>
              </w:rPr>
              <w:t xml:space="preserve"> § 6.</w:t>
            </w:r>
          </w:p>
        </w:tc>
        <w:tc>
          <w:tcPr>
            <w:tcW w:w="5904" w:type="dxa"/>
            <w:vAlign w:val="center"/>
          </w:tcPr>
          <w:p w14:paraId="7C9DFB9C"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3CA8E1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AECAA3F" w14:textId="77777777" w:rsidTr="0010708E">
        <w:trPr>
          <w:trHeight w:val="4795"/>
        </w:trPr>
        <w:tc>
          <w:tcPr>
            <w:tcW w:w="5904" w:type="dxa"/>
            <w:vAlign w:val="center"/>
          </w:tcPr>
          <w:p w14:paraId="728E9A41" w14:textId="044BFDF8"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Don’t the differences between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and district court litigation show that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is an entirely separate action, as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contends?</w:t>
            </w:r>
          </w:p>
        </w:tc>
        <w:tc>
          <w:tcPr>
            <w:tcW w:w="5904" w:type="dxa"/>
            <w:vAlign w:val="center"/>
          </w:tcPr>
          <w:p w14:paraId="725AC6B7"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To the contrary:  The differences show that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a critical part of the statutory system for resolving patent disputes.  As a defensive measure, an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is not redundant of counterclaims or affirmative defenses in district court.  It is an important alternative that adds unique procedural and substantive features to the claim resolution process.</w:t>
            </w:r>
          </w:p>
          <w:p w14:paraId="63C0AB3E" w14:textId="1F866074" w:rsidR="000F7558" w:rsidRPr="001C7D43"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That further distinguishes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from a defendant’s separate declaratory judgment action in cases like </w:t>
            </w:r>
            <w:r>
              <w:rPr>
                <w:rFonts w:ascii="Calibri" w:eastAsia="Times New Roman" w:hAnsi="Calibri"/>
                <w:b/>
                <w:i/>
                <w:color w:val="000000" w:themeColor="text1"/>
                <w:sz w:val="22"/>
                <w:szCs w:val="22"/>
              </w:rPr>
              <w:t>A123 Systems</w:t>
            </w:r>
            <w:r>
              <w:rPr>
                <w:rFonts w:ascii="Calibri" w:eastAsia="Times New Roman" w:hAnsi="Calibri"/>
                <w:b/>
                <w:color w:val="000000" w:themeColor="text1"/>
                <w:sz w:val="22"/>
                <w:szCs w:val="22"/>
              </w:rPr>
              <w:t>.  A declaratory judgment action is entirely redundant—both procedurally and substantively—of the initial district court litigation, and so is not a vital part of the claim resolution process.</w:t>
            </w:r>
          </w:p>
        </w:tc>
        <w:tc>
          <w:tcPr>
            <w:tcW w:w="5904" w:type="dxa"/>
            <w:vAlign w:val="center"/>
          </w:tcPr>
          <w:p w14:paraId="71765EA2"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5196961"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B9B5233" w14:textId="77777777" w:rsidTr="0010708E">
        <w:trPr>
          <w:trHeight w:val="4795"/>
        </w:trPr>
        <w:tc>
          <w:tcPr>
            <w:tcW w:w="5904" w:type="dxa"/>
            <w:vAlign w:val="center"/>
          </w:tcPr>
          <w:p w14:paraId="11C39AFF" w14:textId="60AD1710" w:rsidR="000F7558" w:rsidRDefault="000F7558" w:rsidP="000F7558">
            <w:pPr>
              <w:pStyle w:val="O-BodyText"/>
              <w:spacing w:afterLines="120" w:after="288"/>
              <w:ind w:right="108"/>
              <w:rPr>
                <w:rFonts w:ascii="Calibri" w:hAnsi="Calibri"/>
                <w:b/>
                <w:color w:val="000000" w:themeColor="text1"/>
                <w:sz w:val="28"/>
                <w:szCs w:val="28"/>
              </w:rPr>
            </w:pP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cites </w:t>
            </w:r>
            <w:r>
              <w:rPr>
                <w:rFonts w:ascii="Calibri" w:hAnsi="Calibri"/>
                <w:b/>
                <w:i/>
                <w:color w:val="000000" w:themeColor="text1"/>
                <w:sz w:val="28"/>
                <w:szCs w:val="28"/>
              </w:rPr>
              <w:t xml:space="preserve">Novartis v. </w:t>
            </w:r>
            <w:proofErr w:type="spellStart"/>
            <w:r>
              <w:rPr>
                <w:rFonts w:ascii="Calibri" w:hAnsi="Calibri"/>
                <w:b/>
                <w:i/>
                <w:color w:val="000000" w:themeColor="text1"/>
                <w:sz w:val="28"/>
                <w:szCs w:val="28"/>
              </w:rPr>
              <w:t>Noven</w:t>
            </w:r>
            <w:proofErr w:type="spellEnd"/>
            <w:r>
              <w:rPr>
                <w:rFonts w:ascii="Calibri" w:hAnsi="Calibri"/>
                <w:b/>
                <w:i/>
                <w:color w:val="000000" w:themeColor="text1"/>
                <w:sz w:val="28"/>
                <w:szCs w:val="28"/>
              </w:rPr>
              <w:t xml:space="preserve"> </w:t>
            </w:r>
            <w:proofErr w:type="spellStart"/>
            <w:r>
              <w:rPr>
                <w:rFonts w:ascii="Calibri" w:hAnsi="Calibri"/>
                <w:b/>
                <w:i/>
                <w:color w:val="000000" w:themeColor="text1"/>
                <w:sz w:val="28"/>
                <w:szCs w:val="28"/>
              </w:rPr>
              <w:t>Pharmasceuticals</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w:t>
            </w:r>
            <w:proofErr w:type="spellStart"/>
            <w:r>
              <w:rPr>
                <w:rFonts w:ascii="Calibri" w:hAnsi="Calibri"/>
                <w:b/>
                <w:color w:val="000000" w:themeColor="text1"/>
                <w:sz w:val="28"/>
                <w:szCs w:val="28"/>
              </w:rPr>
              <w:t>CAFC</w:t>
            </w:r>
            <w:proofErr w:type="spellEnd"/>
            <w:r>
              <w:rPr>
                <w:rFonts w:ascii="Calibri" w:hAnsi="Calibri"/>
                <w:b/>
                <w:color w:val="000000" w:themeColor="text1"/>
                <w:sz w:val="28"/>
                <w:szCs w:val="28"/>
              </w:rPr>
              <w:t xml:space="preserve"> 2017) for the proposition that as between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and district court litigation, “[r]</w:t>
            </w:r>
            <w:proofErr w:type="spellStart"/>
            <w:r w:rsidRPr="002F5E7A">
              <w:rPr>
                <w:rFonts w:ascii="Calibri" w:hAnsi="Calibri"/>
                <w:b/>
                <w:color w:val="000000" w:themeColor="text1"/>
                <w:sz w:val="28"/>
                <w:szCs w:val="28"/>
              </w:rPr>
              <w:t>ulings</w:t>
            </w:r>
            <w:proofErr w:type="spellEnd"/>
            <w:r w:rsidRPr="002F5E7A">
              <w:rPr>
                <w:rFonts w:ascii="Calibri" w:hAnsi="Calibri"/>
                <w:b/>
                <w:color w:val="000000" w:themeColor="text1"/>
                <w:sz w:val="28"/>
                <w:szCs w:val="28"/>
              </w:rPr>
              <w:t xml:space="preserve"> of law in one proceeding do not </w:t>
            </w:r>
            <w:r>
              <w:rPr>
                <w:rFonts w:ascii="Calibri" w:hAnsi="Calibri"/>
                <w:b/>
                <w:color w:val="000000" w:themeColor="text1"/>
                <w:sz w:val="28"/>
                <w:szCs w:val="28"/>
              </w:rPr>
              <w:t xml:space="preserve">make binding law for the other,” Reply 29.  Doesn’t that show that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is an entirely separate action?</w:t>
            </w:r>
          </w:p>
        </w:tc>
        <w:tc>
          <w:tcPr>
            <w:tcW w:w="5904" w:type="dxa"/>
            <w:vAlign w:val="center"/>
          </w:tcPr>
          <w:p w14:paraId="181DDCDD" w14:textId="6B5AA4EA"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No.  All </w:t>
            </w:r>
            <w:r>
              <w:rPr>
                <w:rFonts w:ascii="Calibri" w:eastAsia="Times New Roman" w:hAnsi="Calibri"/>
                <w:b/>
                <w:i/>
                <w:color w:val="000000" w:themeColor="text1"/>
                <w:sz w:val="22"/>
                <w:szCs w:val="22"/>
              </w:rPr>
              <w:t xml:space="preserve">Novartis </w:t>
            </w:r>
            <w:r>
              <w:rPr>
                <w:rFonts w:ascii="Calibri" w:eastAsia="Times New Roman" w:hAnsi="Calibri"/>
                <w:b/>
                <w:color w:val="000000" w:themeColor="text1"/>
                <w:sz w:val="22"/>
                <w:szCs w:val="22"/>
              </w:rPr>
              <w:t xml:space="preserve">says is that the </w:t>
            </w:r>
            <w:proofErr w:type="spellStart"/>
            <w:r>
              <w:rPr>
                <w:rFonts w:ascii="Calibri" w:eastAsia="Times New Roman" w:hAnsi="Calibri"/>
                <w:b/>
                <w:color w:val="000000" w:themeColor="text1"/>
                <w:sz w:val="22"/>
                <w:szCs w:val="22"/>
              </w:rPr>
              <w:t>PTAB</w:t>
            </w:r>
            <w:proofErr w:type="spellEnd"/>
            <w:r>
              <w:rPr>
                <w:rFonts w:ascii="Calibri" w:eastAsia="Times New Roman" w:hAnsi="Calibri"/>
                <w:b/>
                <w:color w:val="000000" w:themeColor="text1"/>
                <w:sz w:val="22"/>
                <w:szCs w:val="22"/>
              </w:rPr>
              <w:t xml:space="preserve"> (applying the preponderance standard) may invalidate a claim previously held valid by a district court (applying the clear and convincing standard).  That’s simply another way of noting that the two tribunals apply different legal standards.  The key point is that the </w:t>
            </w:r>
            <w:proofErr w:type="spellStart"/>
            <w:r>
              <w:rPr>
                <w:rFonts w:ascii="Calibri" w:eastAsia="Times New Roman" w:hAnsi="Calibri"/>
                <w:b/>
                <w:color w:val="000000" w:themeColor="text1"/>
                <w:sz w:val="22"/>
                <w:szCs w:val="22"/>
              </w:rPr>
              <w:t>PTAB’s</w:t>
            </w:r>
            <w:proofErr w:type="spellEnd"/>
            <w:r>
              <w:rPr>
                <w:rFonts w:ascii="Calibri" w:eastAsia="Times New Roman" w:hAnsi="Calibri"/>
                <w:b/>
                <w:color w:val="000000" w:themeColor="text1"/>
                <w:sz w:val="22"/>
                <w:szCs w:val="22"/>
              </w:rPr>
              <w:t xml:space="preserve"> validity rulings ultimately control.  That shows that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and district court litigation are part of a single, coherent statutory system for resolving patent disputes.</w:t>
            </w:r>
          </w:p>
        </w:tc>
        <w:tc>
          <w:tcPr>
            <w:tcW w:w="5904" w:type="dxa"/>
            <w:vAlign w:val="center"/>
          </w:tcPr>
          <w:p w14:paraId="4CAED4EA"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A2AEB8C"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24C1A46" w14:textId="77777777" w:rsidTr="0010708E">
        <w:trPr>
          <w:trHeight w:val="4795"/>
        </w:trPr>
        <w:tc>
          <w:tcPr>
            <w:tcW w:w="5904" w:type="dxa"/>
            <w:vAlign w:val="center"/>
          </w:tcPr>
          <w:p w14:paraId="1057E400" w14:textId="2C98C5F9"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Even if defendants might prefer to determine validity through an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isn’t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right that “</w:t>
            </w:r>
            <w:r w:rsidRPr="00EF6C10">
              <w:rPr>
                <w:rFonts w:ascii="Calibri" w:hAnsi="Calibri"/>
                <w:b/>
                <w:color w:val="000000" w:themeColor="text1"/>
                <w:sz w:val="28"/>
                <w:szCs w:val="28"/>
              </w:rPr>
              <w:t>infringement litigation … can be resolved</w:t>
            </w:r>
            <w:r>
              <w:rPr>
                <w:rFonts w:ascii="Calibri" w:hAnsi="Calibri"/>
                <w:b/>
                <w:color w:val="000000" w:themeColor="text1"/>
                <w:sz w:val="28"/>
                <w:szCs w:val="28"/>
              </w:rPr>
              <w:t xml:space="preserve"> without resort to …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OB40?</w:t>
            </w:r>
          </w:p>
        </w:tc>
        <w:tc>
          <w:tcPr>
            <w:tcW w:w="5904" w:type="dxa"/>
            <w:vAlign w:val="center"/>
          </w:tcPr>
          <w:p w14:paraId="16D27F16" w14:textId="7BEFB36D"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Yes, but that’s not the claim resolution process under the AIA.  The statute offers the option of defensive </w:t>
            </w:r>
            <w:proofErr w:type="spellStart"/>
            <w:r>
              <w:rPr>
                <w:rFonts w:ascii="Calibri" w:eastAsia="Times New Roman" w:hAnsi="Calibri"/>
                <w:b/>
                <w:color w:val="000000" w:themeColor="text1"/>
                <w:sz w:val="22"/>
                <w:szCs w:val="22"/>
              </w:rPr>
              <w:t>IPRs</w:t>
            </w:r>
            <w:proofErr w:type="spellEnd"/>
            <w:r>
              <w:rPr>
                <w:rFonts w:ascii="Calibri" w:eastAsia="Times New Roman" w:hAnsi="Calibri"/>
                <w:b/>
                <w:color w:val="000000" w:themeColor="text1"/>
                <w:sz w:val="22"/>
                <w:szCs w:val="22"/>
              </w:rPr>
              <w:t xml:space="preserve">.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cannot use its sovereign immunity as a sword to slice away that option just because it isn’t “favorable.”  </w:t>
            </w:r>
            <w:r>
              <w:rPr>
                <w:rFonts w:ascii="Calibri" w:eastAsia="Times New Roman" w:hAnsi="Calibri"/>
                <w:b/>
                <w:i/>
                <w:color w:val="000000" w:themeColor="text1"/>
                <w:sz w:val="22"/>
                <w:szCs w:val="22"/>
              </w:rPr>
              <w:t>Vas-Cath</w:t>
            </w:r>
            <w:r>
              <w:rPr>
                <w:rFonts w:ascii="Calibri" w:eastAsia="Times New Roman" w:hAnsi="Calibri"/>
                <w:b/>
                <w:color w:val="000000" w:themeColor="text1"/>
                <w:sz w:val="22"/>
                <w:szCs w:val="22"/>
              </w:rPr>
              <w:t xml:space="preserve"> at 1343.</w:t>
            </w:r>
          </w:p>
        </w:tc>
        <w:tc>
          <w:tcPr>
            <w:tcW w:w="5904" w:type="dxa"/>
            <w:vAlign w:val="center"/>
          </w:tcPr>
          <w:p w14:paraId="2462337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65DA9E8"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08EB7CB" w14:textId="77777777" w:rsidTr="0010708E">
        <w:trPr>
          <w:trHeight w:val="4795"/>
        </w:trPr>
        <w:tc>
          <w:tcPr>
            <w:tcW w:w="5904" w:type="dxa"/>
            <w:vAlign w:val="center"/>
          </w:tcPr>
          <w:p w14:paraId="12DB0965" w14:textId="4E2DA550"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Is it </w:t>
            </w:r>
            <w:proofErr w:type="gramStart"/>
            <w:r>
              <w:rPr>
                <w:rFonts w:ascii="Calibri" w:hAnsi="Calibri"/>
                <w:b/>
                <w:color w:val="000000" w:themeColor="text1"/>
                <w:sz w:val="28"/>
                <w:szCs w:val="28"/>
              </w:rPr>
              <w:t>really so</w:t>
            </w:r>
            <w:proofErr w:type="gramEnd"/>
            <w:r>
              <w:rPr>
                <w:rFonts w:ascii="Calibri" w:hAnsi="Calibri"/>
                <w:b/>
                <w:color w:val="000000" w:themeColor="text1"/>
                <w:sz w:val="28"/>
                <w:szCs w:val="28"/>
              </w:rPr>
              <w:t xml:space="preserve"> unfair to deny defendants in your shoes the ability to petition for </w:t>
            </w:r>
            <w:proofErr w:type="spellStart"/>
            <w:r>
              <w:rPr>
                <w:rFonts w:ascii="Calibri" w:hAnsi="Calibri"/>
                <w:b/>
                <w:color w:val="000000" w:themeColor="text1"/>
                <w:sz w:val="28"/>
                <w:szCs w:val="28"/>
              </w:rPr>
              <w:t>IPR</w:t>
            </w:r>
            <w:proofErr w:type="spellEnd"/>
            <w:r>
              <w:rPr>
                <w:rFonts w:ascii="Calibri" w:hAnsi="Calibri"/>
                <w:b/>
                <w:color w:val="000000" w:themeColor="text1"/>
                <w:sz w:val="28"/>
                <w:szCs w:val="28"/>
              </w:rPr>
              <w:t xml:space="preserve">?  You still get to argue invalidity and noninfringement as affirmative defenses or counterclaims, right?  Why isn’t that </w:t>
            </w:r>
            <w:proofErr w:type="gramStart"/>
            <w:r>
              <w:rPr>
                <w:rFonts w:ascii="Calibri" w:hAnsi="Calibri"/>
                <w:b/>
                <w:color w:val="000000" w:themeColor="text1"/>
                <w:sz w:val="28"/>
                <w:szCs w:val="28"/>
              </w:rPr>
              <w:t>sufficient</w:t>
            </w:r>
            <w:proofErr w:type="gramEnd"/>
            <w:r>
              <w:rPr>
                <w:rFonts w:ascii="Calibri" w:hAnsi="Calibri"/>
                <w:b/>
                <w:color w:val="000000" w:themeColor="text1"/>
                <w:sz w:val="28"/>
                <w:szCs w:val="28"/>
              </w:rPr>
              <w:t>?</w:t>
            </w:r>
          </w:p>
        </w:tc>
        <w:tc>
          <w:tcPr>
            <w:tcW w:w="5904" w:type="dxa"/>
            <w:vAlign w:val="center"/>
          </w:tcPr>
          <w:p w14:paraId="482BBB3D" w14:textId="77777777" w:rsidR="000F7558"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Foreclosing recourse to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here would be exactly the </w:t>
            </w:r>
            <w:r>
              <w:rPr>
                <w:rFonts w:ascii="Calibri" w:eastAsia="Times New Roman" w:hAnsi="Calibri"/>
                <w:b/>
                <w:color w:val="000000" w:themeColor="text1"/>
                <w:sz w:val="22"/>
                <w:szCs w:val="22"/>
                <w:lang w:val="x-none"/>
              </w:rPr>
              <w:t>“selective use of ‘immunity’</w:t>
            </w:r>
            <w:r>
              <w:rPr>
                <w:rFonts w:ascii="Calibri" w:eastAsia="Times New Roman" w:hAnsi="Calibri"/>
                <w:b/>
                <w:color w:val="000000" w:themeColor="text1"/>
                <w:sz w:val="22"/>
                <w:szCs w:val="22"/>
              </w:rPr>
              <w:t xml:space="preserve">” </w:t>
            </w:r>
            <w:r w:rsidRPr="00F01DDA">
              <w:rPr>
                <w:rFonts w:ascii="Calibri" w:eastAsia="Times New Roman" w:hAnsi="Calibri"/>
                <w:b/>
                <w:color w:val="000000" w:themeColor="text1"/>
                <w:sz w:val="22"/>
                <w:szCs w:val="22"/>
                <w:lang w:val="x-none"/>
              </w:rPr>
              <w:t xml:space="preserve">that </w:t>
            </w:r>
            <w:proofErr w:type="spellStart"/>
            <w:r w:rsidRPr="00F01DDA">
              <w:rPr>
                <w:rFonts w:ascii="Calibri" w:eastAsia="Times New Roman" w:hAnsi="Calibri"/>
                <w:b/>
                <w:i/>
                <w:color w:val="000000" w:themeColor="text1"/>
                <w:sz w:val="22"/>
                <w:szCs w:val="22"/>
                <w:lang w:val="x-none"/>
              </w:rPr>
              <w:t>Lapides</w:t>
            </w:r>
            <w:proofErr w:type="spellEnd"/>
            <w:r w:rsidRPr="00F01DDA">
              <w:rPr>
                <w:rFonts w:ascii="Calibri" w:eastAsia="Times New Roman" w:hAnsi="Calibri"/>
                <w:b/>
                <w:i/>
                <w:color w:val="000000" w:themeColor="text1"/>
                <w:sz w:val="22"/>
                <w:szCs w:val="22"/>
                <w:lang w:val="x-none"/>
              </w:rPr>
              <w:t xml:space="preserve"> </w:t>
            </w:r>
            <w:r w:rsidRPr="00F01DDA">
              <w:rPr>
                <w:rFonts w:ascii="Calibri" w:eastAsia="Times New Roman" w:hAnsi="Calibri"/>
                <w:b/>
                <w:color w:val="000000" w:themeColor="text1"/>
                <w:sz w:val="22"/>
                <w:szCs w:val="22"/>
                <w:lang w:val="x-none"/>
              </w:rPr>
              <w:t xml:space="preserve">forbids. </w:t>
            </w:r>
            <w:r>
              <w:rPr>
                <w:rFonts w:ascii="Calibri" w:eastAsia="Times New Roman" w:hAnsi="Calibri"/>
                <w:b/>
                <w:color w:val="000000" w:themeColor="text1"/>
                <w:sz w:val="22"/>
                <w:szCs w:val="22"/>
              </w:rPr>
              <w:t xml:space="preserve"> </w:t>
            </w:r>
            <w:proofErr w:type="spellStart"/>
            <w:r>
              <w:rPr>
                <w:rFonts w:ascii="Calibri" w:eastAsia="Times New Roman" w:hAnsi="Calibri"/>
                <w:b/>
                <w:i/>
                <w:color w:val="000000" w:themeColor="text1"/>
                <w:sz w:val="22"/>
                <w:szCs w:val="22"/>
              </w:rPr>
              <w:t>Lapides</w:t>
            </w:r>
            <w:proofErr w:type="spellEnd"/>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 xml:space="preserve">at 621.  </w:t>
            </w:r>
            <w:proofErr w:type="spellStart"/>
            <w:r w:rsidRPr="00F01DDA">
              <w:rPr>
                <w:rFonts w:ascii="Calibri" w:eastAsia="Times New Roman" w:hAnsi="Calibri"/>
                <w:b/>
                <w:color w:val="000000" w:themeColor="text1"/>
                <w:sz w:val="22"/>
                <w:szCs w:val="22"/>
                <w:lang w:val="x-none"/>
              </w:rPr>
              <w:t>UMN</w:t>
            </w:r>
            <w:proofErr w:type="spellEnd"/>
            <w:r>
              <w:rPr>
                <w:rFonts w:ascii="Calibri" w:eastAsia="Times New Roman" w:hAnsi="Calibri"/>
                <w:b/>
                <w:color w:val="000000" w:themeColor="text1"/>
                <w:sz w:val="22"/>
                <w:szCs w:val="22"/>
                <w:lang w:val="x-none"/>
              </w:rPr>
              <w:t xml:space="preserve"> </w:t>
            </w:r>
            <w:r w:rsidRPr="00F01DDA">
              <w:rPr>
                <w:rFonts w:ascii="Calibri" w:eastAsia="Times New Roman" w:hAnsi="Calibri"/>
                <w:b/>
                <w:color w:val="000000" w:themeColor="text1"/>
                <w:sz w:val="22"/>
                <w:szCs w:val="22"/>
                <w:lang w:val="x-none"/>
              </w:rPr>
              <w:t>voluntarily invoked the federal system for resolving patent disputes,</w:t>
            </w:r>
            <w:r>
              <w:rPr>
                <w:rFonts w:ascii="Calibri" w:eastAsia="Times New Roman" w:hAnsi="Calibri"/>
                <w:b/>
                <w:color w:val="000000" w:themeColor="text1"/>
                <w:sz w:val="22"/>
                <w:szCs w:val="22"/>
              </w:rPr>
              <w:t xml:space="preserve"> </w:t>
            </w:r>
            <w:r w:rsidRPr="00F01DDA">
              <w:rPr>
                <w:rFonts w:ascii="Calibri" w:eastAsia="Times New Roman" w:hAnsi="Calibri"/>
                <w:b/>
                <w:color w:val="000000" w:themeColor="text1"/>
                <w:sz w:val="22"/>
                <w:szCs w:val="22"/>
                <w:lang w:val="x-none"/>
              </w:rPr>
              <w:t xml:space="preserve">seeking to benefit from the remedial provisions of federal law. </w:t>
            </w:r>
            <w:r>
              <w:rPr>
                <w:rFonts w:ascii="Calibri" w:eastAsia="Times New Roman" w:hAnsi="Calibri"/>
                <w:b/>
                <w:color w:val="000000" w:themeColor="text1"/>
                <w:sz w:val="22"/>
                <w:szCs w:val="22"/>
              </w:rPr>
              <w:t xml:space="preserve"> It cannot </w:t>
            </w:r>
            <w:r w:rsidRPr="00F01DDA">
              <w:rPr>
                <w:rFonts w:ascii="Calibri" w:eastAsia="Times New Roman" w:hAnsi="Calibri"/>
                <w:b/>
                <w:color w:val="000000" w:themeColor="text1"/>
                <w:sz w:val="22"/>
                <w:szCs w:val="22"/>
                <w:lang w:val="x-none"/>
              </w:rPr>
              <w:t xml:space="preserve">simultaneously </w:t>
            </w:r>
            <w:r w:rsidRPr="00F01DDA">
              <w:rPr>
                <w:rFonts w:ascii="Calibri" w:eastAsia="Times New Roman" w:hAnsi="Calibri"/>
                <w:b/>
                <w:color w:val="000000" w:themeColor="text1"/>
                <w:sz w:val="22"/>
                <w:szCs w:val="22"/>
                <w:u w:val="single"/>
                <w:lang w:val="x-none"/>
              </w:rPr>
              <w:t>exempt</w:t>
            </w:r>
            <w:r w:rsidRPr="00F01DDA">
              <w:rPr>
                <w:rFonts w:ascii="Calibri" w:eastAsia="Times New Roman" w:hAnsi="Calibri"/>
                <w:b/>
                <w:i/>
                <w:color w:val="000000" w:themeColor="text1"/>
                <w:sz w:val="22"/>
                <w:szCs w:val="22"/>
                <w:lang w:val="x-none"/>
              </w:rPr>
              <w:t xml:space="preserve"> </w:t>
            </w:r>
            <w:r w:rsidRPr="00F01DDA">
              <w:rPr>
                <w:rFonts w:ascii="Calibri" w:eastAsia="Times New Roman" w:hAnsi="Calibri"/>
                <w:b/>
                <w:color w:val="000000" w:themeColor="text1"/>
                <w:sz w:val="22"/>
                <w:szCs w:val="22"/>
                <w:lang w:val="x-none"/>
              </w:rPr>
              <w:t>itself from an accompanying statutory</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defense.</w:t>
            </w:r>
          </w:p>
          <w:p w14:paraId="50BAF072" w14:textId="77777777" w:rsidR="000F7558" w:rsidRPr="00F01DDA"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That’s particularly true because </w:t>
            </w:r>
            <w:proofErr w:type="spellStart"/>
            <w:r>
              <w:rPr>
                <w:rFonts w:ascii="Calibri" w:eastAsia="Times New Roman" w:hAnsi="Calibri"/>
                <w:b/>
                <w:color w:val="000000" w:themeColor="text1"/>
                <w:sz w:val="22"/>
                <w:szCs w:val="22"/>
              </w:rPr>
              <w:t>UMN</w:t>
            </w:r>
            <w:proofErr w:type="spellEnd"/>
            <w:r>
              <w:rPr>
                <w:rFonts w:ascii="Calibri" w:eastAsia="Times New Roman" w:hAnsi="Calibri"/>
                <w:b/>
                <w:color w:val="000000" w:themeColor="text1"/>
                <w:sz w:val="22"/>
                <w:szCs w:val="22"/>
              </w:rPr>
              <w:t xml:space="preserve"> would</w:t>
            </w:r>
            <w:r w:rsidRPr="00F01DDA">
              <w:rPr>
                <w:rFonts w:ascii="Calibri" w:eastAsia="Times New Roman" w:hAnsi="Calibri"/>
                <w:b/>
                <w:color w:val="000000" w:themeColor="text1"/>
                <w:sz w:val="22"/>
                <w:szCs w:val="22"/>
                <w:lang w:val="x-none"/>
              </w:rPr>
              <w:t xml:space="preserve"> benefit in district court</w:t>
            </w:r>
            <w:r>
              <w:rPr>
                <w:rFonts w:ascii="Calibri" w:eastAsia="Times New Roman" w:hAnsi="Calibri"/>
                <w:b/>
                <w:color w:val="000000" w:themeColor="text1"/>
                <w:sz w:val="22"/>
                <w:szCs w:val="22"/>
              </w:rPr>
              <w:t xml:space="preserve"> </w:t>
            </w:r>
            <w:r w:rsidRPr="00F01DDA">
              <w:rPr>
                <w:rFonts w:ascii="Calibri" w:eastAsia="Times New Roman" w:hAnsi="Calibri"/>
                <w:b/>
                <w:color w:val="000000" w:themeColor="text1"/>
                <w:sz w:val="22"/>
                <w:szCs w:val="22"/>
                <w:lang w:val="x-none"/>
              </w:rPr>
              <w:t xml:space="preserve">from a presumption of validity </w:t>
            </w:r>
            <w:r>
              <w:rPr>
                <w:rFonts w:ascii="Calibri" w:eastAsia="Times New Roman" w:hAnsi="Calibri"/>
                <w:b/>
                <w:color w:val="000000" w:themeColor="text1"/>
                <w:sz w:val="22"/>
                <w:szCs w:val="22"/>
                <w:lang w:val="x-none"/>
              </w:rPr>
              <w:t>premised on the USPTO’s reasoned</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 xml:space="preserve">approval of its patents.  It would be unfair for </w:t>
            </w:r>
            <w:proofErr w:type="spellStart"/>
            <w:r>
              <w:rPr>
                <w:rFonts w:ascii="Calibri" w:eastAsia="Times New Roman" w:hAnsi="Calibri"/>
                <w:b/>
                <w:color w:val="000000" w:themeColor="text1"/>
                <w:sz w:val="22"/>
                <w:szCs w:val="22"/>
                <w:lang w:val="x-none"/>
              </w:rPr>
              <w:t>UMN</w:t>
            </w:r>
            <w:proofErr w:type="spellEnd"/>
            <w:r>
              <w:rPr>
                <w:rFonts w:ascii="Calibri" w:eastAsia="Times New Roman" w:hAnsi="Calibri"/>
                <w:b/>
                <w:color w:val="000000" w:themeColor="text1"/>
                <w:sz w:val="22"/>
                <w:szCs w:val="22"/>
                <w:lang w:val="x-none"/>
              </w:rPr>
              <w:t xml:space="preserve"> to claim that presumption while </w:t>
            </w:r>
            <w:r w:rsidRPr="00F01DDA">
              <w:rPr>
                <w:rFonts w:ascii="Calibri" w:eastAsia="Times New Roman" w:hAnsi="Calibri"/>
                <w:b/>
                <w:color w:val="000000" w:themeColor="text1"/>
                <w:sz w:val="22"/>
                <w:szCs w:val="22"/>
                <w:u w:val="single"/>
                <w:lang w:val="x-none"/>
              </w:rPr>
              <w:t>prohibiting</w:t>
            </w:r>
            <w:r w:rsidRPr="00F01DDA">
              <w:rPr>
                <w:rFonts w:ascii="Calibri" w:eastAsia="Times New Roman" w:hAnsi="Calibri"/>
                <w:b/>
                <w:i/>
                <w:color w:val="000000" w:themeColor="text1"/>
                <w:sz w:val="22"/>
                <w:szCs w:val="22"/>
                <w:lang w:val="x-none"/>
              </w:rPr>
              <w:t xml:space="preserve"> </w:t>
            </w:r>
            <w:r w:rsidRPr="00F01DDA">
              <w:rPr>
                <w:rFonts w:ascii="Calibri" w:eastAsia="Times New Roman" w:hAnsi="Calibri"/>
                <w:b/>
                <w:color w:val="000000" w:themeColor="text1"/>
                <w:sz w:val="22"/>
                <w:szCs w:val="22"/>
                <w:lang w:val="x-none"/>
              </w:rPr>
              <w:t>the agency</w:t>
            </w:r>
            <w:r>
              <w:rPr>
                <w:rFonts w:ascii="Calibri" w:eastAsia="Times New Roman" w:hAnsi="Calibri"/>
                <w:b/>
                <w:color w:val="000000" w:themeColor="text1"/>
                <w:sz w:val="22"/>
                <w:szCs w:val="22"/>
              </w:rPr>
              <w:t xml:space="preserve"> </w:t>
            </w:r>
            <w:r w:rsidRPr="00F01DDA">
              <w:rPr>
                <w:rFonts w:ascii="Calibri" w:eastAsia="Times New Roman" w:hAnsi="Calibri"/>
                <w:b/>
                <w:color w:val="000000" w:themeColor="text1"/>
                <w:sz w:val="22"/>
                <w:szCs w:val="22"/>
                <w:lang w:val="x-none"/>
              </w:rPr>
              <w:t>from carefully scrutinizing the</w:t>
            </w:r>
            <w:r>
              <w:rPr>
                <w:rFonts w:ascii="Calibri" w:eastAsia="Times New Roman" w:hAnsi="Calibri"/>
                <w:b/>
                <w:color w:val="000000" w:themeColor="text1"/>
                <w:sz w:val="22"/>
                <w:szCs w:val="22"/>
                <w:lang w:val="x-none"/>
              </w:rPr>
              <w:t xml:space="preserve"> patents as it otherwise could.</w:t>
            </w:r>
          </w:p>
          <w:p w14:paraId="780419D1" w14:textId="2EA724B9" w:rsidR="000F7558" w:rsidRDefault="000F7558" w:rsidP="000F7558">
            <w:pPr>
              <w:spacing w:after="120"/>
              <w:ind w:left="200" w:right="245"/>
              <w:jc w:val="both"/>
              <w:rPr>
                <w:rFonts w:ascii="Calibri" w:eastAsia="Times New Roman" w:hAnsi="Calibri"/>
                <w:b/>
                <w:color w:val="000000" w:themeColor="text1"/>
                <w:sz w:val="22"/>
                <w:szCs w:val="22"/>
              </w:rPr>
            </w:pPr>
            <w:r w:rsidRPr="00F01DDA">
              <w:rPr>
                <w:rFonts w:ascii="Calibri" w:eastAsia="Times New Roman" w:hAnsi="Calibri"/>
                <w:b/>
                <w:color w:val="000000" w:themeColor="text1"/>
                <w:sz w:val="22"/>
                <w:szCs w:val="22"/>
                <w:lang w:val="x-none"/>
              </w:rPr>
              <w:t>Having litigated</w:t>
            </w:r>
            <w:r>
              <w:rPr>
                <w:rFonts w:ascii="Calibri" w:eastAsia="Times New Roman" w:hAnsi="Calibri"/>
                <w:b/>
                <w:color w:val="000000" w:themeColor="text1"/>
                <w:sz w:val="22"/>
                <w:szCs w:val="22"/>
              </w:rPr>
              <w:t xml:space="preserve"> </w:t>
            </w:r>
            <w:r w:rsidRPr="00F01DDA">
              <w:rPr>
                <w:rFonts w:ascii="Calibri" w:eastAsia="Times New Roman" w:hAnsi="Calibri"/>
                <w:b/>
                <w:color w:val="000000" w:themeColor="text1"/>
                <w:sz w:val="22"/>
                <w:szCs w:val="22"/>
                <w:lang w:val="x-none"/>
              </w:rPr>
              <w:t>against Ericsson</w:t>
            </w:r>
            <w:r>
              <w:rPr>
                <w:rFonts w:ascii="Calibri" w:eastAsia="Times New Roman" w:hAnsi="Calibri"/>
                <w:b/>
                <w:color w:val="000000" w:themeColor="text1"/>
                <w:sz w:val="22"/>
                <w:szCs w:val="22"/>
              </w:rPr>
              <w:t xml:space="preserve"> and LSI</w:t>
            </w:r>
            <w:r w:rsidRPr="00F01DDA">
              <w:rPr>
                <w:rFonts w:ascii="Calibri" w:eastAsia="Times New Roman" w:hAnsi="Calibri"/>
                <w:b/>
                <w:color w:val="000000" w:themeColor="text1"/>
                <w:sz w:val="22"/>
                <w:szCs w:val="22"/>
                <w:lang w:val="x-none"/>
              </w:rPr>
              <w:t xml:space="preserve">, </w:t>
            </w:r>
            <w:proofErr w:type="spellStart"/>
            <w:r w:rsidRPr="00F01DDA">
              <w:rPr>
                <w:rFonts w:ascii="Calibri" w:eastAsia="Times New Roman" w:hAnsi="Calibri"/>
                <w:b/>
                <w:color w:val="000000" w:themeColor="text1"/>
                <w:sz w:val="22"/>
                <w:szCs w:val="22"/>
                <w:lang w:val="x-none"/>
              </w:rPr>
              <w:t>UMN</w:t>
            </w:r>
            <w:proofErr w:type="spellEnd"/>
            <w:r w:rsidRPr="00F01DDA">
              <w:rPr>
                <w:rFonts w:ascii="Calibri" w:eastAsia="Times New Roman" w:hAnsi="Calibri"/>
                <w:b/>
                <w:color w:val="000000" w:themeColor="text1"/>
                <w:sz w:val="22"/>
                <w:szCs w:val="22"/>
                <w:lang w:val="x-none"/>
              </w:rPr>
              <w:t xml:space="preserve"> must “abide the consequences” of its courtroom</w:t>
            </w:r>
            <w:r>
              <w:rPr>
                <w:rFonts w:ascii="Calibri" w:eastAsia="Times New Roman" w:hAnsi="Calibri"/>
                <w:b/>
                <w:color w:val="000000" w:themeColor="text1"/>
                <w:sz w:val="22"/>
                <w:szCs w:val="22"/>
              </w:rPr>
              <w:t xml:space="preserve"> </w:t>
            </w:r>
            <w:r w:rsidRPr="00F01DDA">
              <w:rPr>
                <w:rFonts w:ascii="Calibri" w:eastAsia="Times New Roman" w:hAnsi="Calibri"/>
                <w:b/>
                <w:color w:val="000000" w:themeColor="text1"/>
                <w:sz w:val="22"/>
                <w:szCs w:val="22"/>
                <w:lang w:val="x-none"/>
              </w:rPr>
              <w:t>conduct and submit to the full statutory claim resolution process—</w:t>
            </w:r>
            <w:r>
              <w:t xml:space="preserve"> </w:t>
            </w:r>
            <w:r w:rsidRPr="00F01DDA">
              <w:rPr>
                <w:rFonts w:ascii="Calibri" w:eastAsia="Times New Roman" w:hAnsi="Calibri"/>
                <w:b/>
                <w:color w:val="000000" w:themeColor="text1"/>
                <w:sz w:val="22"/>
                <w:szCs w:val="22"/>
                <w:lang w:val="x-none"/>
              </w:rPr>
              <w:t xml:space="preserve">including defensive </w:t>
            </w:r>
            <w:proofErr w:type="spellStart"/>
            <w:r w:rsidRPr="00F01DDA">
              <w:rPr>
                <w:rFonts w:ascii="Calibri" w:eastAsia="Times New Roman" w:hAnsi="Calibri"/>
                <w:b/>
                <w:color w:val="000000" w:themeColor="text1"/>
                <w:sz w:val="22"/>
                <w:szCs w:val="22"/>
                <w:lang w:val="x-none"/>
              </w:rPr>
              <w:t>IPR</w:t>
            </w:r>
            <w:proofErr w:type="spellEnd"/>
            <w:r w:rsidRPr="00F01DDA">
              <w:rPr>
                <w:rFonts w:ascii="Calibri" w:eastAsia="Times New Roman" w:hAnsi="Calibri"/>
                <w:b/>
                <w:color w:val="000000" w:themeColor="text1"/>
                <w:sz w:val="22"/>
                <w:szCs w:val="22"/>
                <w:lang w:val="x-none"/>
              </w:rPr>
              <w:t xml:space="preserve"> petition</w:t>
            </w:r>
            <w:r>
              <w:rPr>
                <w:rFonts w:ascii="Calibri" w:eastAsia="Times New Roman" w:hAnsi="Calibri"/>
                <w:b/>
                <w:color w:val="000000" w:themeColor="text1"/>
                <w:sz w:val="22"/>
                <w:szCs w:val="22"/>
              </w:rPr>
              <w:t>s</w:t>
            </w:r>
            <w:r w:rsidRPr="00F01DDA">
              <w:rPr>
                <w:rFonts w:ascii="Calibri" w:eastAsia="Times New Roman" w:hAnsi="Calibri"/>
                <w:b/>
                <w:color w:val="000000" w:themeColor="text1"/>
                <w:sz w:val="22"/>
                <w:szCs w:val="22"/>
                <w:lang w:val="x-none"/>
              </w:rPr>
              <w:t xml:space="preserve">. </w:t>
            </w:r>
            <w:r w:rsidRPr="00F01DDA">
              <w:rPr>
                <w:rFonts w:ascii="Calibri" w:eastAsia="Times New Roman" w:hAnsi="Calibri"/>
                <w:b/>
                <w:i/>
                <w:color w:val="000000" w:themeColor="text1"/>
                <w:sz w:val="22"/>
                <w:szCs w:val="22"/>
                <w:lang w:val="x-none"/>
              </w:rPr>
              <w:t>Gardner</w:t>
            </w:r>
            <w:r>
              <w:rPr>
                <w:rFonts w:ascii="Calibri" w:eastAsia="Times New Roman" w:hAnsi="Calibri"/>
                <w:b/>
                <w:color w:val="000000" w:themeColor="text1"/>
                <w:sz w:val="22"/>
                <w:szCs w:val="22"/>
                <w:lang w:val="x-none"/>
              </w:rPr>
              <w:t xml:space="preserve"> </w:t>
            </w:r>
            <w:r w:rsidRPr="00F01DDA">
              <w:rPr>
                <w:rFonts w:ascii="Calibri" w:eastAsia="Times New Roman" w:hAnsi="Calibri"/>
                <w:b/>
                <w:color w:val="000000" w:themeColor="text1"/>
                <w:sz w:val="22"/>
                <w:szCs w:val="22"/>
                <w:lang w:val="x-none"/>
              </w:rPr>
              <w:t>at 573.</w:t>
            </w:r>
          </w:p>
        </w:tc>
        <w:tc>
          <w:tcPr>
            <w:tcW w:w="5904" w:type="dxa"/>
            <w:vAlign w:val="center"/>
          </w:tcPr>
          <w:p w14:paraId="505F549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43E2E9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2ECBCE53" w14:textId="77777777" w:rsidTr="0010708E">
        <w:trPr>
          <w:trHeight w:val="4795"/>
        </w:trPr>
        <w:tc>
          <w:tcPr>
            <w:tcW w:w="5904" w:type="dxa"/>
            <w:vAlign w:val="center"/>
          </w:tcPr>
          <w:p w14:paraId="2D5EB45A" w14:textId="5BB70850"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What happened in </w:t>
            </w:r>
            <w:proofErr w:type="spellStart"/>
            <w:r>
              <w:rPr>
                <w:rFonts w:ascii="Calibri" w:hAnsi="Calibri"/>
                <w:b/>
                <w:i/>
                <w:color w:val="000000" w:themeColor="text1"/>
                <w:sz w:val="28"/>
                <w:szCs w:val="28"/>
              </w:rPr>
              <w:t>Tegic</w:t>
            </w:r>
            <w:proofErr w:type="spellEnd"/>
            <w:r>
              <w:rPr>
                <w:rFonts w:ascii="Calibri" w:hAnsi="Calibri"/>
                <w:b/>
                <w:color w:val="000000" w:themeColor="text1"/>
                <w:sz w:val="28"/>
                <w:szCs w:val="28"/>
              </w:rPr>
              <w:t>?</w:t>
            </w:r>
          </w:p>
        </w:tc>
        <w:tc>
          <w:tcPr>
            <w:tcW w:w="5904" w:type="dxa"/>
            <w:vAlign w:val="center"/>
          </w:tcPr>
          <w:p w14:paraId="17C6CDD1" w14:textId="77777777" w:rsidR="000F7558" w:rsidRPr="00953ED7"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lang w:val="x-none"/>
              </w:rPr>
              <w:t>A</w:t>
            </w:r>
            <w:r w:rsidRPr="00953ED7">
              <w:rPr>
                <w:rFonts w:ascii="Calibri" w:eastAsia="Times New Roman" w:hAnsi="Calibri"/>
                <w:b/>
                <w:color w:val="000000" w:themeColor="text1"/>
                <w:sz w:val="22"/>
                <w:szCs w:val="22"/>
                <w:lang w:val="x-none"/>
              </w:rPr>
              <w:t xml:space="preserve"> state university sued dozens of defendants</w:t>
            </w:r>
            <w:r>
              <w:rPr>
                <w:rFonts w:ascii="Calibri" w:eastAsia="Times New Roman" w:hAnsi="Calibri"/>
                <w:b/>
                <w:color w:val="000000" w:themeColor="text1"/>
                <w:sz w:val="22"/>
                <w:szCs w:val="22"/>
              </w:rPr>
              <w:t xml:space="preserve"> </w:t>
            </w:r>
            <w:r w:rsidRPr="00953ED7">
              <w:rPr>
                <w:rFonts w:ascii="Calibri" w:eastAsia="Times New Roman" w:hAnsi="Calibri"/>
                <w:b/>
                <w:color w:val="000000" w:themeColor="text1"/>
                <w:sz w:val="22"/>
                <w:szCs w:val="22"/>
                <w:lang w:val="x-none"/>
              </w:rPr>
              <w:t>in Texas district court, alleging that they had infringed its patents by</w:t>
            </w:r>
            <w:r>
              <w:rPr>
                <w:rFonts w:ascii="Calibri" w:eastAsia="Times New Roman" w:hAnsi="Calibri"/>
                <w:b/>
                <w:color w:val="000000" w:themeColor="text1"/>
                <w:sz w:val="22"/>
                <w:szCs w:val="22"/>
              </w:rPr>
              <w:t xml:space="preserve"> </w:t>
            </w:r>
            <w:r w:rsidRPr="00953ED7">
              <w:rPr>
                <w:rFonts w:ascii="Calibri" w:eastAsia="Times New Roman" w:hAnsi="Calibri"/>
                <w:b/>
                <w:color w:val="000000" w:themeColor="text1"/>
                <w:sz w:val="22"/>
                <w:szCs w:val="22"/>
                <w:lang w:val="x-none"/>
              </w:rPr>
              <w:t>using certain software.  Months later, non-party</w:t>
            </w:r>
            <w:r>
              <w:rPr>
                <w:rFonts w:ascii="Calibri" w:eastAsia="Times New Roman" w:hAnsi="Calibri"/>
                <w:b/>
                <w:color w:val="000000" w:themeColor="text1"/>
                <w:sz w:val="22"/>
                <w:szCs w:val="22"/>
              </w:rPr>
              <w:t xml:space="preserve"> </w:t>
            </w:r>
            <w:proofErr w:type="spellStart"/>
            <w:r w:rsidRPr="00953ED7">
              <w:rPr>
                <w:rFonts w:ascii="Calibri" w:eastAsia="Times New Roman" w:hAnsi="Calibri"/>
                <w:b/>
                <w:color w:val="000000" w:themeColor="text1"/>
                <w:sz w:val="22"/>
                <w:szCs w:val="22"/>
                <w:lang w:val="x-none"/>
              </w:rPr>
              <w:t>Tegic</w:t>
            </w:r>
            <w:proofErr w:type="spellEnd"/>
            <w:r w:rsidRPr="00953ED7">
              <w:rPr>
                <w:rFonts w:ascii="Calibri" w:eastAsia="Times New Roman" w:hAnsi="Calibri"/>
                <w:b/>
                <w:color w:val="000000" w:themeColor="text1"/>
                <w:sz w:val="22"/>
                <w:szCs w:val="22"/>
                <w:lang w:val="x-none"/>
              </w:rPr>
              <w:t xml:space="preserve"> filed a separate lawsuit in Washington district court for a</w:t>
            </w:r>
            <w:r>
              <w:rPr>
                <w:rFonts w:ascii="Calibri" w:eastAsia="Times New Roman" w:hAnsi="Calibri"/>
                <w:b/>
                <w:color w:val="000000" w:themeColor="text1"/>
                <w:sz w:val="22"/>
                <w:szCs w:val="22"/>
              </w:rPr>
              <w:t xml:space="preserve"> </w:t>
            </w:r>
            <w:r w:rsidRPr="00953ED7">
              <w:rPr>
                <w:rFonts w:ascii="Calibri" w:eastAsia="Times New Roman" w:hAnsi="Calibri"/>
                <w:b/>
                <w:color w:val="000000" w:themeColor="text1"/>
                <w:sz w:val="22"/>
                <w:szCs w:val="22"/>
                <w:lang w:val="x-none"/>
              </w:rPr>
              <w:t>declaratory judgment that the same software did not infringe the</w:t>
            </w:r>
            <w:r>
              <w:rPr>
                <w:rFonts w:ascii="Calibri" w:eastAsia="Times New Roman" w:hAnsi="Calibri"/>
                <w:b/>
                <w:color w:val="000000" w:themeColor="text1"/>
                <w:sz w:val="22"/>
                <w:szCs w:val="22"/>
              </w:rPr>
              <w:t xml:space="preserve"> </w:t>
            </w:r>
            <w:r>
              <w:rPr>
                <w:rFonts w:ascii="Calibri" w:eastAsia="Times New Roman" w:hAnsi="Calibri"/>
                <w:b/>
                <w:color w:val="000000" w:themeColor="text1"/>
                <w:sz w:val="22"/>
                <w:szCs w:val="22"/>
                <w:lang w:val="x-none"/>
              </w:rPr>
              <w:t>university’s patents.</w:t>
            </w:r>
          </w:p>
          <w:p w14:paraId="2539B0F2" w14:textId="40D27BDB" w:rsidR="000F7558" w:rsidRDefault="000F7558" w:rsidP="000F7558">
            <w:pPr>
              <w:spacing w:after="120"/>
              <w:ind w:left="200" w:right="245"/>
              <w:jc w:val="both"/>
              <w:rPr>
                <w:rFonts w:ascii="Calibri" w:eastAsia="Times New Roman" w:hAnsi="Calibri"/>
                <w:b/>
                <w:color w:val="000000" w:themeColor="text1"/>
                <w:sz w:val="22"/>
                <w:szCs w:val="22"/>
              </w:rPr>
            </w:pPr>
            <w:r w:rsidRPr="00953ED7">
              <w:rPr>
                <w:rFonts w:ascii="Calibri" w:eastAsia="Times New Roman" w:hAnsi="Calibri"/>
                <w:b/>
                <w:color w:val="000000" w:themeColor="text1"/>
                <w:sz w:val="22"/>
                <w:szCs w:val="22"/>
                <w:lang w:val="x-none"/>
              </w:rPr>
              <w:t>This Court held that the university’s waiver by litigation did not</w:t>
            </w:r>
            <w:r>
              <w:rPr>
                <w:rFonts w:ascii="Calibri" w:eastAsia="Times New Roman" w:hAnsi="Calibri"/>
                <w:b/>
                <w:color w:val="000000" w:themeColor="text1"/>
                <w:sz w:val="22"/>
                <w:szCs w:val="22"/>
              </w:rPr>
              <w:t xml:space="preserve"> </w:t>
            </w:r>
            <w:r w:rsidRPr="00953ED7">
              <w:rPr>
                <w:rFonts w:ascii="Calibri" w:eastAsia="Times New Roman" w:hAnsi="Calibri"/>
                <w:b/>
                <w:color w:val="000000" w:themeColor="text1"/>
                <w:sz w:val="22"/>
                <w:szCs w:val="22"/>
                <w:lang w:val="x-none"/>
              </w:rPr>
              <w:t xml:space="preserve">extend to </w:t>
            </w:r>
            <w:proofErr w:type="spellStart"/>
            <w:r w:rsidRPr="00953ED7">
              <w:rPr>
                <w:rFonts w:ascii="Calibri" w:eastAsia="Times New Roman" w:hAnsi="Calibri"/>
                <w:b/>
                <w:color w:val="000000" w:themeColor="text1"/>
                <w:sz w:val="22"/>
                <w:szCs w:val="22"/>
                <w:lang w:val="x-none"/>
              </w:rPr>
              <w:t>Tegic’s</w:t>
            </w:r>
            <w:proofErr w:type="spellEnd"/>
            <w:r w:rsidRPr="00953ED7">
              <w:rPr>
                <w:rFonts w:ascii="Calibri" w:eastAsia="Times New Roman" w:hAnsi="Calibri"/>
                <w:b/>
                <w:color w:val="000000" w:themeColor="text1"/>
                <w:sz w:val="22"/>
                <w:szCs w:val="22"/>
                <w:lang w:val="x-none"/>
              </w:rPr>
              <w:t xml:space="preserve"> distinct lawsuit</w:t>
            </w:r>
            <w:r>
              <w:rPr>
                <w:rFonts w:ascii="Calibri" w:eastAsia="Times New Roman" w:hAnsi="Calibri"/>
                <w:b/>
                <w:color w:val="000000" w:themeColor="text1"/>
                <w:sz w:val="22"/>
                <w:szCs w:val="22"/>
              </w:rPr>
              <w:t>.</w:t>
            </w:r>
          </w:p>
        </w:tc>
        <w:tc>
          <w:tcPr>
            <w:tcW w:w="5904" w:type="dxa"/>
            <w:vAlign w:val="center"/>
          </w:tcPr>
          <w:p w14:paraId="3145FBFF"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64E1356F"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774CC8C" w14:textId="77777777" w:rsidTr="0010708E">
        <w:trPr>
          <w:trHeight w:val="4795"/>
        </w:trPr>
        <w:tc>
          <w:tcPr>
            <w:tcW w:w="5904" w:type="dxa"/>
            <w:vAlign w:val="center"/>
          </w:tcPr>
          <w:p w14:paraId="687BBB8A" w14:textId="16D7E9CF"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Why did </w:t>
            </w:r>
            <w:proofErr w:type="spellStart"/>
            <w:r>
              <w:rPr>
                <w:rFonts w:ascii="Calibri" w:hAnsi="Calibri"/>
                <w:b/>
                <w:i/>
                <w:color w:val="000000" w:themeColor="text1"/>
                <w:sz w:val="28"/>
                <w:szCs w:val="28"/>
              </w:rPr>
              <w:t>Tegic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 xml:space="preserve">decline to extend waiver to </w:t>
            </w:r>
            <w:proofErr w:type="spellStart"/>
            <w:r>
              <w:rPr>
                <w:rFonts w:ascii="Calibri" w:hAnsi="Calibri"/>
                <w:b/>
                <w:color w:val="000000" w:themeColor="text1"/>
                <w:sz w:val="28"/>
                <w:szCs w:val="28"/>
              </w:rPr>
              <w:t>Tegic’s</w:t>
            </w:r>
            <w:proofErr w:type="spellEnd"/>
            <w:r>
              <w:rPr>
                <w:rFonts w:ascii="Calibri" w:hAnsi="Calibri"/>
                <w:b/>
                <w:color w:val="000000" w:themeColor="text1"/>
                <w:sz w:val="28"/>
                <w:szCs w:val="28"/>
              </w:rPr>
              <w:t xml:space="preserve"> separate declaratory judgment action?</w:t>
            </w:r>
          </w:p>
        </w:tc>
        <w:tc>
          <w:tcPr>
            <w:tcW w:w="5904" w:type="dxa"/>
            <w:vAlign w:val="center"/>
          </w:tcPr>
          <w:p w14:paraId="74316098" w14:textId="77777777" w:rsidR="000F7558" w:rsidRPr="00461DFE" w:rsidRDefault="000F7558" w:rsidP="000F7558">
            <w:pPr>
              <w:spacing w:after="120"/>
              <w:ind w:left="200" w:right="245"/>
              <w:jc w:val="both"/>
              <w:rPr>
                <w:rFonts w:ascii="Calibri" w:eastAsia="Times New Roman" w:hAnsi="Calibri" w:cs="Calibri"/>
                <w:b/>
                <w:color w:val="000000" w:themeColor="text1"/>
                <w:sz w:val="22"/>
                <w:szCs w:val="22"/>
                <w:lang w:val="x-none"/>
              </w:rPr>
            </w:pPr>
            <w:r w:rsidRPr="00461DFE">
              <w:rPr>
                <w:rFonts w:ascii="Calibri" w:eastAsia="Times New Roman" w:hAnsi="Calibri" w:cs="Calibri"/>
                <w:b/>
                <w:color w:val="000000" w:themeColor="text1"/>
                <w:sz w:val="22"/>
                <w:szCs w:val="22"/>
                <w:lang w:val="x-none"/>
              </w:rPr>
              <w:t xml:space="preserve">The reason was simple: </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 xml:space="preserve">It was far from “clear” that </w:t>
            </w:r>
            <w:proofErr w:type="spellStart"/>
            <w:r w:rsidRPr="00461DFE">
              <w:rPr>
                <w:rFonts w:ascii="Calibri" w:eastAsia="Times New Roman" w:hAnsi="Calibri" w:cs="Calibri"/>
                <w:b/>
                <w:color w:val="000000" w:themeColor="text1"/>
                <w:sz w:val="22"/>
                <w:szCs w:val="22"/>
                <w:lang w:val="x-none"/>
              </w:rPr>
              <w:t>Tegic</w:t>
            </w:r>
            <w:proofErr w:type="spellEnd"/>
            <w:r w:rsidRPr="00461DFE">
              <w:rPr>
                <w:rFonts w:ascii="Calibri" w:eastAsia="Times New Roman" w:hAnsi="Calibri" w:cs="Calibri"/>
                <w:b/>
                <w:color w:val="000000" w:themeColor="text1"/>
                <w:sz w:val="22"/>
                <w:szCs w:val="22"/>
                <w:lang w:val="x-none"/>
              </w:rPr>
              <w:t xml:space="preserve"> played a</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 xml:space="preserve">“necessary” role in the state’s infringement dispute to begin with. </w:t>
            </w:r>
            <w:r w:rsidRPr="00461DFE">
              <w:rPr>
                <w:rFonts w:ascii="Calibri" w:eastAsia="Times New Roman" w:hAnsi="Calibri" w:cs="Calibri"/>
                <w:b/>
                <w:color w:val="000000" w:themeColor="text1"/>
                <w:sz w:val="22"/>
                <w:szCs w:val="22"/>
              </w:rPr>
              <w:t xml:space="preserve"> </w:t>
            </w:r>
            <w:proofErr w:type="spellStart"/>
            <w:r w:rsidRPr="00461DFE">
              <w:rPr>
                <w:rFonts w:ascii="Calibri" w:eastAsia="Times New Roman" w:hAnsi="Calibri" w:cs="Calibri"/>
                <w:b/>
                <w:i/>
                <w:color w:val="000000" w:themeColor="text1"/>
                <w:sz w:val="22"/>
                <w:szCs w:val="22"/>
                <w:lang w:val="x-none"/>
              </w:rPr>
              <w:t>Tegic</w:t>
            </w:r>
            <w:proofErr w:type="spellEnd"/>
            <w:r w:rsidRPr="00461DFE">
              <w:rPr>
                <w:rFonts w:ascii="Calibri" w:eastAsia="Times New Roman" w:hAnsi="Calibri" w:cs="Calibri"/>
                <w:b/>
                <w:i/>
                <w:color w:val="000000" w:themeColor="text1"/>
                <w:sz w:val="22"/>
                <w:szCs w:val="22"/>
                <w:lang w:val="x-none"/>
              </w:rPr>
              <w:t xml:space="preserve"> </w:t>
            </w:r>
            <w:r w:rsidRPr="00461DFE">
              <w:rPr>
                <w:rFonts w:ascii="Calibri" w:eastAsia="Times New Roman" w:hAnsi="Calibri" w:cs="Calibri"/>
                <w:b/>
                <w:color w:val="000000" w:themeColor="text1"/>
                <w:sz w:val="22"/>
                <w:szCs w:val="22"/>
              </w:rPr>
              <w:t xml:space="preserve">at </w:t>
            </w:r>
            <w:r w:rsidRPr="00461DFE">
              <w:rPr>
                <w:rFonts w:ascii="Calibri" w:eastAsia="Times New Roman" w:hAnsi="Calibri" w:cs="Calibri"/>
                <w:b/>
                <w:color w:val="000000" w:themeColor="text1"/>
                <w:sz w:val="22"/>
                <w:szCs w:val="22"/>
                <w:lang w:val="x-none"/>
              </w:rPr>
              <w:t xml:space="preserve">1343-44. </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The Court recognized that “the University obviously ‘made</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itself a party to the [Texas] litigation to the full extent required for its</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complete determination.’”</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 xml:space="preserve"> </w:t>
            </w:r>
            <w:r w:rsidRPr="00461DFE">
              <w:rPr>
                <w:rFonts w:ascii="Calibri" w:eastAsia="Times New Roman" w:hAnsi="Calibri" w:cs="Calibri"/>
                <w:b/>
                <w:i/>
                <w:color w:val="000000" w:themeColor="text1"/>
                <w:sz w:val="22"/>
                <w:szCs w:val="22"/>
                <w:lang w:val="x-none"/>
              </w:rPr>
              <w:t xml:space="preserve">Id. </w:t>
            </w:r>
            <w:r w:rsidRPr="00461DFE">
              <w:rPr>
                <w:rFonts w:ascii="Calibri" w:eastAsia="Times New Roman" w:hAnsi="Calibri" w:cs="Calibri"/>
                <w:b/>
                <w:color w:val="000000" w:themeColor="text1"/>
                <w:sz w:val="22"/>
                <w:szCs w:val="22"/>
                <w:lang w:val="x-none"/>
              </w:rPr>
              <w:t xml:space="preserve">at 1343 (quoting </w:t>
            </w:r>
            <w:r w:rsidRPr="00461DFE">
              <w:rPr>
                <w:rFonts w:ascii="Calibri" w:eastAsia="Times New Roman" w:hAnsi="Calibri" w:cs="Calibri"/>
                <w:b/>
                <w:i/>
                <w:color w:val="000000" w:themeColor="text1"/>
                <w:sz w:val="22"/>
                <w:szCs w:val="22"/>
                <w:lang w:val="x-none"/>
              </w:rPr>
              <w:t xml:space="preserve">Clark, </w:t>
            </w:r>
            <w:r w:rsidRPr="00461DFE">
              <w:rPr>
                <w:rFonts w:ascii="Calibri" w:eastAsia="Times New Roman" w:hAnsi="Calibri" w:cs="Calibri"/>
                <w:b/>
                <w:color w:val="000000" w:themeColor="text1"/>
                <w:sz w:val="22"/>
                <w:szCs w:val="22"/>
                <w:lang w:val="x-none"/>
              </w:rPr>
              <w:t>108 U.S. at 448).</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 xml:space="preserve">But as a non-party, </w:t>
            </w:r>
            <w:proofErr w:type="spellStart"/>
            <w:r w:rsidRPr="00461DFE">
              <w:rPr>
                <w:rFonts w:ascii="Calibri" w:eastAsia="Times New Roman" w:hAnsi="Calibri" w:cs="Calibri"/>
                <w:b/>
                <w:color w:val="000000" w:themeColor="text1"/>
                <w:sz w:val="22"/>
                <w:szCs w:val="22"/>
                <w:lang w:val="x-none"/>
              </w:rPr>
              <w:t>Tegic</w:t>
            </w:r>
            <w:proofErr w:type="spellEnd"/>
            <w:r w:rsidRPr="00461DFE">
              <w:rPr>
                <w:rFonts w:ascii="Calibri" w:eastAsia="Times New Roman" w:hAnsi="Calibri" w:cs="Calibri"/>
                <w:b/>
                <w:color w:val="000000" w:themeColor="text1"/>
                <w:sz w:val="22"/>
                <w:szCs w:val="22"/>
                <w:lang w:val="x-none"/>
              </w:rPr>
              <w:t xml:space="preserve"> was formally a stranger to that litigation.</w:t>
            </w:r>
          </w:p>
          <w:p w14:paraId="6DD68B0D" w14:textId="2553A27A" w:rsidR="000F7558" w:rsidRDefault="000F7558" w:rsidP="000F7558">
            <w:pPr>
              <w:spacing w:after="120"/>
              <w:ind w:left="200" w:right="245"/>
              <w:jc w:val="both"/>
              <w:rPr>
                <w:rFonts w:ascii="Calibri" w:eastAsia="Times New Roman" w:hAnsi="Calibri"/>
                <w:b/>
                <w:color w:val="000000" w:themeColor="text1"/>
                <w:sz w:val="22"/>
                <w:szCs w:val="22"/>
                <w:lang w:val="x-none"/>
              </w:rPr>
            </w:pPr>
            <w:r w:rsidRPr="00461DFE">
              <w:rPr>
                <w:rFonts w:ascii="Calibri" w:eastAsia="Times New Roman" w:hAnsi="Calibri" w:cs="Calibri"/>
                <w:b/>
                <w:color w:val="000000" w:themeColor="text1"/>
                <w:sz w:val="22"/>
                <w:szCs w:val="22"/>
                <w:lang w:val="x-none"/>
              </w:rPr>
              <w:t xml:space="preserve">The Court invited </w:t>
            </w:r>
            <w:proofErr w:type="spellStart"/>
            <w:r w:rsidRPr="00461DFE">
              <w:rPr>
                <w:rFonts w:ascii="Calibri" w:eastAsia="Times New Roman" w:hAnsi="Calibri" w:cs="Calibri"/>
                <w:b/>
                <w:color w:val="000000" w:themeColor="text1"/>
                <w:sz w:val="22"/>
                <w:szCs w:val="22"/>
                <w:lang w:val="x-none"/>
              </w:rPr>
              <w:t>Tegic</w:t>
            </w:r>
            <w:proofErr w:type="spellEnd"/>
            <w:r w:rsidRPr="00461DFE">
              <w:rPr>
                <w:rFonts w:ascii="Calibri" w:eastAsia="Times New Roman" w:hAnsi="Calibri" w:cs="Calibri"/>
                <w:b/>
                <w:color w:val="000000" w:themeColor="text1"/>
                <w:sz w:val="22"/>
                <w:szCs w:val="22"/>
                <w:lang w:val="x-none"/>
              </w:rPr>
              <w:t xml:space="preserve"> to show otherwise by intervening in Texas</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district court—at which point it would benefit from the university’s</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waiver.</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color w:val="000000" w:themeColor="text1"/>
                <w:sz w:val="22"/>
                <w:szCs w:val="22"/>
                <w:lang w:val="x-none"/>
              </w:rPr>
              <w:t xml:space="preserve"> </w:t>
            </w:r>
            <w:r w:rsidRPr="00461DFE">
              <w:rPr>
                <w:rFonts w:ascii="Calibri" w:eastAsia="Times New Roman" w:hAnsi="Calibri" w:cs="Calibri"/>
                <w:b/>
                <w:i/>
                <w:color w:val="000000" w:themeColor="text1"/>
                <w:sz w:val="22"/>
                <w:szCs w:val="22"/>
                <w:lang w:val="x-none"/>
              </w:rPr>
              <w:t xml:space="preserve">Id. </w:t>
            </w:r>
            <w:r w:rsidRPr="00461DFE">
              <w:rPr>
                <w:rFonts w:ascii="Calibri" w:eastAsia="Times New Roman" w:hAnsi="Calibri" w:cs="Calibri"/>
                <w:b/>
                <w:color w:val="000000" w:themeColor="text1"/>
                <w:sz w:val="22"/>
                <w:szCs w:val="22"/>
                <w:lang w:val="x-none"/>
              </w:rPr>
              <w:t>at 1344.</w:t>
            </w:r>
            <w:r w:rsidRPr="00461DFE">
              <w:rPr>
                <w:rFonts w:ascii="Calibri" w:eastAsia="Times New Roman" w:hAnsi="Calibri" w:cs="Calibri"/>
                <w:b/>
                <w:color w:val="000000" w:themeColor="text1"/>
                <w:sz w:val="22"/>
                <w:szCs w:val="22"/>
              </w:rPr>
              <w:t xml:space="preserve">  In the meantime, though, </w:t>
            </w:r>
            <w:r>
              <w:rPr>
                <w:rFonts w:ascii="Calibri" w:eastAsia="Times New Roman" w:hAnsi="Calibri" w:cs="Calibri"/>
                <w:b/>
                <w:color w:val="000000" w:themeColor="text1"/>
                <w:sz w:val="22"/>
                <w:szCs w:val="22"/>
              </w:rPr>
              <w:t>the Court</w:t>
            </w:r>
            <w:r w:rsidRPr="00461DFE">
              <w:rPr>
                <w:rFonts w:ascii="Calibri" w:eastAsia="Times New Roman" w:hAnsi="Calibri" w:cs="Calibri"/>
                <w:b/>
                <w:color w:val="000000" w:themeColor="text1"/>
                <w:sz w:val="22"/>
                <w:szCs w:val="22"/>
              </w:rPr>
              <w:t xml:space="preserve"> declined to extend waiver to “</w:t>
            </w:r>
            <w:r w:rsidRPr="0054656F">
              <w:rPr>
                <w:rFonts w:ascii="Calibri" w:eastAsia="Times New Roman" w:hAnsi="Calibri" w:cs="Calibri"/>
                <w:b/>
                <w:color w:val="000000" w:themeColor="text1"/>
                <w:sz w:val="22"/>
                <w:szCs w:val="22"/>
                <w:u w:val="single"/>
                <w:lang w:val="x-none"/>
              </w:rPr>
              <w:t>a new action brought by a different</w:t>
            </w:r>
            <w:r w:rsidRPr="0054656F">
              <w:rPr>
                <w:rFonts w:ascii="Calibri" w:eastAsia="Times New Roman" w:hAnsi="Calibri" w:cs="Calibri"/>
                <w:b/>
                <w:color w:val="000000" w:themeColor="text1"/>
                <w:sz w:val="22"/>
                <w:szCs w:val="22"/>
                <w:u w:val="single"/>
              </w:rPr>
              <w:t xml:space="preserve"> </w:t>
            </w:r>
            <w:r w:rsidRPr="0054656F">
              <w:rPr>
                <w:rFonts w:ascii="Calibri" w:eastAsia="Times New Roman" w:hAnsi="Calibri" w:cs="Calibri"/>
                <w:b/>
                <w:color w:val="000000" w:themeColor="text1"/>
                <w:sz w:val="22"/>
                <w:szCs w:val="22"/>
                <w:u w:val="single"/>
                <w:lang w:val="x-none"/>
              </w:rPr>
              <w:t>party in a different state and a different district court</w:t>
            </w:r>
            <w:r w:rsidRPr="00461DFE">
              <w:rPr>
                <w:rFonts w:ascii="Calibri" w:eastAsia="Times New Roman" w:hAnsi="Calibri" w:cs="Calibri"/>
                <w:b/>
                <w:color w:val="000000" w:themeColor="text1"/>
                <w:sz w:val="22"/>
                <w:szCs w:val="22"/>
                <w:lang w:val="x-none"/>
              </w:rPr>
              <w:t xml:space="preserve">.” </w:t>
            </w:r>
            <w:r w:rsidRPr="00461DFE">
              <w:rPr>
                <w:rFonts w:ascii="Calibri" w:eastAsia="Times New Roman" w:hAnsi="Calibri" w:cs="Calibri"/>
                <w:b/>
                <w:color w:val="000000" w:themeColor="text1"/>
                <w:sz w:val="22"/>
                <w:szCs w:val="22"/>
              </w:rPr>
              <w:t xml:space="preserve"> </w:t>
            </w:r>
            <w:r w:rsidRPr="00461DFE">
              <w:rPr>
                <w:rFonts w:ascii="Calibri" w:eastAsia="Times New Roman" w:hAnsi="Calibri" w:cs="Calibri"/>
                <w:b/>
                <w:i/>
                <w:color w:val="000000" w:themeColor="text1"/>
                <w:sz w:val="22"/>
                <w:szCs w:val="22"/>
                <w:lang w:val="x-none"/>
              </w:rPr>
              <w:t xml:space="preserve">Id. </w:t>
            </w:r>
            <w:r w:rsidRPr="00461DFE">
              <w:rPr>
                <w:rFonts w:ascii="Calibri" w:eastAsia="Times New Roman" w:hAnsi="Calibri" w:cs="Calibri"/>
                <w:b/>
                <w:color w:val="000000" w:themeColor="text1"/>
                <w:sz w:val="22"/>
                <w:szCs w:val="22"/>
                <w:lang w:val="x-none"/>
              </w:rPr>
              <w:t>at 1343.</w:t>
            </w:r>
          </w:p>
        </w:tc>
        <w:tc>
          <w:tcPr>
            <w:tcW w:w="5904" w:type="dxa"/>
            <w:vAlign w:val="center"/>
          </w:tcPr>
          <w:p w14:paraId="5AA15D78"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7B8BA639"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72620FA0" w14:textId="77777777" w:rsidTr="0010708E">
        <w:trPr>
          <w:trHeight w:val="4795"/>
        </w:trPr>
        <w:tc>
          <w:tcPr>
            <w:tcW w:w="5904" w:type="dxa"/>
            <w:vAlign w:val="center"/>
          </w:tcPr>
          <w:p w14:paraId="6E6FBB67" w14:textId="36FE6490"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is </w:t>
            </w:r>
            <w:proofErr w:type="spellStart"/>
            <w:r>
              <w:rPr>
                <w:rFonts w:ascii="Calibri" w:hAnsi="Calibri"/>
                <w:b/>
                <w:i/>
                <w:color w:val="000000" w:themeColor="text1"/>
                <w:sz w:val="28"/>
                <w:szCs w:val="28"/>
              </w:rPr>
              <w:t>Tegic</w:t>
            </w:r>
            <w:proofErr w:type="spellEnd"/>
            <w:r>
              <w:rPr>
                <w:rFonts w:ascii="Calibri" w:hAnsi="Calibri"/>
                <w:b/>
                <w:i/>
                <w:color w:val="000000" w:themeColor="text1"/>
                <w:sz w:val="28"/>
                <w:szCs w:val="28"/>
              </w:rPr>
              <w:t xml:space="preserve"> </w:t>
            </w:r>
            <w:r>
              <w:rPr>
                <w:rFonts w:ascii="Calibri" w:hAnsi="Calibri"/>
                <w:b/>
                <w:color w:val="000000" w:themeColor="text1"/>
                <w:sz w:val="28"/>
                <w:szCs w:val="28"/>
              </w:rPr>
              <w:t>distinguishable?</w:t>
            </w:r>
          </w:p>
        </w:tc>
        <w:tc>
          <w:tcPr>
            <w:tcW w:w="5904" w:type="dxa"/>
            <w:vAlign w:val="center"/>
          </w:tcPr>
          <w:p w14:paraId="5864B078" w14:textId="77777777" w:rsidR="000F7558" w:rsidRPr="00461DFE" w:rsidRDefault="000F7558" w:rsidP="000F7558">
            <w:pPr>
              <w:spacing w:after="120"/>
              <w:ind w:left="200" w:right="245"/>
              <w:jc w:val="both"/>
              <w:rPr>
                <w:rFonts w:ascii="Calibri" w:hAnsi="Calibri" w:cs="Calibri"/>
                <w:b/>
                <w:sz w:val="22"/>
                <w:szCs w:val="22"/>
              </w:rPr>
            </w:pPr>
            <w:proofErr w:type="spellStart"/>
            <w:r w:rsidRPr="00461DFE">
              <w:rPr>
                <w:rFonts w:ascii="Calibri" w:hAnsi="Calibri" w:cs="Calibri"/>
                <w:b/>
                <w:sz w:val="22"/>
                <w:szCs w:val="22"/>
              </w:rPr>
              <w:t>Tegic</w:t>
            </w:r>
            <w:proofErr w:type="spellEnd"/>
            <w:r w:rsidRPr="00461DFE">
              <w:rPr>
                <w:rFonts w:ascii="Calibri" w:hAnsi="Calibri" w:cs="Calibri"/>
                <w:b/>
                <w:sz w:val="22"/>
                <w:szCs w:val="22"/>
              </w:rPr>
              <w:t xml:space="preserve"> lost because it was not a party to the state university’s district court litigation, which meant it couldn’t benefit from the accompanying waiver.  That’s not the case for Ericsson, LSI and Avago.  They were parties to </w:t>
            </w:r>
            <w:proofErr w:type="spellStart"/>
            <w:r w:rsidRPr="00461DFE">
              <w:rPr>
                <w:rFonts w:ascii="Calibri" w:hAnsi="Calibri" w:cs="Calibri"/>
                <w:b/>
                <w:sz w:val="22"/>
                <w:szCs w:val="22"/>
              </w:rPr>
              <w:t>UMN’s</w:t>
            </w:r>
            <w:proofErr w:type="spellEnd"/>
            <w:r w:rsidRPr="00461DFE">
              <w:rPr>
                <w:rFonts w:ascii="Calibri" w:hAnsi="Calibri" w:cs="Calibri"/>
                <w:b/>
                <w:sz w:val="22"/>
                <w:szCs w:val="22"/>
              </w:rPr>
              <w:t xml:space="preserve"> district court litigation, and there’s no dispute that they benefit from the accompanying waiver.</w:t>
            </w:r>
          </w:p>
          <w:p w14:paraId="4F754465" w14:textId="29D2C25D" w:rsidR="000F7558" w:rsidRPr="00461DFE" w:rsidRDefault="000F7558" w:rsidP="000F7558">
            <w:pPr>
              <w:spacing w:after="120"/>
              <w:ind w:left="200" w:right="245"/>
              <w:jc w:val="both"/>
              <w:rPr>
                <w:rFonts w:ascii="Calibri" w:eastAsia="Times New Roman" w:hAnsi="Calibri" w:cs="Calibri"/>
                <w:b/>
                <w:color w:val="000000" w:themeColor="text1"/>
                <w:sz w:val="22"/>
                <w:szCs w:val="22"/>
                <w:lang w:val="x-none"/>
              </w:rPr>
            </w:pPr>
            <w:r w:rsidRPr="00461DFE">
              <w:rPr>
                <w:rFonts w:ascii="Calibri" w:hAnsi="Calibri" w:cs="Calibri"/>
                <w:b/>
                <w:sz w:val="22"/>
                <w:szCs w:val="22"/>
              </w:rPr>
              <w:t xml:space="preserve">The question here is whether that waiver encompasses defensive </w:t>
            </w:r>
            <w:proofErr w:type="spellStart"/>
            <w:r w:rsidRPr="00461DFE">
              <w:rPr>
                <w:rFonts w:ascii="Calibri" w:hAnsi="Calibri" w:cs="Calibri"/>
                <w:b/>
                <w:sz w:val="22"/>
                <w:szCs w:val="22"/>
              </w:rPr>
              <w:t>IPR</w:t>
            </w:r>
            <w:proofErr w:type="spellEnd"/>
            <w:r w:rsidRPr="00461DFE">
              <w:rPr>
                <w:rFonts w:ascii="Calibri" w:hAnsi="Calibri" w:cs="Calibri"/>
                <w:b/>
                <w:sz w:val="22"/>
                <w:szCs w:val="22"/>
              </w:rPr>
              <w:t xml:space="preserve"> petitions.  </w:t>
            </w:r>
            <w:proofErr w:type="spellStart"/>
            <w:r w:rsidRPr="00461DFE">
              <w:rPr>
                <w:rFonts w:ascii="Calibri" w:hAnsi="Calibri" w:cs="Calibri"/>
                <w:b/>
                <w:i/>
                <w:sz w:val="22"/>
                <w:szCs w:val="22"/>
              </w:rPr>
              <w:t>Tegic</w:t>
            </w:r>
            <w:proofErr w:type="spellEnd"/>
            <w:r w:rsidRPr="00461DFE">
              <w:rPr>
                <w:rFonts w:ascii="Calibri" w:hAnsi="Calibri" w:cs="Calibri"/>
                <w:b/>
                <w:i/>
                <w:sz w:val="22"/>
                <w:szCs w:val="22"/>
              </w:rPr>
              <w:t xml:space="preserve"> </w:t>
            </w:r>
            <w:r w:rsidRPr="00461DFE">
              <w:rPr>
                <w:rFonts w:ascii="Calibri" w:hAnsi="Calibri" w:cs="Calibri"/>
                <w:b/>
                <w:sz w:val="22"/>
                <w:szCs w:val="22"/>
              </w:rPr>
              <w:t>sheds no light on that distinct issue.</w:t>
            </w:r>
          </w:p>
        </w:tc>
        <w:tc>
          <w:tcPr>
            <w:tcW w:w="5904" w:type="dxa"/>
            <w:vAlign w:val="center"/>
          </w:tcPr>
          <w:p w14:paraId="60CDB8C5"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4F3654D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713E462" w14:textId="77777777" w:rsidTr="0010708E">
        <w:trPr>
          <w:trHeight w:val="4795"/>
        </w:trPr>
        <w:tc>
          <w:tcPr>
            <w:tcW w:w="5904" w:type="dxa"/>
            <w:vAlign w:val="center"/>
          </w:tcPr>
          <w:p w14:paraId="268B899B" w14:textId="612D611C"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You emphasize that </w:t>
            </w:r>
            <w:proofErr w:type="spellStart"/>
            <w:r>
              <w:rPr>
                <w:rFonts w:ascii="Calibri" w:hAnsi="Calibri"/>
                <w:b/>
                <w:color w:val="000000" w:themeColor="text1"/>
                <w:sz w:val="28"/>
                <w:szCs w:val="28"/>
              </w:rPr>
              <w:t>Tegic</w:t>
            </w:r>
            <w:proofErr w:type="spellEnd"/>
            <w:r>
              <w:rPr>
                <w:rFonts w:ascii="Calibri" w:hAnsi="Calibri"/>
                <w:b/>
                <w:color w:val="000000" w:themeColor="text1"/>
                <w:sz w:val="28"/>
                <w:szCs w:val="28"/>
              </w:rPr>
              <w:t xml:space="preserve"> was not a party to the state’s lawsuit.  But wasn’t that irrelevant to this Court’s waiver analysis?  Didn’t we mention it only when “reject[</w:t>
            </w:r>
            <w:proofErr w:type="spellStart"/>
            <w:r>
              <w:rPr>
                <w:rFonts w:ascii="Calibri" w:hAnsi="Calibri"/>
                <w:b/>
                <w:color w:val="000000" w:themeColor="text1"/>
                <w:sz w:val="28"/>
                <w:szCs w:val="28"/>
              </w:rPr>
              <w:t>ing</w:t>
            </w:r>
            <w:proofErr w:type="spellEnd"/>
            <w:r>
              <w:rPr>
                <w:rFonts w:ascii="Calibri" w:hAnsi="Calibri"/>
                <w:b/>
                <w:color w:val="000000" w:themeColor="text1"/>
                <w:sz w:val="28"/>
                <w:szCs w:val="28"/>
              </w:rPr>
              <w:t>] arguments about the customer suit exception and foreseeability,” Reply 26?</w:t>
            </w:r>
          </w:p>
        </w:tc>
        <w:tc>
          <w:tcPr>
            <w:tcW w:w="5904" w:type="dxa"/>
            <w:vAlign w:val="center"/>
          </w:tcPr>
          <w:p w14:paraId="522AB9C0" w14:textId="24F36363" w:rsidR="000F7558" w:rsidRPr="00461DFE" w:rsidRDefault="000F7558" w:rsidP="000F7558">
            <w:pPr>
              <w:spacing w:after="120"/>
              <w:ind w:left="200" w:right="245"/>
              <w:jc w:val="both"/>
              <w:rPr>
                <w:rFonts w:ascii="Calibri" w:hAnsi="Calibri" w:cs="Calibri"/>
                <w:b/>
                <w:sz w:val="22"/>
                <w:szCs w:val="22"/>
              </w:rPr>
            </w:pPr>
            <w:r w:rsidRPr="00461DFE">
              <w:rPr>
                <w:rFonts w:ascii="Calibri" w:hAnsi="Calibri" w:cs="Calibri"/>
                <w:b/>
                <w:sz w:val="22"/>
                <w:szCs w:val="22"/>
              </w:rPr>
              <w:t xml:space="preserve">No.  When deciding the scope of waiver, this Court acknowledged that the state university “obviously ‘made itself a party to the litigation to the full extent required for its complete determination.’”  </w:t>
            </w:r>
            <w:proofErr w:type="spellStart"/>
            <w:r w:rsidRPr="00461DFE">
              <w:rPr>
                <w:rFonts w:ascii="Calibri" w:hAnsi="Calibri" w:cs="Calibri"/>
                <w:b/>
                <w:i/>
                <w:sz w:val="22"/>
                <w:szCs w:val="22"/>
              </w:rPr>
              <w:t>Tegic</w:t>
            </w:r>
            <w:proofErr w:type="spellEnd"/>
            <w:r w:rsidRPr="00461DFE">
              <w:rPr>
                <w:rFonts w:ascii="Calibri" w:hAnsi="Calibri" w:cs="Calibri"/>
                <w:b/>
                <w:i/>
                <w:sz w:val="22"/>
                <w:szCs w:val="22"/>
              </w:rPr>
              <w:t xml:space="preserve"> </w:t>
            </w:r>
            <w:r w:rsidRPr="00461DFE">
              <w:rPr>
                <w:rFonts w:ascii="Calibri" w:hAnsi="Calibri" w:cs="Calibri"/>
                <w:b/>
                <w:sz w:val="22"/>
                <w:szCs w:val="22"/>
              </w:rPr>
              <w:t xml:space="preserve">at 1343 (quoting </w:t>
            </w:r>
            <w:r w:rsidRPr="00461DFE">
              <w:rPr>
                <w:rFonts w:ascii="Calibri" w:hAnsi="Calibri" w:cs="Calibri"/>
                <w:b/>
                <w:i/>
                <w:sz w:val="22"/>
                <w:szCs w:val="22"/>
              </w:rPr>
              <w:t xml:space="preserve">Clark </w:t>
            </w:r>
            <w:r w:rsidRPr="00461DFE">
              <w:rPr>
                <w:rFonts w:ascii="Calibri" w:hAnsi="Calibri" w:cs="Calibri"/>
                <w:b/>
                <w:sz w:val="22"/>
                <w:szCs w:val="22"/>
              </w:rPr>
              <w:t xml:space="preserve">at 448).  But it drew the line at a “new action </w:t>
            </w:r>
            <w:r w:rsidRPr="00461DFE">
              <w:rPr>
                <w:rFonts w:ascii="Calibri" w:hAnsi="Calibri" w:cs="Calibri"/>
                <w:b/>
                <w:sz w:val="22"/>
                <w:szCs w:val="22"/>
                <w:u w:val="single"/>
              </w:rPr>
              <w:t>brought by a different party</w:t>
            </w:r>
            <w:r w:rsidRPr="00461DFE">
              <w:rPr>
                <w:rFonts w:ascii="Calibri" w:hAnsi="Calibri" w:cs="Calibri"/>
                <w:b/>
                <w:sz w:val="22"/>
                <w:szCs w:val="22"/>
              </w:rPr>
              <w:t xml:space="preserve"> in a different state and a different district court.”  </w:t>
            </w:r>
            <w:r w:rsidRPr="00461DFE">
              <w:rPr>
                <w:rFonts w:ascii="Calibri" w:hAnsi="Calibri" w:cs="Calibri"/>
                <w:b/>
                <w:i/>
                <w:sz w:val="22"/>
                <w:szCs w:val="22"/>
              </w:rPr>
              <w:t>Id.</w:t>
            </w:r>
            <w:r w:rsidRPr="00461DFE">
              <w:rPr>
                <w:rFonts w:ascii="Calibri" w:hAnsi="Calibri" w:cs="Calibri"/>
                <w:b/>
                <w:sz w:val="22"/>
                <w:szCs w:val="22"/>
              </w:rPr>
              <w:t xml:space="preserve">  </w:t>
            </w:r>
            <w:proofErr w:type="spellStart"/>
            <w:r w:rsidRPr="00461DFE">
              <w:rPr>
                <w:rFonts w:ascii="Calibri" w:hAnsi="Calibri" w:cs="Calibri"/>
                <w:b/>
                <w:sz w:val="22"/>
                <w:szCs w:val="22"/>
              </w:rPr>
              <w:t>Tegic’s</w:t>
            </w:r>
            <w:proofErr w:type="spellEnd"/>
            <w:r w:rsidRPr="00461DFE">
              <w:rPr>
                <w:rFonts w:ascii="Calibri" w:hAnsi="Calibri" w:cs="Calibri"/>
                <w:b/>
                <w:sz w:val="22"/>
                <w:szCs w:val="22"/>
              </w:rPr>
              <w:t xml:space="preserve"> non-party status was essential to the waiver analysis.</w:t>
            </w:r>
          </w:p>
        </w:tc>
        <w:tc>
          <w:tcPr>
            <w:tcW w:w="5904" w:type="dxa"/>
            <w:vAlign w:val="center"/>
          </w:tcPr>
          <w:p w14:paraId="4C24EEAA"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FE4C986"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117DD8DC" w14:textId="77777777" w:rsidTr="0010708E">
        <w:trPr>
          <w:trHeight w:val="4795"/>
        </w:trPr>
        <w:tc>
          <w:tcPr>
            <w:tcW w:w="5904" w:type="dxa"/>
            <w:vAlign w:val="center"/>
          </w:tcPr>
          <w:p w14:paraId="2BDABFED" w14:textId="23F5336F"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What happened in </w:t>
            </w:r>
            <w:r>
              <w:rPr>
                <w:rFonts w:ascii="Calibri" w:hAnsi="Calibri"/>
                <w:b/>
                <w:i/>
                <w:color w:val="000000" w:themeColor="text1"/>
                <w:sz w:val="28"/>
                <w:szCs w:val="28"/>
              </w:rPr>
              <w:t>A123 Systems</w:t>
            </w:r>
            <w:r>
              <w:rPr>
                <w:rFonts w:ascii="Calibri" w:hAnsi="Calibri"/>
                <w:b/>
                <w:color w:val="000000" w:themeColor="text1"/>
                <w:sz w:val="28"/>
                <w:szCs w:val="28"/>
              </w:rPr>
              <w:t>?</w:t>
            </w:r>
          </w:p>
        </w:tc>
        <w:tc>
          <w:tcPr>
            <w:tcW w:w="5904" w:type="dxa"/>
            <w:vAlign w:val="center"/>
          </w:tcPr>
          <w:p w14:paraId="10C2F60E" w14:textId="77777777" w:rsidR="000F7558" w:rsidRPr="00056EC8" w:rsidRDefault="000F7558" w:rsidP="000F7558">
            <w:pPr>
              <w:spacing w:after="120"/>
              <w:ind w:left="200" w:right="245"/>
              <w:jc w:val="both"/>
              <w:rPr>
                <w:rFonts w:ascii="Calibri" w:hAnsi="Calibri" w:cs="Calibri"/>
                <w:b/>
                <w:sz w:val="22"/>
                <w:szCs w:val="22"/>
                <w:lang w:val="x-none"/>
              </w:rPr>
            </w:pPr>
            <w:r w:rsidRPr="00056EC8">
              <w:rPr>
                <w:rFonts w:ascii="Calibri" w:hAnsi="Calibri" w:cs="Calibri"/>
                <w:b/>
                <w:sz w:val="22"/>
                <w:szCs w:val="22"/>
              </w:rPr>
              <w:t>A</w:t>
            </w:r>
            <w:r w:rsidRPr="00056EC8">
              <w:rPr>
                <w:rFonts w:ascii="Calibri" w:hAnsi="Calibri" w:cs="Calibri"/>
                <w:b/>
                <w:sz w:val="22"/>
                <w:szCs w:val="22"/>
                <w:lang w:val="x-none"/>
              </w:rPr>
              <w:t xml:space="preserve"> state</w:t>
            </w:r>
            <w:r w:rsidRPr="00056EC8">
              <w:rPr>
                <w:rFonts w:ascii="Calibri" w:hAnsi="Calibri" w:cs="Calibri"/>
                <w:b/>
                <w:sz w:val="22"/>
                <w:szCs w:val="22"/>
              </w:rPr>
              <w:t xml:space="preserve"> </w:t>
            </w:r>
            <w:r w:rsidRPr="00056EC8">
              <w:rPr>
                <w:rFonts w:ascii="Calibri" w:hAnsi="Calibri" w:cs="Calibri"/>
                <w:b/>
                <w:sz w:val="22"/>
                <w:szCs w:val="22"/>
                <w:lang w:val="x-none"/>
              </w:rPr>
              <w:t xml:space="preserve">university granted a patent license to a private corporation. </w:t>
            </w:r>
            <w:r w:rsidRPr="00056EC8">
              <w:rPr>
                <w:rFonts w:ascii="Calibri" w:hAnsi="Calibri" w:cs="Calibri"/>
                <w:b/>
                <w:sz w:val="22"/>
                <w:szCs w:val="22"/>
              </w:rPr>
              <w:t xml:space="preserve"> </w:t>
            </w:r>
            <w:r w:rsidRPr="00056EC8">
              <w:rPr>
                <w:rFonts w:ascii="Calibri" w:hAnsi="Calibri" w:cs="Calibri"/>
                <w:b/>
                <w:sz w:val="22"/>
                <w:szCs w:val="22"/>
                <w:lang w:val="x-none"/>
              </w:rPr>
              <w:t>A third</w:t>
            </w:r>
            <w:r w:rsidRPr="00056EC8">
              <w:rPr>
                <w:rFonts w:ascii="Calibri" w:hAnsi="Calibri" w:cs="Calibri"/>
                <w:b/>
                <w:sz w:val="22"/>
                <w:szCs w:val="22"/>
              </w:rPr>
              <w:t xml:space="preserve"> </w:t>
            </w:r>
            <w:r w:rsidRPr="00056EC8">
              <w:rPr>
                <w:rFonts w:ascii="Calibri" w:hAnsi="Calibri" w:cs="Calibri"/>
                <w:b/>
                <w:sz w:val="22"/>
                <w:szCs w:val="22"/>
                <w:lang w:val="x-none"/>
              </w:rPr>
              <w:t>party, A123 Systems, then sued the corporation in Massachusetts</w:t>
            </w:r>
            <w:r w:rsidRPr="00056EC8">
              <w:rPr>
                <w:rFonts w:ascii="Calibri" w:hAnsi="Calibri" w:cs="Calibri"/>
                <w:b/>
                <w:sz w:val="22"/>
                <w:szCs w:val="22"/>
              </w:rPr>
              <w:t xml:space="preserve"> </w:t>
            </w:r>
            <w:r w:rsidRPr="00056EC8">
              <w:rPr>
                <w:rFonts w:ascii="Calibri" w:hAnsi="Calibri" w:cs="Calibri"/>
                <w:b/>
                <w:sz w:val="22"/>
                <w:szCs w:val="22"/>
                <w:lang w:val="x-none"/>
              </w:rPr>
              <w:t>district court, seeking a declaratory judgment of invalidity and</w:t>
            </w:r>
            <w:r w:rsidRPr="00056EC8">
              <w:rPr>
                <w:rFonts w:ascii="Calibri" w:hAnsi="Calibri" w:cs="Calibri"/>
                <w:b/>
                <w:sz w:val="22"/>
                <w:szCs w:val="22"/>
              </w:rPr>
              <w:t xml:space="preserve"> </w:t>
            </w:r>
            <w:r w:rsidRPr="00056EC8">
              <w:rPr>
                <w:rFonts w:ascii="Calibri" w:hAnsi="Calibri" w:cs="Calibri"/>
                <w:b/>
                <w:sz w:val="22"/>
                <w:szCs w:val="22"/>
                <w:lang w:val="x-none"/>
              </w:rPr>
              <w:t>noninfringement.</w:t>
            </w:r>
          </w:p>
          <w:p w14:paraId="22662A90" w14:textId="77777777" w:rsidR="000F7558" w:rsidRPr="00056EC8" w:rsidRDefault="000F7558" w:rsidP="000F7558">
            <w:pPr>
              <w:spacing w:after="120"/>
              <w:ind w:left="200" w:right="245"/>
              <w:jc w:val="both"/>
              <w:rPr>
                <w:rFonts w:ascii="Calibri" w:hAnsi="Calibri" w:cs="Calibri"/>
                <w:b/>
                <w:sz w:val="22"/>
                <w:szCs w:val="22"/>
                <w:lang w:val="x-none"/>
              </w:rPr>
            </w:pPr>
            <w:r w:rsidRPr="00056EC8">
              <w:rPr>
                <w:rFonts w:ascii="Calibri" w:hAnsi="Calibri" w:cs="Calibri"/>
                <w:b/>
                <w:sz w:val="22"/>
                <w:szCs w:val="22"/>
                <w:lang w:val="x-none"/>
              </w:rPr>
              <w:t>Months afterward, the university</w:t>
            </w:r>
            <w:r w:rsidRPr="00056EC8">
              <w:rPr>
                <w:rFonts w:ascii="Calibri" w:hAnsi="Calibri" w:cs="Calibri"/>
                <w:b/>
                <w:sz w:val="22"/>
                <w:szCs w:val="22"/>
              </w:rPr>
              <w:t xml:space="preserve"> </w:t>
            </w:r>
            <w:r w:rsidRPr="00056EC8">
              <w:rPr>
                <w:rFonts w:ascii="Calibri" w:hAnsi="Calibri" w:cs="Calibri"/>
                <w:b/>
                <w:sz w:val="22"/>
                <w:szCs w:val="22"/>
                <w:lang w:val="x-none"/>
              </w:rPr>
              <w:t>and its licensee sued A123 Systems in Texas district court for patent</w:t>
            </w:r>
            <w:r w:rsidRPr="00056EC8">
              <w:rPr>
                <w:rFonts w:ascii="Calibri" w:hAnsi="Calibri" w:cs="Calibri"/>
                <w:b/>
                <w:sz w:val="22"/>
                <w:szCs w:val="22"/>
              </w:rPr>
              <w:t xml:space="preserve"> </w:t>
            </w:r>
            <w:r w:rsidRPr="00056EC8">
              <w:rPr>
                <w:rFonts w:ascii="Calibri" w:hAnsi="Calibri" w:cs="Calibri"/>
                <w:b/>
                <w:sz w:val="22"/>
                <w:szCs w:val="22"/>
                <w:lang w:val="x-none"/>
              </w:rPr>
              <w:t>infringement.</w:t>
            </w:r>
            <w:r w:rsidRPr="00056EC8">
              <w:rPr>
                <w:rFonts w:ascii="Calibri" w:hAnsi="Calibri" w:cs="Calibri"/>
                <w:b/>
                <w:sz w:val="22"/>
                <w:szCs w:val="22"/>
              </w:rPr>
              <w:t xml:space="preserve"> </w:t>
            </w:r>
            <w:r w:rsidRPr="00056EC8">
              <w:rPr>
                <w:rFonts w:ascii="Calibri" w:hAnsi="Calibri" w:cs="Calibri"/>
                <w:b/>
                <w:sz w:val="22"/>
                <w:szCs w:val="22"/>
                <w:lang w:val="x-none"/>
              </w:rPr>
              <w:t xml:space="preserve"> The earlier-filed Massachusetts action was</w:t>
            </w:r>
            <w:r w:rsidRPr="00056EC8">
              <w:rPr>
                <w:rFonts w:ascii="Calibri" w:hAnsi="Calibri" w:cs="Calibri"/>
                <w:b/>
                <w:sz w:val="22"/>
                <w:szCs w:val="22"/>
              </w:rPr>
              <w:t xml:space="preserve"> </w:t>
            </w:r>
            <w:r w:rsidRPr="00056EC8">
              <w:rPr>
                <w:rFonts w:ascii="Calibri" w:hAnsi="Calibri" w:cs="Calibri"/>
                <w:b/>
                <w:sz w:val="22"/>
                <w:szCs w:val="22"/>
                <w:lang w:val="x-none"/>
              </w:rPr>
              <w:t>eventually dismissed.</w:t>
            </w:r>
          </w:p>
          <w:p w14:paraId="447BA7FC" w14:textId="77777777" w:rsidR="000F7558" w:rsidRPr="00056EC8" w:rsidRDefault="000F7558" w:rsidP="000F7558">
            <w:pPr>
              <w:spacing w:after="120"/>
              <w:ind w:left="200" w:right="245"/>
              <w:jc w:val="both"/>
              <w:rPr>
                <w:rFonts w:ascii="Calibri" w:hAnsi="Calibri" w:cs="Calibri"/>
                <w:b/>
                <w:sz w:val="22"/>
                <w:szCs w:val="22"/>
                <w:lang w:val="x-none"/>
              </w:rPr>
            </w:pPr>
            <w:r>
              <w:rPr>
                <w:rFonts w:ascii="Calibri" w:hAnsi="Calibri" w:cs="Calibri"/>
                <w:b/>
                <w:sz w:val="22"/>
                <w:szCs w:val="22"/>
              </w:rPr>
              <w:t>L</w:t>
            </w:r>
            <w:proofErr w:type="spellStart"/>
            <w:r w:rsidRPr="00056EC8">
              <w:rPr>
                <w:rFonts w:ascii="Calibri" w:hAnsi="Calibri" w:cs="Calibri"/>
                <w:b/>
                <w:sz w:val="22"/>
                <w:szCs w:val="22"/>
                <w:lang w:val="x-none"/>
              </w:rPr>
              <w:t>ater</w:t>
            </w:r>
            <w:proofErr w:type="spellEnd"/>
            <w:r w:rsidRPr="00056EC8">
              <w:rPr>
                <w:rFonts w:ascii="Calibri" w:hAnsi="Calibri" w:cs="Calibri"/>
                <w:b/>
                <w:sz w:val="22"/>
                <w:szCs w:val="22"/>
                <w:lang w:val="x-none"/>
              </w:rPr>
              <w:t>, A123 Systems moved to reopen</w:t>
            </w:r>
            <w:r w:rsidRPr="00056EC8">
              <w:rPr>
                <w:rFonts w:ascii="Calibri" w:hAnsi="Calibri" w:cs="Calibri"/>
                <w:b/>
                <w:sz w:val="22"/>
                <w:szCs w:val="22"/>
              </w:rPr>
              <w:t xml:space="preserve"> </w:t>
            </w:r>
            <w:r w:rsidRPr="00056EC8">
              <w:rPr>
                <w:rFonts w:ascii="Calibri" w:hAnsi="Calibri" w:cs="Calibri"/>
                <w:b/>
                <w:sz w:val="22"/>
                <w:szCs w:val="22"/>
                <w:lang w:val="x-none"/>
              </w:rPr>
              <w:t xml:space="preserve">the Massachusetts action and join the university as a defendant. </w:t>
            </w:r>
            <w:r w:rsidRPr="00056EC8">
              <w:rPr>
                <w:rFonts w:ascii="Calibri" w:hAnsi="Calibri" w:cs="Calibri"/>
                <w:b/>
                <w:sz w:val="22"/>
                <w:szCs w:val="22"/>
              </w:rPr>
              <w:t xml:space="preserve"> </w:t>
            </w:r>
            <w:r w:rsidRPr="00056EC8">
              <w:rPr>
                <w:rFonts w:ascii="Calibri" w:hAnsi="Calibri" w:cs="Calibri"/>
                <w:b/>
                <w:sz w:val="22"/>
                <w:szCs w:val="22"/>
                <w:lang w:val="x-none"/>
              </w:rPr>
              <w:t>It</w:t>
            </w:r>
            <w:r w:rsidRPr="00056EC8">
              <w:rPr>
                <w:rFonts w:ascii="Calibri" w:hAnsi="Calibri" w:cs="Calibri"/>
                <w:b/>
                <w:sz w:val="22"/>
                <w:szCs w:val="22"/>
              </w:rPr>
              <w:t xml:space="preserve"> </w:t>
            </w:r>
            <w:r w:rsidRPr="00056EC8">
              <w:rPr>
                <w:rFonts w:ascii="Calibri" w:hAnsi="Calibri" w:cs="Calibri"/>
                <w:b/>
                <w:sz w:val="22"/>
                <w:szCs w:val="22"/>
                <w:lang w:val="x-none"/>
              </w:rPr>
              <w:t>argued that the university’s litigation in Texas effected a “retroactive</w:t>
            </w:r>
            <w:r w:rsidRPr="00056EC8">
              <w:rPr>
                <w:rFonts w:ascii="Calibri" w:hAnsi="Calibri" w:cs="Calibri"/>
                <w:b/>
                <w:sz w:val="22"/>
                <w:szCs w:val="22"/>
              </w:rPr>
              <w:t xml:space="preserve"> </w:t>
            </w:r>
            <w:r w:rsidRPr="00056EC8">
              <w:rPr>
                <w:rFonts w:ascii="Calibri" w:hAnsi="Calibri" w:cs="Calibri"/>
                <w:b/>
                <w:sz w:val="22"/>
                <w:szCs w:val="22"/>
                <w:lang w:val="x-none"/>
              </w:rPr>
              <w:t>waiver,” erasing the immunity that had initially foreclosed the</w:t>
            </w:r>
            <w:r w:rsidRPr="00056EC8">
              <w:rPr>
                <w:rFonts w:ascii="Calibri" w:hAnsi="Calibri" w:cs="Calibri"/>
                <w:b/>
                <w:sz w:val="22"/>
                <w:szCs w:val="22"/>
              </w:rPr>
              <w:t xml:space="preserve"> </w:t>
            </w:r>
            <w:r w:rsidRPr="00056EC8">
              <w:rPr>
                <w:rFonts w:ascii="Calibri" w:hAnsi="Calibri" w:cs="Calibri"/>
                <w:b/>
                <w:sz w:val="22"/>
                <w:szCs w:val="22"/>
                <w:lang w:val="x-none"/>
              </w:rPr>
              <w:t>Massachusetts action.</w:t>
            </w:r>
          </w:p>
          <w:p w14:paraId="56E847EF" w14:textId="77777777" w:rsidR="000F7558" w:rsidRPr="00056EC8" w:rsidRDefault="000F7558" w:rsidP="000F7558">
            <w:pPr>
              <w:spacing w:after="120"/>
              <w:ind w:left="200" w:right="245"/>
              <w:jc w:val="both"/>
              <w:rPr>
                <w:rFonts w:ascii="Calibri" w:hAnsi="Calibri" w:cs="Calibri"/>
                <w:b/>
                <w:i/>
                <w:sz w:val="22"/>
                <w:szCs w:val="22"/>
                <w:lang w:val="x-none"/>
              </w:rPr>
            </w:pPr>
            <w:r w:rsidRPr="00056EC8">
              <w:rPr>
                <w:rFonts w:ascii="Calibri" w:hAnsi="Calibri" w:cs="Calibri"/>
                <w:b/>
                <w:sz w:val="22"/>
                <w:szCs w:val="22"/>
                <w:lang w:val="x-none"/>
              </w:rPr>
              <w:t>This Court concluded that the university’s waiver by litigation had</w:t>
            </w:r>
            <w:r w:rsidRPr="00056EC8">
              <w:rPr>
                <w:rFonts w:ascii="Calibri" w:hAnsi="Calibri" w:cs="Calibri"/>
                <w:b/>
                <w:sz w:val="22"/>
                <w:szCs w:val="22"/>
              </w:rPr>
              <w:t xml:space="preserve"> </w:t>
            </w:r>
            <w:r w:rsidRPr="00056EC8">
              <w:rPr>
                <w:rFonts w:ascii="Calibri" w:hAnsi="Calibri" w:cs="Calibri"/>
                <w:b/>
                <w:sz w:val="22"/>
                <w:szCs w:val="22"/>
                <w:lang w:val="x-none"/>
              </w:rPr>
              <w:t>not traveled back in time to revive a defunct, earlier-filed lawsuit.</w:t>
            </w:r>
          </w:p>
          <w:p w14:paraId="0201AFC8" w14:textId="77777777" w:rsidR="000F7558" w:rsidRPr="00461DFE" w:rsidRDefault="000F7558" w:rsidP="000F7558">
            <w:pPr>
              <w:spacing w:after="120"/>
              <w:ind w:left="200" w:right="245"/>
              <w:jc w:val="both"/>
              <w:rPr>
                <w:rFonts w:ascii="Calibri" w:hAnsi="Calibri" w:cs="Calibri"/>
                <w:b/>
                <w:sz w:val="22"/>
                <w:szCs w:val="22"/>
              </w:rPr>
            </w:pPr>
          </w:p>
        </w:tc>
        <w:tc>
          <w:tcPr>
            <w:tcW w:w="5904" w:type="dxa"/>
            <w:vAlign w:val="center"/>
          </w:tcPr>
          <w:p w14:paraId="15C1467A"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2B9805A"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33AB300D" w14:textId="77777777" w:rsidTr="0010708E">
        <w:trPr>
          <w:trHeight w:val="4795"/>
        </w:trPr>
        <w:tc>
          <w:tcPr>
            <w:tcW w:w="5904" w:type="dxa"/>
            <w:vAlign w:val="center"/>
          </w:tcPr>
          <w:p w14:paraId="0B79DAF7" w14:textId="495F3E96"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Why did </w:t>
            </w:r>
            <w:r>
              <w:rPr>
                <w:rFonts w:ascii="Calibri" w:hAnsi="Calibri"/>
                <w:b/>
                <w:i/>
                <w:color w:val="000000" w:themeColor="text1"/>
                <w:sz w:val="28"/>
                <w:szCs w:val="28"/>
              </w:rPr>
              <w:t xml:space="preserve">A123 Systems </w:t>
            </w:r>
            <w:r>
              <w:rPr>
                <w:rFonts w:ascii="Calibri" w:hAnsi="Calibri"/>
                <w:b/>
                <w:color w:val="000000" w:themeColor="text1"/>
                <w:sz w:val="28"/>
                <w:szCs w:val="28"/>
              </w:rPr>
              <w:t>decline to extend waiver to an earlier-filed federal lawsuit?</w:t>
            </w:r>
          </w:p>
        </w:tc>
        <w:tc>
          <w:tcPr>
            <w:tcW w:w="5904" w:type="dxa"/>
            <w:vAlign w:val="center"/>
          </w:tcPr>
          <w:p w14:paraId="65F0CE7E" w14:textId="77777777" w:rsidR="000F7558" w:rsidRPr="00461DFE" w:rsidRDefault="000F7558" w:rsidP="000F7558">
            <w:pPr>
              <w:spacing w:after="120"/>
              <w:ind w:left="200" w:right="245"/>
              <w:jc w:val="both"/>
              <w:rPr>
                <w:rFonts w:ascii="Calibri" w:hAnsi="Calibri" w:cs="Calibri"/>
                <w:b/>
                <w:sz w:val="22"/>
                <w:szCs w:val="22"/>
                <w:lang w:val="x-none"/>
              </w:rPr>
            </w:pPr>
            <w:r w:rsidRPr="00461DFE">
              <w:rPr>
                <w:rFonts w:ascii="Calibri" w:hAnsi="Calibri" w:cs="Calibri"/>
                <w:b/>
                <w:sz w:val="22"/>
                <w:szCs w:val="22"/>
              </w:rPr>
              <w:t xml:space="preserve">Aside from the obvious illogic of sending waiver back in time, the Court emphasized the absence of the fairness concerns so essential to </w:t>
            </w:r>
            <w:proofErr w:type="spellStart"/>
            <w:r w:rsidRPr="00461DFE">
              <w:rPr>
                <w:rFonts w:ascii="Calibri" w:hAnsi="Calibri" w:cs="Calibri"/>
                <w:b/>
                <w:i/>
                <w:sz w:val="22"/>
                <w:szCs w:val="22"/>
              </w:rPr>
              <w:t>Lapides</w:t>
            </w:r>
            <w:proofErr w:type="spellEnd"/>
            <w:r w:rsidRPr="00461DFE">
              <w:rPr>
                <w:rFonts w:ascii="Calibri" w:hAnsi="Calibri" w:cs="Calibri"/>
                <w:b/>
                <w:sz w:val="22"/>
                <w:szCs w:val="22"/>
              </w:rPr>
              <w:t>.</w:t>
            </w:r>
          </w:p>
          <w:p w14:paraId="622E94FC" w14:textId="77777777" w:rsidR="000F7558" w:rsidRPr="00461DFE" w:rsidRDefault="000F7558" w:rsidP="000F7558">
            <w:pPr>
              <w:spacing w:after="120"/>
              <w:ind w:left="200" w:right="245"/>
              <w:jc w:val="both"/>
              <w:rPr>
                <w:rFonts w:ascii="Calibri" w:hAnsi="Calibri" w:cs="Calibri"/>
                <w:b/>
                <w:sz w:val="22"/>
                <w:szCs w:val="22"/>
                <w:lang w:val="x-none"/>
              </w:rPr>
            </w:pPr>
            <w:r>
              <w:rPr>
                <w:rFonts w:ascii="Calibri" w:hAnsi="Calibri" w:cs="Calibri"/>
                <w:b/>
                <w:sz w:val="22"/>
                <w:szCs w:val="22"/>
              </w:rPr>
              <w:t>B</w:t>
            </w:r>
            <w:proofErr w:type="spellStart"/>
            <w:r w:rsidRPr="00461DFE">
              <w:rPr>
                <w:rFonts w:ascii="Calibri" w:hAnsi="Calibri" w:cs="Calibri"/>
                <w:b/>
                <w:sz w:val="22"/>
                <w:szCs w:val="22"/>
                <w:lang w:val="x-none"/>
              </w:rPr>
              <w:t>oth</w:t>
            </w:r>
            <w:proofErr w:type="spellEnd"/>
            <w:r w:rsidRPr="00461DFE">
              <w:rPr>
                <w:rFonts w:ascii="Calibri" w:hAnsi="Calibri" w:cs="Calibri"/>
                <w:b/>
                <w:sz w:val="22"/>
                <w:szCs w:val="22"/>
                <w:lang w:val="x-none"/>
              </w:rPr>
              <w:t xml:space="preserve"> cases were in district court</w:t>
            </w:r>
            <w:r>
              <w:rPr>
                <w:rFonts w:ascii="Calibri" w:hAnsi="Calibri" w:cs="Calibri"/>
                <w:b/>
                <w:sz w:val="22"/>
                <w:szCs w:val="22"/>
              </w:rPr>
              <w:t>.  So even without its Massachusetts action</w:t>
            </w:r>
            <w:r w:rsidRPr="00461DFE">
              <w:rPr>
                <w:rFonts w:ascii="Calibri" w:hAnsi="Calibri" w:cs="Calibri"/>
                <w:b/>
                <w:sz w:val="22"/>
                <w:szCs w:val="22"/>
                <w:lang w:val="x-none"/>
              </w:rPr>
              <w:t>, A123 Systems could still raise</w:t>
            </w:r>
            <w:r w:rsidRPr="00461DFE">
              <w:rPr>
                <w:rFonts w:ascii="Calibri" w:hAnsi="Calibri" w:cs="Calibri"/>
                <w:b/>
                <w:sz w:val="22"/>
                <w:szCs w:val="22"/>
              </w:rPr>
              <w:t xml:space="preserve"> </w:t>
            </w:r>
            <w:r w:rsidRPr="00461DFE">
              <w:rPr>
                <w:rFonts w:ascii="Calibri" w:hAnsi="Calibri" w:cs="Calibri"/>
                <w:b/>
                <w:sz w:val="22"/>
                <w:szCs w:val="22"/>
                <w:lang w:val="x-none"/>
              </w:rPr>
              <w:t>precisely the same “noninfringement and invalidity” arguments</w:t>
            </w:r>
            <w:r>
              <w:rPr>
                <w:rFonts w:ascii="Calibri" w:hAnsi="Calibri" w:cs="Calibri"/>
                <w:b/>
                <w:sz w:val="22"/>
                <w:szCs w:val="22"/>
              </w:rPr>
              <w:t xml:space="preserve"> in Texas, subject to the same procedures and legal standards</w:t>
            </w:r>
            <w:r w:rsidRPr="00461DFE">
              <w:rPr>
                <w:rFonts w:ascii="Calibri" w:hAnsi="Calibri" w:cs="Calibri"/>
                <w:b/>
                <w:sz w:val="22"/>
                <w:szCs w:val="22"/>
                <w:lang w:val="x-none"/>
              </w:rPr>
              <w:t xml:space="preserve">. </w:t>
            </w:r>
            <w:r>
              <w:rPr>
                <w:rFonts w:ascii="Calibri" w:hAnsi="Calibri" w:cs="Calibri"/>
                <w:b/>
                <w:sz w:val="22"/>
                <w:szCs w:val="22"/>
              </w:rPr>
              <w:t xml:space="preserve"> </w:t>
            </w:r>
            <w:r w:rsidRPr="00461DFE">
              <w:rPr>
                <w:rFonts w:ascii="Calibri" w:hAnsi="Calibri" w:cs="Calibri"/>
                <w:b/>
                <w:i/>
                <w:sz w:val="22"/>
                <w:szCs w:val="22"/>
              </w:rPr>
              <w:t>A123 Systems</w:t>
            </w:r>
            <w:r w:rsidRPr="00461DFE">
              <w:rPr>
                <w:rFonts w:ascii="Calibri" w:hAnsi="Calibri" w:cs="Calibri"/>
                <w:b/>
                <w:i/>
                <w:sz w:val="22"/>
                <w:szCs w:val="22"/>
                <w:lang w:val="x-none"/>
              </w:rPr>
              <w:t xml:space="preserve"> </w:t>
            </w:r>
            <w:r w:rsidRPr="00461DFE">
              <w:rPr>
                <w:rFonts w:ascii="Calibri" w:hAnsi="Calibri" w:cs="Calibri"/>
                <w:b/>
                <w:sz w:val="22"/>
                <w:szCs w:val="22"/>
                <w:lang w:val="x-none"/>
              </w:rPr>
              <w:t>at 1222.</w:t>
            </w:r>
          </w:p>
          <w:p w14:paraId="30165FE3" w14:textId="77777777" w:rsidR="000F7558" w:rsidRPr="00461DFE" w:rsidRDefault="000F7558" w:rsidP="000F7558">
            <w:pPr>
              <w:spacing w:after="120"/>
              <w:ind w:left="200" w:right="245"/>
              <w:jc w:val="both"/>
              <w:rPr>
                <w:rFonts w:ascii="Calibri" w:hAnsi="Calibri" w:cs="Calibri"/>
                <w:b/>
                <w:sz w:val="22"/>
                <w:szCs w:val="22"/>
                <w:lang w:val="x-none"/>
              </w:rPr>
            </w:pPr>
            <w:r w:rsidRPr="00461DFE">
              <w:rPr>
                <w:rFonts w:ascii="Calibri" w:hAnsi="Calibri" w:cs="Calibri"/>
                <w:b/>
                <w:sz w:val="22"/>
                <w:szCs w:val="22"/>
                <w:lang w:val="x-none"/>
              </w:rPr>
              <w:t>The only difference was the</w:t>
            </w:r>
            <w:r w:rsidRPr="00461DFE">
              <w:rPr>
                <w:rFonts w:ascii="Calibri" w:hAnsi="Calibri" w:cs="Calibri"/>
                <w:b/>
                <w:sz w:val="22"/>
                <w:szCs w:val="22"/>
              </w:rPr>
              <w:t xml:space="preserve"> </w:t>
            </w:r>
            <w:r w:rsidRPr="00461DFE">
              <w:rPr>
                <w:rFonts w:ascii="Calibri" w:hAnsi="Calibri" w:cs="Calibri"/>
                <w:b/>
                <w:sz w:val="22"/>
                <w:szCs w:val="22"/>
                <w:lang w:val="x-none"/>
              </w:rPr>
              <w:t xml:space="preserve">geographic location of the district court. </w:t>
            </w:r>
            <w:r w:rsidRPr="00461DFE">
              <w:rPr>
                <w:rFonts w:ascii="Calibri" w:hAnsi="Calibri" w:cs="Calibri"/>
                <w:b/>
                <w:sz w:val="22"/>
                <w:szCs w:val="22"/>
              </w:rPr>
              <w:t xml:space="preserve"> </w:t>
            </w:r>
            <w:r w:rsidRPr="00461DFE">
              <w:rPr>
                <w:rFonts w:ascii="Calibri" w:hAnsi="Calibri" w:cs="Calibri"/>
                <w:b/>
                <w:sz w:val="22"/>
                <w:szCs w:val="22"/>
                <w:lang w:val="x-none"/>
              </w:rPr>
              <w:t>And even that was not set in stone</w:t>
            </w:r>
            <w:r w:rsidRPr="00461DFE">
              <w:rPr>
                <w:rFonts w:ascii="Calibri" w:hAnsi="Calibri" w:cs="Calibri"/>
                <w:b/>
                <w:sz w:val="22"/>
                <w:szCs w:val="22"/>
              </w:rPr>
              <w:t xml:space="preserve">—as </w:t>
            </w:r>
            <w:r w:rsidRPr="00461DFE">
              <w:rPr>
                <w:rFonts w:ascii="Calibri" w:hAnsi="Calibri" w:cs="Calibri"/>
                <w:b/>
                <w:i/>
                <w:sz w:val="22"/>
                <w:szCs w:val="22"/>
              </w:rPr>
              <w:t xml:space="preserve">Eli Lilly </w:t>
            </w:r>
            <w:r w:rsidRPr="00461DFE">
              <w:rPr>
                <w:rFonts w:ascii="Calibri" w:hAnsi="Calibri" w:cs="Calibri"/>
                <w:b/>
                <w:sz w:val="22"/>
                <w:szCs w:val="22"/>
              </w:rPr>
              <w:t xml:space="preserve">shows, </w:t>
            </w:r>
            <w:r w:rsidRPr="00461DFE">
              <w:rPr>
                <w:rFonts w:ascii="Calibri" w:hAnsi="Calibri" w:cs="Calibri"/>
                <w:b/>
                <w:sz w:val="22"/>
                <w:szCs w:val="22"/>
                <w:lang w:val="x-none"/>
              </w:rPr>
              <w:t xml:space="preserve">motions to transfer venue </w:t>
            </w:r>
            <w:r w:rsidRPr="00461DFE">
              <w:rPr>
                <w:rFonts w:ascii="Calibri" w:hAnsi="Calibri" w:cs="Calibri"/>
                <w:b/>
                <w:sz w:val="22"/>
                <w:szCs w:val="22"/>
              </w:rPr>
              <w:t xml:space="preserve">aren’t </w:t>
            </w:r>
            <w:r w:rsidRPr="00461DFE">
              <w:rPr>
                <w:rFonts w:ascii="Calibri" w:hAnsi="Calibri" w:cs="Calibri"/>
                <w:b/>
                <w:sz w:val="22"/>
                <w:szCs w:val="22"/>
                <w:lang w:val="x-none"/>
              </w:rPr>
              <w:t>barred by state sovereign immunity.</w:t>
            </w:r>
          </w:p>
          <w:p w14:paraId="5CD1DCC4" w14:textId="65696739" w:rsidR="000F7558" w:rsidRPr="00056EC8" w:rsidRDefault="000F7558" w:rsidP="000F7558">
            <w:pPr>
              <w:spacing w:after="120"/>
              <w:ind w:left="200" w:right="245"/>
              <w:jc w:val="both"/>
              <w:rPr>
                <w:rFonts w:ascii="Calibri" w:hAnsi="Calibri" w:cs="Calibri"/>
                <w:b/>
                <w:sz w:val="22"/>
                <w:szCs w:val="22"/>
              </w:rPr>
            </w:pPr>
            <w:r w:rsidRPr="00461DFE">
              <w:rPr>
                <w:rFonts w:ascii="Calibri" w:hAnsi="Calibri" w:cs="Calibri"/>
                <w:b/>
                <w:sz w:val="22"/>
                <w:szCs w:val="22"/>
                <w:lang w:val="x-none"/>
              </w:rPr>
              <w:t>At bottom, therefore, A123 Systems wasn’</w:t>
            </w:r>
            <w:r w:rsidRPr="00461DFE">
              <w:rPr>
                <w:rFonts w:ascii="Calibri" w:hAnsi="Calibri" w:cs="Calibri"/>
                <w:b/>
                <w:sz w:val="22"/>
                <w:szCs w:val="22"/>
              </w:rPr>
              <w:t xml:space="preserve">t prejudiced in any meaningful way.  It was free to move to litigate the </w:t>
            </w:r>
            <w:r>
              <w:rPr>
                <w:rFonts w:ascii="Calibri" w:hAnsi="Calibri" w:cs="Calibri"/>
                <w:b/>
                <w:sz w:val="22"/>
                <w:szCs w:val="22"/>
              </w:rPr>
              <w:t>state’s action</w:t>
            </w:r>
            <w:r w:rsidRPr="00461DFE">
              <w:rPr>
                <w:rFonts w:ascii="Calibri" w:hAnsi="Calibri" w:cs="Calibri"/>
                <w:b/>
                <w:sz w:val="22"/>
                <w:szCs w:val="22"/>
              </w:rPr>
              <w:t xml:space="preserve"> in Massachusetts instead of Texas—it just had to follow the right procedure.</w:t>
            </w:r>
          </w:p>
        </w:tc>
        <w:tc>
          <w:tcPr>
            <w:tcW w:w="5904" w:type="dxa"/>
            <w:vAlign w:val="center"/>
          </w:tcPr>
          <w:p w14:paraId="7A0F3D64"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35B31EA3"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4D99FB69" w14:textId="77777777" w:rsidTr="0010708E">
        <w:trPr>
          <w:trHeight w:val="4795"/>
        </w:trPr>
        <w:tc>
          <w:tcPr>
            <w:tcW w:w="5904" w:type="dxa"/>
            <w:vAlign w:val="center"/>
          </w:tcPr>
          <w:p w14:paraId="6BF2F7D2" w14:textId="274EDCE3"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t xml:space="preserve">How is </w:t>
            </w:r>
            <w:r>
              <w:rPr>
                <w:rFonts w:ascii="Calibri" w:hAnsi="Calibri"/>
                <w:b/>
                <w:i/>
                <w:color w:val="000000" w:themeColor="text1"/>
                <w:sz w:val="28"/>
                <w:szCs w:val="28"/>
              </w:rPr>
              <w:t xml:space="preserve">A123 Systems </w:t>
            </w:r>
            <w:r>
              <w:rPr>
                <w:rFonts w:ascii="Calibri" w:hAnsi="Calibri"/>
                <w:b/>
                <w:color w:val="000000" w:themeColor="text1"/>
                <w:sz w:val="28"/>
                <w:szCs w:val="28"/>
              </w:rPr>
              <w:t>distinguishable?</w:t>
            </w:r>
          </w:p>
        </w:tc>
        <w:tc>
          <w:tcPr>
            <w:tcW w:w="5904" w:type="dxa"/>
            <w:vAlign w:val="center"/>
          </w:tcPr>
          <w:p w14:paraId="177CBFF7" w14:textId="77777777" w:rsidR="000F7558" w:rsidRDefault="000F7558" w:rsidP="000F7558">
            <w:pPr>
              <w:spacing w:after="120"/>
              <w:ind w:left="200" w:right="245"/>
              <w:jc w:val="both"/>
              <w:rPr>
                <w:rFonts w:ascii="Calibri" w:eastAsia="Times New Roman" w:hAnsi="Calibri"/>
                <w:b/>
                <w:color w:val="000000" w:themeColor="text1"/>
                <w:sz w:val="22"/>
                <w:szCs w:val="22"/>
                <w:lang w:val="x-none"/>
              </w:rPr>
            </w:pPr>
            <w:r>
              <w:rPr>
                <w:rFonts w:ascii="Calibri" w:eastAsia="Times New Roman" w:hAnsi="Calibri"/>
                <w:b/>
                <w:color w:val="000000" w:themeColor="text1"/>
                <w:sz w:val="22"/>
                <w:szCs w:val="22"/>
              </w:rPr>
              <w:t xml:space="preserve">Most obviously, </w:t>
            </w:r>
            <w:r w:rsidRPr="00B76D27">
              <w:rPr>
                <w:rFonts w:ascii="Calibri" w:eastAsia="Times New Roman" w:hAnsi="Calibri"/>
                <w:b/>
                <w:i/>
                <w:color w:val="000000" w:themeColor="text1"/>
                <w:sz w:val="22"/>
                <w:szCs w:val="22"/>
                <w:lang w:val="x-none"/>
              </w:rPr>
              <w:t xml:space="preserve">A123 Systems </w:t>
            </w:r>
            <w:r>
              <w:rPr>
                <w:rFonts w:ascii="Calibri" w:eastAsia="Times New Roman" w:hAnsi="Calibri"/>
                <w:b/>
                <w:color w:val="000000" w:themeColor="text1"/>
                <w:sz w:val="22"/>
                <w:szCs w:val="22"/>
              </w:rPr>
              <w:t xml:space="preserve">denied a </w:t>
            </w:r>
            <w:r w:rsidRPr="00B76D27">
              <w:rPr>
                <w:rFonts w:ascii="Calibri" w:eastAsia="Times New Roman" w:hAnsi="Calibri"/>
                <w:b/>
                <w:color w:val="000000" w:themeColor="text1"/>
                <w:sz w:val="22"/>
                <w:szCs w:val="22"/>
                <w:u w:val="single"/>
              </w:rPr>
              <w:t>retroactive</w:t>
            </w:r>
            <w:r>
              <w:rPr>
                <w:rFonts w:ascii="Calibri" w:eastAsia="Times New Roman" w:hAnsi="Calibri"/>
                <w:b/>
                <w:i/>
                <w:color w:val="000000" w:themeColor="text1"/>
                <w:sz w:val="22"/>
                <w:szCs w:val="22"/>
              </w:rPr>
              <w:t xml:space="preserve"> </w:t>
            </w:r>
            <w:r>
              <w:rPr>
                <w:rFonts w:ascii="Calibri" w:eastAsia="Times New Roman" w:hAnsi="Calibri"/>
                <w:b/>
                <w:color w:val="000000" w:themeColor="text1"/>
                <w:sz w:val="22"/>
                <w:szCs w:val="22"/>
              </w:rPr>
              <w:t>waiver</w:t>
            </w:r>
            <w:r w:rsidRPr="00B76D27">
              <w:rPr>
                <w:rFonts w:ascii="Calibri" w:eastAsia="Times New Roman" w:hAnsi="Calibri"/>
                <w:b/>
                <w:color w:val="000000" w:themeColor="text1"/>
                <w:sz w:val="22"/>
                <w:szCs w:val="22"/>
                <w:lang w:val="x-none"/>
              </w:rPr>
              <w:t xml:space="preserve"> </w:t>
            </w:r>
            <w:r>
              <w:rPr>
                <w:rFonts w:ascii="Calibri" w:eastAsia="Times New Roman" w:hAnsi="Calibri"/>
                <w:b/>
                <w:color w:val="000000" w:themeColor="text1"/>
                <w:sz w:val="22"/>
                <w:szCs w:val="22"/>
              </w:rPr>
              <w:t xml:space="preserve">and </w:t>
            </w:r>
            <w:r w:rsidRPr="00B76D27">
              <w:rPr>
                <w:rFonts w:ascii="Calibri" w:eastAsia="Times New Roman" w:hAnsi="Calibri"/>
                <w:b/>
                <w:color w:val="000000" w:themeColor="text1"/>
                <w:sz w:val="22"/>
                <w:szCs w:val="22"/>
                <w:lang w:val="x-none"/>
              </w:rPr>
              <w:t xml:space="preserve">says nothing about the </w:t>
            </w:r>
            <w:r w:rsidRPr="00B76D27">
              <w:rPr>
                <w:rFonts w:ascii="Calibri" w:eastAsia="Times New Roman" w:hAnsi="Calibri"/>
                <w:b/>
                <w:color w:val="000000" w:themeColor="text1"/>
                <w:sz w:val="22"/>
                <w:szCs w:val="22"/>
                <w:u w:val="single"/>
                <w:lang w:val="x-none"/>
              </w:rPr>
              <w:t>prospective</w:t>
            </w:r>
            <w:r w:rsidRPr="00B76D27">
              <w:rPr>
                <w:rFonts w:ascii="Calibri" w:eastAsia="Times New Roman" w:hAnsi="Calibri"/>
                <w:b/>
                <w:i/>
                <w:color w:val="000000" w:themeColor="text1"/>
                <w:sz w:val="22"/>
                <w:szCs w:val="22"/>
                <w:lang w:val="x-none"/>
              </w:rPr>
              <w:t xml:space="preserve"> </w:t>
            </w:r>
            <w:r w:rsidRPr="00B76D27">
              <w:rPr>
                <w:rFonts w:ascii="Calibri" w:eastAsia="Times New Roman" w:hAnsi="Calibri"/>
                <w:b/>
                <w:color w:val="000000" w:themeColor="text1"/>
                <w:sz w:val="22"/>
                <w:szCs w:val="22"/>
                <w:lang w:val="x-none"/>
              </w:rPr>
              <w:t xml:space="preserve">scope of </w:t>
            </w:r>
            <w:r>
              <w:rPr>
                <w:rFonts w:ascii="Calibri" w:eastAsia="Times New Roman" w:hAnsi="Calibri"/>
                <w:b/>
                <w:color w:val="000000" w:themeColor="text1"/>
                <w:sz w:val="22"/>
                <w:szCs w:val="22"/>
              </w:rPr>
              <w:t>waiver</w:t>
            </w:r>
            <w:r>
              <w:rPr>
                <w:rFonts w:ascii="Calibri" w:eastAsia="Times New Roman" w:hAnsi="Calibri"/>
                <w:b/>
                <w:color w:val="000000" w:themeColor="text1"/>
                <w:sz w:val="22"/>
                <w:szCs w:val="22"/>
                <w:lang w:val="x-none"/>
              </w:rPr>
              <w:t>—the issue here.</w:t>
            </w:r>
          </w:p>
          <w:p w14:paraId="27DD35DB" w14:textId="77777777"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i/>
                <w:color w:val="000000" w:themeColor="text1"/>
                <w:sz w:val="22"/>
                <w:szCs w:val="22"/>
              </w:rPr>
              <w:t xml:space="preserve">A123 Systems </w:t>
            </w:r>
            <w:r>
              <w:rPr>
                <w:rFonts w:ascii="Calibri" w:eastAsia="Times New Roman" w:hAnsi="Calibri"/>
                <w:b/>
                <w:color w:val="000000" w:themeColor="text1"/>
                <w:sz w:val="22"/>
                <w:szCs w:val="22"/>
              </w:rPr>
              <w:t>also emphasized that A123 Systems’ Massachusetts action and the state university’s Texas action offered identical procedural and substantive rules for resolving the patent dispute.  That’s because both were district court lawsuits.  A123 Systems wasn’t missing out on any procedural or substantive advantage.</w:t>
            </w:r>
          </w:p>
          <w:p w14:paraId="631A3523" w14:textId="6C67E534" w:rsidR="000F7558" w:rsidRPr="00461DFE" w:rsidRDefault="000F7558" w:rsidP="000F7558">
            <w:pPr>
              <w:spacing w:after="120"/>
              <w:ind w:left="200" w:right="245"/>
              <w:jc w:val="both"/>
              <w:rPr>
                <w:rFonts w:ascii="Calibri" w:hAnsi="Calibri" w:cs="Calibri"/>
                <w:b/>
                <w:sz w:val="22"/>
                <w:szCs w:val="22"/>
              </w:rPr>
            </w:pPr>
            <w:r>
              <w:rPr>
                <w:rFonts w:ascii="Calibri" w:eastAsia="Times New Roman" w:hAnsi="Calibri"/>
                <w:b/>
                <w:color w:val="000000" w:themeColor="text1"/>
                <w:sz w:val="22"/>
                <w:szCs w:val="22"/>
              </w:rPr>
              <w:t xml:space="preserve">Our case is different.  As noted,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offers a host of unique procedural and substantive advantages not available in district court.  Foreclosing those advantages would work exactly the kind of unfairness that was absent from </w:t>
            </w:r>
            <w:r>
              <w:rPr>
                <w:rFonts w:ascii="Calibri" w:eastAsia="Times New Roman" w:hAnsi="Calibri"/>
                <w:b/>
                <w:i/>
                <w:color w:val="000000" w:themeColor="text1"/>
                <w:sz w:val="22"/>
                <w:szCs w:val="22"/>
              </w:rPr>
              <w:t>A123 Systems</w:t>
            </w:r>
            <w:r>
              <w:rPr>
                <w:rFonts w:ascii="Calibri" w:eastAsia="Times New Roman" w:hAnsi="Calibri"/>
                <w:b/>
                <w:color w:val="000000" w:themeColor="text1"/>
                <w:sz w:val="22"/>
                <w:szCs w:val="22"/>
              </w:rPr>
              <w:t>.</w:t>
            </w:r>
          </w:p>
        </w:tc>
        <w:tc>
          <w:tcPr>
            <w:tcW w:w="5904" w:type="dxa"/>
            <w:vAlign w:val="center"/>
          </w:tcPr>
          <w:p w14:paraId="7F7577AC"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587CFA45" w14:textId="77777777" w:rsidR="000F7558" w:rsidRPr="0010708E" w:rsidRDefault="000F7558" w:rsidP="000F7558">
            <w:pPr>
              <w:pStyle w:val="O-BodyText"/>
              <w:spacing w:afterLines="120" w:after="288"/>
              <w:ind w:right="162"/>
              <w:rPr>
                <w:rFonts w:ascii="Calibri" w:hAnsi="Calibri"/>
                <w:b/>
                <w:bCs/>
                <w:sz w:val="52"/>
                <w:szCs w:val="52"/>
              </w:rPr>
            </w:pPr>
          </w:p>
        </w:tc>
      </w:tr>
      <w:tr w:rsidR="000F7558" w:rsidRPr="00D9020D" w14:paraId="0E146895" w14:textId="77777777" w:rsidTr="0010708E">
        <w:trPr>
          <w:trHeight w:val="4795"/>
        </w:trPr>
        <w:tc>
          <w:tcPr>
            <w:tcW w:w="5904" w:type="dxa"/>
            <w:vAlign w:val="center"/>
          </w:tcPr>
          <w:p w14:paraId="7EC040D1" w14:textId="3FFCCDE2" w:rsidR="000F7558" w:rsidRDefault="000F7558" w:rsidP="000F7558">
            <w:pPr>
              <w:pStyle w:val="O-BodyText"/>
              <w:spacing w:afterLines="120" w:after="288"/>
              <w:ind w:right="108"/>
              <w:rPr>
                <w:rFonts w:ascii="Calibri" w:hAnsi="Calibri"/>
                <w:b/>
                <w:color w:val="000000" w:themeColor="text1"/>
                <w:sz w:val="28"/>
                <w:szCs w:val="28"/>
              </w:rPr>
            </w:pPr>
            <w:r>
              <w:rPr>
                <w:rFonts w:ascii="Calibri" w:hAnsi="Calibri"/>
                <w:b/>
                <w:color w:val="000000" w:themeColor="text1"/>
                <w:sz w:val="28"/>
                <w:szCs w:val="28"/>
              </w:rPr>
              <w:lastRenderedPageBreak/>
              <w:t xml:space="preserve">Isn’t </w:t>
            </w:r>
            <w:proofErr w:type="spellStart"/>
            <w:r>
              <w:rPr>
                <w:rFonts w:ascii="Calibri" w:hAnsi="Calibri"/>
                <w:b/>
                <w:color w:val="000000" w:themeColor="text1"/>
                <w:sz w:val="28"/>
                <w:szCs w:val="28"/>
              </w:rPr>
              <w:t>UMN</w:t>
            </w:r>
            <w:proofErr w:type="spellEnd"/>
            <w:r>
              <w:rPr>
                <w:rFonts w:ascii="Calibri" w:hAnsi="Calibri"/>
                <w:b/>
                <w:color w:val="000000" w:themeColor="text1"/>
                <w:sz w:val="28"/>
                <w:szCs w:val="28"/>
              </w:rPr>
              <w:t xml:space="preserve"> right that you “</w:t>
            </w:r>
            <w:r w:rsidRPr="00862134">
              <w:rPr>
                <w:rFonts w:ascii="Calibri" w:hAnsi="Calibri"/>
                <w:b/>
                <w:color w:val="000000" w:themeColor="text1"/>
                <w:sz w:val="28"/>
                <w:szCs w:val="28"/>
              </w:rPr>
              <w:t>fail to identify any case</w:t>
            </w:r>
            <w:r>
              <w:rPr>
                <w:rFonts w:ascii="Calibri" w:hAnsi="Calibri"/>
                <w:b/>
                <w:color w:val="000000" w:themeColor="text1"/>
                <w:sz w:val="28"/>
                <w:szCs w:val="28"/>
              </w:rPr>
              <w:t xml:space="preserve"> </w:t>
            </w:r>
            <w:r w:rsidRPr="00862134">
              <w:rPr>
                <w:rFonts w:ascii="Calibri" w:hAnsi="Calibri"/>
                <w:b/>
                <w:color w:val="000000" w:themeColor="text1"/>
                <w:sz w:val="28"/>
                <w:szCs w:val="28"/>
              </w:rPr>
              <w:t>holding that a State, having voluntarily appeared in federal court, waived immunity</w:t>
            </w:r>
            <w:r>
              <w:rPr>
                <w:rFonts w:ascii="Calibri" w:hAnsi="Calibri"/>
                <w:b/>
                <w:color w:val="000000" w:themeColor="text1"/>
                <w:sz w:val="28"/>
                <w:szCs w:val="28"/>
              </w:rPr>
              <w:t xml:space="preserve"> </w:t>
            </w:r>
            <w:r w:rsidRPr="00862134">
              <w:rPr>
                <w:rFonts w:ascii="Calibri" w:hAnsi="Calibri"/>
                <w:b/>
                <w:color w:val="000000" w:themeColor="text1"/>
                <w:sz w:val="28"/>
                <w:szCs w:val="28"/>
              </w:rPr>
              <w:t xml:space="preserve">to an action filed separately in a different </w:t>
            </w:r>
            <w:r>
              <w:rPr>
                <w:rFonts w:ascii="Calibri" w:hAnsi="Calibri"/>
                <w:b/>
                <w:color w:val="000000" w:themeColor="text1"/>
                <w:sz w:val="28"/>
                <w:szCs w:val="28"/>
              </w:rPr>
              <w:t>court, let alone with an agency,” Reply 26?</w:t>
            </w:r>
          </w:p>
        </w:tc>
        <w:tc>
          <w:tcPr>
            <w:tcW w:w="5904" w:type="dxa"/>
            <w:vAlign w:val="center"/>
          </w:tcPr>
          <w:p w14:paraId="30839E1E" w14:textId="607321F4" w:rsidR="000F7558" w:rsidRDefault="000F7558" w:rsidP="000F7558">
            <w:pPr>
              <w:spacing w:after="120"/>
              <w:ind w:left="200" w:right="245"/>
              <w:jc w:val="both"/>
              <w:rPr>
                <w:rFonts w:ascii="Calibri" w:eastAsia="Times New Roman" w:hAnsi="Calibri"/>
                <w:b/>
                <w:color w:val="000000" w:themeColor="text1"/>
                <w:sz w:val="22"/>
                <w:szCs w:val="22"/>
              </w:rPr>
            </w:pPr>
            <w:r>
              <w:rPr>
                <w:rFonts w:ascii="Calibri" w:eastAsia="Times New Roman" w:hAnsi="Calibri"/>
                <w:b/>
                <w:color w:val="000000" w:themeColor="text1"/>
                <w:sz w:val="22"/>
                <w:szCs w:val="22"/>
              </w:rPr>
              <w:t xml:space="preserve">This </w:t>
            </w:r>
            <w:proofErr w:type="gramStart"/>
            <w:r>
              <w:rPr>
                <w:rFonts w:ascii="Calibri" w:eastAsia="Times New Roman" w:hAnsi="Calibri"/>
                <w:b/>
                <w:color w:val="000000" w:themeColor="text1"/>
                <w:sz w:val="22"/>
                <w:szCs w:val="22"/>
              </w:rPr>
              <w:t>particular permutation</w:t>
            </w:r>
            <w:proofErr w:type="gramEnd"/>
            <w:r>
              <w:rPr>
                <w:rFonts w:ascii="Calibri" w:eastAsia="Times New Roman" w:hAnsi="Calibri"/>
                <w:b/>
                <w:color w:val="000000" w:themeColor="text1"/>
                <w:sz w:val="22"/>
                <w:szCs w:val="22"/>
              </w:rPr>
              <w:t xml:space="preserve"> of waiver by litigation may be novel, but the principles that decide it are longstanding.  This Court should have no more trouble extending waiver to </w:t>
            </w:r>
            <w:proofErr w:type="spellStart"/>
            <w:r>
              <w:rPr>
                <w:rFonts w:ascii="Calibri" w:eastAsia="Times New Roman" w:hAnsi="Calibri"/>
                <w:b/>
                <w:color w:val="000000" w:themeColor="text1"/>
                <w:sz w:val="22"/>
                <w:szCs w:val="22"/>
              </w:rPr>
              <w:t>IPR</w:t>
            </w:r>
            <w:proofErr w:type="spellEnd"/>
            <w:r>
              <w:rPr>
                <w:rFonts w:ascii="Calibri" w:eastAsia="Times New Roman" w:hAnsi="Calibri"/>
                <w:b/>
                <w:color w:val="000000" w:themeColor="text1"/>
                <w:sz w:val="22"/>
                <w:szCs w:val="22"/>
              </w:rPr>
              <w:t xml:space="preserve"> here than it did extending waiver to counterclaims in recoupment in </w:t>
            </w:r>
            <w:r>
              <w:rPr>
                <w:rFonts w:ascii="Calibri" w:eastAsia="Times New Roman" w:hAnsi="Calibri"/>
                <w:b/>
                <w:i/>
                <w:color w:val="000000" w:themeColor="text1"/>
                <w:sz w:val="22"/>
                <w:szCs w:val="22"/>
              </w:rPr>
              <w:t>Genentech</w:t>
            </w:r>
            <w:r>
              <w:rPr>
                <w:rFonts w:ascii="Calibri" w:eastAsia="Times New Roman" w:hAnsi="Calibri"/>
                <w:b/>
                <w:color w:val="000000" w:themeColor="text1"/>
                <w:sz w:val="22"/>
                <w:szCs w:val="22"/>
              </w:rPr>
              <w:t>.</w:t>
            </w:r>
          </w:p>
        </w:tc>
        <w:tc>
          <w:tcPr>
            <w:tcW w:w="5904" w:type="dxa"/>
            <w:vAlign w:val="center"/>
          </w:tcPr>
          <w:p w14:paraId="4455B90B" w14:textId="77777777" w:rsidR="000F7558" w:rsidRPr="0010708E" w:rsidRDefault="000F7558" w:rsidP="000F7558">
            <w:pPr>
              <w:pStyle w:val="O-BodyText"/>
              <w:spacing w:afterLines="120" w:after="288"/>
              <w:ind w:right="108"/>
              <w:rPr>
                <w:rFonts w:ascii="Calibri" w:hAnsi="Calibri"/>
                <w:b/>
                <w:bCs/>
                <w:sz w:val="52"/>
                <w:szCs w:val="52"/>
              </w:rPr>
            </w:pPr>
          </w:p>
        </w:tc>
        <w:tc>
          <w:tcPr>
            <w:tcW w:w="5904" w:type="dxa"/>
            <w:vAlign w:val="center"/>
          </w:tcPr>
          <w:p w14:paraId="27A8B42A" w14:textId="77777777" w:rsidR="000F7558" w:rsidRPr="0010708E" w:rsidRDefault="000F7558" w:rsidP="000F7558">
            <w:pPr>
              <w:pStyle w:val="O-BodyText"/>
              <w:spacing w:afterLines="120" w:after="288"/>
              <w:ind w:right="162"/>
              <w:rPr>
                <w:rFonts w:ascii="Calibri" w:hAnsi="Calibri"/>
                <w:b/>
                <w:bCs/>
                <w:sz w:val="52"/>
                <w:szCs w:val="52"/>
              </w:rPr>
            </w:pPr>
          </w:p>
        </w:tc>
      </w:tr>
    </w:tbl>
    <w:p w14:paraId="0B0CC6B5" w14:textId="7DE01D9F" w:rsidR="003D35BF" w:rsidRPr="000C3C8D" w:rsidRDefault="003D35BF" w:rsidP="00A5765B">
      <w:pPr>
        <w:spacing w:after="240"/>
        <w:rPr>
          <w:rFonts w:eastAsiaTheme="majorEastAsia"/>
          <w:b/>
          <w:bCs/>
          <w:sz w:val="48"/>
          <w:szCs w:val="26"/>
        </w:rPr>
      </w:pPr>
    </w:p>
    <w:sectPr w:rsidR="003D35BF" w:rsidRPr="000C3C8D" w:rsidSect="0010708E">
      <w:endnotePr>
        <w:numFmt w:val="upperLetter"/>
      </w:endnotePr>
      <w:pgSz w:w="12240" w:h="15840" w:code="1"/>
      <w:pgMar w:top="720" w:right="346" w:bottom="288" w:left="346" w:header="432" w:footer="43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C290" w14:textId="77777777" w:rsidR="003F04CA" w:rsidRDefault="003F04CA">
      <w:r>
        <w:separator/>
      </w:r>
    </w:p>
  </w:endnote>
  <w:endnote w:type="continuationSeparator" w:id="0">
    <w:p w14:paraId="687E079F" w14:textId="77777777" w:rsidR="003F04CA" w:rsidRDefault="003F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rthern distric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DDF3A" w14:textId="77777777" w:rsidR="003F04CA" w:rsidRDefault="003F04CA">
      <w:r>
        <w:separator/>
      </w:r>
    </w:p>
  </w:footnote>
  <w:footnote w:type="continuationSeparator" w:id="0">
    <w:p w14:paraId="7022EE42" w14:textId="77777777" w:rsidR="003F04CA" w:rsidRDefault="003F0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679B"/>
    <w:multiLevelType w:val="multilevel"/>
    <w:tmpl w:val="FE28D3D2"/>
    <w:lvl w:ilvl="0">
      <w:start w:val="1"/>
      <w:numFmt w:val="decimal"/>
      <w:pStyle w:val="ListNumber"/>
      <w:lvlText w:val="%1."/>
      <w:lvlJc w:val="left"/>
      <w:pPr>
        <w:tabs>
          <w:tab w:val="num" w:pos="720"/>
        </w:tabs>
        <w:ind w:left="720" w:hanging="360"/>
      </w:pPr>
      <w:rPr>
        <w:rFonts w:ascii="Calibri" w:hAnsi="Calibri"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 w15:restartNumberingAfterBreak="0">
    <w:nsid w:val="1FE54D6F"/>
    <w:multiLevelType w:val="hybridMultilevel"/>
    <w:tmpl w:val="E33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350943"/>
    <w:multiLevelType w:val="hybridMultilevel"/>
    <w:tmpl w:val="82D6BDF4"/>
    <w:lvl w:ilvl="0" w:tplc="836AEF58">
      <w:start w:val="1"/>
      <w:numFmt w:val="bullet"/>
      <w:pStyle w:val="OResumeSidebarBullet"/>
      <w:lvlText w:val=""/>
      <w:lvlJc w:val="left"/>
      <w:pPr>
        <w:tabs>
          <w:tab w:val="num" w:pos="180"/>
        </w:tabs>
        <w:ind w:left="180" w:hanging="18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E0F3282"/>
    <w:multiLevelType w:val="multilevel"/>
    <w:tmpl w:val="1F02DA58"/>
    <w:name w:val="HeadingStyles||Heading|3|3|0|1|0|33||1|0|33||1|0|33||1|0|32||1|0|32||1|0|32||1|0|32||1|0|32||1|0|32||"/>
    <w:styleLink w:val="CovingtonHeadings"/>
    <w:lvl w:ilvl="0">
      <w:start w:val="1"/>
      <w:numFmt w:val="upperRoman"/>
      <w:pStyle w:val="Heading1"/>
      <w:lvlText w:val="%1."/>
      <w:lvlJc w:val="left"/>
      <w:pPr>
        <w:tabs>
          <w:tab w:val="num" w:pos="1440"/>
        </w:tabs>
        <w:ind w:left="2160" w:hanging="1440"/>
      </w:pPr>
      <w:rPr>
        <w:rFonts w:ascii="Arial" w:hAnsi="Arial" w:cs="Arial" w:hint="default"/>
        <w:b/>
        <w:sz w:val="72"/>
        <w:u w:val="none"/>
      </w:rPr>
    </w:lvl>
    <w:lvl w:ilvl="1">
      <w:start w:val="1"/>
      <w:numFmt w:val="upperLetter"/>
      <w:pStyle w:val="Heading2"/>
      <w:lvlText w:val="%2."/>
      <w:lvlJc w:val="left"/>
      <w:pPr>
        <w:tabs>
          <w:tab w:val="num" w:pos="2160"/>
        </w:tabs>
        <w:ind w:left="2160" w:hanging="720"/>
      </w:pPr>
      <w:rPr>
        <w:rFonts w:ascii="Arial" w:hAnsi="Arial" w:cs="Arial" w:hint="default"/>
        <w:b/>
        <w:sz w:val="48"/>
        <w:u w:val="none"/>
      </w:rPr>
    </w:lvl>
    <w:lvl w:ilvl="2">
      <w:start w:val="1"/>
      <w:numFmt w:val="decimal"/>
      <w:pStyle w:val="Heading3"/>
      <w:lvlText w:val="%3."/>
      <w:lvlJc w:val="left"/>
      <w:pPr>
        <w:tabs>
          <w:tab w:val="num" w:pos="2880"/>
        </w:tabs>
        <w:ind w:left="2880" w:hanging="720"/>
      </w:pPr>
      <w:rPr>
        <w:rFonts w:ascii="Arial" w:hAnsi="Arial" w:cs="Arial" w:hint="default"/>
        <w:b/>
        <w:sz w:val="36"/>
        <w:u w:val="none"/>
      </w:rPr>
    </w:lvl>
    <w:lvl w:ilvl="3">
      <w:start w:val="1"/>
      <w:numFmt w:val="lowerLetter"/>
      <w:pStyle w:val="Heading4"/>
      <w:lvlText w:val="%4)"/>
      <w:lvlJc w:val="left"/>
      <w:pPr>
        <w:tabs>
          <w:tab w:val="num" w:pos="3600"/>
        </w:tabs>
        <w:ind w:left="3600" w:hanging="720"/>
      </w:pPr>
      <w:rPr>
        <w:rFonts w:hint="default"/>
      </w:rPr>
    </w:lvl>
    <w:lvl w:ilvl="4">
      <w:start w:val="1"/>
      <w:numFmt w:val="decimal"/>
      <w:pStyle w:val="Heading5"/>
      <w:lvlText w:val="(%5)"/>
      <w:lvlJc w:val="left"/>
      <w:pPr>
        <w:tabs>
          <w:tab w:val="num" w:pos="4320"/>
        </w:tabs>
        <w:ind w:left="4320" w:hanging="720"/>
      </w:pPr>
      <w:rPr>
        <w:rFonts w:hint="default"/>
      </w:rPr>
    </w:lvl>
    <w:lvl w:ilvl="5">
      <w:start w:val="1"/>
      <w:numFmt w:val="lowerLetter"/>
      <w:pStyle w:val="Heading6"/>
      <w:lvlText w:val="(%6)"/>
      <w:lvlJc w:val="left"/>
      <w:pPr>
        <w:tabs>
          <w:tab w:val="num" w:pos="5040"/>
        </w:tabs>
        <w:ind w:left="5040" w:hanging="720"/>
      </w:pPr>
      <w:rPr>
        <w:rFonts w:hint="default"/>
      </w:rPr>
    </w:lvl>
    <w:lvl w:ilvl="6">
      <w:start w:val="1"/>
      <w:numFmt w:val="lowerRoman"/>
      <w:pStyle w:val="Heading7"/>
      <w:lvlText w:val="(%7)"/>
      <w:lvlJc w:val="left"/>
      <w:pPr>
        <w:tabs>
          <w:tab w:val="num" w:pos="5760"/>
        </w:tabs>
        <w:ind w:left="5760" w:hanging="720"/>
      </w:pPr>
      <w:rPr>
        <w:rFonts w:hint="default"/>
      </w:rPr>
    </w:lvl>
    <w:lvl w:ilvl="7">
      <w:start w:val="1"/>
      <w:numFmt w:val="lowerLetter"/>
      <w:pStyle w:val="Heading8"/>
      <w:lvlText w:val="(%8)"/>
      <w:lvlJc w:val="left"/>
      <w:pPr>
        <w:tabs>
          <w:tab w:val="num" w:pos="6480"/>
        </w:tabs>
        <w:ind w:left="6480" w:hanging="720"/>
      </w:pPr>
      <w:rPr>
        <w:rFonts w:hint="default"/>
      </w:rPr>
    </w:lvl>
    <w:lvl w:ilvl="8">
      <w:start w:val="1"/>
      <w:numFmt w:val="lowerRoman"/>
      <w:pStyle w:val="Heading9"/>
      <w:lvlText w:val="(%9)"/>
      <w:lvlJc w:val="left"/>
      <w:pPr>
        <w:tabs>
          <w:tab w:val="num" w:pos="7200"/>
        </w:tabs>
        <w:ind w:left="7200" w:hanging="720"/>
      </w:pPr>
      <w:rPr>
        <w:rFonts w:hint="default"/>
      </w:rPr>
    </w:lvl>
  </w:abstractNum>
  <w:abstractNum w:abstractNumId="6"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A84AF8"/>
    <w:multiLevelType w:val="hybridMultilevel"/>
    <w:tmpl w:val="A906CE20"/>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15:restartNumberingAfterBreak="0">
    <w:nsid w:val="54B01F93"/>
    <w:multiLevelType w:val="hybridMultilevel"/>
    <w:tmpl w:val="1B9A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62B6D"/>
    <w:multiLevelType w:val="hybridMultilevel"/>
    <w:tmpl w:val="7A5C94D8"/>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0"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6355CF"/>
    <w:multiLevelType w:val="hybridMultilevel"/>
    <w:tmpl w:val="6BC624D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6D285552"/>
    <w:multiLevelType w:val="hybridMultilevel"/>
    <w:tmpl w:val="C162594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A86F0C"/>
    <w:multiLevelType w:val="hybridMultilevel"/>
    <w:tmpl w:val="F21A9204"/>
    <w:lvl w:ilvl="0" w:tplc="268C1102">
      <w:start w:val="1"/>
      <w:numFmt w:val="bullet"/>
      <w:pStyle w:val="OResumeArticle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A5379"/>
    <w:multiLevelType w:val="hybridMultilevel"/>
    <w:tmpl w:val="0032F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13"/>
  </w:num>
  <w:num w:numId="5">
    <w:abstractNumId w:val="10"/>
  </w:num>
  <w:num w:numId="6">
    <w:abstractNumId w:val="14"/>
  </w:num>
  <w:num w:numId="7">
    <w:abstractNumId w:val="4"/>
  </w:num>
  <w:num w:numId="8">
    <w:abstractNumId w:val="0"/>
  </w:num>
  <w:num w:numId="9">
    <w:abstractNumId w:val="5"/>
  </w:num>
  <w:num w:numId="10">
    <w:abstractNumId w:val="2"/>
  </w:num>
  <w:num w:numId="11">
    <w:abstractNumId w:val="15"/>
  </w:num>
  <w:num w:numId="12">
    <w:abstractNumId w:val="8"/>
  </w:num>
  <w:num w:numId="13">
    <w:abstractNumId w:val="7"/>
  </w:num>
  <w:num w:numId="14">
    <w:abstractNumId w:val="9"/>
  </w:num>
  <w:num w:numId="15">
    <w:abstractNumId w:val="11"/>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adingStyles" w:val="||Heading|3|3|0|1|0|33||1|0|33||1|0|33||1|0|32||1|0|32||1|0|32||1|0|32||1|0|32||1|0|32||"/>
    <w:docVar w:name="zzmp10NoTrailerPromptID" w:val="USA.765403064.3"/>
    <w:docVar w:name="zzmpFixedCurScheme" w:val="ingStyles"/>
    <w:docVar w:name="zzmpFixedCurScheme_9.0" w:val="1HeadingStyles"/>
    <w:docVar w:name="zzmpnSession" w:val="0.2223627"/>
  </w:docVars>
  <w:rsids>
    <w:rsidRoot w:val="00786A14"/>
    <w:rsid w:val="00001368"/>
    <w:rsid w:val="00003224"/>
    <w:rsid w:val="000038D5"/>
    <w:rsid w:val="00003BD7"/>
    <w:rsid w:val="00003C91"/>
    <w:rsid w:val="00004F5E"/>
    <w:rsid w:val="00005C4D"/>
    <w:rsid w:val="00005D33"/>
    <w:rsid w:val="00007ED0"/>
    <w:rsid w:val="00010965"/>
    <w:rsid w:val="00011CE0"/>
    <w:rsid w:val="00012130"/>
    <w:rsid w:val="00013881"/>
    <w:rsid w:val="00014D0E"/>
    <w:rsid w:val="00014E5F"/>
    <w:rsid w:val="00016545"/>
    <w:rsid w:val="00017A18"/>
    <w:rsid w:val="0002073C"/>
    <w:rsid w:val="00020CBB"/>
    <w:rsid w:val="00020D83"/>
    <w:rsid w:val="00022A7C"/>
    <w:rsid w:val="000240DB"/>
    <w:rsid w:val="000246E0"/>
    <w:rsid w:val="00025133"/>
    <w:rsid w:val="00025B1E"/>
    <w:rsid w:val="00027914"/>
    <w:rsid w:val="00030285"/>
    <w:rsid w:val="000307FF"/>
    <w:rsid w:val="00030D4B"/>
    <w:rsid w:val="00031147"/>
    <w:rsid w:val="00031F98"/>
    <w:rsid w:val="000338ED"/>
    <w:rsid w:val="00034DB5"/>
    <w:rsid w:val="0003628B"/>
    <w:rsid w:val="000370A7"/>
    <w:rsid w:val="000374C3"/>
    <w:rsid w:val="00042803"/>
    <w:rsid w:val="0004294D"/>
    <w:rsid w:val="00043100"/>
    <w:rsid w:val="00044363"/>
    <w:rsid w:val="000443C0"/>
    <w:rsid w:val="0004795A"/>
    <w:rsid w:val="00050B48"/>
    <w:rsid w:val="00051577"/>
    <w:rsid w:val="00052197"/>
    <w:rsid w:val="0005584A"/>
    <w:rsid w:val="00056E7F"/>
    <w:rsid w:val="00060049"/>
    <w:rsid w:val="00062510"/>
    <w:rsid w:val="0006264C"/>
    <w:rsid w:val="00064A82"/>
    <w:rsid w:val="00064CFF"/>
    <w:rsid w:val="000653FF"/>
    <w:rsid w:val="00066547"/>
    <w:rsid w:val="0007186D"/>
    <w:rsid w:val="00071C35"/>
    <w:rsid w:val="000733F9"/>
    <w:rsid w:val="00074624"/>
    <w:rsid w:val="0007492F"/>
    <w:rsid w:val="0008055D"/>
    <w:rsid w:val="00081198"/>
    <w:rsid w:val="00083189"/>
    <w:rsid w:val="00083CB2"/>
    <w:rsid w:val="000840E7"/>
    <w:rsid w:val="00084332"/>
    <w:rsid w:val="000850D1"/>
    <w:rsid w:val="00085F98"/>
    <w:rsid w:val="000874BA"/>
    <w:rsid w:val="000904A9"/>
    <w:rsid w:val="00090FC7"/>
    <w:rsid w:val="00093373"/>
    <w:rsid w:val="000959CC"/>
    <w:rsid w:val="00096B61"/>
    <w:rsid w:val="0009780B"/>
    <w:rsid w:val="000978A1"/>
    <w:rsid w:val="000979C8"/>
    <w:rsid w:val="00097BF8"/>
    <w:rsid w:val="00097EC5"/>
    <w:rsid w:val="000A0BF4"/>
    <w:rsid w:val="000A11DA"/>
    <w:rsid w:val="000A25FD"/>
    <w:rsid w:val="000A2784"/>
    <w:rsid w:val="000A37C8"/>
    <w:rsid w:val="000A547E"/>
    <w:rsid w:val="000A583C"/>
    <w:rsid w:val="000A6CC4"/>
    <w:rsid w:val="000A721E"/>
    <w:rsid w:val="000A7623"/>
    <w:rsid w:val="000A7A40"/>
    <w:rsid w:val="000A7FD2"/>
    <w:rsid w:val="000B0D14"/>
    <w:rsid w:val="000B0D76"/>
    <w:rsid w:val="000B1FA1"/>
    <w:rsid w:val="000B2B4A"/>
    <w:rsid w:val="000B3BD5"/>
    <w:rsid w:val="000B3E69"/>
    <w:rsid w:val="000B4494"/>
    <w:rsid w:val="000B522C"/>
    <w:rsid w:val="000C09EA"/>
    <w:rsid w:val="000C0F54"/>
    <w:rsid w:val="000C1FAB"/>
    <w:rsid w:val="000C3C8D"/>
    <w:rsid w:val="000C3EB8"/>
    <w:rsid w:val="000C4D72"/>
    <w:rsid w:val="000C55C6"/>
    <w:rsid w:val="000C6D1F"/>
    <w:rsid w:val="000C7AC3"/>
    <w:rsid w:val="000D00B2"/>
    <w:rsid w:val="000D00FE"/>
    <w:rsid w:val="000D0E3F"/>
    <w:rsid w:val="000D2735"/>
    <w:rsid w:val="000D2DA5"/>
    <w:rsid w:val="000D3877"/>
    <w:rsid w:val="000D4879"/>
    <w:rsid w:val="000E1A21"/>
    <w:rsid w:val="000E28CB"/>
    <w:rsid w:val="000E4B5D"/>
    <w:rsid w:val="000E4EB3"/>
    <w:rsid w:val="000E5684"/>
    <w:rsid w:val="000F0FF2"/>
    <w:rsid w:val="000F371C"/>
    <w:rsid w:val="000F3761"/>
    <w:rsid w:val="000F3BD1"/>
    <w:rsid w:val="000F41FD"/>
    <w:rsid w:val="000F5D03"/>
    <w:rsid w:val="000F5D48"/>
    <w:rsid w:val="000F7558"/>
    <w:rsid w:val="00100599"/>
    <w:rsid w:val="00101BFB"/>
    <w:rsid w:val="00103558"/>
    <w:rsid w:val="00103C4B"/>
    <w:rsid w:val="00105222"/>
    <w:rsid w:val="0010708E"/>
    <w:rsid w:val="001078AC"/>
    <w:rsid w:val="00110938"/>
    <w:rsid w:val="001122EB"/>
    <w:rsid w:val="0011304D"/>
    <w:rsid w:val="00114B26"/>
    <w:rsid w:val="00114CC5"/>
    <w:rsid w:val="00114FAC"/>
    <w:rsid w:val="00115077"/>
    <w:rsid w:val="0011538E"/>
    <w:rsid w:val="00116E9E"/>
    <w:rsid w:val="001170F6"/>
    <w:rsid w:val="001214C9"/>
    <w:rsid w:val="001218EC"/>
    <w:rsid w:val="00122544"/>
    <w:rsid w:val="001225EA"/>
    <w:rsid w:val="00122A02"/>
    <w:rsid w:val="00122FD2"/>
    <w:rsid w:val="0012315B"/>
    <w:rsid w:val="0012456F"/>
    <w:rsid w:val="0012539A"/>
    <w:rsid w:val="001257BB"/>
    <w:rsid w:val="0012611D"/>
    <w:rsid w:val="0012611F"/>
    <w:rsid w:val="0012651A"/>
    <w:rsid w:val="00126772"/>
    <w:rsid w:val="00126FC7"/>
    <w:rsid w:val="0012724D"/>
    <w:rsid w:val="001272FB"/>
    <w:rsid w:val="00127BC0"/>
    <w:rsid w:val="001301A4"/>
    <w:rsid w:val="00130779"/>
    <w:rsid w:val="001324AE"/>
    <w:rsid w:val="001332E6"/>
    <w:rsid w:val="00133D39"/>
    <w:rsid w:val="00133EB9"/>
    <w:rsid w:val="00134609"/>
    <w:rsid w:val="00137517"/>
    <w:rsid w:val="00140B4A"/>
    <w:rsid w:val="00140BFD"/>
    <w:rsid w:val="00141A5E"/>
    <w:rsid w:val="00142460"/>
    <w:rsid w:val="0014251C"/>
    <w:rsid w:val="00144A70"/>
    <w:rsid w:val="0014552F"/>
    <w:rsid w:val="0014712E"/>
    <w:rsid w:val="0015055E"/>
    <w:rsid w:val="00151096"/>
    <w:rsid w:val="00151E45"/>
    <w:rsid w:val="00152160"/>
    <w:rsid w:val="0015288F"/>
    <w:rsid w:val="0015348D"/>
    <w:rsid w:val="00157DA5"/>
    <w:rsid w:val="001624B3"/>
    <w:rsid w:val="00164684"/>
    <w:rsid w:val="0016482A"/>
    <w:rsid w:val="00164F0C"/>
    <w:rsid w:val="00165479"/>
    <w:rsid w:val="0016586C"/>
    <w:rsid w:val="001669E6"/>
    <w:rsid w:val="00167473"/>
    <w:rsid w:val="00170593"/>
    <w:rsid w:val="001712CD"/>
    <w:rsid w:val="00171489"/>
    <w:rsid w:val="00171B85"/>
    <w:rsid w:val="001725C9"/>
    <w:rsid w:val="00172EA0"/>
    <w:rsid w:val="001739AB"/>
    <w:rsid w:val="00174220"/>
    <w:rsid w:val="00174F45"/>
    <w:rsid w:val="001750AC"/>
    <w:rsid w:val="00176B36"/>
    <w:rsid w:val="001772C8"/>
    <w:rsid w:val="00177A03"/>
    <w:rsid w:val="00177AB6"/>
    <w:rsid w:val="00177F2F"/>
    <w:rsid w:val="00177F48"/>
    <w:rsid w:val="00180601"/>
    <w:rsid w:val="00180B36"/>
    <w:rsid w:val="00181D53"/>
    <w:rsid w:val="00182F2B"/>
    <w:rsid w:val="00183249"/>
    <w:rsid w:val="0018382A"/>
    <w:rsid w:val="0018383A"/>
    <w:rsid w:val="00184DCC"/>
    <w:rsid w:val="00184EAC"/>
    <w:rsid w:val="00185D44"/>
    <w:rsid w:val="001861F3"/>
    <w:rsid w:val="0019079B"/>
    <w:rsid w:val="00191BF1"/>
    <w:rsid w:val="00192D67"/>
    <w:rsid w:val="00195D58"/>
    <w:rsid w:val="00196419"/>
    <w:rsid w:val="001967B4"/>
    <w:rsid w:val="001A0235"/>
    <w:rsid w:val="001A1F7F"/>
    <w:rsid w:val="001A2451"/>
    <w:rsid w:val="001A266D"/>
    <w:rsid w:val="001A33B0"/>
    <w:rsid w:val="001A75DA"/>
    <w:rsid w:val="001B1577"/>
    <w:rsid w:val="001B18DD"/>
    <w:rsid w:val="001B2E23"/>
    <w:rsid w:val="001B3255"/>
    <w:rsid w:val="001B3E89"/>
    <w:rsid w:val="001B6CD2"/>
    <w:rsid w:val="001B767A"/>
    <w:rsid w:val="001B7E08"/>
    <w:rsid w:val="001C0851"/>
    <w:rsid w:val="001C10F3"/>
    <w:rsid w:val="001C1575"/>
    <w:rsid w:val="001C2773"/>
    <w:rsid w:val="001C39FA"/>
    <w:rsid w:val="001C3FE1"/>
    <w:rsid w:val="001C436D"/>
    <w:rsid w:val="001C77E4"/>
    <w:rsid w:val="001D0B23"/>
    <w:rsid w:val="001D12FE"/>
    <w:rsid w:val="001D271A"/>
    <w:rsid w:val="001D364F"/>
    <w:rsid w:val="001D40CC"/>
    <w:rsid w:val="001D6BBC"/>
    <w:rsid w:val="001D6EDC"/>
    <w:rsid w:val="001E1986"/>
    <w:rsid w:val="001E1C6A"/>
    <w:rsid w:val="001E1DCC"/>
    <w:rsid w:val="001E2AB6"/>
    <w:rsid w:val="001E35FF"/>
    <w:rsid w:val="001E4900"/>
    <w:rsid w:val="001E6460"/>
    <w:rsid w:val="001E748F"/>
    <w:rsid w:val="001F0662"/>
    <w:rsid w:val="001F2B10"/>
    <w:rsid w:val="001F3210"/>
    <w:rsid w:val="001F354B"/>
    <w:rsid w:val="001F3AB4"/>
    <w:rsid w:val="001F3DB6"/>
    <w:rsid w:val="001F4FA3"/>
    <w:rsid w:val="001F52BC"/>
    <w:rsid w:val="001F5415"/>
    <w:rsid w:val="001F541C"/>
    <w:rsid w:val="001F5D4A"/>
    <w:rsid w:val="001F6672"/>
    <w:rsid w:val="00200FA4"/>
    <w:rsid w:val="002040CC"/>
    <w:rsid w:val="002043D1"/>
    <w:rsid w:val="00204716"/>
    <w:rsid w:val="0020526A"/>
    <w:rsid w:val="00205598"/>
    <w:rsid w:val="00205E31"/>
    <w:rsid w:val="0020669A"/>
    <w:rsid w:val="00206AE9"/>
    <w:rsid w:val="00207217"/>
    <w:rsid w:val="00207263"/>
    <w:rsid w:val="0020744F"/>
    <w:rsid w:val="00207A6B"/>
    <w:rsid w:val="00210824"/>
    <w:rsid w:val="00210A4B"/>
    <w:rsid w:val="0021147B"/>
    <w:rsid w:val="002116A1"/>
    <w:rsid w:val="00211CE3"/>
    <w:rsid w:val="00213865"/>
    <w:rsid w:val="0021455B"/>
    <w:rsid w:val="0021499A"/>
    <w:rsid w:val="0021594C"/>
    <w:rsid w:val="002163DA"/>
    <w:rsid w:val="002166DC"/>
    <w:rsid w:val="002167E9"/>
    <w:rsid w:val="00216BDB"/>
    <w:rsid w:val="00220FBF"/>
    <w:rsid w:val="0022135A"/>
    <w:rsid w:val="002226AF"/>
    <w:rsid w:val="0022453C"/>
    <w:rsid w:val="0022520F"/>
    <w:rsid w:val="0022528B"/>
    <w:rsid w:val="00225375"/>
    <w:rsid w:val="0022591D"/>
    <w:rsid w:val="0022604D"/>
    <w:rsid w:val="00226D6C"/>
    <w:rsid w:val="00227477"/>
    <w:rsid w:val="00227A30"/>
    <w:rsid w:val="0023004F"/>
    <w:rsid w:val="002315AC"/>
    <w:rsid w:val="00232C9B"/>
    <w:rsid w:val="00233572"/>
    <w:rsid w:val="00235671"/>
    <w:rsid w:val="00236783"/>
    <w:rsid w:val="002378F2"/>
    <w:rsid w:val="00242E9E"/>
    <w:rsid w:val="00243C62"/>
    <w:rsid w:val="002470AF"/>
    <w:rsid w:val="00247DD5"/>
    <w:rsid w:val="0025017A"/>
    <w:rsid w:val="002511DA"/>
    <w:rsid w:val="00252326"/>
    <w:rsid w:val="002536F4"/>
    <w:rsid w:val="00254744"/>
    <w:rsid w:val="00254A61"/>
    <w:rsid w:val="002553AD"/>
    <w:rsid w:val="00257514"/>
    <w:rsid w:val="00261702"/>
    <w:rsid w:val="00261D0E"/>
    <w:rsid w:val="00261D54"/>
    <w:rsid w:val="00261E52"/>
    <w:rsid w:val="00262592"/>
    <w:rsid w:val="00262764"/>
    <w:rsid w:val="00263564"/>
    <w:rsid w:val="00266F36"/>
    <w:rsid w:val="00267938"/>
    <w:rsid w:val="00267A3E"/>
    <w:rsid w:val="00272487"/>
    <w:rsid w:val="00274224"/>
    <w:rsid w:val="002777AD"/>
    <w:rsid w:val="00277CB5"/>
    <w:rsid w:val="002808C9"/>
    <w:rsid w:val="00281BBA"/>
    <w:rsid w:val="0028206F"/>
    <w:rsid w:val="00282B8D"/>
    <w:rsid w:val="0028302D"/>
    <w:rsid w:val="00284371"/>
    <w:rsid w:val="00284463"/>
    <w:rsid w:val="002846DD"/>
    <w:rsid w:val="00284AA2"/>
    <w:rsid w:val="00284BD6"/>
    <w:rsid w:val="00284F28"/>
    <w:rsid w:val="0028623B"/>
    <w:rsid w:val="00286659"/>
    <w:rsid w:val="00286BA7"/>
    <w:rsid w:val="00287EE3"/>
    <w:rsid w:val="00290607"/>
    <w:rsid w:val="002907CC"/>
    <w:rsid w:val="002910BC"/>
    <w:rsid w:val="002911E6"/>
    <w:rsid w:val="002915AB"/>
    <w:rsid w:val="002922DD"/>
    <w:rsid w:val="00292469"/>
    <w:rsid w:val="002928EA"/>
    <w:rsid w:val="00292E3D"/>
    <w:rsid w:val="00293524"/>
    <w:rsid w:val="002937EA"/>
    <w:rsid w:val="00293E70"/>
    <w:rsid w:val="0029401F"/>
    <w:rsid w:val="00295D98"/>
    <w:rsid w:val="00296F1A"/>
    <w:rsid w:val="002977BC"/>
    <w:rsid w:val="002A1740"/>
    <w:rsid w:val="002A1A37"/>
    <w:rsid w:val="002A2315"/>
    <w:rsid w:val="002A4486"/>
    <w:rsid w:val="002A72F4"/>
    <w:rsid w:val="002B1086"/>
    <w:rsid w:val="002B178C"/>
    <w:rsid w:val="002B3E3C"/>
    <w:rsid w:val="002B4CEF"/>
    <w:rsid w:val="002B56DA"/>
    <w:rsid w:val="002B5BD8"/>
    <w:rsid w:val="002B5CC2"/>
    <w:rsid w:val="002B7358"/>
    <w:rsid w:val="002C02A1"/>
    <w:rsid w:val="002C0C57"/>
    <w:rsid w:val="002C160C"/>
    <w:rsid w:val="002C1C24"/>
    <w:rsid w:val="002C27F9"/>
    <w:rsid w:val="002C29D9"/>
    <w:rsid w:val="002C31AB"/>
    <w:rsid w:val="002C43F9"/>
    <w:rsid w:val="002C4457"/>
    <w:rsid w:val="002C5709"/>
    <w:rsid w:val="002C5DB8"/>
    <w:rsid w:val="002C6A17"/>
    <w:rsid w:val="002C6CA4"/>
    <w:rsid w:val="002C6EEB"/>
    <w:rsid w:val="002C76FE"/>
    <w:rsid w:val="002C7ECC"/>
    <w:rsid w:val="002D1744"/>
    <w:rsid w:val="002D2D62"/>
    <w:rsid w:val="002D4671"/>
    <w:rsid w:val="002D5CB8"/>
    <w:rsid w:val="002D72F3"/>
    <w:rsid w:val="002E1F2D"/>
    <w:rsid w:val="002E28A2"/>
    <w:rsid w:val="002E2C18"/>
    <w:rsid w:val="002E36C1"/>
    <w:rsid w:val="002E435D"/>
    <w:rsid w:val="002E5E1A"/>
    <w:rsid w:val="002E5F30"/>
    <w:rsid w:val="002E600C"/>
    <w:rsid w:val="002E6965"/>
    <w:rsid w:val="002F13D9"/>
    <w:rsid w:val="002F1CF5"/>
    <w:rsid w:val="002F24EF"/>
    <w:rsid w:val="002F2AD3"/>
    <w:rsid w:val="003000A4"/>
    <w:rsid w:val="00300AE9"/>
    <w:rsid w:val="00300F28"/>
    <w:rsid w:val="0030174F"/>
    <w:rsid w:val="003041E4"/>
    <w:rsid w:val="00304299"/>
    <w:rsid w:val="003054A0"/>
    <w:rsid w:val="003058FA"/>
    <w:rsid w:val="00306390"/>
    <w:rsid w:val="00306AB8"/>
    <w:rsid w:val="00307758"/>
    <w:rsid w:val="00310776"/>
    <w:rsid w:val="0031260E"/>
    <w:rsid w:val="0031266C"/>
    <w:rsid w:val="0031412B"/>
    <w:rsid w:val="003144F4"/>
    <w:rsid w:val="003155B3"/>
    <w:rsid w:val="00317E77"/>
    <w:rsid w:val="00320860"/>
    <w:rsid w:val="003220E5"/>
    <w:rsid w:val="00322EE6"/>
    <w:rsid w:val="0032362D"/>
    <w:rsid w:val="00323FE4"/>
    <w:rsid w:val="00324F2F"/>
    <w:rsid w:val="00326C2C"/>
    <w:rsid w:val="00326C3C"/>
    <w:rsid w:val="00330405"/>
    <w:rsid w:val="0033073D"/>
    <w:rsid w:val="003332DD"/>
    <w:rsid w:val="00333D8C"/>
    <w:rsid w:val="00334932"/>
    <w:rsid w:val="00335B23"/>
    <w:rsid w:val="00337CED"/>
    <w:rsid w:val="003425E6"/>
    <w:rsid w:val="0034334A"/>
    <w:rsid w:val="00343D7B"/>
    <w:rsid w:val="00345B39"/>
    <w:rsid w:val="00347895"/>
    <w:rsid w:val="00350576"/>
    <w:rsid w:val="003513DF"/>
    <w:rsid w:val="00351763"/>
    <w:rsid w:val="00351796"/>
    <w:rsid w:val="00352400"/>
    <w:rsid w:val="003529B2"/>
    <w:rsid w:val="00353C38"/>
    <w:rsid w:val="00354792"/>
    <w:rsid w:val="00355E02"/>
    <w:rsid w:val="00356038"/>
    <w:rsid w:val="003563AF"/>
    <w:rsid w:val="00357C59"/>
    <w:rsid w:val="00357CAC"/>
    <w:rsid w:val="003604F9"/>
    <w:rsid w:val="00360EEF"/>
    <w:rsid w:val="0036107A"/>
    <w:rsid w:val="003639B9"/>
    <w:rsid w:val="00363B4F"/>
    <w:rsid w:val="00364A95"/>
    <w:rsid w:val="0036506D"/>
    <w:rsid w:val="0036726E"/>
    <w:rsid w:val="00372481"/>
    <w:rsid w:val="00374C1D"/>
    <w:rsid w:val="00375221"/>
    <w:rsid w:val="0037569D"/>
    <w:rsid w:val="00380945"/>
    <w:rsid w:val="00381B01"/>
    <w:rsid w:val="00381C06"/>
    <w:rsid w:val="00381FB3"/>
    <w:rsid w:val="0038203E"/>
    <w:rsid w:val="00382539"/>
    <w:rsid w:val="003830FF"/>
    <w:rsid w:val="0038352D"/>
    <w:rsid w:val="00390582"/>
    <w:rsid w:val="00392A06"/>
    <w:rsid w:val="00393CBE"/>
    <w:rsid w:val="00394B7B"/>
    <w:rsid w:val="0039560D"/>
    <w:rsid w:val="00397344"/>
    <w:rsid w:val="003A2616"/>
    <w:rsid w:val="003A324C"/>
    <w:rsid w:val="003A46D0"/>
    <w:rsid w:val="003A4A59"/>
    <w:rsid w:val="003A4C02"/>
    <w:rsid w:val="003A4C4C"/>
    <w:rsid w:val="003A647C"/>
    <w:rsid w:val="003A671E"/>
    <w:rsid w:val="003A6872"/>
    <w:rsid w:val="003A6DA2"/>
    <w:rsid w:val="003A7FD3"/>
    <w:rsid w:val="003B0A93"/>
    <w:rsid w:val="003B1090"/>
    <w:rsid w:val="003B136A"/>
    <w:rsid w:val="003B30F7"/>
    <w:rsid w:val="003B42B3"/>
    <w:rsid w:val="003B4386"/>
    <w:rsid w:val="003B4ABD"/>
    <w:rsid w:val="003B673A"/>
    <w:rsid w:val="003B6AB7"/>
    <w:rsid w:val="003C2255"/>
    <w:rsid w:val="003C77E2"/>
    <w:rsid w:val="003D0BBF"/>
    <w:rsid w:val="003D15DC"/>
    <w:rsid w:val="003D1767"/>
    <w:rsid w:val="003D34F0"/>
    <w:rsid w:val="003D35BF"/>
    <w:rsid w:val="003D6450"/>
    <w:rsid w:val="003D7ABB"/>
    <w:rsid w:val="003E0DB0"/>
    <w:rsid w:val="003E0E30"/>
    <w:rsid w:val="003E4D38"/>
    <w:rsid w:val="003E51DB"/>
    <w:rsid w:val="003E5496"/>
    <w:rsid w:val="003E56AB"/>
    <w:rsid w:val="003E5AE8"/>
    <w:rsid w:val="003E5E3B"/>
    <w:rsid w:val="003F023A"/>
    <w:rsid w:val="003F04CA"/>
    <w:rsid w:val="003F06F9"/>
    <w:rsid w:val="003F42BE"/>
    <w:rsid w:val="003F61C1"/>
    <w:rsid w:val="003F6442"/>
    <w:rsid w:val="003F69C6"/>
    <w:rsid w:val="00401B67"/>
    <w:rsid w:val="004021B6"/>
    <w:rsid w:val="0040289D"/>
    <w:rsid w:val="00403BBF"/>
    <w:rsid w:val="004053E1"/>
    <w:rsid w:val="00405EB3"/>
    <w:rsid w:val="00410FE5"/>
    <w:rsid w:val="00411B61"/>
    <w:rsid w:val="00411CB3"/>
    <w:rsid w:val="00411E0E"/>
    <w:rsid w:val="0041355E"/>
    <w:rsid w:val="0041572B"/>
    <w:rsid w:val="00415CFD"/>
    <w:rsid w:val="0042018F"/>
    <w:rsid w:val="00420D6B"/>
    <w:rsid w:val="00421A86"/>
    <w:rsid w:val="00423202"/>
    <w:rsid w:val="00423D20"/>
    <w:rsid w:val="00424B80"/>
    <w:rsid w:val="00425356"/>
    <w:rsid w:val="0042562A"/>
    <w:rsid w:val="00425998"/>
    <w:rsid w:val="0042701C"/>
    <w:rsid w:val="0042704B"/>
    <w:rsid w:val="00427C05"/>
    <w:rsid w:val="00430D6C"/>
    <w:rsid w:val="00430F54"/>
    <w:rsid w:val="00431DA4"/>
    <w:rsid w:val="0043247C"/>
    <w:rsid w:val="00432952"/>
    <w:rsid w:val="00432959"/>
    <w:rsid w:val="0043540E"/>
    <w:rsid w:val="00436120"/>
    <w:rsid w:val="00436BA4"/>
    <w:rsid w:val="00436C7A"/>
    <w:rsid w:val="00436E7E"/>
    <w:rsid w:val="00436F08"/>
    <w:rsid w:val="00437322"/>
    <w:rsid w:val="00437351"/>
    <w:rsid w:val="00437E1D"/>
    <w:rsid w:val="00442719"/>
    <w:rsid w:val="00443040"/>
    <w:rsid w:val="004435F5"/>
    <w:rsid w:val="00443EAC"/>
    <w:rsid w:val="004448BB"/>
    <w:rsid w:val="00445753"/>
    <w:rsid w:val="00445887"/>
    <w:rsid w:val="00447432"/>
    <w:rsid w:val="0044745E"/>
    <w:rsid w:val="00447662"/>
    <w:rsid w:val="00447B9D"/>
    <w:rsid w:val="00454F2E"/>
    <w:rsid w:val="0045572E"/>
    <w:rsid w:val="00461A4B"/>
    <w:rsid w:val="00462EEE"/>
    <w:rsid w:val="0046376E"/>
    <w:rsid w:val="004647B4"/>
    <w:rsid w:val="00464BA5"/>
    <w:rsid w:val="00464D83"/>
    <w:rsid w:val="00465A88"/>
    <w:rsid w:val="004661F1"/>
    <w:rsid w:val="004672AB"/>
    <w:rsid w:val="00472232"/>
    <w:rsid w:val="004738F8"/>
    <w:rsid w:val="004754F0"/>
    <w:rsid w:val="00475C74"/>
    <w:rsid w:val="00476257"/>
    <w:rsid w:val="00476E2A"/>
    <w:rsid w:val="0048041C"/>
    <w:rsid w:val="004806AE"/>
    <w:rsid w:val="00480894"/>
    <w:rsid w:val="00480CBB"/>
    <w:rsid w:val="00480CE6"/>
    <w:rsid w:val="0048154A"/>
    <w:rsid w:val="004826BF"/>
    <w:rsid w:val="00483867"/>
    <w:rsid w:val="00485678"/>
    <w:rsid w:val="00485B4D"/>
    <w:rsid w:val="004860EB"/>
    <w:rsid w:val="004874AA"/>
    <w:rsid w:val="00487856"/>
    <w:rsid w:val="004904D1"/>
    <w:rsid w:val="00492EC5"/>
    <w:rsid w:val="00493427"/>
    <w:rsid w:val="00496C37"/>
    <w:rsid w:val="00497177"/>
    <w:rsid w:val="004A1288"/>
    <w:rsid w:val="004A12E3"/>
    <w:rsid w:val="004A1384"/>
    <w:rsid w:val="004A1D52"/>
    <w:rsid w:val="004A25DC"/>
    <w:rsid w:val="004A2838"/>
    <w:rsid w:val="004A3593"/>
    <w:rsid w:val="004A49C0"/>
    <w:rsid w:val="004A4C2F"/>
    <w:rsid w:val="004A5161"/>
    <w:rsid w:val="004A5704"/>
    <w:rsid w:val="004B0A2A"/>
    <w:rsid w:val="004B14CC"/>
    <w:rsid w:val="004B5316"/>
    <w:rsid w:val="004B710F"/>
    <w:rsid w:val="004C05E5"/>
    <w:rsid w:val="004C16A8"/>
    <w:rsid w:val="004C2259"/>
    <w:rsid w:val="004C4562"/>
    <w:rsid w:val="004C593F"/>
    <w:rsid w:val="004C76C4"/>
    <w:rsid w:val="004D007F"/>
    <w:rsid w:val="004D0569"/>
    <w:rsid w:val="004D10DB"/>
    <w:rsid w:val="004D131A"/>
    <w:rsid w:val="004D166B"/>
    <w:rsid w:val="004D2A56"/>
    <w:rsid w:val="004D2AC4"/>
    <w:rsid w:val="004D2EE9"/>
    <w:rsid w:val="004D3206"/>
    <w:rsid w:val="004D32A6"/>
    <w:rsid w:val="004D5526"/>
    <w:rsid w:val="004D5A79"/>
    <w:rsid w:val="004D606C"/>
    <w:rsid w:val="004E004E"/>
    <w:rsid w:val="004E131D"/>
    <w:rsid w:val="004E1FE4"/>
    <w:rsid w:val="004E2199"/>
    <w:rsid w:val="004E2298"/>
    <w:rsid w:val="004E466D"/>
    <w:rsid w:val="004E6BE0"/>
    <w:rsid w:val="004E703D"/>
    <w:rsid w:val="004E716F"/>
    <w:rsid w:val="004E7604"/>
    <w:rsid w:val="004E7F0D"/>
    <w:rsid w:val="004F0ABF"/>
    <w:rsid w:val="004F0D06"/>
    <w:rsid w:val="004F0DEA"/>
    <w:rsid w:val="004F2707"/>
    <w:rsid w:val="004F3B3C"/>
    <w:rsid w:val="004F473D"/>
    <w:rsid w:val="004F580B"/>
    <w:rsid w:val="004F67DA"/>
    <w:rsid w:val="004F74B3"/>
    <w:rsid w:val="0050733A"/>
    <w:rsid w:val="00507713"/>
    <w:rsid w:val="00510583"/>
    <w:rsid w:val="00510825"/>
    <w:rsid w:val="00511128"/>
    <w:rsid w:val="0051158E"/>
    <w:rsid w:val="00512368"/>
    <w:rsid w:val="005137C2"/>
    <w:rsid w:val="005155ED"/>
    <w:rsid w:val="00515AFB"/>
    <w:rsid w:val="00515DA9"/>
    <w:rsid w:val="00517050"/>
    <w:rsid w:val="00517411"/>
    <w:rsid w:val="005206F4"/>
    <w:rsid w:val="00520784"/>
    <w:rsid w:val="00521715"/>
    <w:rsid w:val="00521AF0"/>
    <w:rsid w:val="00522591"/>
    <w:rsid w:val="005227F9"/>
    <w:rsid w:val="00522F8E"/>
    <w:rsid w:val="005237E1"/>
    <w:rsid w:val="00523825"/>
    <w:rsid w:val="0053204D"/>
    <w:rsid w:val="00532E01"/>
    <w:rsid w:val="00534C22"/>
    <w:rsid w:val="00534F99"/>
    <w:rsid w:val="005375FF"/>
    <w:rsid w:val="005401B4"/>
    <w:rsid w:val="00540756"/>
    <w:rsid w:val="00541085"/>
    <w:rsid w:val="00541E4C"/>
    <w:rsid w:val="00541F2A"/>
    <w:rsid w:val="005420DA"/>
    <w:rsid w:val="00542C95"/>
    <w:rsid w:val="00542E78"/>
    <w:rsid w:val="0054334D"/>
    <w:rsid w:val="0054372A"/>
    <w:rsid w:val="00544DF0"/>
    <w:rsid w:val="00545936"/>
    <w:rsid w:val="00550F36"/>
    <w:rsid w:val="00551590"/>
    <w:rsid w:val="005516B8"/>
    <w:rsid w:val="005517D9"/>
    <w:rsid w:val="00553256"/>
    <w:rsid w:val="00553542"/>
    <w:rsid w:val="00553784"/>
    <w:rsid w:val="00556559"/>
    <w:rsid w:val="00556BD6"/>
    <w:rsid w:val="0056259A"/>
    <w:rsid w:val="00562665"/>
    <w:rsid w:val="00562680"/>
    <w:rsid w:val="0056332E"/>
    <w:rsid w:val="00564265"/>
    <w:rsid w:val="00564859"/>
    <w:rsid w:val="0056535E"/>
    <w:rsid w:val="005654DA"/>
    <w:rsid w:val="005657E1"/>
    <w:rsid w:val="00565BD9"/>
    <w:rsid w:val="00570469"/>
    <w:rsid w:val="005708C5"/>
    <w:rsid w:val="005724ED"/>
    <w:rsid w:val="00573624"/>
    <w:rsid w:val="005741B8"/>
    <w:rsid w:val="005746A4"/>
    <w:rsid w:val="00574980"/>
    <w:rsid w:val="0057751F"/>
    <w:rsid w:val="005809B7"/>
    <w:rsid w:val="00580A2A"/>
    <w:rsid w:val="00582011"/>
    <w:rsid w:val="005840A1"/>
    <w:rsid w:val="0058466A"/>
    <w:rsid w:val="00585BA6"/>
    <w:rsid w:val="00590968"/>
    <w:rsid w:val="00590E0E"/>
    <w:rsid w:val="00593039"/>
    <w:rsid w:val="00593876"/>
    <w:rsid w:val="00594464"/>
    <w:rsid w:val="0059502B"/>
    <w:rsid w:val="0059612E"/>
    <w:rsid w:val="0059695B"/>
    <w:rsid w:val="00596C53"/>
    <w:rsid w:val="00596CB8"/>
    <w:rsid w:val="00596FFE"/>
    <w:rsid w:val="00597087"/>
    <w:rsid w:val="005A0D8C"/>
    <w:rsid w:val="005A1029"/>
    <w:rsid w:val="005A10D1"/>
    <w:rsid w:val="005A31FC"/>
    <w:rsid w:val="005A450A"/>
    <w:rsid w:val="005A4A80"/>
    <w:rsid w:val="005A6CF6"/>
    <w:rsid w:val="005A722C"/>
    <w:rsid w:val="005A7F5A"/>
    <w:rsid w:val="005B0153"/>
    <w:rsid w:val="005B0F0C"/>
    <w:rsid w:val="005B34D0"/>
    <w:rsid w:val="005B3540"/>
    <w:rsid w:val="005B4315"/>
    <w:rsid w:val="005B5593"/>
    <w:rsid w:val="005B59E3"/>
    <w:rsid w:val="005B5B33"/>
    <w:rsid w:val="005B61E3"/>
    <w:rsid w:val="005B71A2"/>
    <w:rsid w:val="005B72D1"/>
    <w:rsid w:val="005B79B1"/>
    <w:rsid w:val="005C04CC"/>
    <w:rsid w:val="005C05CC"/>
    <w:rsid w:val="005C2733"/>
    <w:rsid w:val="005C359D"/>
    <w:rsid w:val="005C3678"/>
    <w:rsid w:val="005C492D"/>
    <w:rsid w:val="005C4A57"/>
    <w:rsid w:val="005C59C8"/>
    <w:rsid w:val="005D0931"/>
    <w:rsid w:val="005D0B97"/>
    <w:rsid w:val="005D2327"/>
    <w:rsid w:val="005D2885"/>
    <w:rsid w:val="005D2A24"/>
    <w:rsid w:val="005D2A50"/>
    <w:rsid w:val="005D3B00"/>
    <w:rsid w:val="005D54CD"/>
    <w:rsid w:val="005D553C"/>
    <w:rsid w:val="005D55BD"/>
    <w:rsid w:val="005D648B"/>
    <w:rsid w:val="005E0FCC"/>
    <w:rsid w:val="005E13C1"/>
    <w:rsid w:val="005E1576"/>
    <w:rsid w:val="005E2047"/>
    <w:rsid w:val="005E2E8F"/>
    <w:rsid w:val="005E5179"/>
    <w:rsid w:val="005E6C4D"/>
    <w:rsid w:val="005F0946"/>
    <w:rsid w:val="005F11E6"/>
    <w:rsid w:val="005F1586"/>
    <w:rsid w:val="005F26AB"/>
    <w:rsid w:val="005F41D3"/>
    <w:rsid w:val="005F673E"/>
    <w:rsid w:val="005F7517"/>
    <w:rsid w:val="005F7A40"/>
    <w:rsid w:val="005F7B20"/>
    <w:rsid w:val="005F7BA7"/>
    <w:rsid w:val="006008FF"/>
    <w:rsid w:val="00601196"/>
    <w:rsid w:val="00601EF9"/>
    <w:rsid w:val="00602EF4"/>
    <w:rsid w:val="00603294"/>
    <w:rsid w:val="006041AA"/>
    <w:rsid w:val="006045E4"/>
    <w:rsid w:val="006059E3"/>
    <w:rsid w:val="00610B22"/>
    <w:rsid w:val="00611744"/>
    <w:rsid w:val="006121C0"/>
    <w:rsid w:val="00614448"/>
    <w:rsid w:val="00614782"/>
    <w:rsid w:val="00616410"/>
    <w:rsid w:val="00616887"/>
    <w:rsid w:val="00616A9D"/>
    <w:rsid w:val="00616F8D"/>
    <w:rsid w:val="006217DD"/>
    <w:rsid w:val="0062191E"/>
    <w:rsid w:val="00622ACF"/>
    <w:rsid w:val="00622C4C"/>
    <w:rsid w:val="00623574"/>
    <w:rsid w:val="00623D39"/>
    <w:rsid w:val="00624657"/>
    <w:rsid w:val="0062636B"/>
    <w:rsid w:val="00630A7A"/>
    <w:rsid w:val="00632663"/>
    <w:rsid w:val="00632682"/>
    <w:rsid w:val="00632B78"/>
    <w:rsid w:val="006370D8"/>
    <w:rsid w:val="00637233"/>
    <w:rsid w:val="00637516"/>
    <w:rsid w:val="00637BBE"/>
    <w:rsid w:val="006401AF"/>
    <w:rsid w:val="0064021E"/>
    <w:rsid w:val="00641A9D"/>
    <w:rsid w:val="00642868"/>
    <w:rsid w:val="00642C9E"/>
    <w:rsid w:val="00642CC9"/>
    <w:rsid w:val="00644236"/>
    <w:rsid w:val="00644CF3"/>
    <w:rsid w:val="006463AF"/>
    <w:rsid w:val="00646A7D"/>
    <w:rsid w:val="00646CDD"/>
    <w:rsid w:val="00650CF1"/>
    <w:rsid w:val="00651644"/>
    <w:rsid w:val="00652AA3"/>
    <w:rsid w:val="00652EC7"/>
    <w:rsid w:val="0065352E"/>
    <w:rsid w:val="00653E9E"/>
    <w:rsid w:val="00654749"/>
    <w:rsid w:val="00655134"/>
    <w:rsid w:val="00661417"/>
    <w:rsid w:val="00662290"/>
    <w:rsid w:val="006639B6"/>
    <w:rsid w:val="00666441"/>
    <w:rsid w:val="00667007"/>
    <w:rsid w:val="00667AE0"/>
    <w:rsid w:val="006708B2"/>
    <w:rsid w:val="006719BD"/>
    <w:rsid w:val="006720A9"/>
    <w:rsid w:val="0067260C"/>
    <w:rsid w:val="00673C47"/>
    <w:rsid w:val="00674EAF"/>
    <w:rsid w:val="00675F8F"/>
    <w:rsid w:val="00676A47"/>
    <w:rsid w:val="00676E62"/>
    <w:rsid w:val="00680FB4"/>
    <w:rsid w:val="00681231"/>
    <w:rsid w:val="006812F8"/>
    <w:rsid w:val="00681753"/>
    <w:rsid w:val="00683923"/>
    <w:rsid w:val="00683F33"/>
    <w:rsid w:val="00684FE2"/>
    <w:rsid w:val="00686AC9"/>
    <w:rsid w:val="00686B00"/>
    <w:rsid w:val="00690F16"/>
    <w:rsid w:val="00691D87"/>
    <w:rsid w:val="006924DD"/>
    <w:rsid w:val="0069259E"/>
    <w:rsid w:val="006938A1"/>
    <w:rsid w:val="00694675"/>
    <w:rsid w:val="00694C6E"/>
    <w:rsid w:val="00695917"/>
    <w:rsid w:val="0069662A"/>
    <w:rsid w:val="006A0167"/>
    <w:rsid w:val="006A212F"/>
    <w:rsid w:val="006A2420"/>
    <w:rsid w:val="006A3567"/>
    <w:rsid w:val="006A3CE1"/>
    <w:rsid w:val="006A3EAF"/>
    <w:rsid w:val="006A4B6C"/>
    <w:rsid w:val="006A5D97"/>
    <w:rsid w:val="006A62D6"/>
    <w:rsid w:val="006A65FE"/>
    <w:rsid w:val="006A6A80"/>
    <w:rsid w:val="006A71FF"/>
    <w:rsid w:val="006A7854"/>
    <w:rsid w:val="006B16B4"/>
    <w:rsid w:val="006B1D37"/>
    <w:rsid w:val="006B2C3B"/>
    <w:rsid w:val="006B31A8"/>
    <w:rsid w:val="006B3E16"/>
    <w:rsid w:val="006B5B93"/>
    <w:rsid w:val="006B617B"/>
    <w:rsid w:val="006C03D8"/>
    <w:rsid w:val="006C1095"/>
    <w:rsid w:val="006C3B91"/>
    <w:rsid w:val="006C550B"/>
    <w:rsid w:val="006C6A86"/>
    <w:rsid w:val="006C6E91"/>
    <w:rsid w:val="006C6EAC"/>
    <w:rsid w:val="006C7519"/>
    <w:rsid w:val="006D0D53"/>
    <w:rsid w:val="006D329F"/>
    <w:rsid w:val="006D346C"/>
    <w:rsid w:val="006D443C"/>
    <w:rsid w:val="006D4C8C"/>
    <w:rsid w:val="006D6F90"/>
    <w:rsid w:val="006E0F73"/>
    <w:rsid w:val="006E1648"/>
    <w:rsid w:val="006E1667"/>
    <w:rsid w:val="006E17C7"/>
    <w:rsid w:val="006E2A0A"/>
    <w:rsid w:val="006E2D1A"/>
    <w:rsid w:val="006E3207"/>
    <w:rsid w:val="006E536F"/>
    <w:rsid w:val="006E5B68"/>
    <w:rsid w:val="006E6E39"/>
    <w:rsid w:val="006E77E2"/>
    <w:rsid w:val="006E7C27"/>
    <w:rsid w:val="006F0880"/>
    <w:rsid w:val="006F226D"/>
    <w:rsid w:val="006F427F"/>
    <w:rsid w:val="006F5255"/>
    <w:rsid w:val="006F5D56"/>
    <w:rsid w:val="006F5F18"/>
    <w:rsid w:val="00700038"/>
    <w:rsid w:val="00700426"/>
    <w:rsid w:val="0070045B"/>
    <w:rsid w:val="00701E50"/>
    <w:rsid w:val="00703995"/>
    <w:rsid w:val="00705A81"/>
    <w:rsid w:val="00705CF3"/>
    <w:rsid w:val="00705DCA"/>
    <w:rsid w:val="00710B9A"/>
    <w:rsid w:val="007118A6"/>
    <w:rsid w:val="00714250"/>
    <w:rsid w:val="00714DF6"/>
    <w:rsid w:val="00716C99"/>
    <w:rsid w:val="00716FAF"/>
    <w:rsid w:val="0071731D"/>
    <w:rsid w:val="007206D3"/>
    <w:rsid w:val="00723A33"/>
    <w:rsid w:val="007249BC"/>
    <w:rsid w:val="00725033"/>
    <w:rsid w:val="00725D96"/>
    <w:rsid w:val="0072767B"/>
    <w:rsid w:val="007276EC"/>
    <w:rsid w:val="00727A05"/>
    <w:rsid w:val="00727C33"/>
    <w:rsid w:val="00727F56"/>
    <w:rsid w:val="0073125C"/>
    <w:rsid w:val="007322CE"/>
    <w:rsid w:val="00733DA2"/>
    <w:rsid w:val="007352D7"/>
    <w:rsid w:val="0073559A"/>
    <w:rsid w:val="00736E3A"/>
    <w:rsid w:val="00737C30"/>
    <w:rsid w:val="00737F66"/>
    <w:rsid w:val="00740354"/>
    <w:rsid w:val="00740DAB"/>
    <w:rsid w:val="00741262"/>
    <w:rsid w:val="00741461"/>
    <w:rsid w:val="007415CC"/>
    <w:rsid w:val="0074208A"/>
    <w:rsid w:val="0074290C"/>
    <w:rsid w:val="00742C2C"/>
    <w:rsid w:val="0074306C"/>
    <w:rsid w:val="007431E5"/>
    <w:rsid w:val="00743556"/>
    <w:rsid w:val="007438C4"/>
    <w:rsid w:val="00743927"/>
    <w:rsid w:val="00744078"/>
    <w:rsid w:val="007440F2"/>
    <w:rsid w:val="0074452A"/>
    <w:rsid w:val="00745023"/>
    <w:rsid w:val="00746C9F"/>
    <w:rsid w:val="007470F1"/>
    <w:rsid w:val="00750B50"/>
    <w:rsid w:val="00751274"/>
    <w:rsid w:val="0075138C"/>
    <w:rsid w:val="00751F78"/>
    <w:rsid w:val="007538BD"/>
    <w:rsid w:val="00753C34"/>
    <w:rsid w:val="0075467C"/>
    <w:rsid w:val="00755F79"/>
    <w:rsid w:val="00756797"/>
    <w:rsid w:val="007569C7"/>
    <w:rsid w:val="00756B27"/>
    <w:rsid w:val="00760F75"/>
    <w:rsid w:val="00761304"/>
    <w:rsid w:val="0076277D"/>
    <w:rsid w:val="00763203"/>
    <w:rsid w:val="007639B9"/>
    <w:rsid w:val="00763DFC"/>
    <w:rsid w:val="00763ED5"/>
    <w:rsid w:val="007670EE"/>
    <w:rsid w:val="00770FB8"/>
    <w:rsid w:val="00772155"/>
    <w:rsid w:val="0077381E"/>
    <w:rsid w:val="00773AA3"/>
    <w:rsid w:val="0077560E"/>
    <w:rsid w:val="00775A12"/>
    <w:rsid w:val="00775DDA"/>
    <w:rsid w:val="007761E0"/>
    <w:rsid w:val="007772D4"/>
    <w:rsid w:val="007807D1"/>
    <w:rsid w:val="00781D33"/>
    <w:rsid w:val="0078365D"/>
    <w:rsid w:val="00786443"/>
    <w:rsid w:val="00786A14"/>
    <w:rsid w:val="00786CC0"/>
    <w:rsid w:val="0078750C"/>
    <w:rsid w:val="007900B0"/>
    <w:rsid w:val="00790643"/>
    <w:rsid w:val="00792192"/>
    <w:rsid w:val="00792DAA"/>
    <w:rsid w:val="00792FA2"/>
    <w:rsid w:val="00793B3B"/>
    <w:rsid w:val="0079466A"/>
    <w:rsid w:val="00794B0E"/>
    <w:rsid w:val="00794B21"/>
    <w:rsid w:val="00796391"/>
    <w:rsid w:val="007A0720"/>
    <w:rsid w:val="007A18A4"/>
    <w:rsid w:val="007A32B4"/>
    <w:rsid w:val="007A370E"/>
    <w:rsid w:val="007A5FD1"/>
    <w:rsid w:val="007B17D9"/>
    <w:rsid w:val="007B1C29"/>
    <w:rsid w:val="007B4136"/>
    <w:rsid w:val="007B4186"/>
    <w:rsid w:val="007B5983"/>
    <w:rsid w:val="007B7F09"/>
    <w:rsid w:val="007B7F4A"/>
    <w:rsid w:val="007C02A7"/>
    <w:rsid w:val="007C063F"/>
    <w:rsid w:val="007C0E24"/>
    <w:rsid w:val="007C1172"/>
    <w:rsid w:val="007C2CE3"/>
    <w:rsid w:val="007C4CB4"/>
    <w:rsid w:val="007C4CF7"/>
    <w:rsid w:val="007C5E6C"/>
    <w:rsid w:val="007C65D5"/>
    <w:rsid w:val="007C68B2"/>
    <w:rsid w:val="007C793A"/>
    <w:rsid w:val="007D06CF"/>
    <w:rsid w:val="007D0892"/>
    <w:rsid w:val="007D0E65"/>
    <w:rsid w:val="007D22F3"/>
    <w:rsid w:val="007D3D3C"/>
    <w:rsid w:val="007D3FBF"/>
    <w:rsid w:val="007D48F9"/>
    <w:rsid w:val="007D5044"/>
    <w:rsid w:val="007D5599"/>
    <w:rsid w:val="007D55C8"/>
    <w:rsid w:val="007D5918"/>
    <w:rsid w:val="007D66EA"/>
    <w:rsid w:val="007D66F3"/>
    <w:rsid w:val="007D747F"/>
    <w:rsid w:val="007D77FA"/>
    <w:rsid w:val="007E1B94"/>
    <w:rsid w:val="007E20D0"/>
    <w:rsid w:val="007E239B"/>
    <w:rsid w:val="007E7D2F"/>
    <w:rsid w:val="007F07B2"/>
    <w:rsid w:val="007F13D5"/>
    <w:rsid w:val="007F166E"/>
    <w:rsid w:val="007F3142"/>
    <w:rsid w:val="007F44BD"/>
    <w:rsid w:val="007F4785"/>
    <w:rsid w:val="007F6176"/>
    <w:rsid w:val="007F6511"/>
    <w:rsid w:val="007F6C63"/>
    <w:rsid w:val="007F7C44"/>
    <w:rsid w:val="007F7D6A"/>
    <w:rsid w:val="007F7DF3"/>
    <w:rsid w:val="007F7F15"/>
    <w:rsid w:val="0080121D"/>
    <w:rsid w:val="00801C27"/>
    <w:rsid w:val="008067B1"/>
    <w:rsid w:val="008103DE"/>
    <w:rsid w:val="00811591"/>
    <w:rsid w:val="00811FD4"/>
    <w:rsid w:val="008139FF"/>
    <w:rsid w:val="00813FEF"/>
    <w:rsid w:val="008146EC"/>
    <w:rsid w:val="00814737"/>
    <w:rsid w:val="00814A43"/>
    <w:rsid w:val="0081582B"/>
    <w:rsid w:val="008160A6"/>
    <w:rsid w:val="0081673A"/>
    <w:rsid w:val="00817821"/>
    <w:rsid w:val="00817C7F"/>
    <w:rsid w:val="00820921"/>
    <w:rsid w:val="00821A8A"/>
    <w:rsid w:val="0082409A"/>
    <w:rsid w:val="0082719B"/>
    <w:rsid w:val="008328F6"/>
    <w:rsid w:val="00832926"/>
    <w:rsid w:val="00832D27"/>
    <w:rsid w:val="0083528C"/>
    <w:rsid w:val="00835465"/>
    <w:rsid w:val="008375FC"/>
    <w:rsid w:val="00837605"/>
    <w:rsid w:val="00840D20"/>
    <w:rsid w:val="0084210E"/>
    <w:rsid w:val="0084228D"/>
    <w:rsid w:val="00842BA3"/>
    <w:rsid w:val="00842D1B"/>
    <w:rsid w:val="00842F0E"/>
    <w:rsid w:val="008443EA"/>
    <w:rsid w:val="00844E66"/>
    <w:rsid w:val="00845A15"/>
    <w:rsid w:val="00845D38"/>
    <w:rsid w:val="00845F18"/>
    <w:rsid w:val="00850EA3"/>
    <w:rsid w:val="008511A8"/>
    <w:rsid w:val="00852598"/>
    <w:rsid w:val="0085282F"/>
    <w:rsid w:val="0085308C"/>
    <w:rsid w:val="008546B9"/>
    <w:rsid w:val="00855B0E"/>
    <w:rsid w:val="00857E84"/>
    <w:rsid w:val="0086015D"/>
    <w:rsid w:val="00860989"/>
    <w:rsid w:val="00860C20"/>
    <w:rsid w:val="008615F0"/>
    <w:rsid w:val="008623A6"/>
    <w:rsid w:val="00863957"/>
    <w:rsid w:val="00863E70"/>
    <w:rsid w:val="00864194"/>
    <w:rsid w:val="00864B10"/>
    <w:rsid w:val="0086501C"/>
    <w:rsid w:val="00865063"/>
    <w:rsid w:val="008652DB"/>
    <w:rsid w:val="00865CFC"/>
    <w:rsid w:val="00865E93"/>
    <w:rsid w:val="0086609D"/>
    <w:rsid w:val="00866714"/>
    <w:rsid w:val="0087007C"/>
    <w:rsid w:val="00872C70"/>
    <w:rsid w:val="00874D14"/>
    <w:rsid w:val="0087539A"/>
    <w:rsid w:val="008753D4"/>
    <w:rsid w:val="00876F50"/>
    <w:rsid w:val="00877B98"/>
    <w:rsid w:val="0088241C"/>
    <w:rsid w:val="00884BA7"/>
    <w:rsid w:val="008851AE"/>
    <w:rsid w:val="00885C31"/>
    <w:rsid w:val="008919BF"/>
    <w:rsid w:val="0089205C"/>
    <w:rsid w:val="00893D01"/>
    <w:rsid w:val="00893DF2"/>
    <w:rsid w:val="00895B61"/>
    <w:rsid w:val="00895BAB"/>
    <w:rsid w:val="00896601"/>
    <w:rsid w:val="00896C58"/>
    <w:rsid w:val="00897EAD"/>
    <w:rsid w:val="008A0539"/>
    <w:rsid w:val="008A20DE"/>
    <w:rsid w:val="008A20E4"/>
    <w:rsid w:val="008A3192"/>
    <w:rsid w:val="008A3D8C"/>
    <w:rsid w:val="008A4338"/>
    <w:rsid w:val="008A5A16"/>
    <w:rsid w:val="008A5D51"/>
    <w:rsid w:val="008A6895"/>
    <w:rsid w:val="008A6FF4"/>
    <w:rsid w:val="008B2D37"/>
    <w:rsid w:val="008B31F3"/>
    <w:rsid w:val="008B4B1E"/>
    <w:rsid w:val="008B5EA5"/>
    <w:rsid w:val="008B6222"/>
    <w:rsid w:val="008B7405"/>
    <w:rsid w:val="008B79BC"/>
    <w:rsid w:val="008C0A99"/>
    <w:rsid w:val="008C0BD5"/>
    <w:rsid w:val="008C0CD9"/>
    <w:rsid w:val="008C0CF6"/>
    <w:rsid w:val="008C1971"/>
    <w:rsid w:val="008C2545"/>
    <w:rsid w:val="008C6953"/>
    <w:rsid w:val="008C7524"/>
    <w:rsid w:val="008D024D"/>
    <w:rsid w:val="008D0C13"/>
    <w:rsid w:val="008D1682"/>
    <w:rsid w:val="008D1956"/>
    <w:rsid w:val="008D1B77"/>
    <w:rsid w:val="008D1BE2"/>
    <w:rsid w:val="008D21CB"/>
    <w:rsid w:val="008D33BD"/>
    <w:rsid w:val="008D3BA9"/>
    <w:rsid w:val="008D3CE1"/>
    <w:rsid w:val="008D3DF7"/>
    <w:rsid w:val="008D61A2"/>
    <w:rsid w:val="008E1CBD"/>
    <w:rsid w:val="008E1F0F"/>
    <w:rsid w:val="008E2307"/>
    <w:rsid w:val="008E2C6B"/>
    <w:rsid w:val="008E35DD"/>
    <w:rsid w:val="008E4F76"/>
    <w:rsid w:val="008E56B2"/>
    <w:rsid w:val="008E6102"/>
    <w:rsid w:val="008E6A77"/>
    <w:rsid w:val="008E7155"/>
    <w:rsid w:val="008E761C"/>
    <w:rsid w:val="008F0E55"/>
    <w:rsid w:val="008F193A"/>
    <w:rsid w:val="008F2898"/>
    <w:rsid w:val="008F28A3"/>
    <w:rsid w:val="008F3E5F"/>
    <w:rsid w:val="008F48B6"/>
    <w:rsid w:val="008F6020"/>
    <w:rsid w:val="008F613B"/>
    <w:rsid w:val="008F6BDB"/>
    <w:rsid w:val="008F72A2"/>
    <w:rsid w:val="008F7332"/>
    <w:rsid w:val="008F7798"/>
    <w:rsid w:val="0090001F"/>
    <w:rsid w:val="009008DF"/>
    <w:rsid w:val="00900CD4"/>
    <w:rsid w:val="00902C1A"/>
    <w:rsid w:val="00902F6F"/>
    <w:rsid w:val="00905DF4"/>
    <w:rsid w:val="0090621F"/>
    <w:rsid w:val="00907CE6"/>
    <w:rsid w:val="00907F2E"/>
    <w:rsid w:val="0091115D"/>
    <w:rsid w:val="00911355"/>
    <w:rsid w:val="00911D7A"/>
    <w:rsid w:val="009126FC"/>
    <w:rsid w:val="00913A70"/>
    <w:rsid w:val="00914A0D"/>
    <w:rsid w:val="00917012"/>
    <w:rsid w:val="00920D4C"/>
    <w:rsid w:val="009238F0"/>
    <w:rsid w:val="009241AF"/>
    <w:rsid w:val="009265B6"/>
    <w:rsid w:val="0092688E"/>
    <w:rsid w:val="009308EA"/>
    <w:rsid w:val="0093166D"/>
    <w:rsid w:val="009336D6"/>
    <w:rsid w:val="00933A5B"/>
    <w:rsid w:val="0093480B"/>
    <w:rsid w:val="009357D9"/>
    <w:rsid w:val="00935A0B"/>
    <w:rsid w:val="00937D81"/>
    <w:rsid w:val="0094294F"/>
    <w:rsid w:val="00942F3B"/>
    <w:rsid w:val="009438FC"/>
    <w:rsid w:val="0094402A"/>
    <w:rsid w:val="009441EB"/>
    <w:rsid w:val="00944C7C"/>
    <w:rsid w:val="0094559E"/>
    <w:rsid w:val="00946322"/>
    <w:rsid w:val="00946613"/>
    <w:rsid w:val="009472CC"/>
    <w:rsid w:val="0094763B"/>
    <w:rsid w:val="0095030A"/>
    <w:rsid w:val="00951CC5"/>
    <w:rsid w:val="0095322D"/>
    <w:rsid w:val="009539F3"/>
    <w:rsid w:val="00954244"/>
    <w:rsid w:val="00955793"/>
    <w:rsid w:val="009607F1"/>
    <w:rsid w:val="00960CEA"/>
    <w:rsid w:val="00962977"/>
    <w:rsid w:val="0096352C"/>
    <w:rsid w:val="00964612"/>
    <w:rsid w:val="00964704"/>
    <w:rsid w:val="00964D41"/>
    <w:rsid w:val="0096694C"/>
    <w:rsid w:val="00966CC7"/>
    <w:rsid w:val="00967043"/>
    <w:rsid w:val="00967759"/>
    <w:rsid w:val="00967EED"/>
    <w:rsid w:val="00970503"/>
    <w:rsid w:val="0097349C"/>
    <w:rsid w:val="009740AE"/>
    <w:rsid w:val="00975F12"/>
    <w:rsid w:val="00976369"/>
    <w:rsid w:val="00976577"/>
    <w:rsid w:val="00980E1C"/>
    <w:rsid w:val="00980EEC"/>
    <w:rsid w:val="009843CF"/>
    <w:rsid w:val="00984572"/>
    <w:rsid w:val="009845D4"/>
    <w:rsid w:val="0098516D"/>
    <w:rsid w:val="009879D7"/>
    <w:rsid w:val="009901AF"/>
    <w:rsid w:val="00990CB1"/>
    <w:rsid w:val="009926D3"/>
    <w:rsid w:val="0099285A"/>
    <w:rsid w:val="00992C4A"/>
    <w:rsid w:val="009930D9"/>
    <w:rsid w:val="00993C81"/>
    <w:rsid w:val="00993FDE"/>
    <w:rsid w:val="00994992"/>
    <w:rsid w:val="00994A65"/>
    <w:rsid w:val="00995489"/>
    <w:rsid w:val="00996212"/>
    <w:rsid w:val="0099649E"/>
    <w:rsid w:val="0099658F"/>
    <w:rsid w:val="009A171C"/>
    <w:rsid w:val="009A292F"/>
    <w:rsid w:val="009A3D23"/>
    <w:rsid w:val="009A5A17"/>
    <w:rsid w:val="009A6290"/>
    <w:rsid w:val="009A69AB"/>
    <w:rsid w:val="009A7685"/>
    <w:rsid w:val="009B058C"/>
    <w:rsid w:val="009B07C9"/>
    <w:rsid w:val="009B14D1"/>
    <w:rsid w:val="009B2B50"/>
    <w:rsid w:val="009B2DFE"/>
    <w:rsid w:val="009B3F52"/>
    <w:rsid w:val="009B4533"/>
    <w:rsid w:val="009B4A7C"/>
    <w:rsid w:val="009B4CBC"/>
    <w:rsid w:val="009B6881"/>
    <w:rsid w:val="009C04FC"/>
    <w:rsid w:val="009C17D6"/>
    <w:rsid w:val="009C1A5B"/>
    <w:rsid w:val="009C295F"/>
    <w:rsid w:val="009C2DD3"/>
    <w:rsid w:val="009C337E"/>
    <w:rsid w:val="009C339F"/>
    <w:rsid w:val="009C448D"/>
    <w:rsid w:val="009C5F02"/>
    <w:rsid w:val="009C6601"/>
    <w:rsid w:val="009C7279"/>
    <w:rsid w:val="009D1D96"/>
    <w:rsid w:val="009D2137"/>
    <w:rsid w:val="009D2857"/>
    <w:rsid w:val="009D360B"/>
    <w:rsid w:val="009D516B"/>
    <w:rsid w:val="009D51A6"/>
    <w:rsid w:val="009D57EE"/>
    <w:rsid w:val="009D6116"/>
    <w:rsid w:val="009D6BE0"/>
    <w:rsid w:val="009E2AFC"/>
    <w:rsid w:val="009E2BDA"/>
    <w:rsid w:val="009E56E1"/>
    <w:rsid w:val="009E5959"/>
    <w:rsid w:val="009E60E4"/>
    <w:rsid w:val="009E673F"/>
    <w:rsid w:val="009E7520"/>
    <w:rsid w:val="009E794F"/>
    <w:rsid w:val="009F129D"/>
    <w:rsid w:val="009F1A78"/>
    <w:rsid w:val="009F222D"/>
    <w:rsid w:val="009F2DA1"/>
    <w:rsid w:val="009F33AB"/>
    <w:rsid w:val="009F3A6E"/>
    <w:rsid w:val="009F4F74"/>
    <w:rsid w:val="009F5421"/>
    <w:rsid w:val="009F6446"/>
    <w:rsid w:val="009F7EBA"/>
    <w:rsid w:val="00A0378F"/>
    <w:rsid w:val="00A04CDC"/>
    <w:rsid w:val="00A04FC1"/>
    <w:rsid w:val="00A05713"/>
    <w:rsid w:val="00A05B53"/>
    <w:rsid w:val="00A05BE9"/>
    <w:rsid w:val="00A066C1"/>
    <w:rsid w:val="00A06D0D"/>
    <w:rsid w:val="00A06F00"/>
    <w:rsid w:val="00A11E3F"/>
    <w:rsid w:val="00A1249F"/>
    <w:rsid w:val="00A13526"/>
    <w:rsid w:val="00A13AE6"/>
    <w:rsid w:val="00A14506"/>
    <w:rsid w:val="00A15044"/>
    <w:rsid w:val="00A15275"/>
    <w:rsid w:val="00A15750"/>
    <w:rsid w:val="00A21ABE"/>
    <w:rsid w:val="00A21CA8"/>
    <w:rsid w:val="00A22EF2"/>
    <w:rsid w:val="00A23D2E"/>
    <w:rsid w:val="00A2543B"/>
    <w:rsid w:val="00A254DD"/>
    <w:rsid w:val="00A25E54"/>
    <w:rsid w:val="00A262DA"/>
    <w:rsid w:val="00A2642C"/>
    <w:rsid w:val="00A273D0"/>
    <w:rsid w:val="00A31806"/>
    <w:rsid w:val="00A3240E"/>
    <w:rsid w:val="00A328A2"/>
    <w:rsid w:val="00A33549"/>
    <w:rsid w:val="00A355B7"/>
    <w:rsid w:val="00A35713"/>
    <w:rsid w:val="00A35E3C"/>
    <w:rsid w:val="00A368E4"/>
    <w:rsid w:val="00A40068"/>
    <w:rsid w:val="00A404D6"/>
    <w:rsid w:val="00A40F0D"/>
    <w:rsid w:val="00A41043"/>
    <w:rsid w:val="00A443B6"/>
    <w:rsid w:val="00A4508A"/>
    <w:rsid w:val="00A47FAC"/>
    <w:rsid w:val="00A507A1"/>
    <w:rsid w:val="00A50F49"/>
    <w:rsid w:val="00A51FCD"/>
    <w:rsid w:val="00A522D6"/>
    <w:rsid w:val="00A53452"/>
    <w:rsid w:val="00A53DAD"/>
    <w:rsid w:val="00A543AD"/>
    <w:rsid w:val="00A547CF"/>
    <w:rsid w:val="00A552FC"/>
    <w:rsid w:val="00A55C18"/>
    <w:rsid w:val="00A57352"/>
    <w:rsid w:val="00A5765B"/>
    <w:rsid w:val="00A60077"/>
    <w:rsid w:val="00A60701"/>
    <w:rsid w:val="00A618D4"/>
    <w:rsid w:val="00A67095"/>
    <w:rsid w:val="00A72737"/>
    <w:rsid w:val="00A73CE3"/>
    <w:rsid w:val="00A73FFF"/>
    <w:rsid w:val="00A74CD0"/>
    <w:rsid w:val="00A74D9A"/>
    <w:rsid w:val="00A7674E"/>
    <w:rsid w:val="00A76755"/>
    <w:rsid w:val="00A770A5"/>
    <w:rsid w:val="00A77933"/>
    <w:rsid w:val="00A77BEF"/>
    <w:rsid w:val="00A813F0"/>
    <w:rsid w:val="00A81F2E"/>
    <w:rsid w:val="00A82482"/>
    <w:rsid w:val="00A859E4"/>
    <w:rsid w:val="00A86CCB"/>
    <w:rsid w:val="00A92524"/>
    <w:rsid w:val="00A9271F"/>
    <w:rsid w:val="00A929AB"/>
    <w:rsid w:val="00A92AED"/>
    <w:rsid w:val="00A95536"/>
    <w:rsid w:val="00A959EF"/>
    <w:rsid w:val="00A9666F"/>
    <w:rsid w:val="00A966D3"/>
    <w:rsid w:val="00A96F1B"/>
    <w:rsid w:val="00A97295"/>
    <w:rsid w:val="00A97A2E"/>
    <w:rsid w:val="00AA0042"/>
    <w:rsid w:val="00AA0104"/>
    <w:rsid w:val="00AA1428"/>
    <w:rsid w:val="00AA17DB"/>
    <w:rsid w:val="00AA3935"/>
    <w:rsid w:val="00AA50BE"/>
    <w:rsid w:val="00AA61CC"/>
    <w:rsid w:val="00AB0579"/>
    <w:rsid w:val="00AB08C4"/>
    <w:rsid w:val="00AB10EF"/>
    <w:rsid w:val="00AB3A20"/>
    <w:rsid w:val="00AB3AD4"/>
    <w:rsid w:val="00AB53FC"/>
    <w:rsid w:val="00AC1A63"/>
    <w:rsid w:val="00AC1B07"/>
    <w:rsid w:val="00AC263C"/>
    <w:rsid w:val="00AC3512"/>
    <w:rsid w:val="00AC3625"/>
    <w:rsid w:val="00AC41D3"/>
    <w:rsid w:val="00AC78AA"/>
    <w:rsid w:val="00AC7D91"/>
    <w:rsid w:val="00AD1014"/>
    <w:rsid w:val="00AD4A39"/>
    <w:rsid w:val="00AD613A"/>
    <w:rsid w:val="00AD7068"/>
    <w:rsid w:val="00AD78E2"/>
    <w:rsid w:val="00AE1ED6"/>
    <w:rsid w:val="00AE2B1A"/>
    <w:rsid w:val="00AE33E8"/>
    <w:rsid w:val="00AE3E23"/>
    <w:rsid w:val="00AE5A7E"/>
    <w:rsid w:val="00AE6AF4"/>
    <w:rsid w:val="00AE7011"/>
    <w:rsid w:val="00AE7083"/>
    <w:rsid w:val="00AE7587"/>
    <w:rsid w:val="00AE78D1"/>
    <w:rsid w:val="00AF19C9"/>
    <w:rsid w:val="00AF26C9"/>
    <w:rsid w:val="00AF2AB9"/>
    <w:rsid w:val="00AF2E44"/>
    <w:rsid w:val="00AF34D8"/>
    <w:rsid w:val="00AF3FF6"/>
    <w:rsid w:val="00AF4191"/>
    <w:rsid w:val="00AF4F19"/>
    <w:rsid w:val="00AF57CE"/>
    <w:rsid w:val="00AF757C"/>
    <w:rsid w:val="00B008DF"/>
    <w:rsid w:val="00B00AAE"/>
    <w:rsid w:val="00B01F7C"/>
    <w:rsid w:val="00B01F88"/>
    <w:rsid w:val="00B02B64"/>
    <w:rsid w:val="00B02F4E"/>
    <w:rsid w:val="00B03393"/>
    <w:rsid w:val="00B04B10"/>
    <w:rsid w:val="00B04D3C"/>
    <w:rsid w:val="00B05614"/>
    <w:rsid w:val="00B05749"/>
    <w:rsid w:val="00B05836"/>
    <w:rsid w:val="00B06400"/>
    <w:rsid w:val="00B150CC"/>
    <w:rsid w:val="00B1576B"/>
    <w:rsid w:val="00B212BC"/>
    <w:rsid w:val="00B21694"/>
    <w:rsid w:val="00B21E6E"/>
    <w:rsid w:val="00B21F32"/>
    <w:rsid w:val="00B23E75"/>
    <w:rsid w:val="00B24FD5"/>
    <w:rsid w:val="00B269E4"/>
    <w:rsid w:val="00B26ACC"/>
    <w:rsid w:val="00B32D42"/>
    <w:rsid w:val="00B3396A"/>
    <w:rsid w:val="00B346C4"/>
    <w:rsid w:val="00B34CE5"/>
    <w:rsid w:val="00B37751"/>
    <w:rsid w:val="00B37C73"/>
    <w:rsid w:val="00B37F70"/>
    <w:rsid w:val="00B4034F"/>
    <w:rsid w:val="00B421C2"/>
    <w:rsid w:val="00B43544"/>
    <w:rsid w:val="00B4375C"/>
    <w:rsid w:val="00B44AB8"/>
    <w:rsid w:val="00B44F9F"/>
    <w:rsid w:val="00B45CAC"/>
    <w:rsid w:val="00B45EBC"/>
    <w:rsid w:val="00B51D2E"/>
    <w:rsid w:val="00B54032"/>
    <w:rsid w:val="00B54582"/>
    <w:rsid w:val="00B54EC7"/>
    <w:rsid w:val="00B559F5"/>
    <w:rsid w:val="00B60A76"/>
    <w:rsid w:val="00B6181B"/>
    <w:rsid w:val="00B61A6D"/>
    <w:rsid w:val="00B6322B"/>
    <w:rsid w:val="00B64458"/>
    <w:rsid w:val="00B654C9"/>
    <w:rsid w:val="00B6567D"/>
    <w:rsid w:val="00B65B4E"/>
    <w:rsid w:val="00B666E1"/>
    <w:rsid w:val="00B668BB"/>
    <w:rsid w:val="00B668FC"/>
    <w:rsid w:val="00B6690F"/>
    <w:rsid w:val="00B66F96"/>
    <w:rsid w:val="00B67BCA"/>
    <w:rsid w:val="00B67EC3"/>
    <w:rsid w:val="00B703F7"/>
    <w:rsid w:val="00B70F0B"/>
    <w:rsid w:val="00B718DA"/>
    <w:rsid w:val="00B726B6"/>
    <w:rsid w:val="00B74AC4"/>
    <w:rsid w:val="00B752A3"/>
    <w:rsid w:val="00B75918"/>
    <w:rsid w:val="00B7598D"/>
    <w:rsid w:val="00B76524"/>
    <w:rsid w:val="00B775F8"/>
    <w:rsid w:val="00B77FAA"/>
    <w:rsid w:val="00B801E0"/>
    <w:rsid w:val="00B802B1"/>
    <w:rsid w:val="00B808D0"/>
    <w:rsid w:val="00B815F0"/>
    <w:rsid w:val="00B81936"/>
    <w:rsid w:val="00B82129"/>
    <w:rsid w:val="00B82E91"/>
    <w:rsid w:val="00B84913"/>
    <w:rsid w:val="00B84D5A"/>
    <w:rsid w:val="00B854F5"/>
    <w:rsid w:val="00B8557E"/>
    <w:rsid w:val="00B86AC3"/>
    <w:rsid w:val="00B87053"/>
    <w:rsid w:val="00B87E78"/>
    <w:rsid w:val="00B909EC"/>
    <w:rsid w:val="00B93003"/>
    <w:rsid w:val="00B93365"/>
    <w:rsid w:val="00B95A52"/>
    <w:rsid w:val="00B95B1D"/>
    <w:rsid w:val="00B962E3"/>
    <w:rsid w:val="00B96479"/>
    <w:rsid w:val="00B96879"/>
    <w:rsid w:val="00B96BE8"/>
    <w:rsid w:val="00B97B72"/>
    <w:rsid w:val="00B97C3E"/>
    <w:rsid w:val="00BA0B89"/>
    <w:rsid w:val="00BA0D52"/>
    <w:rsid w:val="00BA0EE7"/>
    <w:rsid w:val="00BA2259"/>
    <w:rsid w:val="00BA47D8"/>
    <w:rsid w:val="00BA5BAC"/>
    <w:rsid w:val="00BA5E1C"/>
    <w:rsid w:val="00BA6609"/>
    <w:rsid w:val="00BA7245"/>
    <w:rsid w:val="00BB02C6"/>
    <w:rsid w:val="00BB0AD0"/>
    <w:rsid w:val="00BB0B7B"/>
    <w:rsid w:val="00BB0BF0"/>
    <w:rsid w:val="00BB0F03"/>
    <w:rsid w:val="00BB1390"/>
    <w:rsid w:val="00BB2547"/>
    <w:rsid w:val="00BB6373"/>
    <w:rsid w:val="00BB7910"/>
    <w:rsid w:val="00BC2688"/>
    <w:rsid w:val="00BC26D9"/>
    <w:rsid w:val="00BC2801"/>
    <w:rsid w:val="00BC3665"/>
    <w:rsid w:val="00BC4295"/>
    <w:rsid w:val="00BC438F"/>
    <w:rsid w:val="00BC4AC1"/>
    <w:rsid w:val="00BC5662"/>
    <w:rsid w:val="00BC6E6E"/>
    <w:rsid w:val="00BD1D40"/>
    <w:rsid w:val="00BD39D3"/>
    <w:rsid w:val="00BD5A62"/>
    <w:rsid w:val="00BD5EA7"/>
    <w:rsid w:val="00BD6382"/>
    <w:rsid w:val="00BE0708"/>
    <w:rsid w:val="00BE1438"/>
    <w:rsid w:val="00BE18FF"/>
    <w:rsid w:val="00BE238C"/>
    <w:rsid w:val="00BE32F0"/>
    <w:rsid w:val="00BE3692"/>
    <w:rsid w:val="00BE3C66"/>
    <w:rsid w:val="00BE3F5A"/>
    <w:rsid w:val="00BE3FD2"/>
    <w:rsid w:val="00BE4F32"/>
    <w:rsid w:val="00BE5943"/>
    <w:rsid w:val="00BF0021"/>
    <w:rsid w:val="00BF0026"/>
    <w:rsid w:val="00BF0CDE"/>
    <w:rsid w:val="00BF1B53"/>
    <w:rsid w:val="00BF430A"/>
    <w:rsid w:val="00BF4477"/>
    <w:rsid w:val="00BF4A5F"/>
    <w:rsid w:val="00BF4F70"/>
    <w:rsid w:val="00BF6909"/>
    <w:rsid w:val="00C00019"/>
    <w:rsid w:val="00C04C6A"/>
    <w:rsid w:val="00C0734E"/>
    <w:rsid w:val="00C1037A"/>
    <w:rsid w:val="00C11E20"/>
    <w:rsid w:val="00C14911"/>
    <w:rsid w:val="00C14AD0"/>
    <w:rsid w:val="00C16C0D"/>
    <w:rsid w:val="00C16E9C"/>
    <w:rsid w:val="00C20193"/>
    <w:rsid w:val="00C210D2"/>
    <w:rsid w:val="00C21227"/>
    <w:rsid w:val="00C21BBD"/>
    <w:rsid w:val="00C21E18"/>
    <w:rsid w:val="00C22881"/>
    <w:rsid w:val="00C22B59"/>
    <w:rsid w:val="00C230BB"/>
    <w:rsid w:val="00C2433D"/>
    <w:rsid w:val="00C246AF"/>
    <w:rsid w:val="00C24A0C"/>
    <w:rsid w:val="00C25FBC"/>
    <w:rsid w:val="00C269B8"/>
    <w:rsid w:val="00C27332"/>
    <w:rsid w:val="00C2760E"/>
    <w:rsid w:val="00C30D7C"/>
    <w:rsid w:val="00C31068"/>
    <w:rsid w:val="00C31385"/>
    <w:rsid w:val="00C3151D"/>
    <w:rsid w:val="00C31C4F"/>
    <w:rsid w:val="00C32D09"/>
    <w:rsid w:val="00C3305C"/>
    <w:rsid w:val="00C335D3"/>
    <w:rsid w:val="00C33CBF"/>
    <w:rsid w:val="00C33D9F"/>
    <w:rsid w:val="00C33E9F"/>
    <w:rsid w:val="00C346C3"/>
    <w:rsid w:val="00C36133"/>
    <w:rsid w:val="00C36DAF"/>
    <w:rsid w:val="00C40BFD"/>
    <w:rsid w:val="00C4328B"/>
    <w:rsid w:val="00C440B4"/>
    <w:rsid w:val="00C44D35"/>
    <w:rsid w:val="00C45574"/>
    <w:rsid w:val="00C45773"/>
    <w:rsid w:val="00C46000"/>
    <w:rsid w:val="00C50607"/>
    <w:rsid w:val="00C50A0E"/>
    <w:rsid w:val="00C510DD"/>
    <w:rsid w:val="00C51D50"/>
    <w:rsid w:val="00C51DA9"/>
    <w:rsid w:val="00C526B7"/>
    <w:rsid w:val="00C52A6F"/>
    <w:rsid w:val="00C53212"/>
    <w:rsid w:val="00C532FF"/>
    <w:rsid w:val="00C53976"/>
    <w:rsid w:val="00C53A4A"/>
    <w:rsid w:val="00C55360"/>
    <w:rsid w:val="00C579F9"/>
    <w:rsid w:val="00C61607"/>
    <w:rsid w:val="00C653DB"/>
    <w:rsid w:val="00C65A8F"/>
    <w:rsid w:val="00C71994"/>
    <w:rsid w:val="00C725ED"/>
    <w:rsid w:val="00C73D2D"/>
    <w:rsid w:val="00C73EE4"/>
    <w:rsid w:val="00C7494C"/>
    <w:rsid w:val="00C74E1B"/>
    <w:rsid w:val="00C768E1"/>
    <w:rsid w:val="00C772EE"/>
    <w:rsid w:val="00C77E19"/>
    <w:rsid w:val="00C77E94"/>
    <w:rsid w:val="00C810F1"/>
    <w:rsid w:val="00C852EA"/>
    <w:rsid w:val="00C85F10"/>
    <w:rsid w:val="00C861DB"/>
    <w:rsid w:val="00C8651E"/>
    <w:rsid w:val="00C87532"/>
    <w:rsid w:val="00C92AB0"/>
    <w:rsid w:val="00C94620"/>
    <w:rsid w:val="00C946E9"/>
    <w:rsid w:val="00C95593"/>
    <w:rsid w:val="00C95DE1"/>
    <w:rsid w:val="00C9623E"/>
    <w:rsid w:val="00C96A84"/>
    <w:rsid w:val="00C97C1A"/>
    <w:rsid w:val="00C97F33"/>
    <w:rsid w:val="00CA0957"/>
    <w:rsid w:val="00CA2FDF"/>
    <w:rsid w:val="00CA4AF4"/>
    <w:rsid w:val="00CA5C69"/>
    <w:rsid w:val="00CA62A1"/>
    <w:rsid w:val="00CA6E4D"/>
    <w:rsid w:val="00CB0657"/>
    <w:rsid w:val="00CB1640"/>
    <w:rsid w:val="00CB2E79"/>
    <w:rsid w:val="00CB2F9A"/>
    <w:rsid w:val="00CB37E7"/>
    <w:rsid w:val="00CB3A73"/>
    <w:rsid w:val="00CB48F7"/>
    <w:rsid w:val="00CB4BE0"/>
    <w:rsid w:val="00CB6D4E"/>
    <w:rsid w:val="00CB7CE6"/>
    <w:rsid w:val="00CC00E1"/>
    <w:rsid w:val="00CC01CB"/>
    <w:rsid w:val="00CC38D4"/>
    <w:rsid w:val="00CC3B2B"/>
    <w:rsid w:val="00CC4EA3"/>
    <w:rsid w:val="00CC5086"/>
    <w:rsid w:val="00CC739A"/>
    <w:rsid w:val="00CC73B4"/>
    <w:rsid w:val="00CC73EE"/>
    <w:rsid w:val="00CD00BF"/>
    <w:rsid w:val="00CD0D05"/>
    <w:rsid w:val="00CD1EB8"/>
    <w:rsid w:val="00CD25CF"/>
    <w:rsid w:val="00CD26E4"/>
    <w:rsid w:val="00CD31BA"/>
    <w:rsid w:val="00CD3CDF"/>
    <w:rsid w:val="00CD3DD1"/>
    <w:rsid w:val="00CD3FBF"/>
    <w:rsid w:val="00CD534B"/>
    <w:rsid w:val="00CD63FF"/>
    <w:rsid w:val="00CE03BF"/>
    <w:rsid w:val="00CE0A57"/>
    <w:rsid w:val="00CE0B3B"/>
    <w:rsid w:val="00CE0DCC"/>
    <w:rsid w:val="00CE1B57"/>
    <w:rsid w:val="00CE5A30"/>
    <w:rsid w:val="00CF0F4D"/>
    <w:rsid w:val="00CF0FA7"/>
    <w:rsid w:val="00CF1DC9"/>
    <w:rsid w:val="00CF3398"/>
    <w:rsid w:val="00CF3796"/>
    <w:rsid w:val="00CF3861"/>
    <w:rsid w:val="00CF4730"/>
    <w:rsid w:val="00CF5DE7"/>
    <w:rsid w:val="00CF78EF"/>
    <w:rsid w:val="00D01B3E"/>
    <w:rsid w:val="00D027F0"/>
    <w:rsid w:val="00D02890"/>
    <w:rsid w:val="00D04C86"/>
    <w:rsid w:val="00D067C0"/>
    <w:rsid w:val="00D10873"/>
    <w:rsid w:val="00D114D8"/>
    <w:rsid w:val="00D12FE8"/>
    <w:rsid w:val="00D141CF"/>
    <w:rsid w:val="00D141F4"/>
    <w:rsid w:val="00D15067"/>
    <w:rsid w:val="00D15622"/>
    <w:rsid w:val="00D15DFB"/>
    <w:rsid w:val="00D160FE"/>
    <w:rsid w:val="00D162F2"/>
    <w:rsid w:val="00D16462"/>
    <w:rsid w:val="00D16CC0"/>
    <w:rsid w:val="00D16F9A"/>
    <w:rsid w:val="00D1713B"/>
    <w:rsid w:val="00D17D18"/>
    <w:rsid w:val="00D20B4F"/>
    <w:rsid w:val="00D2165A"/>
    <w:rsid w:val="00D21A8F"/>
    <w:rsid w:val="00D21E40"/>
    <w:rsid w:val="00D22ACF"/>
    <w:rsid w:val="00D24174"/>
    <w:rsid w:val="00D24EB4"/>
    <w:rsid w:val="00D25C87"/>
    <w:rsid w:val="00D264B4"/>
    <w:rsid w:val="00D26D78"/>
    <w:rsid w:val="00D32566"/>
    <w:rsid w:val="00D33AD0"/>
    <w:rsid w:val="00D34576"/>
    <w:rsid w:val="00D34881"/>
    <w:rsid w:val="00D349C5"/>
    <w:rsid w:val="00D35DE2"/>
    <w:rsid w:val="00D3787B"/>
    <w:rsid w:val="00D402AE"/>
    <w:rsid w:val="00D40560"/>
    <w:rsid w:val="00D41420"/>
    <w:rsid w:val="00D41DC7"/>
    <w:rsid w:val="00D4327F"/>
    <w:rsid w:val="00D43C52"/>
    <w:rsid w:val="00D43D12"/>
    <w:rsid w:val="00D44169"/>
    <w:rsid w:val="00D446FE"/>
    <w:rsid w:val="00D4501B"/>
    <w:rsid w:val="00D4574A"/>
    <w:rsid w:val="00D467EC"/>
    <w:rsid w:val="00D51842"/>
    <w:rsid w:val="00D51F42"/>
    <w:rsid w:val="00D52547"/>
    <w:rsid w:val="00D52C98"/>
    <w:rsid w:val="00D549E3"/>
    <w:rsid w:val="00D55366"/>
    <w:rsid w:val="00D56B48"/>
    <w:rsid w:val="00D56F76"/>
    <w:rsid w:val="00D5743B"/>
    <w:rsid w:val="00D579A9"/>
    <w:rsid w:val="00D61973"/>
    <w:rsid w:val="00D637CF"/>
    <w:rsid w:val="00D6429F"/>
    <w:rsid w:val="00D70278"/>
    <w:rsid w:val="00D729EA"/>
    <w:rsid w:val="00D735DD"/>
    <w:rsid w:val="00D739F0"/>
    <w:rsid w:val="00D74579"/>
    <w:rsid w:val="00D74D71"/>
    <w:rsid w:val="00D76444"/>
    <w:rsid w:val="00D771F0"/>
    <w:rsid w:val="00D77A71"/>
    <w:rsid w:val="00D82502"/>
    <w:rsid w:val="00D82D8B"/>
    <w:rsid w:val="00D8371F"/>
    <w:rsid w:val="00D855B9"/>
    <w:rsid w:val="00D86DB5"/>
    <w:rsid w:val="00D87188"/>
    <w:rsid w:val="00D872B1"/>
    <w:rsid w:val="00D87BF9"/>
    <w:rsid w:val="00D87E73"/>
    <w:rsid w:val="00D87F99"/>
    <w:rsid w:val="00D9020D"/>
    <w:rsid w:val="00D914BC"/>
    <w:rsid w:val="00D91A5D"/>
    <w:rsid w:val="00D93500"/>
    <w:rsid w:val="00D94469"/>
    <w:rsid w:val="00D94F0A"/>
    <w:rsid w:val="00D9538C"/>
    <w:rsid w:val="00D954F0"/>
    <w:rsid w:val="00D95589"/>
    <w:rsid w:val="00DA0939"/>
    <w:rsid w:val="00DA27F0"/>
    <w:rsid w:val="00DA2EB6"/>
    <w:rsid w:val="00DA41F0"/>
    <w:rsid w:val="00DA6F27"/>
    <w:rsid w:val="00DB2F51"/>
    <w:rsid w:val="00DB33C8"/>
    <w:rsid w:val="00DB41EF"/>
    <w:rsid w:val="00DB46FC"/>
    <w:rsid w:val="00DB5389"/>
    <w:rsid w:val="00DB59F6"/>
    <w:rsid w:val="00DB5D22"/>
    <w:rsid w:val="00DB75DB"/>
    <w:rsid w:val="00DC2EE2"/>
    <w:rsid w:val="00DC3ABF"/>
    <w:rsid w:val="00DC5543"/>
    <w:rsid w:val="00DC6253"/>
    <w:rsid w:val="00DC6A82"/>
    <w:rsid w:val="00DC717F"/>
    <w:rsid w:val="00DD037C"/>
    <w:rsid w:val="00DD2C71"/>
    <w:rsid w:val="00DD32D4"/>
    <w:rsid w:val="00DD36F7"/>
    <w:rsid w:val="00DD4640"/>
    <w:rsid w:val="00DD54F7"/>
    <w:rsid w:val="00DD6275"/>
    <w:rsid w:val="00DD7248"/>
    <w:rsid w:val="00DD7638"/>
    <w:rsid w:val="00DD7958"/>
    <w:rsid w:val="00DD7B01"/>
    <w:rsid w:val="00DE00CF"/>
    <w:rsid w:val="00DE1DCC"/>
    <w:rsid w:val="00DE21F8"/>
    <w:rsid w:val="00DE28FD"/>
    <w:rsid w:val="00DE2BBD"/>
    <w:rsid w:val="00DE42B6"/>
    <w:rsid w:val="00DE43D7"/>
    <w:rsid w:val="00DE445A"/>
    <w:rsid w:val="00DE55F9"/>
    <w:rsid w:val="00DE5734"/>
    <w:rsid w:val="00DE5A90"/>
    <w:rsid w:val="00DE671D"/>
    <w:rsid w:val="00DE67C0"/>
    <w:rsid w:val="00DE6F4B"/>
    <w:rsid w:val="00DE7EC2"/>
    <w:rsid w:val="00DE7FD7"/>
    <w:rsid w:val="00DF0CB2"/>
    <w:rsid w:val="00DF0E4F"/>
    <w:rsid w:val="00DF14A8"/>
    <w:rsid w:val="00DF1F7A"/>
    <w:rsid w:val="00E01411"/>
    <w:rsid w:val="00E01CE5"/>
    <w:rsid w:val="00E02068"/>
    <w:rsid w:val="00E04B66"/>
    <w:rsid w:val="00E06125"/>
    <w:rsid w:val="00E06A9A"/>
    <w:rsid w:val="00E07470"/>
    <w:rsid w:val="00E10DC7"/>
    <w:rsid w:val="00E1134E"/>
    <w:rsid w:val="00E11984"/>
    <w:rsid w:val="00E1199D"/>
    <w:rsid w:val="00E122B6"/>
    <w:rsid w:val="00E12ACF"/>
    <w:rsid w:val="00E12FBB"/>
    <w:rsid w:val="00E1386D"/>
    <w:rsid w:val="00E14A97"/>
    <w:rsid w:val="00E16D4D"/>
    <w:rsid w:val="00E2283A"/>
    <w:rsid w:val="00E22CE5"/>
    <w:rsid w:val="00E233BA"/>
    <w:rsid w:val="00E23908"/>
    <w:rsid w:val="00E241BC"/>
    <w:rsid w:val="00E2483D"/>
    <w:rsid w:val="00E256CC"/>
    <w:rsid w:val="00E26777"/>
    <w:rsid w:val="00E27974"/>
    <w:rsid w:val="00E30158"/>
    <w:rsid w:val="00E30D99"/>
    <w:rsid w:val="00E310E9"/>
    <w:rsid w:val="00E326A9"/>
    <w:rsid w:val="00E32B19"/>
    <w:rsid w:val="00E332B0"/>
    <w:rsid w:val="00E34844"/>
    <w:rsid w:val="00E35139"/>
    <w:rsid w:val="00E36557"/>
    <w:rsid w:val="00E36D36"/>
    <w:rsid w:val="00E400DD"/>
    <w:rsid w:val="00E4217C"/>
    <w:rsid w:val="00E42877"/>
    <w:rsid w:val="00E4308C"/>
    <w:rsid w:val="00E4342B"/>
    <w:rsid w:val="00E4426E"/>
    <w:rsid w:val="00E44CFB"/>
    <w:rsid w:val="00E454D3"/>
    <w:rsid w:val="00E46B91"/>
    <w:rsid w:val="00E504CC"/>
    <w:rsid w:val="00E51752"/>
    <w:rsid w:val="00E535A0"/>
    <w:rsid w:val="00E54B18"/>
    <w:rsid w:val="00E56942"/>
    <w:rsid w:val="00E56FC1"/>
    <w:rsid w:val="00E571DF"/>
    <w:rsid w:val="00E60157"/>
    <w:rsid w:val="00E61D92"/>
    <w:rsid w:val="00E62679"/>
    <w:rsid w:val="00E62CA9"/>
    <w:rsid w:val="00E62DB5"/>
    <w:rsid w:val="00E6307D"/>
    <w:rsid w:val="00E64503"/>
    <w:rsid w:val="00E652AA"/>
    <w:rsid w:val="00E65ECD"/>
    <w:rsid w:val="00E663A4"/>
    <w:rsid w:val="00E663CE"/>
    <w:rsid w:val="00E66596"/>
    <w:rsid w:val="00E66654"/>
    <w:rsid w:val="00E7325A"/>
    <w:rsid w:val="00E7362C"/>
    <w:rsid w:val="00E74F97"/>
    <w:rsid w:val="00E7600E"/>
    <w:rsid w:val="00E765E3"/>
    <w:rsid w:val="00E76DD0"/>
    <w:rsid w:val="00E76F9D"/>
    <w:rsid w:val="00E831C9"/>
    <w:rsid w:val="00E8571D"/>
    <w:rsid w:val="00E85C99"/>
    <w:rsid w:val="00E8687D"/>
    <w:rsid w:val="00E9009C"/>
    <w:rsid w:val="00E909DD"/>
    <w:rsid w:val="00E91477"/>
    <w:rsid w:val="00E934BE"/>
    <w:rsid w:val="00E94147"/>
    <w:rsid w:val="00E946C3"/>
    <w:rsid w:val="00E951A1"/>
    <w:rsid w:val="00E956A4"/>
    <w:rsid w:val="00E95C08"/>
    <w:rsid w:val="00E963CB"/>
    <w:rsid w:val="00E9796E"/>
    <w:rsid w:val="00E97979"/>
    <w:rsid w:val="00EA02ED"/>
    <w:rsid w:val="00EA0549"/>
    <w:rsid w:val="00EA061F"/>
    <w:rsid w:val="00EA0AD2"/>
    <w:rsid w:val="00EA0BC6"/>
    <w:rsid w:val="00EA16B5"/>
    <w:rsid w:val="00EA1905"/>
    <w:rsid w:val="00EA1A18"/>
    <w:rsid w:val="00EA3304"/>
    <w:rsid w:val="00EA3F75"/>
    <w:rsid w:val="00EA53C8"/>
    <w:rsid w:val="00EA673E"/>
    <w:rsid w:val="00EB0167"/>
    <w:rsid w:val="00EB0B8F"/>
    <w:rsid w:val="00EB155D"/>
    <w:rsid w:val="00EB356A"/>
    <w:rsid w:val="00EB37C2"/>
    <w:rsid w:val="00EB4688"/>
    <w:rsid w:val="00EB49B9"/>
    <w:rsid w:val="00EB6B97"/>
    <w:rsid w:val="00EB6EA3"/>
    <w:rsid w:val="00EB71F0"/>
    <w:rsid w:val="00EB7B72"/>
    <w:rsid w:val="00EC0BAA"/>
    <w:rsid w:val="00EC1BC6"/>
    <w:rsid w:val="00EC2451"/>
    <w:rsid w:val="00EC26DE"/>
    <w:rsid w:val="00EC29F5"/>
    <w:rsid w:val="00EC30F5"/>
    <w:rsid w:val="00EC4EA8"/>
    <w:rsid w:val="00EC5144"/>
    <w:rsid w:val="00EC55F9"/>
    <w:rsid w:val="00EC73D9"/>
    <w:rsid w:val="00EC78F1"/>
    <w:rsid w:val="00ED006D"/>
    <w:rsid w:val="00ED22E6"/>
    <w:rsid w:val="00ED256F"/>
    <w:rsid w:val="00ED43FB"/>
    <w:rsid w:val="00ED514D"/>
    <w:rsid w:val="00ED540B"/>
    <w:rsid w:val="00ED6B1E"/>
    <w:rsid w:val="00ED6EC6"/>
    <w:rsid w:val="00EE0B21"/>
    <w:rsid w:val="00EE23C3"/>
    <w:rsid w:val="00EE36FA"/>
    <w:rsid w:val="00EE408A"/>
    <w:rsid w:val="00EE7584"/>
    <w:rsid w:val="00EE7773"/>
    <w:rsid w:val="00EF0470"/>
    <w:rsid w:val="00EF07ED"/>
    <w:rsid w:val="00EF11AB"/>
    <w:rsid w:val="00EF1CED"/>
    <w:rsid w:val="00EF2B28"/>
    <w:rsid w:val="00EF4C92"/>
    <w:rsid w:val="00F00496"/>
    <w:rsid w:val="00F006CE"/>
    <w:rsid w:val="00F017AA"/>
    <w:rsid w:val="00F03F5E"/>
    <w:rsid w:val="00F04975"/>
    <w:rsid w:val="00F04E00"/>
    <w:rsid w:val="00F052E2"/>
    <w:rsid w:val="00F05329"/>
    <w:rsid w:val="00F065E9"/>
    <w:rsid w:val="00F06989"/>
    <w:rsid w:val="00F10039"/>
    <w:rsid w:val="00F10EF1"/>
    <w:rsid w:val="00F1278E"/>
    <w:rsid w:val="00F12860"/>
    <w:rsid w:val="00F12FCE"/>
    <w:rsid w:val="00F13ACD"/>
    <w:rsid w:val="00F13BCB"/>
    <w:rsid w:val="00F15692"/>
    <w:rsid w:val="00F15CB0"/>
    <w:rsid w:val="00F166F0"/>
    <w:rsid w:val="00F16F99"/>
    <w:rsid w:val="00F2057A"/>
    <w:rsid w:val="00F2165A"/>
    <w:rsid w:val="00F22954"/>
    <w:rsid w:val="00F22E85"/>
    <w:rsid w:val="00F22F2B"/>
    <w:rsid w:val="00F236D9"/>
    <w:rsid w:val="00F2370D"/>
    <w:rsid w:val="00F24799"/>
    <w:rsid w:val="00F24B27"/>
    <w:rsid w:val="00F25447"/>
    <w:rsid w:val="00F25ED4"/>
    <w:rsid w:val="00F267E6"/>
    <w:rsid w:val="00F317F9"/>
    <w:rsid w:val="00F33694"/>
    <w:rsid w:val="00F341D4"/>
    <w:rsid w:val="00F342B4"/>
    <w:rsid w:val="00F344F3"/>
    <w:rsid w:val="00F35532"/>
    <w:rsid w:val="00F36C32"/>
    <w:rsid w:val="00F3717E"/>
    <w:rsid w:val="00F37AF1"/>
    <w:rsid w:val="00F4022F"/>
    <w:rsid w:val="00F40971"/>
    <w:rsid w:val="00F413B7"/>
    <w:rsid w:val="00F41452"/>
    <w:rsid w:val="00F41A85"/>
    <w:rsid w:val="00F41B76"/>
    <w:rsid w:val="00F41BBC"/>
    <w:rsid w:val="00F41F03"/>
    <w:rsid w:val="00F42F61"/>
    <w:rsid w:val="00F43467"/>
    <w:rsid w:val="00F43AE5"/>
    <w:rsid w:val="00F444C9"/>
    <w:rsid w:val="00F44E78"/>
    <w:rsid w:val="00F45225"/>
    <w:rsid w:val="00F462F9"/>
    <w:rsid w:val="00F46DE7"/>
    <w:rsid w:val="00F47462"/>
    <w:rsid w:val="00F500DE"/>
    <w:rsid w:val="00F50101"/>
    <w:rsid w:val="00F52513"/>
    <w:rsid w:val="00F534AB"/>
    <w:rsid w:val="00F54AF1"/>
    <w:rsid w:val="00F552F7"/>
    <w:rsid w:val="00F55591"/>
    <w:rsid w:val="00F5719F"/>
    <w:rsid w:val="00F60144"/>
    <w:rsid w:val="00F60ABE"/>
    <w:rsid w:val="00F6176A"/>
    <w:rsid w:val="00F63E5F"/>
    <w:rsid w:val="00F63EA7"/>
    <w:rsid w:val="00F64407"/>
    <w:rsid w:val="00F64F4B"/>
    <w:rsid w:val="00F653F5"/>
    <w:rsid w:val="00F66DAE"/>
    <w:rsid w:val="00F66E6B"/>
    <w:rsid w:val="00F67C3D"/>
    <w:rsid w:val="00F731B9"/>
    <w:rsid w:val="00F731C5"/>
    <w:rsid w:val="00F74617"/>
    <w:rsid w:val="00F7534F"/>
    <w:rsid w:val="00F753C2"/>
    <w:rsid w:val="00F77746"/>
    <w:rsid w:val="00F77AFA"/>
    <w:rsid w:val="00F817AD"/>
    <w:rsid w:val="00F82883"/>
    <w:rsid w:val="00F82E05"/>
    <w:rsid w:val="00F830AB"/>
    <w:rsid w:val="00F833F5"/>
    <w:rsid w:val="00F8441D"/>
    <w:rsid w:val="00F84495"/>
    <w:rsid w:val="00F8597E"/>
    <w:rsid w:val="00F86B2F"/>
    <w:rsid w:val="00F906C4"/>
    <w:rsid w:val="00F92143"/>
    <w:rsid w:val="00F9218C"/>
    <w:rsid w:val="00F9241A"/>
    <w:rsid w:val="00F93A61"/>
    <w:rsid w:val="00F952D5"/>
    <w:rsid w:val="00F96785"/>
    <w:rsid w:val="00F969B0"/>
    <w:rsid w:val="00F97A32"/>
    <w:rsid w:val="00FA1CBF"/>
    <w:rsid w:val="00FA2103"/>
    <w:rsid w:val="00FA22B3"/>
    <w:rsid w:val="00FA2A73"/>
    <w:rsid w:val="00FA3F32"/>
    <w:rsid w:val="00FA56C8"/>
    <w:rsid w:val="00FB2101"/>
    <w:rsid w:val="00FB35A6"/>
    <w:rsid w:val="00FB402E"/>
    <w:rsid w:val="00FB42AE"/>
    <w:rsid w:val="00FB47A5"/>
    <w:rsid w:val="00FB7803"/>
    <w:rsid w:val="00FC048E"/>
    <w:rsid w:val="00FC0617"/>
    <w:rsid w:val="00FC1D34"/>
    <w:rsid w:val="00FC232F"/>
    <w:rsid w:val="00FC2C56"/>
    <w:rsid w:val="00FC37EC"/>
    <w:rsid w:val="00FC411F"/>
    <w:rsid w:val="00FC534C"/>
    <w:rsid w:val="00FC5442"/>
    <w:rsid w:val="00FC6FEC"/>
    <w:rsid w:val="00FC7C13"/>
    <w:rsid w:val="00FD0286"/>
    <w:rsid w:val="00FD321A"/>
    <w:rsid w:val="00FD397D"/>
    <w:rsid w:val="00FD46D5"/>
    <w:rsid w:val="00FD5C91"/>
    <w:rsid w:val="00FD6278"/>
    <w:rsid w:val="00FD62CE"/>
    <w:rsid w:val="00FD7534"/>
    <w:rsid w:val="00FD79F4"/>
    <w:rsid w:val="00FD7E5D"/>
    <w:rsid w:val="00FE0F23"/>
    <w:rsid w:val="00FE1B9F"/>
    <w:rsid w:val="00FE3F5E"/>
    <w:rsid w:val="00FE5B6A"/>
    <w:rsid w:val="00FE5B9C"/>
    <w:rsid w:val="00FE5CEC"/>
    <w:rsid w:val="00FE6B08"/>
    <w:rsid w:val="00FF1B95"/>
    <w:rsid w:val="00FF31B5"/>
    <w:rsid w:val="00FF5153"/>
    <w:rsid w:val="00FF5B2D"/>
    <w:rsid w:val="00FF5DFE"/>
    <w:rsid w:val="00FF64C4"/>
    <w:rsid w:val="00FF721D"/>
    <w:rsid w:val="00FF7F96"/>
    <w:rsid w:val="0C95D9F7"/>
    <w:rsid w:val="3EE0C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4084A"/>
  <w15:docId w15:val="{39E61A1A-ED5A-4841-B514-59395088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7">
    <w:lsdException w:name="Normal" w:uiPriority="47" w:qFormat="1"/>
    <w:lsdException w:name="heading 1" w:uiPriority="4" w:qFormat="1"/>
    <w:lsdException w:name="heading 2" w:semiHidden="1" w:uiPriority="4" w:qFormat="1"/>
    <w:lsdException w:name="heading 3" w:semiHidden="1" w:uiPriority="4" w:qFormat="1"/>
    <w:lsdException w:name="heading 4" w:semiHidden="1" w:uiPriority="4" w:qFormat="1"/>
    <w:lsdException w:name="heading 5" w:semiHidden="1" w:uiPriority="4" w:qFormat="1"/>
    <w:lsdException w:name="heading 6" w:semiHidden="1"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9" w:unhideWhenUsed="1"/>
    <w:lsdException w:name="toc 2" w:semiHidden="1" w:uiPriority="49" w:unhideWhenUsed="1"/>
    <w:lsdException w:name="toc 3" w:semiHidden="1" w:uiPriority="4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4"/>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lsdException w:name="List Number 4" w:semiHidden="1" w:uiPriority="7" w:unhideWhenUsed="1"/>
    <w:lsdException w:name="List Number 5" w:semiHidden="1" w:uiPriority="7"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47"/>
    <w:qFormat/>
    <w:rsid w:val="000C3C8D"/>
    <w:pPr>
      <w:spacing w:after="0"/>
    </w:pPr>
    <w:rPr>
      <w:rFonts w:ascii="Arial" w:hAnsi="Arial" w:cs="Arial"/>
      <w:sz w:val="20"/>
      <w:szCs w:val="20"/>
    </w:rPr>
  </w:style>
  <w:style w:type="paragraph" w:styleId="Heading1">
    <w:name w:val="heading 1"/>
    <w:basedOn w:val="Normal"/>
    <w:link w:val="Heading1Char"/>
    <w:uiPriority w:val="4"/>
    <w:qFormat/>
    <w:rsid w:val="00BA6609"/>
    <w:pPr>
      <w:numPr>
        <w:numId w:val="9"/>
      </w:numPr>
      <w:spacing w:after="240"/>
      <w:outlineLvl w:val="0"/>
    </w:pPr>
    <w:rPr>
      <w:rFonts w:eastAsiaTheme="majorEastAsia"/>
      <w:b/>
      <w:bCs/>
      <w:sz w:val="72"/>
      <w:szCs w:val="28"/>
    </w:rPr>
  </w:style>
  <w:style w:type="paragraph" w:styleId="Heading2">
    <w:name w:val="heading 2"/>
    <w:basedOn w:val="Normal"/>
    <w:link w:val="Heading2Char"/>
    <w:uiPriority w:val="4"/>
    <w:qFormat/>
    <w:rsid w:val="00BA6609"/>
    <w:pPr>
      <w:numPr>
        <w:ilvl w:val="1"/>
        <w:numId w:val="9"/>
      </w:numPr>
      <w:spacing w:after="240"/>
      <w:outlineLvl w:val="1"/>
    </w:pPr>
    <w:rPr>
      <w:rFonts w:eastAsiaTheme="majorEastAsia"/>
      <w:b/>
      <w:bCs/>
      <w:sz w:val="48"/>
      <w:szCs w:val="26"/>
    </w:rPr>
  </w:style>
  <w:style w:type="paragraph" w:styleId="Heading3">
    <w:name w:val="heading 3"/>
    <w:basedOn w:val="Normal"/>
    <w:link w:val="Heading3Char"/>
    <w:uiPriority w:val="4"/>
    <w:qFormat/>
    <w:rsid w:val="00BA6609"/>
    <w:pPr>
      <w:numPr>
        <w:ilvl w:val="2"/>
        <w:numId w:val="9"/>
      </w:numPr>
      <w:spacing w:after="240"/>
      <w:outlineLvl w:val="2"/>
    </w:pPr>
    <w:rPr>
      <w:rFonts w:eastAsiaTheme="majorEastAsia"/>
      <w:b/>
      <w:bCs/>
      <w:sz w:val="36"/>
      <w:szCs w:val="24"/>
    </w:rPr>
  </w:style>
  <w:style w:type="paragraph" w:styleId="Heading4">
    <w:name w:val="heading 4"/>
    <w:basedOn w:val="Normal"/>
    <w:link w:val="Heading4Char"/>
    <w:uiPriority w:val="4"/>
    <w:qFormat/>
    <w:rsid w:val="00BA6609"/>
    <w:pPr>
      <w:numPr>
        <w:ilvl w:val="3"/>
        <w:numId w:val="9"/>
      </w:numPr>
      <w:spacing w:after="240"/>
      <w:outlineLvl w:val="3"/>
    </w:pPr>
    <w:rPr>
      <w:rFonts w:eastAsiaTheme="majorEastAsia"/>
      <w:bCs/>
      <w:iCs/>
      <w:sz w:val="24"/>
      <w:szCs w:val="24"/>
    </w:rPr>
  </w:style>
  <w:style w:type="paragraph" w:styleId="Heading5">
    <w:name w:val="heading 5"/>
    <w:basedOn w:val="Normal"/>
    <w:link w:val="Heading5Char"/>
    <w:uiPriority w:val="4"/>
    <w:qFormat/>
    <w:rsid w:val="00BA6609"/>
    <w:pPr>
      <w:numPr>
        <w:ilvl w:val="4"/>
        <w:numId w:val="9"/>
      </w:numPr>
      <w:spacing w:after="240"/>
      <w:outlineLvl w:val="4"/>
    </w:pPr>
    <w:rPr>
      <w:rFonts w:asciiTheme="majorHAnsi" w:eastAsiaTheme="majorEastAsia" w:hAnsiTheme="majorHAnsi" w:cstheme="majorBidi"/>
      <w:sz w:val="24"/>
      <w:szCs w:val="24"/>
    </w:rPr>
  </w:style>
  <w:style w:type="paragraph" w:styleId="Heading6">
    <w:name w:val="heading 6"/>
    <w:basedOn w:val="Normal"/>
    <w:link w:val="Heading6Char"/>
    <w:uiPriority w:val="4"/>
    <w:qFormat/>
    <w:rsid w:val="00BA6609"/>
    <w:pPr>
      <w:numPr>
        <w:ilvl w:val="5"/>
        <w:numId w:val="9"/>
      </w:numPr>
      <w:spacing w:after="240"/>
      <w:outlineLvl w:val="5"/>
    </w:pPr>
    <w:rPr>
      <w:rFonts w:asciiTheme="majorHAnsi" w:eastAsiaTheme="majorEastAsia" w:hAnsiTheme="majorHAnsi" w:cstheme="majorBidi"/>
      <w:iCs/>
      <w:sz w:val="24"/>
      <w:szCs w:val="24"/>
    </w:rPr>
  </w:style>
  <w:style w:type="paragraph" w:styleId="Heading7">
    <w:name w:val="heading 7"/>
    <w:basedOn w:val="Normal"/>
    <w:link w:val="Heading7Char"/>
    <w:uiPriority w:val="4"/>
    <w:qFormat/>
    <w:rsid w:val="00BA6609"/>
    <w:pPr>
      <w:numPr>
        <w:ilvl w:val="6"/>
        <w:numId w:val="9"/>
      </w:numPr>
      <w:spacing w:after="240"/>
      <w:outlineLvl w:val="6"/>
    </w:pPr>
    <w:rPr>
      <w:rFonts w:asciiTheme="majorHAnsi" w:eastAsiaTheme="majorEastAsia" w:hAnsiTheme="majorHAnsi" w:cstheme="majorBidi"/>
      <w:iCs/>
      <w:sz w:val="24"/>
      <w:szCs w:val="24"/>
    </w:rPr>
  </w:style>
  <w:style w:type="paragraph" w:styleId="Heading8">
    <w:name w:val="heading 8"/>
    <w:basedOn w:val="Normal"/>
    <w:link w:val="Heading8Char"/>
    <w:uiPriority w:val="4"/>
    <w:qFormat/>
    <w:rsid w:val="00BA6609"/>
    <w:pPr>
      <w:numPr>
        <w:ilvl w:val="7"/>
        <w:numId w:val="9"/>
      </w:numPr>
      <w:spacing w:after="240"/>
      <w:outlineLvl w:val="7"/>
    </w:pPr>
    <w:rPr>
      <w:rFonts w:asciiTheme="majorHAnsi" w:eastAsiaTheme="majorEastAsia" w:hAnsiTheme="majorHAnsi" w:cstheme="majorBidi"/>
      <w:sz w:val="24"/>
    </w:rPr>
  </w:style>
  <w:style w:type="paragraph" w:styleId="Heading9">
    <w:name w:val="heading 9"/>
    <w:basedOn w:val="Normal"/>
    <w:link w:val="Heading9Char"/>
    <w:uiPriority w:val="4"/>
    <w:qFormat/>
    <w:rsid w:val="00BA6609"/>
    <w:pPr>
      <w:numPr>
        <w:ilvl w:val="8"/>
        <w:numId w:val="9"/>
      </w:numPr>
      <w:spacing w:after="240"/>
      <w:outlineLvl w:val="8"/>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
    <w:name w:val="O-Body Text ()"/>
    <w:aliases w:val="1Body,s1"/>
    <w:basedOn w:val="Normal"/>
    <w:link w:val="O-BodyTextChar"/>
    <w:qFormat/>
    <w:rPr>
      <w:rFonts w:eastAsia="Times New Roman"/>
    </w:rPr>
  </w:style>
  <w:style w:type="paragraph" w:customStyle="1" w:styleId="O-BodyTextDS">
    <w:name w:val="O-Body Text (DS)"/>
    <w:aliases w:val="2Body,s28"/>
    <w:basedOn w:val="Normal"/>
    <w:uiPriority w:val="4"/>
    <w:qFormat/>
    <w:pPr>
      <w:spacing w:line="480" w:lineRule="auto"/>
    </w:pPr>
    <w:rPr>
      <w:rFonts w:eastAsia="Times New Roman"/>
    </w:rPr>
  </w:style>
  <w:style w:type="paragraph" w:customStyle="1" w:styleId="O-BodyTextJ">
    <w:name w:val="O-Body Text (J)"/>
    <w:aliases w:val="3Body,s13"/>
    <w:basedOn w:val="Normal"/>
    <w:uiPriority w:val="7"/>
    <w:qFormat/>
    <w:pPr>
      <w:jc w:val="both"/>
    </w:pPr>
    <w:rPr>
      <w:rFonts w:eastAsia="Times New Roman"/>
    </w:rPr>
  </w:style>
  <w:style w:type="paragraph" w:customStyle="1" w:styleId="O-BodyText5">
    <w:name w:val="O-Body Text .5&quot;"/>
    <w:aliases w:val="1Half,s2"/>
    <w:uiPriority w:val="1"/>
    <w:qFormat/>
    <w:pPr>
      <w:ind w:firstLine="720"/>
    </w:pPr>
    <w:rPr>
      <w:rFonts w:eastAsia="Times New Roman"/>
    </w:rPr>
  </w:style>
  <w:style w:type="paragraph" w:customStyle="1" w:styleId="O-BodyText5DS">
    <w:name w:val="O-Body Text .5” (DS)"/>
    <w:aliases w:val="2Half,s29"/>
    <w:basedOn w:val="Normal"/>
    <w:uiPriority w:val="5"/>
    <w:qFormat/>
    <w:pPr>
      <w:spacing w:line="480" w:lineRule="auto"/>
      <w:ind w:firstLine="720"/>
    </w:pPr>
    <w:rPr>
      <w:rFonts w:eastAsia="Times New Roman"/>
    </w:rPr>
  </w:style>
  <w:style w:type="paragraph" w:customStyle="1" w:styleId="O-BodyText5J">
    <w:name w:val="O-Body Text .5” (J)"/>
    <w:aliases w:val="3Half,s14"/>
    <w:basedOn w:val="Normal"/>
    <w:uiPriority w:val="7"/>
    <w:qFormat/>
    <w:pPr>
      <w:ind w:firstLine="720"/>
      <w:jc w:val="both"/>
    </w:pPr>
    <w:rPr>
      <w:rFonts w:eastAsia="Times New Roman"/>
    </w:rPr>
  </w:style>
  <w:style w:type="paragraph" w:customStyle="1" w:styleId="O-BodyText1">
    <w:name w:val="O-Body Text 1&quot;"/>
    <w:aliases w:val="1Full,s3"/>
    <w:basedOn w:val="Normal"/>
    <w:uiPriority w:val="2"/>
    <w:qFormat/>
    <w:pPr>
      <w:ind w:firstLine="1440"/>
    </w:pPr>
    <w:rPr>
      <w:rFonts w:eastAsia="Times New Roman"/>
    </w:rPr>
  </w:style>
  <w:style w:type="paragraph" w:customStyle="1" w:styleId="O-BodyText1DS">
    <w:name w:val="O-Body Text 1” (DS)"/>
    <w:aliases w:val="2Full,s30"/>
    <w:basedOn w:val="Normal"/>
    <w:uiPriority w:val="6"/>
    <w:qFormat/>
    <w:pPr>
      <w:spacing w:line="480" w:lineRule="auto"/>
      <w:ind w:firstLine="1440"/>
    </w:pPr>
    <w:rPr>
      <w:rFonts w:eastAsia="Times New Roman"/>
    </w:rPr>
  </w:style>
  <w:style w:type="paragraph" w:customStyle="1" w:styleId="O-BodyText1J">
    <w:name w:val="O-Body Text 1” (J)"/>
    <w:aliases w:val="3Full,s15"/>
    <w:basedOn w:val="Normal"/>
    <w:uiPriority w:val="7"/>
    <w:qFormat/>
    <w:pPr>
      <w:ind w:firstLine="1440"/>
      <w:jc w:val="both"/>
    </w:pPr>
    <w:rPr>
      <w:rFonts w:eastAsia="Times New Roman"/>
    </w:rPr>
  </w:style>
  <w:style w:type="paragraph" w:customStyle="1" w:styleId="O-Bullet">
    <w:name w:val="O-Bullet ()"/>
    <w:aliases w:val="1Bullet,s4"/>
    <w:uiPriority w:val="32"/>
    <w:qFormat/>
    <w:pPr>
      <w:numPr>
        <w:numId w:val="1"/>
      </w:numPr>
    </w:pPr>
    <w:rPr>
      <w:rFonts w:eastAsia="Times New Roman"/>
    </w:rPr>
  </w:style>
  <w:style w:type="paragraph" w:customStyle="1" w:styleId="O-Bullet5">
    <w:name w:val="O-Bullet .5&quot;"/>
    <w:aliases w:val="2Bullet,s26"/>
    <w:uiPriority w:val="32"/>
    <w:pPr>
      <w:numPr>
        <w:numId w:val="2"/>
      </w:numPr>
    </w:pPr>
    <w:rPr>
      <w:rFonts w:eastAsia="Times New Roman"/>
    </w:rPr>
  </w:style>
  <w:style w:type="paragraph" w:customStyle="1" w:styleId="O-Bullet1">
    <w:name w:val="O-Bullet 1&quot;"/>
    <w:aliases w:val="3Bullet,s27"/>
    <w:uiPriority w:val="32"/>
    <w:pPr>
      <w:numPr>
        <w:numId w:val="3"/>
      </w:numPr>
    </w:pPr>
    <w:rPr>
      <w:rFonts w:eastAsia="Times New Roman"/>
    </w:rPr>
  </w:style>
  <w:style w:type="paragraph" w:customStyle="1" w:styleId="O-Indent5">
    <w:name w:val="O-Indent .5&quot;"/>
    <w:aliases w:val="Half Indent,s5"/>
    <w:basedOn w:val="Normal"/>
    <w:uiPriority w:val="10"/>
    <w:qFormat/>
    <w:pPr>
      <w:ind w:left="720"/>
    </w:pPr>
    <w:rPr>
      <w:rFonts w:eastAsia="Times New Roman"/>
    </w:rPr>
  </w:style>
  <w:style w:type="paragraph" w:customStyle="1" w:styleId="O-Indent1">
    <w:name w:val="O-Indent 1&quot;"/>
    <w:aliases w:val="Full Indent,s6"/>
    <w:basedOn w:val="Normal"/>
    <w:uiPriority w:val="11"/>
    <w:qFormat/>
    <w:pPr>
      <w:ind w:left="1440"/>
    </w:pPr>
    <w:rPr>
      <w:rFonts w:eastAsia="Times New Roman"/>
    </w:rPr>
  </w:style>
  <w:style w:type="paragraph" w:customStyle="1" w:styleId="O-Quote">
    <w:name w:val="O-Quote ()"/>
    <w:aliases w:val="1Quote,s7"/>
    <w:basedOn w:val="Normal"/>
    <w:uiPriority w:val="33"/>
    <w:pPr>
      <w:ind w:left="1440" w:right="1440"/>
    </w:pPr>
    <w:rPr>
      <w:rFonts w:eastAsia="Times New Roman"/>
    </w:rPr>
  </w:style>
  <w:style w:type="paragraph" w:customStyle="1" w:styleId="O-QuoteDS">
    <w:name w:val="O-Quote (DS)"/>
    <w:aliases w:val="2Quote,s17"/>
    <w:basedOn w:val="Normal"/>
    <w:uiPriority w:val="33"/>
    <w:pPr>
      <w:spacing w:line="480" w:lineRule="auto"/>
      <w:ind w:left="1440" w:right="1440"/>
    </w:pPr>
    <w:rPr>
      <w:rFonts w:eastAsia="Times New Roman"/>
    </w:rPr>
  </w:style>
  <w:style w:type="paragraph" w:customStyle="1" w:styleId="O-QuoteJ">
    <w:name w:val="O-Quote (J)"/>
    <w:aliases w:val="3Quote,s16"/>
    <w:basedOn w:val="Normal"/>
    <w:uiPriority w:val="33"/>
    <w:pPr>
      <w:ind w:left="1440" w:right="1440"/>
      <w:jc w:val="both"/>
    </w:pPr>
    <w:rPr>
      <w:rFonts w:eastAsia="Times New Roman"/>
    </w:rPr>
  </w:style>
  <w:style w:type="paragraph" w:customStyle="1" w:styleId="O-SignatureLA">
    <w:name w:val="O-Signature (LA)"/>
    <w:aliases w:val="Sig (LA),s18"/>
    <w:basedOn w:val="Normal"/>
    <w:uiPriority w:val="45"/>
    <w:pPr>
      <w:keepLines/>
      <w:tabs>
        <w:tab w:val="right" w:pos="2880"/>
      </w:tabs>
      <w:spacing w:before="720"/>
      <w:ind w:left="547" w:hanging="547"/>
    </w:pPr>
    <w:rPr>
      <w:rFonts w:eastAsia="Times New Roman"/>
    </w:rPr>
  </w:style>
  <w:style w:type="paragraph" w:customStyle="1" w:styleId="O-Signature">
    <w:name w:val="O-Signature"/>
    <w:aliases w:val="Sigs,s12"/>
    <w:basedOn w:val="Normal"/>
    <w:next w:val="Normal"/>
    <w:uiPriority w:val="45"/>
    <w:pPr>
      <w:keepNext/>
      <w:keepLines/>
      <w:ind w:left="4320"/>
    </w:pPr>
    <w:rPr>
      <w:rFonts w:eastAsia="Times New Roman"/>
    </w:rPr>
  </w:style>
  <w:style w:type="paragraph" w:customStyle="1" w:styleId="O-Title3">
    <w:name w:val="O-Title 3"/>
    <w:aliases w:val="3Title,s22"/>
    <w:next w:val="O-BodyText"/>
    <w:uiPriority w:val="37"/>
    <w:qFormat/>
    <w:pPr>
      <w:keepNext/>
      <w:keepLines/>
      <w:jc w:val="center"/>
    </w:pPr>
    <w:rPr>
      <w:rFonts w:eastAsia="Times New Roman"/>
      <w:b/>
      <w:bCs/>
      <w:u w:val="single"/>
    </w:rPr>
  </w:style>
  <w:style w:type="paragraph" w:customStyle="1" w:styleId="O-TITLE">
    <w:name w:val="O-TITLE"/>
    <w:aliases w:val="1Title,s10"/>
    <w:basedOn w:val="Normal"/>
    <w:next w:val="O-BodyText"/>
    <w:uiPriority w:val="35"/>
    <w:qFormat/>
    <w:pPr>
      <w:keepNext/>
      <w:keepLines/>
      <w:jc w:val="center"/>
    </w:pPr>
    <w:rPr>
      <w:rFonts w:eastAsia="Times New Roman"/>
      <w:b/>
      <w:caps/>
    </w:rPr>
  </w:style>
  <w:style w:type="paragraph" w:customStyle="1" w:styleId="O-Title6">
    <w:name w:val="O-Title 6"/>
    <w:aliases w:val="6Title,s11"/>
    <w:next w:val="O-BodyText"/>
    <w:uiPriority w:val="40"/>
    <w:qFormat/>
    <w:pPr>
      <w:keepNext/>
      <w:keepLines/>
    </w:pPr>
    <w:rPr>
      <w:rFonts w:eastAsia="Times New Roman"/>
      <w:b/>
    </w:rPr>
  </w:style>
  <w:style w:type="paragraph" w:customStyle="1" w:styleId="O-Title7">
    <w:name w:val="O-Title 7"/>
    <w:aliases w:val="7Title,s19"/>
    <w:next w:val="O-BodyText"/>
    <w:uiPriority w:val="41"/>
    <w:qFormat/>
    <w:pPr>
      <w:keepNext/>
      <w:keepLines/>
    </w:pPr>
    <w:rPr>
      <w:rFonts w:eastAsia="Times New Roman"/>
      <w:b/>
      <w:bCs/>
      <w:u w:val="single"/>
    </w:rPr>
  </w:style>
  <w:style w:type="paragraph" w:customStyle="1" w:styleId="O-Title5">
    <w:name w:val="O-Title 5"/>
    <w:aliases w:val="5Title,s8"/>
    <w:basedOn w:val="Normal"/>
    <w:next w:val="O-BodyText"/>
    <w:uiPriority w:val="39"/>
    <w:qFormat/>
    <w:pPr>
      <w:keepNext/>
      <w:keepLines/>
      <w:jc w:val="center"/>
    </w:pPr>
    <w:rPr>
      <w:rFonts w:eastAsia="Times New Roman"/>
      <w:b/>
      <w:bCs/>
      <w:iCs/>
      <w:caps/>
      <w:u w:val="single"/>
    </w:rPr>
  </w:style>
  <w:style w:type="paragraph" w:customStyle="1" w:styleId="O-Title2">
    <w:name w:val="O-Title 2"/>
    <w:aliases w:val="2Title,s20"/>
    <w:basedOn w:val="Normal"/>
    <w:next w:val="O-BodyText"/>
    <w:uiPriority w:val="36"/>
    <w:qFormat/>
    <w:pPr>
      <w:keepNext/>
      <w:keepLines/>
      <w:jc w:val="center"/>
    </w:pPr>
    <w:rPr>
      <w:rFonts w:eastAsia="Times New Roman"/>
      <w:b/>
      <w:bCs/>
    </w:rPr>
  </w:style>
  <w:style w:type="paragraph" w:styleId="NoSpacing">
    <w:name w:val="No Spacing"/>
    <w:uiPriority w:val="8"/>
    <w:pPr>
      <w:spacing w:after="0"/>
    </w:pPr>
  </w:style>
  <w:style w:type="paragraph" w:styleId="FootnoteText">
    <w:name w:val="footnote text"/>
    <w:basedOn w:val="Normal"/>
    <w:link w:val="FootnoteTextChar"/>
    <w:uiPriority w:val="94"/>
    <w:semiHidden/>
  </w:style>
  <w:style w:type="character" w:customStyle="1" w:styleId="FootnoteTextChar">
    <w:name w:val="Footnote Text Char"/>
    <w:basedOn w:val="DefaultParagraphFont"/>
    <w:link w:val="FootnoteText"/>
    <w:uiPriority w:val="94"/>
    <w:semiHidden/>
    <w:rPr>
      <w:sz w:val="20"/>
      <w:szCs w:val="20"/>
      <w:lang w:val="en-US"/>
    </w:rPr>
  </w:style>
  <w:style w:type="character" w:styleId="FootnoteReference">
    <w:name w:val="footnote reference"/>
    <w:basedOn w:val="DefaultParagraphFont"/>
    <w:uiPriority w:val="99"/>
    <w:semiHidden/>
    <w:unhideWhenUsed/>
    <w:rPr>
      <w:vertAlign w:val="superscript"/>
      <w:lang w:val="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customStyle="1" w:styleId="Parties">
    <w:name w:val="Parties"/>
    <w:uiPriority w:val="34"/>
    <w:pPr>
      <w:numPr>
        <w:numId w:val="4"/>
      </w:numPr>
      <w:spacing w:line="300" w:lineRule="exact"/>
      <w:jc w:val="both"/>
    </w:pPr>
    <w:rPr>
      <w:rFonts w:eastAsia="Times New Roman"/>
      <w:szCs w:val="21"/>
      <w:lang w:val="en-GB"/>
    </w:rPr>
  </w:style>
  <w:style w:type="paragraph" w:customStyle="1" w:styleId="Background">
    <w:name w:val="Background"/>
    <w:uiPriority w:val="34"/>
    <w:pPr>
      <w:numPr>
        <w:numId w:val="5"/>
      </w:numPr>
      <w:spacing w:line="300" w:lineRule="exact"/>
      <w:jc w:val="both"/>
    </w:pPr>
    <w:rPr>
      <w:rFonts w:eastAsia="Times New Roman"/>
      <w:szCs w:val="21"/>
      <w:lang w:val="en-GB"/>
    </w:rPr>
  </w:style>
  <w:style w:type="paragraph" w:customStyle="1" w:styleId="OPDFooter">
    <w:name w:val="O PD Footer"/>
    <w:uiPriority w:val="46"/>
    <w:pPr>
      <w:tabs>
        <w:tab w:val="right" w:pos="7200"/>
      </w:tabs>
      <w:spacing w:after="0"/>
      <w:jc w:val="right"/>
    </w:pPr>
    <w:rPr>
      <w:rFonts w:ascii="Arial Narrow" w:eastAsia="Times New Roman" w:hAnsi="Arial Narrow"/>
      <w:sz w:val="18"/>
      <w:szCs w:val="20"/>
    </w:rPr>
  </w:style>
  <w:style w:type="paragraph" w:customStyle="1" w:styleId="OResumeArticlesNoBullets">
    <w:name w:val="O Resume Articles No Bullets"/>
    <w:basedOn w:val="Normal"/>
    <w:uiPriority w:val="46"/>
    <w:rPr>
      <w:rFonts w:ascii="Garamond" w:eastAsia="Times" w:hAnsi="Garamond"/>
    </w:rPr>
  </w:style>
  <w:style w:type="paragraph" w:customStyle="1" w:styleId="OResumeArticlesBullets">
    <w:name w:val="O Resume Articles Bullets"/>
    <w:basedOn w:val="OResumeArticlesNoBullets"/>
    <w:uiPriority w:val="46"/>
    <w:pPr>
      <w:numPr>
        <w:numId w:val="6"/>
      </w:numPr>
      <w:spacing w:after="60"/>
    </w:pPr>
  </w:style>
  <w:style w:type="paragraph" w:customStyle="1" w:styleId="OResumeArticlesHeading">
    <w:name w:val="O Resume Articles Heading"/>
    <w:basedOn w:val="OResumeArticlesNoBullets"/>
    <w:uiPriority w:val="46"/>
    <w:pPr>
      <w:spacing w:before="240"/>
    </w:pPr>
    <w:rPr>
      <w:b/>
    </w:rPr>
  </w:style>
  <w:style w:type="paragraph" w:customStyle="1" w:styleId="OResumeArticlesLeadin">
    <w:name w:val="O Resume Articles Leadin"/>
    <w:next w:val="Normal"/>
    <w:uiPriority w:val="46"/>
    <w:pPr>
      <w:keepNext/>
      <w:tabs>
        <w:tab w:val="left" w:pos="180"/>
        <w:tab w:val="left" w:pos="2520"/>
        <w:tab w:val="left" w:pos="2779"/>
        <w:tab w:val="left" w:pos="9979"/>
      </w:tabs>
      <w:spacing w:after="60"/>
      <w:ind w:firstLine="180"/>
    </w:pPr>
    <w:rPr>
      <w:rFonts w:ascii="Garamond" w:eastAsia="Times" w:hAnsi="Garamond"/>
      <w:noProof/>
      <w:sz w:val="22"/>
      <w:szCs w:val="20"/>
    </w:rPr>
  </w:style>
  <w:style w:type="paragraph" w:customStyle="1" w:styleId="OResumeAttorneyID">
    <w:name w:val="O Resume Attorney ID"/>
    <w:basedOn w:val="Normal"/>
    <w:uiPriority w:val="46"/>
    <w:rPr>
      <w:rFonts w:eastAsia="Times New Roman"/>
      <w:sz w:val="16"/>
    </w:rPr>
  </w:style>
  <w:style w:type="paragraph" w:customStyle="1" w:styleId="OResumeBodyText">
    <w:name w:val="O Resume Body Text"/>
    <w:uiPriority w:val="46"/>
    <w:pPr>
      <w:spacing w:before="240" w:after="0"/>
    </w:pPr>
    <w:rPr>
      <w:rFonts w:ascii="Garamond" w:eastAsia="Times" w:hAnsi="Garamond"/>
      <w:szCs w:val="20"/>
    </w:rPr>
  </w:style>
  <w:style w:type="paragraph" w:customStyle="1" w:styleId="OResumeBulletQualification">
    <w:name w:val="O Resume Bullet Qualification"/>
    <w:uiPriority w:val="46"/>
    <w:pPr>
      <w:tabs>
        <w:tab w:val="num" w:pos="360"/>
      </w:tabs>
      <w:spacing w:after="120"/>
      <w:ind w:left="180" w:hanging="180"/>
    </w:pPr>
    <w:rPr>
      <w:rFonts w:ascii="Garamond" w:eastAsia="Times" w:hAnsi="Garamond"/>
      <w:noProof/>
      <w:sz w:val="22"/>
      <w:szCs w:val="20"/>
    </w:rPr>
  </w:style>
  <w:style w:type="character" w:customStyle="1" w:styleId="OResumeClientCaseProjectName">
    <w:name w:val="O Resume Client/Case/Project Name"/>
    <w:uiPriority w:val="46"/>
    <w:rPr>
      <w:rFonts w:ascii="Arial" w:hAnsi="Arial"/>
      <w:b/>
      <w:sz w:val="20"/>
    </w:rPr>
  </w:style>
  <w:style w:type="paragraph" w:customStyle="1" w:styleId="OResumeContactInformation">
    <w:name w:val="O Resume Contact Information"/>
    <w:next w:val="Normal"/>
    <w:uiPriority w:val="46"/>
    <w:pPr>
      <w:spacing w:after="0"/>
      <w:ind w:left="187"/>
    </w:pPr>
    <w:rPr>
      <w:rFonts w:ascii="Arial" w:eastAsia="Times" w:hAnsi="Arial"/>
      <w:noProof/>
      <w:sz w:val="16"/>
      <w:szCs w:val="20"/>
    </w:rPr>
  </w:style>
  <w:style w:type="paragraph" w:customStyle="1" w:styleId="OResumeEmail">
    <w:name w:val="O Resume Email"/>
    <w:uiPriority w:val="46"/>
    <w:pPr>
      <w:spacing w:after="360"/>
    </w:pPr>
    <w:rPr>
      <w:rFonts w:ascii="Arial" w:eastAsia="Times" w:hAnsi="Arial"/>
      <w:i/>
      <w:iCs/>
      <w:sz w:val="16"/>
      <w:szCs w:val="20"/>
    </w:rPr>
  </w:style>
  <w:style w:type="paragraph" w:customStyle="1" w:styleId="OResumeFooter">
    <w:name w:val="O Resume Footer"/>
    <w:uiPriority w:val="46"/>
    <w:pPr>
      <w:spacing w:after="0" w:line="200" w:lineRule="exact"/>
      <w:jc w:val="right"/>
    </w:pPr>
    <w:rPr>
      <w:rFonts w:ascii="Arial Narrow" w:eastAsia="Times" w:hAnsi="Arial Narrow"/>
      <w:noProof/>
      <w:sz w:val="18"/>
      <w:szCs w:val="20"/>
    </w:rPr>
  </w:style>
  <w:style w:type="paragraph" w:customStyle="1" w:styleId="OResumeName">
    <w:name w:val="O Resume Name"/>
    <w:next w:val="OResumeContactInformation"/>
    <w:uiPriority w:val="46"/>
    <w:pPr>
      <w:spacing w:after="120"/>
    </w:pPr>
    <w:rPr>
      <w:rFonts w:ascii="Arial" w:eastAsia="Times" w:hAnsi="Arial"/>
      <w:b/>
      <w:noProof/>
      <w:sz w:val="32"/>
      <w:szCs w:val="20"/>
    </w:rPr>
  </w:style>
  <w:style w:type="paragraph" w:customStyle="1" w:styleId="OResumeSidebar">
    <w:name w:val="O Resume Sidebar"/>
    <w:uiPriority w:val="46"/>
    <w:pPr>
      <w:spacing w:after="120"/>
    </w:pPr>
    <w:rPr>
      <w:rFonts w:ascii="Arial" w:eastAsia="Times" w:hAnsi="Arial"/>
      <w:noProof/>
      <w:sz w:val="16"/>
      <w:szCs w:val="20"/>
    </w:rPr>
  </w:style>
  <w:style w:type="paragraph" w:customStyle="1" w:styleId="OResumeSidebarBullet">
    <w:name w:val="O Resume Sidebar Bullet"/>
    <w:basedOn w:val="Normal"/>
    <w:uiPriority w:val="46"/>
    <w:pPr>
      <w:numPr>
        <w:numId w:val="7"/>
      </w:numPr>
    </w:pPr>
    <w:rPr>
      <w:rFonts w:eastAsia="Times"/>
      <w:sz w:val="16"/>
    </w:rPr>
  </w:style>
  <w:style w:type="paragraph" w:customStyle="1" w:styleId="OResumeSidebarHead">
    <w:name w:val="O Resume Sidebar Head"/>
    <w:basedOn w:val="Normal"/>
    <w:uiPriority w:val="46"/>
    <w:rPr>
      <w:rFonts w:eastAsia="Times"/>
      <w:b/>
      <w:noProof/>
      <w:sz w:val="18"/>
    </w:rPr>
  </w:style>
  <w:style w:type="paragraph" w:customStyle="1" w:styleId="O-Title4">
    <w:name w:val="O-Title 4"/>
    <w:aliases w:val="4Title,s9"/>
    <w:basedOn w:val="Normal"/>
    <w:next w:val="O-BodyText"/>
    <w:uiPriority w:val="38"/>
    <w:rPr>
      <w:rFonts w:eastAsia="Times New Roman"/>
      <w:u w:val="single"/>
    </w:rPr>
  </w:style>
  <w:style w:type="paragraph" w:customStyle="1" w:styleId="O-Title8">
    <w:name w:val="O-Title 8"/>
    <w:aliases w:val="8Title,s23"/>
    <w:next w:val="O-BodyText"/>
    <w:uiPriority w:val="42"/>
    <w:rPr>
      <w:rFonts w:eastAsia="Times New Roman"/>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O-Center">
    <w:name w:val="O-Center"/>
    <w:aliases w:val="Center,s21"/>
    <w:basedOn w:val="Normal"/>
    <w:next w:val="O-BodyText"/>
    <w:uiPriority w:val="35"/>
    <w:pPr>
      <w:keepNext/>
      <w:keepLines/>
      <w:jc w:val="center"/>
    </w:pPr>
  </w:style>
  <w:style w:type="paragraph" w:customStyle="1" w:styleId="O-TITLE9">
    <w:name w:val="O-TITLE 9"/>
    <w:aliases w:val="9TITLE,s31"/>
    <w:basedOn w:val="Normal"/>
    <w:next w:val="O-BodyText"/>
    <w:uiPriority w:val="43"/>
    <w:qFormat/>
    <w:pPr>
      <w:keepNext/>
      <w:keepLines/>
    </w:pPr>
    <w:rPr>
      <w:rFonts w:eastAsia="Times New Roman"/>
      <w:b/>
      <w:caps/>
    </w:rPr>
  </w:style>
  <w:style w:type="paragraph" w:styleId="ListParagraph">
    <w:name w:val="List Paragraph"/>
    <w:basedOn w:val="Normal"/>
    <w:uiPriority w:val="99"/>
    <w:qFormat/>
    <w:pPr>
      <w:ind w:left="720"/>
    </w:pPr>
  </w:style>
  <w:style w:type="paragraph" w:styleId="EndnoteText">
    <w:name w:val="endnote text"/>
    <w:basedOn w:val="Normal"/>
    <w:link w:val="EndnoteTextChar"/>
    <w:uiPriority w:val="94"/>
    <w:semiHidden/>
    <w:rPr>
      <w:rFonts w:ascii="Times New Roman" w:hAnsi="Times New Roman" w:cs="Times New Roman"/>
    </w:rPr>
  </w:style>
  <w:style w:type="character" w:customStyle="1" w:styleId="EndnoteTextChar">
    <w:name w:val="Endnote Text Char"/>
    <w:basedOn w:val="DefaultParagraphFont"/>
    <w:link w:val="EndnoteText"/>
    <w:uiPriority w:val="94"/>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ListNumber">
    <w:name w:val="List Number"/>
    <w:basedOn w:val="Normal"/>
    <w:uiPriority w:val="7"/>
    <w:qFormat/>
    <w:pPr>
      <w:numPr>
        <w:numId w:val="8"/>
      </w:numPr>
      <w:spacing w:after="240"/>
    </w:pPr>
    <w:rPr>
      <w:rFonts w:asciiTheme="minorHAnsi" w:hAnsiTheme="minorHAnsi" w:cstheme="minorBidi"/>
      <w:sz w:val="24"/>
      <w:szCs w:val="24"/>
    </w:rPr>
  </w:style>
  <w:style w:type="paragraph" w:styleId="ListNumber2">
    <w:name w:val="List Number 2"/>
    <w:basedOn w:val="Normal"/>
    <w:uiPriority w:val="7"/>
    <w:qFormat/>
    <w:pPr>
      <w:numPr>
        <w:ilvl w:val="1"/>
        <w:numId w:val="8"/>
      </w:numPr>
      <w:spacing w:after="240"/>
    </w:pPr>
    <w:rPr>
      <w:rFonts w:asciiTheme="minorHAnsi" w:hAnsiTheme="minorHAnsi" w:cstheme="minorBidi"/>
      <w:sz w:val="24"/>
      <w:szCs w:val="24"/>
    </w:rPr>
  </w:style>
  <w:style w:type="paragraph" w:styleId="ListNumber3">
    <w:name w:val="List Number 3"/>
    <w:basedOn w:val="Normal"/>
    <w:uiPriority w:val="7"/>
    <w:pPr>
      <w:numPr>
        <w:ilvl w:val="2"/>
        <w:numId w:val="8"/>
      </w:numPr>
      <w:spacing w:after="240"/>
    </w:pPr>
    <w:rPr>
      <w:rFonts w:asciiTheme="minorHAnsi" w:hAnsiTheme="minorHAnsi" w:cstheme="minorBidi"/>
      <w:sz w:val="24"/>
      <w:szCs w:val="24"/>
    </w:rPr>
  </w:style>
  <w:style w:type="paragraph" w:styleId="ListNumber4">
    <w:name w:val="List Number 4"/>
    <w:basedOn w:val="Normal"/>
    <w:uiPriority w:val="7"/>
    <w:pPr>
      <w:numPr>
        <w:ilvl w:val="3"/>
        <w:numId w:val="8"/>
      </w:numPr>
      <w:spacing w:after="240"/>
    </w:pPr>
    <w:rPr>
      <w:rFonts w:asciiTheme="minorHAnsi" w:hAnsiTheme="minorHAnsi" w:cstheme="minorBidi"/>
      <w:sz w:val="24"/>
      <w:szCs w:val="24"/>
    </w:rPr>
  </w:style>
  <w:style w:type="paragraph" w:styleId="ListNumber5">
    <w:name w:val="List Number 5"/>
    <w:basedOn w:val="Normal"/>
    <w:uiPriority w:val="7"/>
    <w:pPr>
      <w:numPr>
        <w:ilvl w:val="4"/>
        <w:numId w:val="8"/>
      </w:numPr>
      <w:spacing w:after="240"/>
    </w:pPr>
    <w:rPr>
      <w:rFonts w:asciiTheme="minorHAnsi" w:hAnsiTheme="minorHAnsi" w:cstheme="minorBidi"/>
      <w:sz w:val="24"/>
      <w:szCs w:val="24"/>
    </w:rPr>
  </w:style>
  <w:style w:type="character" w:customStyle="1" w:styleId="Heading1Char">
    <w:name w:val="Heading 1 Char"/>
    <w:basedOn w:val="DefaultParagraphFont"/>
    <w:link w:val="Heading1"/>
    <w:uiPriority w:val="4"/>
    <w:rsid w:val="00BA6609"/>
    <w:rPr>
      <w:rFonts w:ascii="Arial" w:eastAsiaTheme="majorEastAsia" w:hAnsi="Arial" w:cs="Arial"/>
      <w:b/>
      <w:bCs/>
      <w:sz w:val="72"/>
      <w:szCs w:val="28"/>
    </w:rPr>
  </w:style>
  <w:style w:type="character" w:customStyle="1" w:styleId="Heading2Char">
    <w:name w:val="Heading 2 Char"/>
    <w:basedOn w:val="DefaultParagraphFont"/>
    <w:link w:val="Heading2"/>
    <w:uiPriority w:val="4"/>
    <w:rsid w:val="00BA6609"/>
    <w:rPr>
      <w:rFonts w:ascii="Arial" w:eastAsiaTheme="majorEastAsia" w:hAnsi="Arial" w:cs="Arial"/>
      <w:b/>
      <w:bCs/>
      <w:sz w:val="48"/>
      <w:szCs w:val="26"/>
    </w:rPr>
  </w:style>
  <w:style w:type="character" w:customStyle="1" w:styleId="Heading3Char">
    <w:name w:val="Heading 3 Char"/>
    <w:basedOn w:val="DefaultParagraphFont"/>
    <w:link w:val="Heading3"/>
    <w:uiPriority w:val="4"/>
    <w:rsid w:val="00BA6609"/>
    <w:rPr>
      <w:rFonts w:ascii="Arial" w:eastAsiaTheme="majorEastAsia" w:hAnsi="Arial" w:cs="Arial"/>
      <w:b/>
      <w:bCs/>
      <w:sz w:val="36"/>
    </w:rPr>
  </w:style>
  <w:style w:type="character" w:customStyle="1" w:styleId="Heading4Char">
    <w:name w:val="Heading 4 Char"/>
    <w:basedOn w:val="DefaultParagraphFont"/>
    <w:link w:val="Heading4"/>
    <w:uiPriority w:val="4"/>
    <w:rsid w:val="00BA6609"/>
    <w:rPr>
      <w:rFonts w:ascii="Arial" w:eastAsiaTheme="majorEastAsia" w:hAnsi="Arial" w:cs="Arial"/>
      <w:bCs/>
      <w:iCs/>
    </w:rPr>
  </w:style>
  <w:style w:type="character" w:customStyle="1" w:styleId="Heading5Char">
    <w:name w:val="Heading 5 Char"/>
    <w:basedOn w:val="DefaultParagraphFont"/>
    <w:link w:val="Heading5"/>
    <w:uiPriority w:val="4"/>
    <w:rsid w:val="00BA6609"/>
    <w:rPr>
      <w:rFonts w:asciiTheme="majorHAnsi" w:eastAsiaTheme="majorEastAsia" w:hAnsiTheme="majorHAnsi" w:cstheme="majorBidi"/>
    </w:rPr>
  </w:style>
  <w:style w:type="character" w:customStyle="1" w:styleId="Heading6Char">
    <w:name w:val="Heading 6 Char"/>
    <w:basedOn w:val="DefaultParagraphFont"/>
    <w:link w:val="Heading6"/>
    <w:uiPriority w:val="4"/>
    <w:rsid w:val="00BA6609"/>
    <w:rPr>
      <w:rFonts w:asciiTheme="majorHAnsi" w:eastAsiaTheme="majorEastAsia" w:hAnsiTheme="majorHAnsi" w:cstheme="majorBidi"/>
      <w:iCs/>
    </w:rPr>
  </w:style>
  <w:style w:type="character" w:customStyle="1" w:styleId="Heading7Char">
    <w:name w:val="Heading 7 Char"/>
    <w:basedOn w:val="DefaultParagraphFont"/>
    <w:link w:val="Heading7"/>
    <w:uiPriority w:val="4"/>
    <w:rsid w:val="00BA6609"/>
    <w:rPr>
      <w:rFonts w:asciiTheme="majorHAnsi" w:eastAsiaTheme="majorEastAsia" w:hAnsiTheme="majorHAnsi" w:cstheme="majorBidi"/>
      <w:iCs/>
    </w:rPr>
  </w:style>
  <w:style w:type="character" w:customStyle="1" w:styleId="Heading8Char">
    <w:name w:val="Heading 8 Char"/>
    <w:basedOn w:val="DefaultParagraphFont"/>
    <w:link w:val="Heading8"/>
    <w:uiPriority w:val="4"/>
    <w:rsid w:val="00BA6609"/>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4"/>
    <w:rsid w:val="00BA6609"/>
    <w:rPr>
      <w:rFonts w:asciiTheme="majorHAnsi" w:eastAsiaTheme="majorEastAsia" w:hAnsiTheme="majorHAnsi" w:cstheme="majorBidi"/>
      <w:iCs/>
      <w:szCs w:val="20"/>
    </w:rPr>
  </w:style>
  <w:style w:type="numbering" w:customStyle="1" w:styleId="CovingtonHeadings">
    <w:name w:val="Covington Headings"/>
    <w:uiPriority w:val="99"/>
    <w:pPr>
      <w:numPr>
        <w:numId w:val="9"/>
      </w:numPr>
    </w:pPr>
  </w:style>
  <w:style w:type="character" w:styleId="Hyperlink">
    <w:name w:val="Hyperlink"/>
    <w:basedOn w:val="DefaultParagraphFont"/>
    <w:uiPriority w:val="99"/>
    <w:unhideWhenUsed/>
    <w:rPr>
      <w:color w:val="009966"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table" w:styleId="TableGrid">
    <w:name w:val="Table Grid"/>
    <w:basedOn w:val="TableNormal"/>
    <w:uiPriority w:val="59"/>
    <w:rsid w:val="003621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1">
    <w:name w:val="standardl1"/>
    <w:basedOn w:val="Normal"/>
    <w:rsid w:val="00994A65"/>
    <w:pPr>
      <w:spacing w:after="240"/>
      <w:ind w:left="720" w:hanging="720"/>
    </w:pPr>
    <w:rPr>
      <w:rFonts w:ascii="Times New Roman" w:hAnsi="Times New Roman" w:cs="Times New Roman"/>
    </w:rPr>
  </w:style>
  <w:style w:type="paragraph" w:customStyle="1" w:styleId="para">
    <w:name w:val="para"/>
    <w:basedOn w:val="Normal"/>
    <w:rsid w:val="00994A65"/>
    <w:pPr>
      <w:spacing w:before="100" w:beforeAutospacing="1" w:after="100" w:afterAutospacing="1"/>
    </w:pPr>
    <w:rPr>
      <w:rFonts w:ascii="Times New Roman" w:eastAsia="Times New Roman" w:hAnsi="Times New Roman" w:cs="Times New Roman"/>
      <w:sz w:val="24"/>
      <w:szCs w:val="24"/>
    </w:rPr>
  </w:style>
  <w:style w:type="character" w:customStyle="1" w:styleId="leadinphrasesummary">
    <w:name w:val="leadinphrase_summary"/>
    <w:basedOn w:val="DefaultParagraphFont"/>
    <w:rsid w:val="00994A65"/>
  </w:style>
  <w:style w:type="paragraph" w:customStyle="1" w:styleId="HeadingL1">
    <w:name w:val="Heading_L1"/>
    <w:basedOn w:val="Heading1"/>
    <w:link w:val="HeadingL1Char"/>
    <w:rsid w:val="00D9020D"/>
    <w:pPr>
      <w:spacing w:after="0" w:line="288" w:lineRule="auto"/>
      <w:ind w:left="0" w:firstLine="0"/>
      <w:outlineLvl w:val="9"/>
    </w:pPr>
    <w:rPr>
      <w:rFonts w:eastAsiaTheme="minorHAnsi" w:cs="Times New Roman"/>
      <w:b w:val="0"/>
      <w:bCs w:val="0"/>
      <w:sz w:val="20"/>
      <w:szCs w:val="20"/>
    </w:rPr>
  </w:style>
  <w:style w:type="character" w:customStyle="1" w:styleId="HeadingL1Char">
    <w:name w:val="Heading_L1 Char"/>
    <w:basedOn w:val="Heading1Char"/>
    <w:link w:val="HeadingL1"/>
    <w:rsid w:val="00D9020D"/>
    <w:rPr>
      <w:rFonts w:ascii="Arial" w:eastAsiaTheme="majorEastAsia" w:hAnsi="Arial" w:cs="Arial"/>
      <w:b w:val="0"/>
      <w:bCs w:val="0"/>
      <w:sz w:val="20"/>
      <w:szCs w:val="20"/>
    </w:rPr>
  </w:style>
  <w:style w:type="paragraph" w:customStyle="1" w:styleId="HeadingL2">
    <w:name w:val="Heading_L2"/>
    <w:basedOn w:val="HeadingL1"/>
    <w:link w:val="HeadingL2Char"/>
    <w:rsid w:val="00D9020D"/>
  </w:style>
  <w:style w:type="character" w:customStyle="1" w:styleId="HeadingL2Char">
    <w:name w:val="Heading_L2 Char"/>
    <w:basedOn w:val="Heading1Char"/>
    <w:link w:val="HeadingL2"/>
    <w:rsid w:val="00D9020D"/>
    <w:rPr>
      <w:rFonts w:ascii="Arial" w:eastAsiaTheme="majorEastAsia" w:hAnsi="Arial" w:cs="Arial"/>
      <w:b w:val="0"/>
      <w:bCs w:val="0"/>
      <w:sz w:val="20"/>
      <w:szCs w:val="20"/>
    </w:rPr>
  </w:style>
  <w:style w:type="paragraph" w:customStyle="1" w:styleId="HeadingL3">
    <w:name w:val="Heading_L3"/>
    <w:basedOn w:val="HeadingL2"/>
    <w:link w:val="HeadingL3Char"/>
    <w:rsid w:val="00D9020D"/>
  </w:style>
  <w:style w:type="character" w:customStyle="1" w:styleId="HeadingL3Char">
    <w:name w:val="Heading_L3 Char"/>
    <w:basedOn w:val="Heading1Char"/>
    <w:link w:val="HeadingL3"/>
    <w:rsid w:val="00D9020D"/>
    <w:rPr>
      <w:rFonts w:ascii="Arial" w:eastAsiaTheme="majorEastAsia" w:hAnsi="Arial" w:cs="Arial"/>
      <w:b w:val="0"/>
      <w:bCs w:val="0"/>
      <w:sz w:val="20"/>
      <w:szCs w:val="20"/>
    </w:rPr>
  </w:style>
  <w:style w:type="paragraph" w:customStyle="1" w:styleId="HeadingL4">
    <w:name w:val="Heading_L4"/>
    <w:basedOn w:val="HeadingL3"/>
    <w:next w:val="HeadingL3"/>
    <w:link w:val="HeadingL4Char"/>
    <w:rsid w:val="00D9020D"/>
  </w:style>
  <w:style w:type="character" w:customStyle="1" w:styleId="HeadingL4Char">
    <w:name w:val="Heading_L4 Char"/>
    <w:basedOn w:val="Heading1Char"/>
    <w:link w:val="HeadingL4"/>
    <w:rsid w:val="00D9020D"/>
    <w:rPr>
      <w:rFonts w:ascii="Arial" w:eastAsiaTheme="majorEastAsia" w:hAnsi="Arial" w:cs="Arial"/>
      <w:b w:val="0"/>
      <w:bCs w:val="0"/>
      <w:sz w:val="20"/>
      <w:szCs w:val="20"/>
    </w:rPr>
  </w:style>
  <w:style w:type="paragraph" w:customStyle="1" w:styleId="HeadingL5">
    <w:name w:val="Heading_L5"/>
    <w:basedOn w:val="HeadingL4"/>
    <w:next w:val="HeadingL3"/>
    <w:link w:val="HeadingL5Char"/>
    <w:rsid w:val="00BA6609"/>
  </w:style>
  <w:style w:type="character" w:customStyle="1" w:styleId="HeadingL5Char">
    <w:name w:val="Heading_L5 Char"/>
    <w:basedOn w:val="Heading3Char"/>
    <w:link w:val="HeadingL5"/>
    <w:rsid w:val="00BA6609"/>
    <w:rPr>
      <w:rFonts w:ascii="Arial" w:eastAsiaTheme="majorEastAsia" w:hAnsi="Arial" w:cs="Arial"/>
      <w:b w:val="0"/>
      <w:bCs w:val="0"/>
      <w:sz w:val="20"/>
      <w:szCs w:val="20"/>
    </w:rPr>
  </w:style>
  <w:style w:type="character" w:styleId="UnresolvedMention">
    <w:name w:val="Unresolved Mention"/>
    <w:basedOn w:val="DefaultParagraphFont"/>
    <w:uiPriority w:val="99"/>
    <w:semiHidden/>
    <w:unhideWhenUsed/>
    <w:rsid w:val="009740AE"/>
    <w:rPr>
      <w:color w:val="808080"/>
      <w:shd w:val="clear" w:color="auto" w:fill="E6E6E6"/>
    </w:rPr>
  </w:style>
  <w:style w:type="character" w:customStyle="1" w:styleId="O-BodyTextChar">
    <w:name w:val="O-Body Text () Char"/>
    <w:aliases w:val="s1 Char,1Body Char"/>
    <w:basedOn w:val="DefaultParagraphFont"/>
    <w:link w:val="O-BodyText"/>
    <w:rsid w:val="000F7558"/>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765">
      <w:bodyDiv w:val="1"/>
      <w:marLeft w:val="0"/>
      <w:marRight w:val="0"/>
      <w:marTop w:val="0"/>
      <w:marBottom w:val="0"/>
      <w:divBdr>
        <w:top w:val="none" w:sz="0" w:space="0" w:color="auto"/>
        <w:left w:val="none" w:sz="0" w:space="0" w:color="auto"/>
        <w:bottom w:val="none" w:sz="0" w:space="0" w:color="auto"/>
        <w:right w:val="none" w:sz="0" w:space="0" w:color="auto"/>
      </w:divBdr>
    </w:div>
    <w:div w:id="19014750">
      <w:bodyDiv w:val="1"/>
      <w:marLeft w:val="0"/>
      <w:marRight w:val="0"/>
      <w:marTop w:val="0"/>
      <w:marBottom w:val="0"/>
      <w:divBdr>
        <w:top w:val="none" w:sz="0" w:space="0" w:color="auto"/>
        <w:left w:val="none" w:sz="0" w:space="0" w:color="auto"/>
        <w:bottom w:val="none" w:sz="0" w:space="0" w:color="auto"/>
        <w:right w:val="none" w:sz="0" w:space="0" w:color="auto"/>
      </w:divBdr>
    </w:div>
    <w:div w:id="142897115">
      <w:bodyDiv w:val="1"/>
      <w:marLeft w:val="0"/>
      <w:marRight w:val="0"/>
      <w:marTop w:val="0"/>
      <w:marBottom w:val="0"/>
      <w:divBdr>
        <w:top w:val="none" w:sz="0" w:space="0" w:color="auto"/>
        <w:left w:val="none" w:sz="0" w:space="0" w:color="auto"/>
        <w:bottom w:val="none" w:sz="0" w:space="0" w:color="auto"/>
        <w:right w:val="none" w:sz="0" w:space="0" w:color="auto"/>
      </w:divBdr>
    </w:div>
    <w:div w:id="169296429">
      <w:bodyDiv w:val="1"/>
      <w:marLeft w:val="0"/>
      <w:marRight w:val="0"/>
      <w:marTop w:val="0"/>
      <w:marBottom w:val="0"/>
      <w:divBdr>
        <w:top w:val="none" w:sz="0" w:space="0" w:color="auto"/>
        <w:left w:val="none" w:sz="0" w:space="0" w:color="auto"/>
        <w:bottom w:val="none" w:sz="0" w:space="0" w:color="auto"/>
        <w:right w:val="none" w:sz="0" w:space="0" w:color="auto"/>
      </w:divBdr>
    </w:div>
    <w:div w:id="171380244">
      <w:bodyDiv w:val="1"/>
      <w:marLeft w:val="0"/>
      <w:marRight w:val="0"/>
      <w:marTop w:val="0"/>
      <w:marBottom w:val="0"/>
      <w:divBdr>
        <w:top w:val="none" w:sz="0" w:space="0" w:color="auto"/>
        <w:left w:val="none" w:sz="0" w:space="0" w:color="auto"/>
        <w:bottom w:val="none" w:sz="0" w:space="0" w:color="auto"/>
        <w:right w:val="none" w:sz="0" w:space="0" w:color="auto"/>
      </w:divBdr>
    </w:div>
    <w:div w:id="186915725">
      <w:bodyDiv w:val="1"/>
      <w:marLeft w:val="0"/>
      <w:marRight w:val="0"/>
      <w:marTop w:val="0"/>
      <w:marBottom w:val="0"/>
      <w:divBdr>
        <w:top w:val="none" w:sz="0" w:space="0" w:color="auto"/>
        <w:left w:val="none" w:sz="0" w:space="0" w:color="auto"/>
        <w:bottom w:val="none" w:sz="0" w:space="0" w:color="auto"/>
        <w:right w:val="none" w:sz="0" w:space="0" w:color="auto"/>
      </w:divBdr>
    </w:div>
    <w:div w:id="203374046">
      <w:bodyDiv w:val="1"/>
      <w:marLeft w:val="0"/>
      <w:marRight w:val="0"/>
      <w:marTop w:val="0"/>
      <w:marBottom w:val="0"/>
      <w:divBdr>
        <w:top w:val="none" w:sz="0" w:space="0" w:color="auto"/>
        <w:left w:val="none" w:sz="0" w:space="0" w:color="auto"/>
        <w:bottom w:val="none" w:sz="0" w:space="0" w:color="auto"/>
        <w:right w:val="none" w:sz="0" w:space="0" w:color="auto"/>
      </w:divBdr>
    </w:div>
    <w:div w:id="388579048">
      <w:bodyDiv w:val="1"/>
      <w:marLeft w:val="0"/>
      <w:marRight w:val="0"/>
      <w:marTop w:val="0"/>
      <w:marBottom w:val="0"/>
      <w:divBdr>
        <w:top w:val="none" w:sz="0" w:space="0" w:color="auto"/>
        <w:left w:val="none" w:sz="0" w:space="0" w:color="auto"/>
        <w:bottom w:val="none" w:sz="0" w:space="0" w:color="auto"/>
        <w:right w:val="none" w:sz="0" w:space="0" w:color="auto"/>
      </w:divBdr>
    </w:div>
    <w:div w:id="434983331">
      <w:bodyDiv w:val="1"/>
      <w:marLeft w:val="0"/>
      <w:marRight w:val="0"/>
      <w:marTop w:val="0"/>
      <w:marBottom w:val="0"/>
      <w:divBdr>
        <w:top w:val="none" w:sz="0" w:space="0" w:color="auto"/>
        <w:left w:val="none" w:sz="0" w:space="0" w:color="auto"/>
        <w:bottom w:val="none" w:sz="0" w:space="0" w:color="auto"/>
        <w:right w:val="none" w:sz="0" w:space="0" w:color="auto"/>
      </w:divBdr>
    </w:div>
    <w:div w:id="442191090">
      <w:bodyDiv w:val="1"/>
      <w:marLeft w:val="0"/>
      <w:marRight w:val="0"/>
      <w:marTop w:val="0"/>
      <w:marBottom w:val="0"/>
      <w:divBdr>
        <w:top w:val="none" w:sz="0" w:space="0" w:color="auto"/>
        <w:left w:val="none" w:sz="0" w:space="0" w:color="auto"/>
        <w:bottom w:val="none" w:sz="0" w:space="0" w:color="auto"/>
        <w:right w:val="none" w:sz="0" w:space="0" w:color="auto"/>
      </w:divBdr>
    </w:div>
    <w:div w:id="484013023">
      <w:bodyDiv w:val="1"/>
      <w:marLeft w:val="0"/>
      <w:marRight w:val="0"/>
      <w:marTop w:val="0"/>
      <w:marBottom w:val="0"/>
      <w:divBdr>
        <w:top w:val="none" w:sz="0" w:space="0" w:color="auto"/>
        <w:left w:val="none" w:sz="0" w:space="0" w:color="auto"/>
        <w:bottom w:val="none" w:sz="0" w:space="0" w:color="auto"/>
        <w:right w:val="none" w:sz="0" w:space="0" w:color="auto"/>
      </w:divBdr>
    </w:div>
    <w:div w:id="556865857">
      <w:bodyDiv w:val="1"/>
      <w:marLeft w:val="0"/>
      <w:marRight w:val="0"/>
      <w:marTop w:val="0"/>
      <w:marBottom w:val="0"/>
      <w:divBdr>
        <w:top w:val="none" w:sz="0" w:space="0" w:color="auto"/>
        <w:left w:val="none" w:sz="0" w:space="0" w:color="auto"/>
        <w:bottom w:val="none" w:sz="0" w:space="0" w:color="auto"/>
        <w:right w:val="none" w:sz="0" w:space="0" w:color="auto"/>
      </w:divBdr>
    </w:div>
    <w:div w:id="604266119">
      <w:bodyDiv w:val="1"/>
      <w:marLeft w:val="0"/>
      <w:marRight w:val="0"/>
      <w:marTop w:val="0"/>
      <w:marBottom w:val="0"/>
      <w:divBdr>
        <w:top w:val="none" w:sz="0" w:space="0" w:color="auto"/>
        <w:left w:val="none" w:sz="0" w:space="0" w:color="auto"/>
        <w:bottom w:val="none" w:sz="0" w:space="0" w:color="auto"/>
        <w:right w:val="none" w:sz="0" w:space="0" w:color="auto"/>
      </w:divBdr>
    </w:div>
    <w:div w:id="605887394">
      <w:bodyDiv w:val="1"/>
      <w:marLeft w:val="0"/>
      <w:marRight w:val="0"/>
      <w:marTop w:val="0"/>
      <w:marBottom w:val="0"/>
      <w:divBdr>
        <w:top w:val="none" w:sz="0" w:space="0" w:color="auto"/>
        <w:left w:val="none" w:sz="0" w:space="0" w:color="auto"/>
        <w:bottom w:val="none" w:sz="0" w:space="0" w:color="auto"/>
        <w:right w:val="none" w:sz="0" w:space="0" w:color="auto"/>
      </w:divBdr>
    </w:div>
    <w:div w:id="747381575">
      <w:bodyDiv w:val="1"/>
      <w:marLeft w:val="0"/>
      <w:marRight w:val="0"/>
      <w:marTop w:val="0"/>
      <w:marBottom w:val="0"/>
      <w:divBdr>
        <w:top w:val="none" w:sz="0" w:space="0" w:color="auto"/>
        <w:left w:val="none" w:sz="0" w:space="0" w:color="auto"/>
        <w:bottom w:val="none" w:sz="0" w:space="0" w:color="auto"/>
        <w:right w:val="none" w:sz="0" w:space="0" w:color="auto"/>
      </w:divBdr>
    </w:div>
    <w:div w:id="915014419">
      <w:bodyDiv w:val="1"/>
      <w:marLeft w:val="0"/>
      <w:marRight w:val="0"/>
      <w:marTop w:val="0"/>
      <w:marBottom w:val="0"/>
      <w:divBdr>
        <w:top w:val="none" w:sz="0" w:space="0" w:color="auto"/>
        <w:left w:val="none" w:sz="0" w:space="0" w:color="auto"/>
        <w:bottom w:val="none" w:sz="0" w:space="0" w:color="auto"/>
        <w:right w:val="none" w:sz="0" w:space="0" w:color="auto"/>
      </w:divBdr>
    </w:div>
    <w:div w:id="955449439">
      <w:bodyDiv w:val="1"/>
      <w:marLeft w:val="0"/>
      <w:marRight w:val="0"/>
      <w:marTop w:val="0"/>
      <w:marBottom w:val="0"/>
      <w:divBdr>
        <w:top w:val="none" w:sz="0" w:space="0" w:color="auto"/>
        <w:left w:val="none" w:sz="0" w:space="0" w:color="auto"/>
        <w:bottom w:val="none" w:sz="0" w:space="0" w:color="auto"/>
        <w:right w:val="none" w:sz="0" w:space="0" w:color="auto"/>
      </w:divBdr>
    </w:div>
    <w:div w:id="967315881">
      <w:bodyDiv w:val="1"/>
      <w:marLeft w:val="0"/>
      <w:marRight w:val="0"/>
      <w:marTop w:val="0"/>
      <w:marBottom w:val="0"/>
      <w:divBdr>
        <w:top w:val="none" w:sz="0" w:space="0" w:color="auto"/>
        <w:left w:val="none" w:sz="0" w:space="0" w:color="auto"/>
        <w:bottom w:val="none" w:sz="0" w:space="0" w:color="auto"/>
        <w:right w:val="none" w:sz="0" w:space="0" w:color="auto"/>
      </w:divBdr>
    </w:div>
    <w:div w:id="975257231">
      <w:bodyDiv w:val="1"/>
      <w:marLeft w:val="0"/>
      <w:marRight w:val="0"/>
      <w:marTop w:val="0"/>
      <w:marBottom w:val="0"/>
      <w:divBdr>
        <w:top w:val="none" w:sz="0" w:space="0" w:color="auto"/>
        <w:left w:val="none" w:sz="0" w:space="0" w:color="auto"/>
        <w:bottom w:val="none" w:sz="0" w:space="0" w:color="auto"/>
        <w:right w:val="none" w:sz="0" w:space="0" w:color="auto"/>
      </w:divBdr>
    </w:div>
    <w:div w:id="1043602676">
      <w:bodyDiv w:val="1"/>
      <w:marLeft w:val="0"/>
      <w:marRight w:val="0"/>
      <w:marTop w:val="0"/>
      <w:marBottom w:val="0"/>
      <w:divBdr>
        <w:top w:val="none" w:sz="0" w:space="0" w:color="auto"/>
        <w:left w:val="none" w:sz="0" w:space="0" w:color="auto"/>
        <w:bottom w:val="none" w:sz="0" w:space="0" w:color="auto"/>
        <w:right w:val="none" w:sz="0" w:space="0" w:color="auto"/>
      </w:divBdr>
    </w:div>
    <w:div w:id="1256745991">
      <w:bodyDiv w:val="1"/>
      <w:marLeft w:val="0"/>
      <w:marRight w:val="0"/>
      <w:marTop w:val="0"/>
      <w:marBottom w:val="0"/>
      <w:divBdr>
        <w:top w:val="none" w:sz="0" w:space="0" w:color="auto"/>
        <w:left w:val="none" w:sz="0" w:space="0" w:color="auto"/>
        <w:bottom w:val="none" w:sz="0" w:space="0" w:color="auto"/>
        <w:right w:val="none" w:sz="0" w:space="0" w:color="auto"/>
      </w:divBdr>
    </w:div>
    <w:div w:id="1302924931">
      <w:bodyDiv w:val="1"/>
      <w:marLeft w:val="0"/>
      <w:marRight w:val="0"/>
      <w:marTop w:val="0"/>
      <w:marBottom w:val="0"/>
      <w:divBdr>
        <w:top w:val="none" w:sz="0" w:space="0" w:color="auto"/>
        <w:left w:val="none" w:sz="0" w:space="0" w:color="auto"/>
        <w:bottom w:val="none" w:sz="0" w:space="0" w:color="auto"/>
        <w:right w:val="none" w:sz="0" w:space="0" w:color="auto"/>
      </w:divBdr>
    </w:div>
    <w:div w:id="1308244758">
      <w:bodyDiv w:val="1"/>
      <w:marLeft w:val="0"/>
      <w:marRight w:val="0"/>
      <w:marTop w:val="0"/>
      <w:marBottom w:val="0"/>
      <w:divBdr>
        <w:top w:val="none" w:sz="0" w:space="0" w:color="auto"/>
        <w:left w:val="none" w:sz="0" w:space="0" w:color="auto"/>
        <w:bottom w:val="none" w:sz="0" w:space="0" w:color="auto"/>
        <w:right w:val="none" w:sz="0" w:space="0" w:color="auto"/>
      </w:divBdr>
    </w:div>
    <w:div w:id="1373076413">
      <w:bodyDiv w:val="1"/>
      <w:marLeft w:val="0"/>
      <w:marRight w:val="0"/>
      <w:marTop w:val="0"/>
      <w:marBottom w:val="0"/>
      <w:divBdr>
        <w:top w:val="none" w:sz="0" w:space="0" w:color="auto"/>
        <w:left w:val="none" w:sz="0" w:space="0" w:color="auto"/>
        <w:bottom w:val="none" w:sz="0" w:space="0" w:color="auto"/>
        <w:right w:val="none" w:sz="0" w:space="0" w:color="auto"/>
      </w:divBdr>
    </w:div>
    <w:div w:id="1435856102">
      <w:bodyDiv w:val="1"/>
      <w:marLeft w:val="0"/>
      <w:marRight w:val="0"/>
      <w:marTop w:val="0"/>
      <w:marBottom w:val="0"/>
      <w:divBdr>
        <w:top w:val="none" w:sz="0" w:space="0" w:color="auto"/>
        <w:left w:val="none" w:sz="0" w:space="0" w:color="auto"/>
        <w:bottom w:val="none" w:sz="0" w:space="0" w:color="auto"/>
        <w:right w:val="none" w:sz="0" w:space="0" w:color="auto"/>
      </w:divBdr>
    </w:div>
    <w:div w:id="1437019844">
      <w:bodyDiv w:val="1"/>
      <w:marLeft w:val="0"/>
      <w:marRight w:val="0"/>
      <w:marTop w:val="0"/>
      <w:marBottom w:val="0"/>
      <w:divBdr>
        <w:top w:val="none" w:sz="0" w:space="0" w:color="auto"/>
        <w:left w:val="none" w:sz="0" w:space="0" w:color="auto"/>
        <w:bottom w:val="none" w:sz="0" w:space="0" w:color="auto"/>
        <w:right w:val="none" w:sz="0" w:space="0" w:color="auto"/>
      </w:divBdr>
    </w:div>
    <w:div w:id="1659843343">
      <w:bodyDiv w:val="1"/>
      <w:marLeft w:val="0"/>
      <w:marRight w:val="0"/>
      <w:marTop w:val="0"/>
      <w:marBottom w:val="0"/>
      <w:divBdr>
        <w:top w:val="none" w:sz="0" w:space="0" w:color="auto"/>
        <w:left w:val="none" w:sz="0" w:space="0" w:color="auto"/>
        <w:bottom w:val="none" w:sz="0" w:space="0" w:color="auto"/>
        <w:right w:val="none" w:sz="0" w:space="0" w:color="auto"/>
      </w:divBdr>
    </w:div>
    <w:div w:id="1674260178">
      <w:bodyDiv w:val="1"/>
      <w:marLeft w:val="0"/>
      <w:marRight w:val="0"/>
      <w:marTop w:val="0"/>
      <w:marBottom w:val="0"/>
      <w:divBdr>
        <w:top w:val="none" w:sz="0" w:space="0" w:color="auto"/>
        <w:left w:val="none" w:sz="0" w:space="0" w:color="auto"/>
        <w:bottom w:val="none" w:sz="0" w:space="0" w:color="auto"/>
        <w:right w:val="none" w:sz="0" w:space="0" w:color="auto"/>
      </w:divBdr>
    </w:div>
    <w:div w:id="1761440522">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 w:id="1978607074">
      <w:bodyDiv w:val="1"/>
      <w:marLeft w:val="0"/>
      <w:marRight w:val="0"/>
      <w:marTop w:val="0"/>
      <w:marBottom w:val="0"/>
      <w:divBdr>
        <w:top w:val="none" w:sz="0" w:space="0" w:color="auto"/>
        <w:left w:val="none" w:sz="0" w:space="0" w:color="auto"/>
        <w:bottom w:val="none" w:sz="0" w:space="0" w:color="auto"/>
        <w:right w:val="none" w:sz="0" w:space="0" w:color="auto"/>
      </w:divBdr>
    </w:div>
    <w:div w:id="1984462729">
      <w:bodyDiv w:val="1"/>
      <w:marLeft w:val="0"/>
      <w:marRight w:val="0"/>
      <w:marTop w:val="0"/>
      <w:marBottom w:val="0"/>
      <w:divBdr>
        <w:top w:val="none" w:sz="0" w:space="0" w:color="auto"/>
        <w:left w:val="none" w:sz="0" w:space="0" w:color="auto"/>
        <w:bottom w:val="none" w:sz="0" w:space="0" w:color="auto"/>
        <w:right w:val="none" w:sz="0" w:space="0" w:color="auto"/>
      </w:divBdr>
    </w:div>
    <w:div w:id="2056929686">
      <w:bodyDiv w:val="1"/>
      <w:marLeft w:val="0"/>
      <w:marRight w:val="0"/>
      <w:marTop w:val="0"/>
      <w:marBottom w:val="0"/>
      <w:divBdr>
        <w:top w:val="none" w:sz="0" w:space="0" w:color="auto"/>
        <w:left w:val="none" w:sz="0" w:space="0" w:color="auto"/>
        <w:bottom w:val="none" w:sz="0" w:space="0" w:color="auto"/>
        <w:right w:val="none" w:sz="0" w:space="0" w:color="auto"/>
      </w:divBdr>
    </w:div>
    <w:div w:id="2061324092">
      <w:bodyDiv w:val="1"/>
      <w:marLeft w:val="0"/>
      <w:marRight w:val="0"/>
      <w:marTop w:val="0"/>
      <w:marBottom w:val="0"/>
      <w:divBdr>
        <w:top w:val="none" w:sz="0" w:space="0" w:color="auto"/>
        <w:left w:val="none" w:sz="0" w:space="0" w:color="auto"/>
        <w:bottom w:val="none" w:sz="0" w:space="0" w:color="auto"/>
        <w:right w:val="none" w:sz="0" w:space="0" w:color="auto"/>
      </w:divBdr>
    </w:div>
    <w:div w:id="2074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rick Colors">
      <a:dk1>
        <a:sysClr val="windowText" lastClr="000000"/>
      </a:dk1>
      <a:lt1>
        <a:sysClr val="window" lastClr="FFFFFF"/>
      </a:lt1>
      <a:dk2>
        <a:srgbClr val="1F497D"/>
      </a:dk2>
      <a:lt2>
        <a:srgbClr val="EEECE1"/>
      </a:lt2>
      <a:accent1>
        <a:srgbClr val="009966"/>
      </a:accent1>
      <a:accent2>
        <a:srgbClr val="6E6E6E"/>
      </a:accent2>
      <a:accent3>
        <a:srgbClr val="016D9B"/>
      </a:accent3>
      <a:accent4>
        <a:srgbClr val="DF6E1E"/>
      </a:accent4>
      <a:accent5>
        <a:srgbClr val="669999"/>
      </a:accent5>
      <a:accent6>
        <a:srgbClr val="99CC66"/>
      </a:accent6>
      <a:hlink>
        <a:srgbClr val="009966"/>
      </a:hlink>
      <a:folHlink>
        <a:srgbClr val="009966"/>
      </a:folHlink>
    </a:clrScheme>
    <a:fontScheme name="Orrick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4EC8-B686-4FB9-B35E-2FAF6A50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65</Pages>
  <Words>11279</Words>
  <Characters>64296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Orrick</Company>
  <LinksUpToDate>false</LinksUpToDate>
  <CharactersWithSpaces>75425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6mp</dc:creator>
  <cp:keywords/>
  <dc:description/>
  <cp:lastModifiedBy>Melanie Hallums</cp:lastModifiedBy>
  <cp:revision>3</cp:revision>
  <cp:lastPrinted>2014-07-24T14:17:00Z</cp:lastPrinted>
  <dcterms:created xsi:type="dcterms:W3CDTF">2020-01-30T16:47:00Z</dcterms:created>
  <dcterms:modified xsi:type="dcterms:W3CDTF">2020-01-30T16:51:00Z</dcterms:modified>
</cp:coreProperties>
</file>