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5805"/>
      </w:tblGrid>
      <w:tr w:rsidR="00053A11" w:rsidRPr="00907D75" w14:paraId="52279B24" w14:textId="77777777" w:rsidTr="0057593C">
        <w:trPr>
          <w:trHeight w:val="4795"/>
        </w:trPr>
        <w:tc>
          <w:tcPr>
            <w:tcW w:w="5805" w:type="dxa"/>
            <w:vAlign w:val="center"/>
          </w:tcPr>
          <w:p w14:paraId="14F99E26" w14:textId="074B938F" w:rsidR="00053A11" w:rsidRPr="00907D75" w:rsidRDefault="00053A11" w:rsidP="0057593C">
            <w:pPr>
              <w:pStyle w:val="O-BodyText"/>
              <w:spacing w:after="120"/>
              <w:ind w:right="200"/>
              <w:jc w:val="center"/>
              <w:rPr>
                <w:rFonts w:ascii="Calibri" w:hAnsi="Calibri" w:cs="Calibri"/>
                <w:b/>
                <w:sz w:val="52"/>
                <w:szCs w:val="52"/>
              </w:rPr>
            </w:pPr>
            <w:r w:rsidRPr="00907D75">
              <w:rPr>
                <w:rFonts w:ascii="Calibri" w:hAnsi="Calibri" w:cs="Calibri"/>
                <w:b/>
                <w:sz w:val="52"/>
                <w:szCs w:val="52"/>
              </w:rPr>
              <w:t xml:space="preserve">Statement </w:t>
            </w:r>
            <w:r w:rsidRPr="00907D75">
              <w:rPr>
                <w:rFonts w:ascii="Calibri" w:hAnsi="Calibri" w:cs="Calibri"/>
                <w:b/>
                <w:sz w:val="52"/>
                <w:szCs w:val="52"/>
              </w:rPr>
              <w:br/>
              <w:t xml:space="preserve">of </w:t>
            </w:r>
            <w:r w:rsidR="00811B96" w:rsidRPr="00907D75">
              <w:rPr>
                <w:rFonts w:ascii="Calibri" w:hAnsi="Calibri" w:cs="Calibri"/>
                <w:b/>
                <w:sz w:val="52"/>
                <w:szCs w:val="52"/>
              </w:rPr>
              <w:t>the Case</w:t>
            </w:r>
          </w:p>
        </w:tc>
        <w:tc>
          <w:tcPr>
            <w:tcW w:w="5805" w:type="dxa"/>
            <w:vAlign w:val="center"/>
          </w:tcPr>
          <w:p w14:paraId="4734DDA3" w14:textId="4D68F589" w:rsidR="00053A11" w:rsidRPr="00907D75" w:rsidRDefault="00053A11" w:rsidP="0057593C">
            <w:pPr>
              <w:pStyle w:val="O-BodyText"/>
              <w:spacing w:after="120"/>
              <w:ind w:left="290" w:right="65"/>
              <w:jc w:val="center"/>
              <w:rPr>
                <w:rFonts w:ascii="Calibri" w:hAnsi="Calibri" w:cs="Calibri"/>
                <w:b/>
                <w:sz w:val="52"/>
                <w:szCs w:val="52"/>
              </w:rPr>
            </w:pPr>
            <w:r w:rsidRPr="00907D75">
              <w:rPr>
                <w:rFonts w:ascii="Calibri" w:hAnsi="Calibri" w:cs="Calibri"/>
                <w:b/>
                <w:sz w:val="52"/>
                <w:szCs w:val="52"/>
              </w:rPr>
              <w:t>Color</w:t>
            </w:r>
            <w:r w:rsidR="003431B5">
              <w:rPr>
                <w:rFonts w:ascii="Calibri" w:hAnsi="Calibri" w:cs="Calibri"/>
                <w:b/>
                <w:sz w:val="52"/>
                <w:szCs w:val="52"/>
              </w:rPr>
              <w:t>:  Yellow</w:t>
            </w:r>
          </w:p>
        </w:tc>
      </w:tr>
      <w:tr w:rsidR="00AC4428" w:rsidRPr="00907D75" w14:paraId="25648A08" w14:textId="77777777" w:rsidTr="0057593C">
        <w:trPr>
          <w:trHeight w:val="4795"/>
        </w:trPr>
        <w:tc>
          <w:tcPr>
            <w:tcW w:w="5805" w:type="dxa"/>
            <w:vAlign w:val="center"/>
          </w:tcPr>
          <w:p w14:paraId="38D4D8AD" w14:textId="2BBB8A8C" w:rsidR="00AC4428" w:rsidRPr="00907D75" w:rsidRDefault="00437F16" w:rsidP="0057593C">
            <w:pPr>
              <w:pStyle w:val="O-BodyText"/>
              <w:spacing w:after="120"/>
              <w:ind w:right="200"/>
              <w:jc w:val="both"/>
              <w:rPr>
                <w:rFonts w:ascii="Calibri" w:hAnsi="Calibri" w:cs="Calibri"/>
                <w:b/>
                <w:sz w:val="28"/>
                <w:szCs w:val="28"/>
              </w:rPr>
            </w:pPr>
            <w:bookmarkStart w:id="0" w:name="_Hlk535571930"/>
            <w:r>
              <w:rPr>
                <w:rFonts w:ascii="Calibri" w:hAnsi="Calibri" w:cs="Calibri"/>
                <w:b/>
                <w:sz w:val="28"/>
                <w:szCs w:val="28"/>
              </w:rPr>
              <w:t>What does DISH do?</w:t>
            </w:r>
          </w:p>
        </w:tc>
        <w:tc>
          <w:tcPr>
            <w:tcW w:w="5805" w:type="dxa"/>
            <w:vAlign w:val="center"/>
          </w:tcPr>
          <w:p w14:paraId="5889468E" w14:textId="2E1B69C4" w:rsidR="00AC4428" w:rsidRPr="00907D75" w:rsidRDefault="00AD2DC3" w:rsidP="0057593C">
            <w:pPr>
              <w:pStyle w:val="O-BodyText"/>
              <w:spacing w:after="120"/>
              <w:ind w:left="290" w:right="65"/>
              <w:jc w:val="both"/>
              <w:rPr>
                <w:rFonts w:ascii="Calibri" w:hAnsi="Calibri" w:cs="Calibri"/>
                <w:b/>
                <w:sz w:val="22"/>
                <w:szCs w:val="22"/>
              </w:rPr>
            </w:pPr>
            <w:r w:rsidRPr="00AD2DC3">
              <w:rPr>
                <w:rFonts w:ascii="Calibri" w:hAnsi="Calibri" w:cs="Calibri"/>
                <w:b/>
                <w:sz w:val="22"/>
                <w:szCs w:val="22"/>
              </w:rPr>
              <w:t>DISH is one of the largest pay-television providers in the country</w:t>
            </w:r>
            <w:r w:rsidR="005D723B">
              <w:rPr>
                <w:rFonts w:ascii="Calibri" w:hAnsi="Calibri" w:cs="Calibri"/>
                <w:b/>
                <w:sz w:val="22"/>
                <w:szCs w:val="22"/>
              </w:rPr>
              <w:t>.</w:t>
            </w:r>
          </w:p>
        </w:tc>
      </w:tr>
      <w:tr w:rsidR="00145379" w:rsidRPr="00907D75" w14:paraId="0119FE10" w14:textId="77777777" w:rsidTr="0057593C">
        <w:trPr>
          <w:trHeight w:val="4795"/>
        </w:trPr>
        <w:tc>
          <w:tcPr>
            <w:tcW w:w="5805" w:type="dxa"/>
            <w:vAlign w:val="center"/>
          </w:tcPr>
          <w:p w14:paraId="18D330C7" w14:textId="54AE5997" w:rsidR="00145379" w:rsidRDefault="00145379" w:rsidP="0057593C">
            <w:pPr>
              <w:pStyle w:val="O-BodyText"/>
              <w:spacing w:after="120"/>
              <w:ind w:right="200"/>
              <w:jc w:val="both"/>
              <w:rPr>
                <w:rFonts w:ascii="Calibri" w:hAnsi="Calibri" w:cs="Calibri"/>
                <w:b/>
                <w:sz w:val="28"/>
                <w:szCs w:val="28"/>
              </w:rPr>
            </w:pPr>
            <w:r>
              <w:rPr>
                <w:rFonts w:ascii="Calibri" w:hAnsi="Calibri" w:cs="Calibri"/>
                <w:b/>
                <w:sz w:val="28"/>
                <w:szCs w:val="28"/>
              </w:rPr>
              <w:t>How does DISH advertise its services?</w:t>
            </w:r>
          </w:p>
        </w:tc>
        <w:tc>
          <w:tcPr>
            <w:tcW w:w="5805" w:type="dxa"/>
            <w:vAlign w:val="center"/>
          </w:tcPr>
          <w:p w14:paraId="7902F265" w14:textId="171303D8" w:rsidR="00145379" w:rsidRPr="00AD2DC3" w:rsidRDefault="00145379" w:rsidP="0057593C">
            <w:pPr>
              <w:pStyle w:val="O-BodyText"/>
              <w:spacing w:after="120"/>
              <w:ind w:left="290" w:right="65"/>
              <w:jc w:val="both"/>
              <w:rPr>
                <w:rFonts w:ascii="Calibri" w:hAnsi="Calibri" w:cs="Calibri"/>
                <w:b/>
                <w:sz w:val="22"/>
                <w:szCs w:val="22"/>
              </w:rPr>
            </w:pPr>
            <w:r w:rsidRPr="00145379">
              <w:rPr>
                <w:rFonts w:ascii="Calibri" w:hAnsi="Calibri" w:cs="Calibri"/>
                <w:b/>
                <w:sz w:val="22"/>
                <w:szCs w:val="22"/>
              </w:rPr>
              <w:t xml:space="preserve">DISH contracts with thousands of independent retailers </w:t>
            </w:r>
            <w:r>
              <w:rPr>
                <w:rFonts w:ascii="Calibri" w:hAnsi="Calibri" w:cs="Calibri"/>
                <w:b/>
                <w:sz w:val="22"/>
                <w:szCs w:val="22"/>
              </w:rPr>
              <w:t>t</w:t>
            </w:r>
            <w:r w:rsidRPr="00145379">
              <w:rPr>
                <w:rFonts w:ascii="Calibri" w:hAnsi="Calibri" w:cs="Calibri"/>
                <w:b/>
                <w:sz w:val="22"/>
                <w:szCs w:val="22"/>
              </w:rPr>
              <w:t>o help market its satellite TV subscription service.</w:t>
            </w:r>
          </w:p>
        </w:tc>
      </w:tr>
      <w:bookmarkEnd w:id="0"/>
      <w:tr w:rsidR="00B77EF0" w:rsidRPr="00907D75" w14:paraId="58A03A6F" w14:textId="77777777" w:rsidTr="0057593C">
        <w:trPr>
          <w:trHeight w:val="4795"/>
        </w:trPr>
        <w:tc>
          <w:tcPr>
            <w:tcW w:w="5805" w:type="dxa"/>
            <w:vAlign w:val="center"/>
          </w:tcPr>
          <w:p w14:paraId="38661457" w14:textId="373DC691" w:rsidR="00B77EF0" w:rsidRPr="00907D75" w:rsidRDefault="00622804" w:rsidP="0057593C">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does DISH work with its independent retailers</w:t>
            </w:r>
            <w:r w:rsidR="00B77EF0" w:rsidRPr="00907D75">
              <w:rPr>
                <w:rFonts w:ascii="Calibri" w:hAnsi="Calibri" w:cs="Calibri"/>
                <w:b/>
                <w:sz w:val="28"/>
                <w:szCs w:val="28"/>
              </w:rPr>
              <w:t>?</w:t>
            </w:r>
          </w:p>
        </w:tc>
        <w:tc>
          <w:tcPr>
            <w:tcW w:w="5805" w:type="dxa"/>
            <w:vAlign w:val="center"/>
          </w:tcPr>
          <w:p w14:paraId="3F271011" w14:textId="726FA466" w:rsidR="00B77EF0" w:rsidRPr="00907D75" w:rsidRDefault="00622804" w:rsidP="00622804">
            <w:pPr>
              <w:pStyle w:val="O-BodyText"/>
              <w:spacing w:after="120"/>
              <w:ind w:left="290" w:right="65"/>
              <w:jc w:val="both"/>
              <w:rPr>
                <w:rFonts w:ascii="Calibri" w:hAnsi="Calibri" w:cs="Calibri"/>
                <w:b/>
                <w:sz w:val="22"/>
                <w:szCs w:val="22"/>
              </w:rPr>
            </w:pPr>
            <w:proofErr w:type="spellStart"/>
            <w:r w:rsidRPr="00622804">
              <w:rPr>
                <w:rFonts w:ascii="Calibri" w:hAnsi="Calibri" w:cs="Calibri"/>
                <w:b/>
                <w:sz w:val="22"/>
                <w:szCs w:val="22"/>
              </w:rPr>
              <w:t>DISH’s</w:t>
            </w:r>
            <w:proofErr w:type="spellEnd"/>
            <w:r w:rsidRPr="00622804">
              <w:rPr>
                <w:rFonts w:ascii="Calibri" w:hAnsi="Calibri" w:cs="Calibri"/>
                <w:b/>
                <w:sz w:val="22"/>
                <w:szCs w:val="22"/>
              </w:rPr>
              <w:t xml:space="preserve"> contracts with retailers contain standards and guidelines for how retailers should market </w:t>
            </w:r>
            <w:proofErr w:type="spellStart"/>
            <w:r w:rsidRPr="00622804">
              <w:rPr>
                <w:rFonts w:ascii="Calibri" w:hAnsi="Calibri" w:cs="Calibri"/>
                <w:b/>
                <w:sz w:val="22"/>
                <w:szCs w:val="22"/>
              </w:rPr>
              <w:t>DISH’s</w:t>
            </w:r>
            <w:proofErr w:type="spellEnd"/>
            <w:r w:rsidRPr="00622804">
              <w:rPr>
                <w:rFonts w:ascii="Calibri" w:hAnsi="Calibri" w:cs="Calibri"/>
                <w:b/>
                <w:sz w:val="22"/>
                <w:szCs w:val="22"/>
              </w:rPr>
              <w:t xml:space="preserve"> products.</w:t>
            </w:r>
            <w:r>
              <w:rPr>
                <w:rFonts w:ascii="Calibri" w:hAnsi="Calibri" w:cs="Calibri"/>
                <w:b/>
                <w:sz w:val="22"/>
                <w:szCs w:val="22"/>
              </w:rPr>
              <w:t xml:space="preserve">  </w:t>
            </w:r>
            <w:r w:rsidRPr="00622804">
              <w:rPr>
                <w:rFonts w:ascii="Calibri" w:hAnsi="Calibri" w:cs="Calibri"/>
                <w:b/>
                <w:sz w:val="22"/>
                <w:szCs w:val="22"/>
              </w:rPr>
              <w:t>But the retailers operate</w:t>
            </w:r>
            <w:r>
              <w:rPr>
                <w:rFonts w:ascii="Calibri" w:hAnsi="Calibri" w:cs="Calibri"/>
                <w:b/>
                <w:sz w:val="22"/>
                <w:szCs w:val="22"/>
              </w:rPr>
              <w:t xml:space="preserve"> </w:t>
            </w:r>
            <w:r w:rsidRPr="00622804">
              <w:rPr>
                <w:rFonts w:ascii="Calibri" w:hAnsi="Calibri" w:cs="Calibri"/>
                <w:b/>
                <w:sz w:val="22"/>
                <w:szCs w:val="22"/>
              </w:rPr>
              <w:t>independently:  They maintain their own offices, hire their own</w:t>
            </w:r>
            <w:r>
              <w:rPr>
                <w:rFonts w:ascii="Calibri" w:hAnsi="Calibri" w:cs="Calibri"/>
                <w:b/>
                <w:sz w:val="22"/>
                <w:szCs w:val="22"/>
              </w:rPr>
              <w:t xml:space="preserve"> e</w:t>
            </w:r>
            <w:r w:rsidRPr="00622804">
              <w:rPr>
                <w:rFonts w:ascii="Calibri" w:hAnsi="Calibri" w:cs="Calibri"/>
                <w:b/>
                <w:sz w:val="22"/>
                <w:szCs w:val="22"/>
              </w:rPr>
              <w:t xml:space="preserve">mployees, create </w:t>
            </w:r>
            <w:r w:rsidR="00145379">
              <w:rPr>
                <w:rFonts w:ascii="Calibri" w:hAnsi="Calibri" w:cs="Calibri"/>
                <w:b/>
                <w:sz w:val="22"/>
                <w:szCs w:val="22"/>
              </w:rPr>
              <w:t>their own marketing strategies</w:t>
            </w:r>
            <w:r w:rsidRPr="00622804">
              <w:rPr>
                <w:rFonts w:ascii="Calibri" w:hAnsi="Calibri" w:cs="Calibri"/>
                <w:b/>
                <w:sz w:val="22"/>
                <w:szCs w:val="22"/>
              </w:rPr>
              <w:t xml:space="preserve">, and </w:t>
            </w:r>
            <w:r w:rsidR="00145379">
              <w:rPr>
                <w:rFonts w:ascii="Calibri" w:hAnsi="Calibri" w:cs="Calibri"/>
                <w:b/>
                <w:sz w:val="22"/>
                <w:szCs w:val="22"/>
              </w:rPr>
              <w:t xml:space="preserve">may </w:t>
            </w:r>
            <w:r w:rsidRPr="00622804">
              <w:rPr>
                <w:rFonts w:ascii="Calibri" w:hAnsi="Calibri" w:cs="Calibri"/>
                <w:b/>
                <w:sz w:val="22"/>
                <w:szCs w:val="22"/>
              </w:rPr>
              <w:t xml:space="preserve">even market </w:t>
            </w:r>
            <w:proofErr w:type="spellStart"/>
            <w:r w:rsidRPr="00622804">
              <w:rPr>
                <w:rFonts w:ascii="Calibri" w:hAnsi="Calibri" w:cs="Calibri"/>
                <w:b/>
                <w:sz w:val="22"/>
                <w:szCs w:val="22"/>
              </w:rPr>
              <w:t>DISH’s</w:t>
            </w:r>
            <w:proofErr w:type="spellEnd"/>
            <w:r w:rsidRPr="00622804">
              <w:rPr>
                <w:rFonts w:ascii="Calibri" w:hAnsi="Calibri" w:cs="Calibri"/>
                <w:b/>
                <w:sz w:val="22"/>
                <w:szCs w:val="22"/>
              </w:rPr>
              <w:t xml:space="preserve"> competitors.</w:t>
            </w:r>
          </w:p>
        </w:tc>
      </w:tr>
      <w:tr w:rsidR="00363A6A" w:rsidRPr="00907D75" w14:paraId="5B00E5DD" w14:textId="77777777" w:rsidTr="0057593C">
        <w:trPr>
          <w:trHeight w:val="4795"/>
        </w:trPr>
        <w:tc>
          <w:tcPr>
            <w:tcW w:w="5805" w:type="dxa"/>
            <w:vAlign w:val="center"/>
          </w:tcPr>
          <w:p w14:paraId="3185089A" w14:textId="45227A2C" w:rsidR="00363A6A" w:rsidRPr="00907D75" w:rsidRDefault="00363A6A"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was </w:t>
            </w:r>
            <w:proofErr w:type="spellStart"/>
            <w:r>
              <w:rPr>
                <w:rFonts w:ascii="Calibri" w:hAnsi="Calibri" w:cs="Calibri"/>
                <w:b/>
                <w:sz w:val="28"/>
                <w:szCs w:val="28"/>
              </w:rPr>
              <w:t>DISH’s</w:t>
            </w:r>
            <w:proofErr w:type="spellEnd"/>
            <w:r>
              <w:rPr>
                <w:rFonts w:ascii="Calibri" w:hAnsi="Calibri" w:cs="Calibri"/>
                <w:b/>
                <w:sz w:val="28"/>
                <w:szCs w:val="28"/>
              </w:rPr>
              <w:t xml:space="preserve"> relationship with SSN</w:t>
            </w:r>
            <w:r w:rsidRPr="00907D75">
              <w:rPr>
                <w:rFonts w:ascii="Calibri" w:hAnsi="Calibri" w:cs="Calibri"/>
                <w:b/>
                <w:sz w:val="28"/>
                <w:szCs w:val="28"/>
              </w:rPr>
              <w:t>?</w:t>
            </w:r>
          </w:p>
        </w:tc>
        <w:tc>
          <w:tcPr>
            <w:tcW w:w="5805" w:type="dxa"/>
            <w:vAlign w:val="center"/>
          </w:tcPr>
          <w:p w14:paraId="57A7CA18" w14:textId="0C0A0123" w:rsidR="00363A6A" w:rsidRPr="00907D75" w:rsidRDefault="00363A6A" w:rsidP="00363A6A">
            <w:pPr>
              <w:pStyle w:val="O-BodyText"/>
              <w:spacing w:after="120"/>
              <w:ind w:left="290" w:right="65"/>
              <w:jc w:val="both"/>
              <w:rPr>
                <w:rFonts w:ascii="Calibri" w:hAnsi="Calibri" w:cs="Calibri"/>
                <w:b/>
                <w:sz w:val="22"/>
                <w:szCs w:val="22"/>
              </w:rPr>
            </w:pPr>
            <w:r>
              <w:rPr>
                <w:rFonts w:ascii="Calibri" w:hAnsi="Calibri" w:cs="Calibri"/>
                <w:b/>
                <w:sz w:val="22"/>
                <w:szCs w:val="22"/>
              </w:rPr>
              <w:t xml:space="preserve">SSN was one of the independent retailers that marketed </w:t>
            </w:r>
            <w:proofErr w:type="spellStart"/>
            <w:r>
              <w:rPr>
                <w:rFonts w:ascii="Calibri" w:hAnsi="Calibri" w:cs="Calibri"/>
                <w:b/>
                <w:sz w:val="22"/>
                <w:szCs w:val="22"/>
              </w:rPr>
              <w:t>DISH’s</w:t>
            </w:r>
            <w:proofErr w:type="spellEnd"/>
            <w:r>
              <w:rPr>
                <w:rFonts w:ascii="Calibri" w:hAnsi="Calibri" w:cs="Calibri"/>
                <w:b/>
                <w:sz w:val="22"/>
                <w:szCs w:val="22"/>
              </w:rPr>
              <w:t xml:space="preserve"> products</w:t>
            </w:r>
            <w:r w:rsidR="00B91217">
              <w:rPr>
                <w:rFonts w:ascii="Calibri" w:hAnsi="Calibri" w:cs="Calibri"/>
                <w:b/>
                <w:sz w:val="22"/>
                <w:szCs w:val="22"/>
              </w:rPr>
              <w:t>.</w:t>
            </w:r>
            <w:r w:rsidR="00B91217" w:rsidRPr="00363A6A">
              <w:rPr>
                <w:rFonts w:ascii="Calibri" w:hAnsi="Calibri" w:cs="Calibri"/>
                <w:b/>
                <w:sz w:val="22"/>
                <w:szCs w:val="22"/>
              </w:rPr>
              <w:t xml:space="preserve">  </w:t>
            </w:r>
            <w:r w:rsidRPr="00363A6A">
              <w:rPr>
                <w:rFonts w:ascii="Calibri" w:hAnsi="Calibri" w:cs="Calibri"/>
                <w:b/>
                <w:sz w:val="22"/>
                <w:szCs w:val="22"/>
              </w:rPr>
              <w:t>SSN’s contract specified that it was an “INDEPENDENT CONTRACTOR” that would “market, promote and solicit [DISH] orders” on a “non- exclusive basis.”</w:t>
            </w:r>
          </w:p>
        </w:tc>
      </w:tr>
      <w:tr w:rsidR="00363A6A" w:rsidRPr="00907D75" w14:paraId="561488EF" w14:textId="77777777" w:rsidTr="008649A2">
        <w:trPr>
          <w:trHeight w:val="4795"/>
        </w:trPr>
        <w:tc>
          <w:tcPr>
            <w:tcW w:w="5805" w:type="dxa"/>
            <w:vAlign w:val="center"/>
          </w:tcPr>
          <w:p w14:paraId="5D772C7C" w14:textId="12EEB34A" w:rsidR="00363A6A" w:rsidRPr="00907D75" w:rsidRDefault="00363A6A" w:rsidP="008649A2">
            <w:pPr>
              <w:pStyle w:val="O-BodyText"/>
              <w:spacing w:after="120"/>
              <w:ind w:right="200"/>
              <w:jc w:val="both"/>
              <w:rPr>
                <w:rFonts w:ascii="Calibri" w:hAnsi="Calibri" w:cs="Calibri"/>
                <w:b/>
                <w:sz w:val="28"/>
                <w:szCs w:val="28"/>
              </w:rPr>
            </w:pPr>
            <w:r>
              <w:rPr>
                <w:rFonts w:ascii="Calibri" w:hAnsi="Calibri" w:cs="Calibri"/>
                <w:b/>
                <w:sz w:val="28"/>
                <w:szCs w:val="28"/>
              </w:rPr>
              <w:t>Why does DISH work with independent contractors</w:t>
            </w:r>
            <w:r w:rsidRPr="00907D75">
              <w:rPr>
                <w:rFonts w:ascii="Calibri" w:hAnsi="Calibri" w:cs="Calibri"/>
                <w:b/>
                <w:sz w:val="28"/>
                <w:szCs w:val="28"/>
              </w:rPr>
              <w:t>?</w:t>
            </w:r>
          </w:p>
        </w:tc>
        <w:tc>
          <w:tcPr>
            <w:tcW w:w="5805" w:type="dxa"/>
            <w:vAlign w:val="center"/>
          </w:tcPr>
          <w:p w14:paraId="4E7B477F" w14:textId="748A3074" w:rsidR="00363A6A" w:rsidRPr="00363A6A" w:rsidRDefault="00145379" w:rsidP="00363A6A">
            <w:pPr>
              <w:pStyle w:val="O-BodyText"/>
              <w:spacing w:after="120"/>
              <w:ind w:left="290" w:right="65"/>
              <w:jc w:val="both"/>
              <w:rPr>
                <w:rFonts w:ascii="Calibri" w:hAnsi="Calibri" w:cs="Calibri"/>
                <w:b/>
                <w:sz w:val="22"/>
                <w:szCs w:val="22"/>
              </w:rPr>
            </w:pPr>
            <w:r>
              <w:rPr>
                <w:rFonts w:ascii="Calibri" w:hAnsi="Calibri" w:cs="Calibri"/>
                <w:b/>
                <w:sz w:val="22"/>
                <w:szCs w:val="22"/>
              </w:rPr>
              <w:t>Working with</w:t>
            </w:r>
            <w:r w:rsidR="00363A6A" w:rsidRPr="00363A6A">
              <w:rPr>
                <w:rFonts w:ascii="Calibri" w:hAnsi="Calibri" w:cs="Calibri"/>
                <w:b/>
                <w:sz w:val="22"/>
                <w:szCs w:val="22"/>
              </w:rPr>
              <w:t xml:space="preserve"> independent contractors is common, lawful, and good business:  It allows one company to leverage other compan</w:t>
            </w:r>
            <w:r>
              <w:rPr>
                <w:rFonts w:ascii="Calibri" w:hAnsi="Calibri" w:cs="Calibri"/>
                <w:b/>
                <w:sz w:val="22"/>
                <w:szCs w:val="22"/>
              </w:rPr>
              <w:t xml:space="preserve">y’s </w:t>
            </w:r>
            <w:r w:rsidR="00363A6A" w:rsidRPr="00363A6A">
              <w:rPr>
                <w:rFonts w:ascii="Calibri" w:hAnsi="Calibri" w:cs="Calibri"/>
                <w:b/>
                <w:sz w:val="22"/>
                <w:szCs w:val="22"/>
              </w:rPr>
              <w:t>specialized skills and efficiency.</w:t>
            </w:r>
          </w:p>
          <w:p w14:paraId="3FF2863C" w14:textId="6A52040B" w:rsidR="00363A6A" w:rsidRPr="00907D75" w:rsidRDefault="00363A6A" w:rsidP="008649A2">
            <w:pPr>
              <w:pStyle w:val="O-BodyText"/>
              <w:spacing w:after="120"/>
              <w:ind w:left="290" w:right="65"/>
              <w:jc w:val="both"/>
              <w:rPr>
                <w:rFonts w:ascii="Calibri" w:hAnsi="Calibri" w:cs="Calibri"/>
                <w:b/>
                <w:sz w:val="22"/>
                <w:szCs w:val="22"/>
              </w:rPr>
            </w:pPr>
          </w:p>
        </w:tc>
      </w:tr>
      <w:tr w:rsidR="00363A6A" w:rsidRPr="00907D75" w14:paraId="1376C3E4" w14:textId="77777777" w:rsidTr="0057593C">
        <w:trPr>
          <w:trHeight w:val="4795"/>
        </w:trPr>
        <w:tc>
          <w:tcPr>
            <w:tcW w:w="5805" w:type="dxa"/>
            <w:vAlign w:val="center"/>
          </w:tcPr>
          <w:p w14:paraId="1476CD9D" w14:textId="6B8BD684" w:rsidR="00363A6A" w:rsidRPr="00907D75" w:rsidRDefault="005F148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does DISH do to make sure that its contractors comply with the law?</w:t>
            </w:r>
          </w:p>
        </w:tc>
        <w:tc>
          <w:tcPr>
            <w:tcW w:w="5805" w:type="dxa"/>
            <w:vAlign w:val="center"/>
          </w:tcPr>
          <w:p w14:paraId="2CBAC07A" w14:textId="64B3A4E1" w:rsidR="00363A6A" w:rsidRPr="00907D75" w:rsidRDefault="0064515C" w:rsidP="005F1489">
            <w:pPr>
              <w:pStyle w:val="O-BodyText"/>
              <w:spacing w:after="120"/>
              <w:ind w:left="290" w:right="65"/>
              <w:jc w:val="both"/>
              <w:rPr>
                <w:rFonts w:ascii="Calibri" w:hAnsi="Calibri" w:cs="Calibri"/>
                <w:b/>
                <w:sz w:val="22"/>
                <w:szCs w:val="22"/>
              </w:rPr>
            </w:pPr>
            <w:r w:rsidRPr="0064515C">
              <w:rPr>
                <w:rFonts w:ascii="Calibri" w:hAnsi="Calibri" w:cs="Calibri"/>
                <w:b/>
                <w:sz w:val="22"/>
                <w:szCs w:val="22"/>
              </w:rPr>
              <w:t>DISH has a compliance program with dedicated employees who remind retailers of their legal obligations, and who address consumer complaints</w:t>
            </w:r>
            <w:proofErr w:type="gramStart"/>
            <w:r w:rsidRPr="0064515C">
              <w:rPr>
                <w:rFonts w:ascii="Calibri" w:hAnsi="Calibri" w:cs="Calibri"/>
                <w:b/>
                <w:sz w:val="22"/>
                <w:szCs w:val="22"/>
              </w:rPr>
              <w:t>.</w:t>
            </w:r>
            <w:r w:rsidR="00CE2B4B">
              <w:rPr>
                <w:rFonts w:ascii="Calibri" w:hAnsi="Calibri" w:cs="Calibri"/>
                <w:b/>
                <w:sz w:val="22"/>
                <w:szCs w:val="22"/>
              </w:rPr>
              <w:t xml:space="preserve"> </w:t>
            </w:r>
            <w:proofErr w:type="gramEnd"/>
            <w:r w:rsidR="009465DF">
              <w:rPr>
                <w:rFonts w:ascii="Calibri" w:hAnsi="Calibri" w:cs="Calibri"/>
                <w:b/>
                <w:sz w:val="22"/>
                <w:szCs w:val="22"/>
              </w:rPr>
              <w:t>DISH works to ensure that its</w:t>
            </w:r>
            <w:r w:rsidR="00CE2B4B">
              <w:rPr>
                <w:rFonts w:ascii="Calibri" w:hAnsi="Calibri" w:cs="Calibri"/>
                <w:b/>
                <w:sz w:val="22"/>
                <w:szCs w:val="22"/>
              </w:rPr>
              <w:t xml:space="preserve"> </w:t>
            </w:r>
            <w:r w:rsidR="00CE2B4B" w:rsidRPr="005F1489">
              <w:rPr>
                <w:rFonts w:ascii="Calibri" w:hAnsi="Calibri" w:cs="Calibri"/>
                <w:b/>
                <w:sz w:val="22"/>
                <w:szCs w:val="22"/>
              </w:rPr>
              <w:t>contractors comply with the law,</w:t>
            </w:r>
            <w:r w:rsidR="00CE2B4B">
              <w:rPr>
                <w:rFonts w:ascii="Calibri" w:hAnsi="Calibri" w:cs="Calibri"/>
                <w:b/>
                <w:sz w:val="22"/>
                <w:szCs w:val="22"/>
              </w:rPr>
              <w:t xml:space="preserve"> a</w:t>
            </w:r>
            <w:r w:rsidR="00CE2B4B" w:rsidRPr="005F1489">
              <w:rPr>
                <w:rFonts w:ascii="Calibri" w:hAnsi="Calibri" w:cs="Calibri"/>
                <w:b/>
                <w:sz w:val="22"/>
                <w:szCs w:val="22"/>
              </w:rPr>
              <w:t xml:space="preserve">mong other reasons, </w:t>
            </w:r>
            <w:r w:rsidR="009465DF">
              <w:rPr>
                <w:rFonts w:ascii="Calibri" w:hAnsi="Calibri" w:cs="Calibri"/>
                <w:b/>
                <w:sz w:val="22"/>
                <w:szCs w:val="22"/>
              </w:rPr>
              <w:t xml:space="preserve">because </w:t>
            </w:r>
            <w:r w:rsidR="00CE2B4B" w:rsidRPr="005F1489">
              <w:rPr>
                <w:rFonts w:ascii="Calibri" w:hAnsi="Calibri" w:cs="Calibri"/>
                <w:b/>
                <w:sz w:val="22"/>
                <w:szCs w:val="22"/>
              </w:rPr>
              <w:t xml:space="preserve">telemarketing violations damage </w:t>
            </w:r>
            <w:proofErr w:type="spellStart"/>
            <w:r w:rsidR="00CE2B4B" w:rsidRPr="005F1489">
              <w:rPr>
                <w:rFonts w:ascii="Calibri" w:hAnsi="Calibri" w:cs="Calibri"/>
                <w:b/>
                <w:sz w:val="22"/>
                <w:szCs w:val="22"/>
              </w:rPr>
              <w:t>DISH’s</w:t>
            </w:r>
            <w:proofErr w:type="spellEnd"/>
            <w:r w:rsidR="00CE2B4B" w:rsidRPr="005F1489">
              <w:rPr>
                <w:rFonts w:ascii="Calibri" w:hAnsi="Calibri" w:cs="Calibri"/>
                <w:b/>
                <w:sz w:val="22"/>
                <w:szCs w:val="22"/>
              </w:rPr>
              <w:t xml:space="preserve"> business and brand.</w:t>
            </w:r>
            <w:r w:rsidR="00CE2B4B">
              <w:rPr>
                <w:rFonts w:ascii="Calibri" w:hAnsi="Calibri" w:cs="Calibri"/>
                <w:b/>
                <w:sz w:val="22"/>
                <w:szCs w:val="22"/>
              </w:rPr>
              <w:t xml:space="preserve">  </w:t>
            </w:r>
          </w:p>
        </w:tc>
      </w:tr>
      <w:tr w:rsidR="005F1489" w:rsidRPr="00907D75" w14:paraId="502B2964" w14:textId="77777777" w:rsidTr="0057593C">
        <w:trPr>
          <w:trHeight w:val="4795"/>
        </w:trPr>
        <w:tc>
          <w:tcPr>
            <w:tcW w:w="5805" w:type="dxa"/>
            <w:vAlign w:val="center"/>
          </w:tcPr>
          <w:p w14:paraId="1BF6649D" w14:textId="0D8CBF96" w:rsidR="005F1489" w:rsidRDefault="005F1489"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DISH do to make sure </w:t>
            </w:r>
            <w:r w:rsidR="0064515C">
              <w:rPr>
                <w:rFonts w:ascii="Calibri" w:hAnsi="Calibri" w:cs="Calibri"/>
                <w:b/>
                <w:sz w:val="28"/>
                <w:szCs w:val="28"/>
              </w:rPr>
              <w:t xml:space="preserve">that </w:t>
            </w:r>
            <w:r>
              <w:rPr>
                <w:rFonts w:ascii="Calibri" w:hAnsi="Calibri" w:cs="Calibri"/>
                <w:b/>
                <w:sz w:val="28"/>
                <w:szCs w:val="28"/>
              </w:rPr>
              <w:t>SSN was complying with the law?</w:t>
            </w:r>
          </w:p>
        </w:tc>
        <w:tc>
          <w:tcPr>
            <w:tcW w:w="5805" w:type="dxa"/>
            <w:vAlign w:val="center"/>
          </w:tcPr>
          <w:p w14:paraId="567E8E6F" w14:textId="58277DA0" w:rsidR="005F1489" w:rsidRPr="005F1489" w:rsidRDefault="005F1489" w:rsidP="005F1489">
            <w:pPr>
              <w:pStyle w:val="O-BodyText"/>
              <w:spacing w:after="120"/>
              <w:ind w:left="290" w:right="65"/>
              <w:jc w:val="both"/>
              <w:rPr>
                <w:rFonts w:ascii="Calibri" w:hAnsi="Calibri" w:cs="Calibri"/>
                <w:b/>
                <w:sz w:val="22"/>
                <w:szCs w:val="22"/>
              </w:rPr>
            </w:pPr>
            <w:proofErr w:type="spellStart"/>
            <w:r w:rsidRPr="005F1489">
              <w:rPr>
                <w:rFonts w:ascii="Calibri" w:hAnsi="Calibri" w:cs="Calibri"/>
                <w:b/>
                <w:sz w:val="22"/>
                <w:szCs w:val="22"/>
              </w:rPr>
              <w:t>DISH’s</w:t>
            </w:r>
            <w:proofErr w:type="spellEnd"/>
            <w:r w:rsidRPr="005F1489">
              <w:rPr>
                <w:rFonts w:ascii="Calibri" w:hAnsi="Calibri" w:cs="Calibri"/>
                <w:b/>
                <w:sz w:val="22"/>
                <w:szCs w:val="22"/>
              </w:rPr>
              <w:t xml:space="preserve"> contract with SSN required SSN to comply with the </w:t>
            </w:r>
            <w:r w:rsidR="0064515C" w:rsidRPr="005F1489">
              <w:rPr>
                <w:rFonts w:ascii="Calibri" w:hAnsi="Calibri" w:cs="Calibri"/>
                <w:b/>
                <w:sz w:val="22"/>
                <w:szCs w:val="22"/>
              </w:rPr>
              <w:t>law and</w:t>
            </w:r>
            <w:r w:rsidRPr="005F1489">
              <w:rPr>
                <w:rFonts w:ascii="Calibri" w:hAnsi="Calibri" w:cs="Calibri"/>
                <w:b/>
                <w:sz w:val="22"/>
                <w:szCs w:val="22"/>
              </w:rPr>
              <w:t xml:space="preserve"> made SSN “solely responsible” for doing so.</w:t>
            </w:r>
          </w:p>
        </w:tc>
      </w:tr>
      <w:tr w:rsidR="0064515C" w:rsidRPr="00907D75" w14:paraId="5FC3A041" w14:textId="77777777" w:rsidTr="0057593C">
        <w:trPr>
          <w:trHeight w:val="4795"/>
        </w:trPr>
        <w:tc>
          <w:tcPr>
            <w:tcW w:w="5805" w:type="dxa"/>
            <w:vAlign w:val="center"/>
          </w:tcPr>
          <w:p w14:paraId="25864E4D" w14:textId="620C2B8A" w:rsidR="0064515C" w:rsidRDefault="0064515C" w:rsidP="00363A6A">
            <w:pPr>
              <w:pStyle w:val="O-BodyText"/>
              <w:spacing w:after="120"/>
              <w:ind w:right="200"/>
              <w:jc w:val="both"/>
              <w:rPr>
                <w:rFonts w:ascii="Calibri" w:hAnsi="Calibri" w:cs="Calibri"/>
                <w:b/>
                <w:sz w:val="28"/>
                <w:szCs w:val="28"/>
              </w:rPr>
            </w:pPr>
            <w:r>
              <w:rPr>
                <w:rFonts w:ascii="Calibri" w:hAnsi="Calibri" w:cs="Calibri"/>
                <w:b/>
                <w:sz w:val="28"/>
                <w:szCs w:val="28"/>
              </w:rPr>
              <w:t>Did DISH receive complaints about SSN?</w:t>
            </w:r>
          </w:p>
        </w:tc>
        <w:tc>
          <w:tcPr>
            <w:tcW w:w="5805" w:type="dxa"/>
            <w:vAlign w:val="center"/>
          </w:tcPr>
          <w:p w14:paraId="2C76AC7A" w14:textId="6AE868D0" w:rsidR="0064515C" w:rsidRPr="005F1489" w:rsidRDefault="0064515C" w:rsidP="0064515C">
            <w:pPr>
              <w:pStyle w:val="O-BodyText"/>
              <w:spacing w:after="120"/>
              <w:ind w:left="290" w:right="65"/>
              <w:jc w:val="both"/>
              <w:rPr>
                <w:rFonts w:ascii="Calibri" w:hAnsi="Calibri" w:cs="Calibri"/>
                <w:b/>
                <w:sz w:val="22"/>
                <w:szCs w:val="22"/>
              </w:rPr>
            </w:pPr>
            <w:r w:rsidRPr="0064515C">
              <w:rPr>
                <w:rFonts w:ascii="Calibri" w:hAnsi="Calibri" w:cs="Calibri"/>
                <w:b/>
                <w:sz w:val="22"/>
                <w:szCs w:val="22"/>
              </w:rPr>
              <w:t xml:space="preserve">From 2006 to May 2010—the four years preceding the class period—DISH received only five complaints </w:t>
            </w:r>
            <w:r w:rsidR="00BD515D">
              <w:rPr>
                <w:rFonts w:ascii="Calibri" w:hAnsi="Calibri" w:cs="Calibri"/>
                <w:b/>
                <w:sz w:val="22"/>
                <w:szCs w:val="22"/>
              </w:rPr>
              <w:t xml:space="preserve">about SSN violating the </w:t>
            </w:r>
            <w:r w:rsidRPr="0064515C">
              <w:rPr>
                <w:rFonts w:ascii="Calibri" w:hAnsi="Calibri" w:cs="Calibri"/>
                <w:b/>
                <w:sz w:val="22"/>
                <w:szCs w:val="22"/>
              </w:rPr>
              <w:t>Do</w:t>
            </w:r>
            <w:r w:rsidR="008634ED">
              <w:rPr>
                <w:rFonts w:ascii="Calibri" w:hAnsi="Calibri" w:cs="Calibri"/>
                <w:b/>
                <w:sz w:val="22"/>
                <w:szCs w:val="22"/>
              </w:rPr>
              <w:t xml:space="preserve"> </w:t>
            </w:r>
            <w:r w:rsidRPr="0064515C">
              <w:rPr>
                <w:rFonts w:ascii="Calibri" w:hAnsi="Calibri" w:cs="Calibri"/>
                <w:b/>
                <w:sz w:val="22"/>
                <w:szCs w:val="22"/>
              </w:rPr>
              <w:t>Not</w:t>
            </w:r>
            <w:r w:rsidR="008634ED">
              <w:rPr>
                <w:rFonts w:ascii="Calibri" w:hAnsi="Calibri" w:cs="Calibri"/>
                <w:b/>
                <w:sz w:val="22"/>
                <w:szCs w:val="22"/>
              </w:rPr>
              <w:t xml:space="preserve"> </w:t>
            </w:r>
            <w:r w:rsidR="00BD515D">
              <w:rPr>
                <w:rFonts w:ascii="Calibri" w:hAnsi="Calibri" w:cs="Calibri"/>
                <w:b/>
                <w:sz w:val="22"/>
                <w:szCs w:val="22"/>
              </w:rPr>
              <w:t>Call provisions.</w:t>
            </w:r>
          </w:p>
        </w:tc>
      </w:tr>
      <w:tr w:rsidR="0064515C" w:rsidRPr="00907D75" w14:paraId="0B2A1B44" w14:textId="77777777" w:rsidTr="0057593C">
        <w:trPr>
          <w:trHeight w:val="4795"/>
        </w:trPr>
        <w:tc>
          <w:tcPr>
            <w:tcW w:w="5805" w:type="dxa"/>
            <w:vAlign w:val="center"/>
          </w:tcPr>
          <w:p w14:paraId="0CDDAA5F" w14:textId="6C59966B" w:rsidR="0064515C" w:rsidRDefault="0064515C"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Would receiving five complaints over four years indicate a problem with an independent contractor?</w:t>
            </w:r>
          </w:p>
        </w:tc>
        <w:tc>
          <w:tcPr>
            <w:tcW w:w="5805" w:type="dxa"/>
            <w:vAlign w:val="center"/>
          </w:tcPr>
          <w:p w14:paraId="2EDDB9B5" w14:textId="4DF28DBC" w:rsidR="0064515C" w:rsidRPr="0064515C" w:rsidRDefault="0064515C" w:rsidP="0064515C">
            <w:pPr>
              <w:pStyle w:val="O-BodyText"/>
              <w:spacing w:after="120"/>
              <w:ind w:left="290" w:right="65"/>
              <w:jc w:val="both"/>
              <w:rPr>
                <w:rFonts w:ascii="Calibri" w:hAnsi="Calibri" w:cs="Calibri"/>
                <w:b/>
                <w:sz w:val="22"/>
                <w:szCs w:val="22"/>
              </w:rPr>
            </w:pPr>
            <w:r w:rsidRPr="0064515C">
              <w:rPr>
                <w:rFonts w:ascii="Calibri" w:hAnsi="Calibri" w:cs="Calibri"/>
                <w:b/>
                <w:sz w:val="22"/>
                <w:szCs w:val="22"/>
              </w:rPr>
              <w:t xml:space="preserve">As </w:t>
            </w:r>
            <w:proofErr w:type="spellStart"/>
            <w:r w:rsidRPr="0064515C">
              <w:rPr>
                <w:rFonts w:ascii="Calibri" w:hAnsi="Calibri" w:cs="Calibri"/>
                <w:b/>
                <w:sz w:val="22"/>
                <w:szCs w:val="22"/>
              </w:rPr>
              <w:t>DISH’s</w:t>
            </w:r>
            <w:proofErr w:type="spellEnd"/>
            <w:r w:rsidRPr="0064515C">
              <w:rPr>
                <w:rFonts w:ascii="Calibri" w:hAnsi="Calibri" w:cs="Calibri"/>
                <w:b/>
                <w:sz w:val="22"/>
                <w:szCs w:val="22"/>
              </w:rPr>
              <w:t xml:space="preserve"> compliance manager explained</w:t>
            </w:r>
            <w:r w:rsidR="00BD515D">
              <w:rPr>
                <w:rFonts w:ascii="Calibri" w:hAnsi="Calibri" w:cs="Calibri"/>
                <w:b/>
                <w:sz w:val="22"/>
                <w:szCs w:val="22"/>
              </w:rPr>
              <w:t xml:space="preserve"> during the trial</w:t>
            </w:r>
            <w:r w:rsidRPr="0064515C">
              <w:rPr>
                <w:rFonts w:ascii="Calibri" w:hAnsi="Calibri" w:cs="Calibri"/>
                <w:b/>
                <w:sz w:val="22"/>
                <w:szCs w:val="22"/>
              </w:rPr>
              <w:t>, a number that low</w:t>
            </w:r>
            <w:r>
              <w:rPr>
                <w:rFonts w:ascii="Calibri" w:hAnsi="Calibri" w:cs="Calibri"/>
                <w:b/>
                <w:sz w:val="22"/>
                <w:szCs w:val="22"/>
              </w:rPr>
              <w:t xml:space="preserve"> </w:t>
            </w:r>
            <w:r w:rsidRPr="0064515C">
              <w:rPr>
                <w:rFonts w:ascii="Calibri" w:hAnsi="Calibri" w:cs="Calibri"/>
                <w:b/>
                <w:sz w:val="22"/>
                <w:szCs w:val="22"/>
              </w:rPr>
              <w:t>indicates a retailer is generally “</w:t>
            </w:r>
            <w:r>
              <w:rPr>
                <w:rFonts w:ascii="Calibri" w:hAnsi="Calibri" w:cs="Calibri"/>
                <w:b/>
                <w:sz w:val="22"/>
                <w:szCs w:val="22"/>
              </w:rPr>
              <w:t>following the letter of the law,</w:t>
            </w:r>
            <w:r w:rsidRPr="0064515C">
              <w:rPr>
                <w:rFonts w:ascii="Calibri" w:hAnsi="Calibri" w:cs="Calibri"/>
                <w:b/>
                <w:sz w:val="22"/>
                <w:szCs w:val="22"/>
              </w:rPr>
              <w:t>”</w:t>
            </w:r>
            <w:r>
              <w:rPr>
                <w:rFonts w:ascii="Calibri" w:hAnsi="Calibri" w:cs="Calibri"/>
                <w:b/>
                <w:sz w:val="22"/>
                <w:szCs w:val="22"/>
              </w:rPr>
              <w:t xml:space="preserve"> and </w:t>
            </w:r>
            <w:r w:rsidRPr="0064515C">
              <w:rPr>
                <w:rFonts w:ascii="Calibri" w:hAnsi="Calibri" w:cs="Calibri"/>
                <w:b/>
                <w:sz w:val="22"/>
                <w:szCs w:val="22"/>
              </w:rPr>
              <w:t>suggests isolated “human error” and “innocent” mistakes rather than systemic disregard of the Do Not Call Registry.</w:t>
            </w:r>
          </w:p>
        </w:tc>
      </w:tr>
      <w:tr w:rsidR="0064515C" w:rsidRPr="00907D75" w14:paraId="7CAC9173" w14:textId="77777777" w:rsidTr="0057593C">
        <w:trPr>
          <w:trHeight w:val="4795"/>
        </w:trPr>
        <w:tc>
          <w:tcPr>
            <w:tcW w:w="5805" w:type="dxa"/>
            <w:vAlign w:val="center"/>
          </w:tcPr>
          <w:p w14:paraId="3BAF61DC" w14:textId="1BEF2B0B" w:rsidR="0064515C" w:rsidRDefault="0064515C" w:rsidP="00363A6A">
            <w:pPr>
              <w:pStyle w:val="O-BodyText"/>
              <w:spacing w:after="120"/>
              <w:ind w:right="200"/>
              <w:jc w:val="both"/>
              <w:rPr>
                <w:rFonts w:ascii="Calibri" w:hAnsi="Calibri" w:cs="Calibri"/>
                <w:b/>
                <w:sz w:val="28"/>
                <w:szCs w:val="28"/>
              </w:rPr>
            </w:pPr>
            <w:r>
              <w:rPr>
                <w:rFonts w:ascii="Calibri" w:hAnsi="Calibri" w:cs="Calibri"/>
                <w:b/>
                <w:sz w:val="28"/>
                <w:szCs w:val="28"/>
              </w:rPr>
              <w:t>How did DISH respond to the complaints it received about SSN?</w:t>
            </w:r>
          </w:p>
        </w:tc>
        <w:tc>
          <w:tcPr>
            <w:tcW w:w="5805" w:type="dxa"/>
            <w:vAlign w:val="center"/>
          </w:tcPr>
          <w:p w14:paraId="524A04F2" w14:textId="4FAB94E5" w:rsidR="0064515C" w:rsidRPr="0064515C" w:rsidRDefault="0064515C" w:rsidP="0064515C">
            <w:pPr>
              <w:pStyle w:val="O-BodyText"/>
              <w:spacing w:after="120"/>
              <w:ind w:left="290" w:right="65"/>
              <w:jc w:val="both"/>
              <w:rPr>
                <w:rFonts w:ascii="Calibri" w:hAnsi="Calibri" w:cs="Calibri"/>
                <w:b/>
                <w:sz w:val="22"/>
                <w:szCs w:val="22"/>
              </w:rPr>
            </w:pPr>
            <w:r w:rsidRPr="0064515C">
              <w:rPr>
                <w:rFonts w:ascii="Calibri" w:hAnsi="Calibri" w:cs="Calibri"/>
                <w:b/>
                <w:sz w:val="22"/>
                <w:szCs w:val="22"/>
              </w:rPr>
              <w:t xml:space="preserve">DISH investigated each complaint, </w:t>
            </w:r>
            <w:r w:rsidR="008634ED">
              <w:rPr>
                <w:rFonts w:ascii="Calibri" w:hAnsi="Calibri" w:cs="Calibri"/>
                <w:b/>
                <w:sz w:val="22"/>
                <w:szCs w:val="22"/>
              </w:rPr>
              <w:t>told</w:t>
            </w:r>
            <w:r w:rsidRPr="0064515C">
              <w:rPr>
                <w:rFonts w:ascii="Calibri" w:hAnsi="Calibri" w:cs="Calibri"/>
                <w:b/>
                <w:sz w:val="22"/>
                <w:szCs w:val="22"/>
              </w:rPr>
              <w:t xml:space="preserve"> SSN to add the </w:t>
            </w:r>
            <w:r w:rsidR="00BD515D">
              <w:rPr>
                <w:rFonts w:ascii="Calibri" w:hAnsi="Calibri" w:cs="Calibri"/>
                <w:b/>
                <w:sz w:val="22"/>
                <w:szCs w:val="22"/>
              </w:rPr>
              <w:t>person</w:t>
            </w:r>
            <w:r w:rsidRPr="0064515C">
              <w:rPr>
                <w:rFonts w:ascii="Calibri" w:hAnsi="Calibri" w:cs="Calibri"/>
                <w:b/>
                <w:sz w:val="22"/>
                <w:szCs w:val="22"/>
              </w:rPr>
              <w:t xml:space="preserve"> </w:t>
            </w:r>
            <w:r w:rsidR="00BD515D">
              <w:rPr>
                <w:rFonts w:ascii="Calibri" w:hAnsi="Calibri" w:cs="Calibri"/>
                <w:b/>
                <w:sz w:val="22"/>
                <w:szCs w:val="22"/>
              </w:rPr>
              <w:t xml:space="preserve">complaining </w:t>
            </w:r>
            <w:r w:rsidRPr="0064515C">
              <w:rPr>
                <w:rFonts w:ascii="Calibri" w:hAnsi="Calibri" w:cs="Calibri"/>
                <w:b/>
                <w:sz w:val="22"/>
                <w:szCs w:val="22"/>
              </w:rPr>
              <w:t xml:space="preserve">to SSN’s internal Do Not Call list, and </w:t>
            </w:r>
            <w:r w:rsidR="00BD515D">
              <w:rPr>
                <w:rFonts w:ascii="Calibri" w:hAnsi="Calibri" w:cs="Calibri"/>
                <w:b/>
                <w:sz w:val="22"/>
                <w:szCs w:val="22"/>
              </w:rPr>
              <w:t>reiterated</w:t>
            </w:r>
            <w:r w:rsidRPr="0064515C">
              <w:rPr>
                <w:rFonts w:ascii="Calibri" w:hAnsi="Calibri" w:cs="Calibri"/>
                <w:b/>
                <w:sz w:val="22"/>
                <w:szCs w:val="22"/>
              </w:rPr>
              <w:t xml:space="preserve"> that SSN must comply with telemarketing laws.</w:t>
            </w:r>
          </w:p>
        </w:tc>
      </w:tr>
      <w:tr w:rsidR="00E44E26" w:rsidRPr="00907D75" w14:paraId="585ACAB7" w14:textId="77777777" w:rsidTr="0057593C">
        <w:trPr>
          <w:trHeight w:val="4795"/>
        </w:trPr>
        <w:tc>
          <w:tcPr>
            <w:tcW w:w="5805" w:type="dxa"/>
            <w:vAlign w:val="center"/>
          </w:tcPr>
          <w:p w14:paraId="7CE7F45E" w14:textId="09B7F259" w:rsidR="00E44E26" w:rsidRDefault="008634ED" w:rsidP="00363A6A">
            <w:pPr>
              <w:pStyle w:val="O-BodyText"/>
              <w:spacing w:after="120"/>
              <w:ind w:right="200"/>
              <w:jc w:val="both"/>
              <w:rPr>
                <w:rFonts w:ascii="Calibri" w:hAnsi="Calibri" w:cs="Calibri"/>
                <w:b/>
                <w:sz w:val="28"/>
                <w:szCs w:val="28"/>
              </w:rPr>
            </w:pPr>
            <w:r>
              <w:rPr>
                <w:rFonts w:ascii="Calibri" w:hAnsi="Calibri" w:cs="Calibri"/>
                <w:b/>
                <w:sz w:val="28"/>
                <w:szCs w:val="28"/>
              </w:rPr>
              <w:t>Did DISH receive a</w:t>
            </w:r>
            <w:r w:rsidR="00E44E26">
              <w:rPr>
                <w:rFonts w:ascii="Calibri" w:hAnsi="Calibri" w:cs="Calibri"/>
                <w:b/>
                <w:sz w:val="28"/>
                <w:szCs w:val="28"/>
              </w:rPr>
              <w:t xml:space="preserve"> </w:t>
            </w:r>
            <w:r w:rsidR="007C6A0B">
              <w:rPr>
                <w:rFonts w:ascii="Calibri" w:hAnsi="Calibri" w:cs="Calibri"/>
                <w:b/>
                <w:sz w:val="28"/>
                <w:szCs w:val="28"/>
              </w:rPr>
              <w:t xml:space="preserve">complaint </w:t>
            </w:r>
            <w:r>
              <w:rPr>
                <w:rFonts w:ascii="Calibri" w:hAnsi="Calibri" w:cs="Calibri"/>
                <w:b/>
                <w:sz w:val="28"/>
                <w:szCs w:val="28"/>
              </w:rPr>
              <w:t xml:space="preserve">about SSN </w:t>
            </w:r>
            <w:r w:rsidR="007C6A0B">
              <w:rPr>
                <w:rFonts w:ascii="Calibri" w:hAnsi="Calibri" w:cs="Calibri"/>
                <w:b/>
                <w:sz w:val="28"/>
                <w:szCs w:val="28"/>
              </w:rPr>
              <w:t>from Thomas Krakauer?</w:t>
            </w:r>
          </w:p>
        </w:tc>
        <w:tc>
          <w:tcPr>
            <w:tcW w:w="5805" w:type="dxa"/>
            <w:vAlign w:val="center"/>
          </w:tcPr>
          <w:p w14:paraId="6996C6F0" w14:textId="697C7552" w:rsidR="00E44E26" w:rsidRPr="0064515C" w:rsidRDefault="008634ED" w:rsidP="007C6A0B">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007C6A0B" w:rsidRPr="007C6A0B">
              <w:rPr>
                <w:rFonts w:ascii="Calibri" w:hAnsi="Calibri" w:cs="Calibri"/>
                <w:b/>
                <w:sz w:val="22"/>
                <w:szCs w:val="22"/>
              </w:rPr>
              <w:t xml:space="preserve">One of the five complaints </w:t>
            </w:r>
            <w:r w:rsidR="00BD515D">
              <w:rPr>
                <w:rFonts w:ascii="Calibri" w:hAnsi="Calibri" w:cs="Calibri"/>
                <w:b/>
                <w:sz w:val="22"/>
                <w:szCs w:val="22"/>
              </w:rPr>
              <w:t xml:space="preserve">DISH received </w:t>
            </w:r>
            <w:r>
              <w:rPr>
                <w:rFonts w:ascii="Calibri" w:hAnsi="Calibri" w:cs="Calibri"/>
                <w:b/>
                <w:sz w:val="22"/>
                <w:szCs w:val="22"/>
              </w:rPr>
              <w:t xml:space="preserve">about SSN </w:t>
            </w:r>
            <w:r w:rsidR="007C6A0B" w:rsidRPr="007C6A0B">
              <w:rPr>
                <w:rFonts w:ascii="Calibri" w:hAnsi="Calibri" w:cs="Calibri"/>
                <w:b/>
                <w:sz w:val="22"/>
                <w:szCs w:val="22"/>
              </w:rPr>
              <w:t>concerned a call to Thomas Krakauer</w:t>
            </w:r>
            <w:r w:rsidR="00B91217" w:rsidRPr="007C6A0B">
              <w:rPr>
                <w:rFonts w:ascii="Calibri" w:hAnsi="Calibri" w:cs="Calibri"/>
                <w:b/>
                <w:sz w:val="22"/>
                <w:szCs w:val="22"/>
              </w:rPr>
              <w:t xml:space="preserve">.  </w:t>
            </w:r>
            <w:r w:rsidR="007C6A0B" w:rsidRPr="007C6A0B">
              <w:rPr>
                <w:rFonts w:ascii="Calibri" w:hAnsi="Calibri" w:cs="Calibri"/>
                <w:b/>
                <w:sz w:val="22"/>
                <w:szCs w:val="22"/>
              </w:rPr>
              <w:t>In 2003, Krakauer had ordered DirecTV service from SSN</w:t>
            </w:r>
            <w:r w:rsidR="00B91217" w:rsidRPr="007C6A0B">
              <w:rPr>
                <w:rFonts w:ascii="Calibri" w:hAnsi="Calibri" w:cs="Calibri"/>
                <w:b/>
                <w:sz w:val="22"/>
                <w:szCs w:val="22"/>
              </w:rPr>
              <w:t>.</w:t>
            </w:r>
            <w:r w:rsidR="00B91217">
              <w:rPr>
                <w:rFonts w:ascii="Calibri" w:hAnsi="Calibri" w:cs="Calibri"/>
                <w:b/>
                <w:sz w:val="22"/>
                <w:szCs w:val="22"/>
              </w:rPr>
              <w:t xml:space="preserve">  B</w:t>
            </w:r>
            <w:r w:rsidR="007C6A0B" w:rsidRPr="007C6A0B">
              <w:rPr>
                <w:rFonts w:ascii="Calibri" w:hAnsi="Calibri" w:cs="Calibri"/>
                <w:b/>
                <w:sz w:val="22"/>
                <w:szCs w:val="22"/>
              </w:rPr>
              <w:t>y 2009, SSN no longer marketed</w:t>
            </w:r>
            <w:r w:rsidR="007C6A0B">
              <w:rPr>
                <w:rFonts w:ascii="Calibri" w:hAnsi="Calibri" w:cs="Calibri"/>
                <w:b/>
                <w:sz w:val="22"/>
                <w:szCs w:val="22"/>
              </w:rPr>
              <w:t xml:space="preserve"> </w:t>
            </w:r>
            <w:r w:rsidR="007C6A0B" w:rsidRPr="007C6A0B">
              <w:rPr>
                <w:rFonts w:ascii="Calibri" w:hAnsi="Calibri" w:cs="Calibri"/>
                <w:b/>
                <w:sz w:val="22"/>
                <w:szCs w:val="22"/>
              </w:rPr>
              <w:t xml:space="preserve">DirecTV services, and it called Krakauer to persuade him to switch to DISH.  </w:t>
            </w:r>
            <w:r>
              <w:rPr>
                <w:rFonts w:ascii="Calibri" w:hAnsi="Calibri" w:cs="Calibri"/>
                <w:b/>
                <w:sz w:val="22"/>
                <w:szCs w:val="22"/>
              </w:rPr>
              <w:t xml:space="preserve">But </w:t>
            </w:r>
            <w:r w:rsidR="007C6A0B" w:rsidRPr="007C6A0B">
              <w:rPr>
                <w:rFonts w:ascii="Calibri" w:hAnsi="Calibri" w:cs="Calibri"/>
                <w:b/>
                <w:sz w:val="22"/>
                <w:szCs w:val="22"/>
              </w:rPr>
              <w:t xml:space="preserve">Krakauer had put his phone number on the </w:t>
            </w:r>
            <w:r>
              <w:rPr>
                <w:rFonts w:ascii="Calibri" w:hAnsi="Calibri" w:cs="Calibri"/>
                <w:b/>
                <w:sz w:val="22"/>
                <w:szCs w:val="22"/>
              </w:rPr>
              <w:t xml:space="preserve">Do Not Call </w:t>
            </w:r>
            <w:r w:rsidR="007C6A0B" w:rsidRPr="007C6A0B">
              <w:rPr>
                <w:rFonts w:ascii="Calibri" w:hAnsi="Calibri" w:cs="Calibri"/>
                <w:b/>
                <w:sz w:val="22"/>
                <w:szCs w:val="22"/>
              </w:rPr>
              <w:t>Registry</w:t>
            </w:r>
            <w:r>
              <w:rPr>
                <w:rFonts w:ascii="Calibri" w:hAnsi="Calibri" w:cs="Calibri"/>
                <w:b/>
                <w:sz w:val="22"/>
                <w:szCs w:val="22"/>
              </w:rPr>
              <w:t xml:space="preserve"> in the interim</w:t>
            </w:r>
            <w:r w:rsidR="007C6A0B" w:rsidRPr="007C6A0B">
              <w:rPr>
                <w:rFonts w:ascii="Calibri" w:hAnsi="Calibri" w:cs="Calibri"/>
                <w:b/>
                <w:sz w:val="22"/>
                <w:szCs w:val="22"/>
              </w:rPr>
              <w:t>.</w:t>
            </w:r>
          </w:p>
        </w:tc>
      </w:tr>
      <w:tr w:rsidR="007C6A0B" w:rsidRPr="00907D75" w14:paraId="1B1C954F" w14:textId="77777777" w:rsidTr="0057593C">
        <w:trPr>
          <w:trHeight w:val="4795"/>
        </w:trPr>
        <w:tc>
          <w:tcPr>
            <w:tcW w:w="5805" w:type="dxa"/>
            <w:vAlign w:val="center"/>
          </w:tcPr>
          <w:p w14:paraId="2FE07D1F" w14:textId="32A0593F" w:rsidR="007C6A0B" w:rsidRDefault="007C6A0B"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DISH do when it received the complaint from Krakauer?</w:t>
            </w:r>
          </w:p>
        </w:tc>
        <w:tc>
          <w:tcPr>
            <w:tcW w:w="5805" w:type="dxa"/>
            <w:vAlign w:val="center"/>
          </w:tcPr>
          <w:p w14:paraId="522CC8B4" w14:textId="64989935" w:rsidR="007C6A0B" w:rsidRPr="007C6A0B" w:rsidRDefault="007C6A0B" w:rsidP="007C6A0B">
            <w:pPr>
              <w:pStyle w:val="O-BodyText"/>
              <w:spacing w:after="120"/>
              <w:ind w:left="290" w:right="65"/>
              <w:jc w:val="both"/>
              <w:rPr>
                <w:rFonts w:ascii="Calibri" w:hAnsi="Calibri" w:cs="Calibri"/>
                <w:b/>
                <w:sz w:val="22"/>
                <w:szCs w:val="22"/>
              </w:rPr>
            </w:pPr>
            <w:r w:rsidRPr="007C6A0B">
              <w:rPr>
                <w:rFonts w:ascii="Calibri" w:hAnsi="Calibri" w:cs="Calibri"/>
                <w:b/>
                <w:sz w:val="22"/>
                <w:szCs w:val="22"/>
              </w:rPr>
              <w:t>Krakauer complained to DISH, and DISH promptly investigated</w:t>
            </w:r>
            <w:r w:rsidR="00B91217" w:rsidRPr="007C6A0B">
              <w:rPr>
                <w:rFonts w:ascii="Calibri" w:hAnsi="Calibri" w:cs="Calibri"/>
                <w:b/>
                <w:sz w:val="22"/>
                <w:szCs w:val="22"/>
              </w:rPr>
              <w:t>.</w:t>
            </w:r>
            <w:r w:rsidR="00B91217">
              <w:rPr>
                <w:rFonts w:ascii="Calibri" w:hAnsi="Calibri" w:cs="Calibri"/>
                <w:b/>
                <w:sz w:val="22"/>
                <w:szCs w:val="22"/>
              </w:rPr>
              <w:t xml:space="preserve">  </w:t>
            </w:r>
            <w:r w:rsidRPr="007C6A0B">
              <w:rPr>
                <w:rFonts w:ascii="Calibri" w:hAnsi="Calibri" w:cs="Calibri"/>
                <w:b/>
                <w:sz w:val="22"/>
                <w:szCs w:val="22"/>
              </w:rPr>
              <w:t xml:space="preserve">Its investigation revealed SSN had </w:t>
            </w:r>
            <w:r w:rsidR="008634ED">
              <w:rPr>
                <w:rFonts w:ascii="Calibri" w:hAnsi="Calibri" w:cs="Calibri"/>
                <w:b/>
                <w:sz w:val="22"/>
                <w:szCs w:val="22"/>
              </w:rPr>
              <w:t xml:space="preserve">indeed </w:t>
            </w:r>
            <w:r w:rsidRPr="007C6A0B">
              <w:rPr>
                <w:rFonts w:ascii="Calibri" w:hAnsi="Calibri" w:cs="Calibri"/>
                <w:b/>
                <w:sz w:val="22"/>
                <w:szCs w:val="22"/>
              </w:rPr>
              <w:t>call</w:t>
            </w:r>
            <w:r w:rsidR="008634ED">
              <w:rPr>
                <w:rFonts w:ascii="Calibri" w:hAnsi="Calibri" w:cs="Calibri"/>
                <w:b/>
                <w:sz w:val="22"/>
                <w:szCs w:val="22"/>
              </w:rPr>
              <w:t>ed Krakauer</w:t>
            </w:r>
            <w:r w:rsidR="00B91217" w:rsidRPr="007C6A0B">
              <w:rPr>
                <w:rFonts w:ascii="Calibri" w:hAnsi="Calibri" w:cs="Calibri"/>
                <w:b/>
                <w:sz w:val="22"/>
                <w:szCs w:val="22"/>
              </w:rPr>
              <w:t>.</w:t>
            </w:r>
            <w:r w:rsidR="00B91217">
              <w:rPr>
                <w:rFonts w:ascii="Calibri" w:hAnsi="Calibri" w:cs="Calibri"/>
                <w:b/>
                <w:sz w:val="22"/>
                <w:szCs w:val="22"/>
              </w:rPr>
              <w:t xml:space="preserve">  </w:t>
            </w:r>
          </w:p>
        </w:tc>
      </w:tr>
      <w:tr w:rsidR="007C6A0B" w:rsidRPr="00907D75" w14:paraId="2EBD5002" w14:textId="77777777" w:rsidTr="0057593C">
        <w:trPr>
          <w:trHeight w:val="4795"/>
        </w:trPr>
        <w:tc>
          <w:tcPr>
            <w:tcW w:w="5805" w:type="dxa"/>
            <w:vAlign w:val="center"/>
          </w:tcPr>
          <w:p w14:paraId="7A4DAE06" w14:textId="114FFBC4" w:rsidR="007C6A0B" w:rsidRDefault="007C6A0B" w:rsidP="00363A6A">
            <w:pPr>
              <w:pStyle w:val="O-BodyText"/>
              <w:spacing w:after="120"/>
              <w:ind w:right="200"/>
              <w:jc w:val="both"/>
              <w:rPr>
                <w:rFonts w:ascii="Calibri" w:hAnsi="Calibri" w:cs="Calibri"/>
                <w:b/>
                <w:sz w:val="28"/>
                <w:szCs w:val="28"/>
              </w:rPr>
            </w:pPr>
            <w:r>
              <w:rPr>
                <w:rFonts w:ascii="Calibri" w:hAnsi="Calibri" w:cs="Calibri"/>
                <w:b/>
                <w:sz w:val="28"/>
                <w:szCs w:val="28"/>
              </w:rPr>
              <w:t>What did DISH do after it learned that SSN had called Krakauer?</w:t>
            </w:r>
          </w:p>
        </w:tc>
        <w:tc>
          <w:tcPr>
            <w:tcW w:w="5805" w:type="dxa"/>
            <w:vAlign w:val="center"/>
          </w:tcPr>
          <w:p w14:paraId="111A084E" w14:textId="001480A8" w:rsidR="007C6A0B" w:rsidRPr="007C6A0B" w:rsidRDefault="007C6A0B" w:rsidP="007C6A0B">
            <w:pPr>
              <w:pStyle w:val="O-BodyText"/>
              <w:spacing w:after="120"/>
              <w:ind w:left="290" w:right="65"/>
              <w:jc w:val="both"/>
              <w:rPr>
                <w:rFonts w:ascii="Calibri" w:hAnsi="Calibri" w:cs="Calibri"/>
                <w:b/>
                <w:sz w:val="22"/>
                <w:szCs w:val="22"/>
              </w:rPr>
            </w:pPr>
            <w:r w:rsidRPr="007C6A0B">
              <w:rPr>
                <w:rFonts w:ascii="Calibri" w:hAnsi="Calibri" w:cs="Calibri"/>
                <w:b/>
                <w:sz w:val="22"/>
                <w:szCs w:val="22"/>
              </w:rPr>
              <w:t>DISH not</w:t>
            </w:r>
            <w:r w:rsidR="008634ED">
              <w:rPr>
                <w:rFonts w:ascii="Calibri" w:hAnsi="Calibri" w:cs="Calibri"/>
                <w:b/>
                <w:sz w:val="22"/>
                <w:szCs w:val="22"/>
              </w:rPr>
              <w:t xml:space="preserve">ified SSN and requested details, </w:t>
            </w:r>
            <w:r w:rsidRPr="007C6A0B">
              <w:rPr>
                <w:rFonts w:ascii="Calibri" w:hAnsi="Calibri" w:cs="Calibri"/>
                <w:b/>
                <w:sz w:val="22"/>
                <w:szCs w:val="22"/>
              </w:rPr>
              <w:t xml:space="preserve">including how SSN obtained the number, and when SSN had last “scrubbed” its call list to remove numbers on the </w:t>
            </w:r>
            <w:r w:rsidR="008634ED">
              <w:rPr>
                <w:rFonts w:ascii="Calibri" w:hAnsi="Calibri" w:cs="Calibri"/>
                <w:b/>
                <w:sz w:val="22"/>
                <w:szCs w:val="22"/>
              </w:rPr>
              <w:t xml:space="preserve">Do Not Call </w:t>
            </w:r>
            <w:r w:rsidRPr="007C6A0B">
              <w:rPr>
                <w:rFonts w:ascii="Calibri" w:hAnsi="Calibri" w:cs="Calibri"/>
                <w:b/>
                <w:sz w:val="22"/>
                <w:szCs w:val="22"/>
              </w:rPr>
              <w:t>Registry</w:t>
            </w:r>
            <w:r w:rsidR="00B91217" w:rsidRPr="007C6A0B">
              <w:rPr>
                <w:rFonts w:ascii="Calibri" w:hAnsi="Calibri" w:cs="Calibri"/>
                <w:b/>
                <w:sz w:val="22"/>
                <w:szCs w:val="22"/>
              </w:rPr>
              <w:t>.</w:t>
            </w:r>
            <w:r w:rsidR="00B91217" w:rsidRPr="007C6A0B">
              <w:rPr>
                <w:rFonts w:ascii="Century Schoolbook" w:hAnsi="Century Schoolbook" w:cs="Century Schoolbook"/>
                <w:color w:val="000000"/>
                <w:sz w:val="28"/>
                <w:szCs w:val="24"/>
              </w:rPr>
              <w:t xml:space="preserve">  </w:t>
            </w:r>
            <w:r w:rsidRPr="007C6A0B">
              <w:rPr>
                <w:rFonts w:ascii="Calibri" w:hAnsi="Calibri" w:cs="Calibri"/>
                <w:b/>
                <w:sz w:val="22"/>
                <w:szCs w:val="22"/>
              </w:rPr>
              <w:t xml:space="preserve">DISH </w:t>
            </w:r>
            <w:r w:rsidR="008634ED">
              <w:rPr>
                <w:rFonts w:ascii="Calibri" w:hAnsi="Calibri" w:cs="Calibri"/>
                <w:b/>
                <w:sz w:val="22"/>
                <w:szCs w:val="22"/>
              </w:rPr>
              <w:t>told</w:t>
            </w:r>
            <w:r w:rsidRPr="007C6A0B">
              <w:rPr>
                <w:rFonts w:ascii="Calibri" w:hAnsi="Calibri" w:cs="Calibri"/>
                <w:b/>
                <w:sz w:val="22"/>
                <w:szCs w:val="22"/>
              </w:rPr>
              <w:t xml:space="preserve"> SSN to </w:t>
            </w:r>
            <w:r w:rsidR="008634ED">
              <w:rPr>
                <w:rFonts w:ascii="Calibri" w:hAnsi="Calibri" w:cs="Calibri"/>
                <w:b/>
                <w:sz w:val="22"/>
                <w:szCs w:val="22"/>
              </w:rPr>
              <w:t xml:space="preserve">immediately make sure that </w:t>
            </w:r>
            <w:r w:rsidRPr="007C6A0B">
              <w:rPr>
                <w:rFonts w:ascii="Calibri" w:hAnsi="Calibri" w:cs="Calibri"/>
                <w:b/>
                <w:sz w:val="22"/>
                <w:szCs w:val="22"/>
              </w:rPr>
              <w:t>Krakauer’s number ha</w:t>
            </w:r>
            <w:r w:rsidR="008634ED">
              <w:rPr>
                <w:rFonts w:ascii="Calibri" w:hAnsi="Calibri" w:cs="Calibri"/>
                <w:b/>
                <w:sz w:val="22"/>
                <w:szCs w:val="22"/>
              </w:rPr>
              <w:t>d been added to</w:t>
            </w:r>
            <w:r w:rsidRPr="007C6A0B">
              <w:rPr>
                <w:rFonts w:ascii="Calibri" w:hAnsi="Calibri" w:cs="Calibri"/>
                <w:b/>
                <w:sz w:val="22"/>
                <w:szCs w:val="22"/>
              </w:rPr>
              <w:t xml:space="preserve"> SSN’s internal </w:t>
            </w:r>
            <w:r w:rsidR="008634ED">
              <w:rPr>
                <w:rFonts w:ascii="Calibri" w:hAnsi="Calibri" w:cs="Calibri"/>
                <w:b/>
                <w:sz w:val="22"/>
                <w:szCs w:val="22"/>
              </w:rPr>
              <w:t>Do Not Ca</w:t>
            </w:r>
            <w:r w:rsidRPr="007C6A0B">
              <w:rPr>
                <w:rFonts w:ascii="Calibri" w:hAnsi="Calibri" w:cs="Calibri"/>
                <w:b/>
                <w:sz w:val="22"/>
                <w:szCs w:val="22"/>
              </w:rPr>
              <w:t>ll</w:t>
            </w:r>
            <w:r w:rsidR="008634ED">
              <w:rPr>
                <w:rFonts w:ascii="Calibri" w:hAnsi="Calibri" w:cs="Calibri"/>
                <w:b/>
                <w:sz w:val="22"/>
                <w:szCs w:val="22"/>
              </w:rPr>
              <w:t xml:space="preserve"> list</w:t>
            </w:r>
            <w:r w:rsidRPr="007C6A0B">
              <w:rPr>
                <w:rFonts w:ascii="Calibri" w:hAnsi="Calibri" w:cs="Calibri"/>
                <w:b/>
                <w:sz w:val="22"/>
                <w:szCs w:val="22"/>
              </w:rPr>
              <w:t>.</w:t>
            </w:r>
          </w:p>
        </w:tc>
      </w:tr>
      <w:tr w:rsidR="007C6A0B" w:rsidRPr="00907D75" w14:paraId="1E8BD69C" w14:textId="77777777" w:rsidTr="0057593C">
        <w:trPr>
          <w:trHeight w:val="4795"/>
        </w:trPr>
        <w:tc>
          <w:tcPr>
            <w:tcW w:w="5805" w:type="dxa"/>
            <w:vAlign w:val="center"/>
          </w:tcPr>
          <w:p w14:paraId="2D5E4695" w14:textId="69AE73F0" w:rsidR="007C6A0B" w:rsidRDefault="007C6A0B" w:rsidP="00363A6A">
            <w:pPr>
              <w:pStyle w:val="O-BodyText"/>
              <w:spacing w:after="120"/>
              <w:ind w:right="200"/>
              <w:jc w:val="both"/>
              <w:rPr>
                <w:rFonts w:ascii="Calibri" w:hAnsi="Calibri" w:cs="Calibri"/>
                <w:b/>
                <w:sz w:val="28"/>
                <w:szCs w:val="28"/>
              </w:rPr>
            </w:pPr>
            <w:r>
              <w:rPr>
                <w:rFonts w:ascii="Calibri" w:hAnsi="Calibri" w:cs="Calibri"/>
                <w:b/>
                <w:sz w:val="28"/>
                <w:szCs w:val="28"/>
              </w:rPr>
              <w:t>What else did DISH do to make sure that SSN fixed the problem</w:t>
            </w:r>
            <w:r w:rsidR="008634ED">
              <w:rPr>
                <w:rFonts w:ascii="Calibri" w:hAnsi="Calibri" w:cs="Calibri"/>
                <w:b/>
                <w:sz w:val="28"/>
                <w:szCs w:val="28"/>
              </w:rPr>
              <w:t xml:space="preserve"> of calling </w:t>
            </w:r>
            <w:r w:rsidR="006E056D">
              <w:rPr>
                <w:rFonts w:ascii="Calibri" w:hAnsi="Calibri" w:cs="Calibri"/>
                <w:b/>
                <w:sz w:val="28"/>
                <w:szCs w:val="28"/>
              </w:rPr>
              <w:t>numbers</w:t>
            </w:r>
            <w:r w:rsidR="008634ED">
              <w:rPr>
                <w:rFonts w:ascii="Calibri" w:hAnsi="Calibri" w:cs="Calibri"/>
                <w:b/>
                <w:sz w:val="28"/>
                <w:szCs w:val="28"/>
              </w:rPr>
              <w:t xml:space="preserve"> on the Do Not Call Registry</w:t>
            </w:r>
            <w:r>
              <w:rPr>
                <w:rFonts w:ascii="Calibri" w:hAnsi="Calibri" w:cs="Calibri"/>
                <w:b/>
                <w:sz w:val="28"/>
                <w:szCs w:val="28"/>
              </w:rPr>
              <w:t>?</w:t>
            </w:r>
          </w:p>
        </w:tc>
        <w:tc>
          <w:tcPr>
            <w:tcW w:w="5805" w:type="dxa"/>
            <w:vAlign w:val="center"/>
          </w:tcPr>
          <w:p w14:paraId="14C68292" w14:textId="3E7A315F" w:rsidR="007C6A0B" w:rsidRPr="007C6A0B" w:rsidRDefault="007C6A0B" w:rsidP="007C6A0B">
            <w:pPr>
              <w:pStyle w:val="O-BodyText"/>
              <w:spacing w:after="120"/>
              <w:ind w:left="290" w:right="65"/>
              <w:jc w:val="both"/>
              <w:rPr>
                <w:rFonts w:ascii="Calibri" w:hAnsi="Calibri" w:cs="Calibri"/>
                <w:b/>
                <w:sz w:val="22"/>
                <w:szCs w:val="22"/>
              </w:rPr>
            </w:pPr>
            <w:r w:rsidRPr="007C6A0B">
              <w:rPr>
                <w:rFonts w:ascii="Calibri" w:hAnsi="Calibri" w:cs="Calibri"/>
                <w:b/>
                <w:sz w:val="22"/>
                <w:szCs w:val="22"/>
              </w:rPr>
              <w:t xml:space="preserve">DISH warned SSN that </w:t>
            </w:r>
            <w:r w:rsidR="008634ED">
              <w:rPr>
                <w:rFonts w:ascii="Calibri" w:hAnsi="Calibri" w:cs="Calibri"/>
                <w:b/>
                <w:sz w:val="22"/>
                <w:szCs w:val="22"/>
              </w:rPr>
              <w:t xml:space="preserve">additional violations could result in disciplinary action, </w:t>
            </w:r>
            <w:r w:rsidRPr="007C6A0B">
              <w:rPr>
                <w:rFonts w:ascii="Calibri" w:hAnsi="Calibri" w:cs="Calibri"/>
                <w:b/>
                <w:sz w:val="22"/>
                <w:szCs w:val="22"/>
              </w:rPr>
              <w:t xml:space="preserve">including termination of </w:t>
            </w:r>
            <w:r w:rsidR="008634ED">
              <w:rPr>
                <w:rFonts w:ascii="Calibri" w:hAnsi="Calibri" w:cs="Calibri"/>
                <w:b/>
                <w:sz w:val="22"/>
                <w:szCs w:val="22"/>
              </w:rPr>
              <w:t>the Retailer Agreement.</w:t>
            </w:r>
          </w:p>
        </w:tc>
      </w:tr>
      <w:tr w:rsidR="007C6A0B" w:rsidRPr="00907D75" w14:paraId="269AE75B" w14:textId="77777777" w:rsidTr="0057593C">
        <w:trPr>
          <w:trHeight w:val="4795"/>
        </w:trPr>
        <w:tc>
          <w:tcPr>
            <w:tcW w:w="5805" w:type="dxa"/>
            <w:vAlign w:val="center"/>
          </w:tcPr>
          <w:p w14:paraId="3DC4CA94" w14:textId="18BEBB4A" w:rsidR="007C6A0B" w:rsidRDefault="007C6A0B"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SSN’s response to Krakauer’s complaint</w:t>
            </w:r>
            <w:r w:rsidR="008634ED">
              <w:rPr>
                <w:rFonts w:ascii="Calibri" w:hAnsi="Calibri" w:cs="Calibri"/>
                <w:b/>
                <w:sz w:val="28"/>
                <w:szCs w:val="28"/>
              </w:rPr>
              <w:t xml:space="preserve"> about the Do Not Call violation</w:t>
            </w:r>
            <w:r>
              <w:rPr>
                <w:rFonts w:ascii="Calibri" w:hAnsi="Calibri" w:cs="Calibri"/>
                <w:b/>
                <w:sz w:val="28"/>
                <w:szCs w:val="28"/>
              </w:rPr>
              <w:t>?</w:t>
            </w:r>
          </w:p>
        </w:tc>
        <w:tc>
          <w:tcPr>
            <w:tcW w:w="5805" w:type="dxa"/>
            <w:vAlign w:val="center"/>
          </w:tcPr>
          <w:p w14:paraId="419C5CA4" w14:textId="55169656" w:rsidR="007C6A0B" w:rsidRPr="007C6A0B" w:rsidRDefault="007C6A0B" w:rsidP="007C6A0B">
            <w:pPr>
              <w:pStyle w:val="O-BodyText"/>
              <w:spacing w:after="120"/>
              <w:ind w:left="290" w:right="65"/>
              <w:jc w:val="both"/>
              <w:rPr>
                <w:rFonts w:ascii="Calibri" w:hAnsi="Calibri" w:cs="Calibri"/>
                <w:b/>
                <w:sz w:val="22"/>
                <w:szCs w:val="22"/>
              </w:rPr>
            </w:pPr>
            <w:r w:rsidRPr="007C6A0B">
              <w:rPr>
                <w:rFonts w:ascii="Calibri" w:hAnsi="Calibri" w:cs="Calibri"/>
                <w:b/>
                <w:sz w:val="22"/>
                <w:szCs w:val="22"/>
              </w:rPr>
              <w:t xml:space="preserve">SSN </w:t>
            </w:r>
            <w:r w:rsidR="008634ED">
              <w:rPr>
                <w:rFonts w:ascii="Calibri" w:hAnsi="Calibri" w:cs="Calibri"/>
                <w:b/>
                <w:sz w:val="22"/>
                <w:szCs w:val="22"/>
              </w:rPr>
              <w:t>responded to DISH</w:t>
            </w:r>
            <w:r w:rsidRPr="007C6A0B">
              <w:rPr>
                <w:rFonts w:ascii="Calibri" w:hAnsi="Calibri" w:cs="Calibri"/>
                <w:b/>
                <w:sz w:val="22"/>
                <w:szCs w:val="22"/>
              </w:rPr>
              <w:t xml:space="preserve"> the next day</w:t>
            </w:r>
            <w:r w:rsidRPr="007C6A0B">
              <w:rPr>
                <w:rFonts w:ascii="Calibri" w:hAnsi="Calibri" w:cs="Calibri"/>
                <w:b/>
                <w:i/>
                <w:sz w:val="22"/>
                <w:szCs w:val="22"/>
              </w:rPr>
              <w:t xml:space="preserve"> </w:t>
            </w:r>
            <w:r w:rsidRPr="007C6A0B">
              <w:rPr>
                <w:rFonts w:ascii="Calibri" w:hAnsi="Calibri" w:cs="Calibri"/>
                <w:b/>
                <w:sz w:val="22"/>
                <w:szCs w:val="22"/>
              </w:rPr>
              <w:t>with a reasonable explanation:</w:t>
            </w:r>
            <w:r>
              <w:rPr>
                <w:rFonts w:ascii="Calibri" w:hAnsi="Calibri" w:cs="Calibri"/>
                <w:b/>
                <w:sz w:val="22"/>
                <w:szCs w:val="22"/>
              </w:rPr>
              <w:t xml:space="preserve"> </w:t>
            </w:r>
            <w:r w:rsidRPr="007C6A0B">
              <w:rPr>
                <w:rFonts w:ascii="Calibri" w:hAnsi="Calibri" w:cs="Calibri"/>
                <w:b/>
                <w:sz w:val="22"/>
                <w:szCs w:val="22"/>
              </w:rPr>
              <w:t>It believed Krakauer’s prior purchase of DirecTV service created an</w:t>
            </w:r>
            <w:r>
              <w:rPr>
                <w:rFonts w:ascii="Calibri" w:hAnsi="Calibri" w:cs="Calibri"/>
                <w:b/>
                <w:sz w:val="22"/>
                <w:szCs w:val="22"/>
              </w:rPr>
              <w:t xml:space="preserve"> </w:t>
            </w:r>
            <w:r w:rsidRPr="007C6A0B">
              <w:rPr>
                <w:rFonts w:ascii="Calibri" w:hAnsi="Calibri" w:cs="Calibri"/>
                <w:b/>
                <w:sz w:val="22"/>
                <w:szCs w:val="22"/>
              </w:rPr>
              <w:t>“Established Business Relationship” (</w:t>
            </w:r>
            <w:proofErr w:type="spellStart"/>
            <w:r w:rsidRPr="007C6A0B">
              <w:rPr>
                <w:rFonts w:ascii="Calibri" w:hAnsi="Calibri" w:cs="Calibri"/>
                <w:b/>
                <w:sz w:val="22"/>
                <w:szCs w:val="22"/>
              </w:rPr>
              <w:t>EBR</w:t>
            </w:r>
            <w:proofErr w:type="spellEnd"/>
            <w:r w:rsidRPr="007C6A0B">
              <w:rPr>
                <w:rFonts w:ascii="Calibri" w:hAnsi="Calibri" w:cs="Calibri"/>
                <w:b/>
                <w:sz w:val="22"/>
                <w:szCs w:val="22"/>
              </w:rPr>
              <w:t>) with him</w:t>
            </w:r>
            <w:r w:rsidR="00B91217">
              <w:rPr>
                <w:rFonts w:ascii="Calibri" w:hAnsi="Calibri" w:cs="Calibri"/>
                <w:b/>
                <w:sz w:val="22"/>
                <w:szCs w:val="22"/>
              </w:rPr>
              <w:t xml:space="preserve">.  </w:t>
            </w:r>
            <w:r w:rsidRPr="007C6A0B">
              <w:rPr>
                <w:rFonts w:ascii="Calibri" w:hAnsi="Calibri" w:cs="Calibri"/>
                <w:b/>
                <w:sz w:val="22"/>
                <w:szCs w:val="22"/>
              </w:rPr>
              <w:t xml:space="preserve">When an </w:t>
            </w:r>
            <w:proofErr w:type="spellStart"/>
            <w:r w:rsidRPr="007C6A0B">
              <w:rPr>
                <w:rFonts w:ascii="Calibri" w:hAnsi="Calibri" w:cs="Calibri"/>
                <w:b/>
                <w:sz w:val="22"/>
                <w:szCs w:val="22"/>
              </w:rPr>
              <w:t>EBR</w:t>
            </w:r>
            <w:proofErr w:type="spellEnd"/>
            <w:r w:rsidRPr="007C6A0B">
              <w:rPr>
                <w:rFonts w:ascii="Calibri" w:hAnsi="Calibri" w:cs="Calibri"/>
                <w:b/>
                <w:sz w:val="22"/>
                <w:szCs w:val="22"/>
              </w:rPr>
              <w:t xml:space="preserve"> exists, a marketer may call a number on the Registry.  47 C.F.R. §</w:t>
            </w:r>
            <w:r>
              <w:rPr>
                <w:rFonts w:ascii="Calibri" w:hAnsi="Calibri" w:cs="Calibri"/>
                <w:b/>
                <w:sz w:val="22"/>
                <w:szCs w:val="22"/>
              </w:rPr>
              <w:t> </w:t>
            </w:r>
            <w:r w:rsidRPr="007C6A0B">
              <w:rPr>
                <w:rFonts w:ascii="Calibri" w:hAnsi="Calibri" w:cs="Calibri"/>
                <w:b/>
                <w:sz w:val="22"/>
                <w:szCs w:val="22"/>
              </w:rPr>
              <w:t>64.1200(f)(14)(ii).</w:t>
            </w:r>
          </w:p>
        </w:tc>
      </w:tr>
      <w:tr w:rsidR="00151893" w:rsidRPr="00907D75" w14:paraId="0143A416" w14:textId="77777777" w:rsidTr="0057593C">
        <w:trPr>
          <w:trHeight w:val="4795"/>
        </w:trPr>
        <w:tc>
          <w:tcPr>
            <w:tcW w:w="5805" w:type="dxa"/>
            <w:vAlign w:val="center"/>
          </w:tcPr>
          <w:p w14:paraId="2F901EE1" w14:textId="3A2E4701" w:rsidR="00151893" w:rsidRDefault="00245464" w:rsidP="00363A6A">
            <w:pPr>
              <w:pStyle w:val="O-BodyText"/>
              <w:spacing w:after="120"/>
              <w:ind w:right="200"/>
              <w:jc w:val="both"/>
              <w:rPr>
                <w:rFonts w:ascii="Calibri" w:hAnsi="Calibri" w:cs="Calibri"/>
                <w:b/>
                <w:sz w:val="28"/>
                <w:szCs w:val="28"/>
              </w:rPr>
            </w:pPr>
            <w:r>
              <w:rPr>
                <w:rFonts w:ascii="Calibri" w:hAnsi="Calibri" w:cs="Calibri"/>
                <w:b/>
                <w:sz w:val="28"/>
                <w:szCs w:val="28"/>
              </w:rPr>
              <w:t>Did SSN take any action in response to the complaint from Krakauer</w:t>
            </w:r>
            <w:r w:rsidR="008634ED">
              <w:rPr>
                <w:rFonts w:ascii="Calibri" w:hAnsi="Calibri" w:cs="Calibri"/>
                <w:b/>
                <w:sz w:val="28"/>
                <w:szCs w:val="28"/>
              </w:rPr>
              <w:t xml:space="preserve"> about the Do Not Call violation</w:t>
            </w:r>
            <w:r>
              <w:rPr>
                <w:rFonts w:ascii="Calibri" w:hAnsi="Calibri" w:cs="Calibri"/>
                <w:b/>
                <w:sz w:val="28"/>
                <w:szCs w:val="28"/>
              </w:rPr>
              <w:t>?</w:t>
            </w:r>
          </w:p>
        </w:tc>
        <w:tc>
          <w:tcPr>
            <w:tcW w:w="5805" w:type="dxa"/>
            <w:vAlign w:val="center"/>
          </w:tcPr>
          <w:p w14:paraId="46FD5F73" w14:textId="26B13BF3" w:rsidR="00151893" w:rsidRPr="007C6A0B" w:rsidRDefault="00245464" w:rsidP="00245464">
            <w:pPr>
              <w:pStyle w:val="O-BodyText"/>
              <w:spacing w:after="120"/>
              <w:ind w:left="290" w:right="65"/>
              <w:jc w:val="both"/>
              <w:rPr>
                <w:rFonts w:ascii="Calibri" w:hAnsi="Calibri" w:cs="Calibri"/>
                <w:b/>
                <w:sz w:val="22"/>
                <w:szCs w:val="22"/>
              </w:rPr>
            </w:pPr>
            <w:r w:rsidRPr="00245464">
              <w:rPr>
                <w:rFonts w:ascii="Calibri" w:hAnsi="Calibri" w:cs="Calibri"/>
                <w:b/>
                <w:sz w:val="22"/>
                <w:szCs w:val="22"/>
              </w:rPr>
              <w:t xml:space="preserve">SSN </w:t>
            </w:r>
            <w:r w:rsidR="008634ED">
              <w:rPr>
                <w:rFonts w:ascii="Calibri" w:hAnsi="Calibri" w:cs="Calibri"/>
                <w:b/>
                <w:sz w:val="22"/>
                <w:szCs w:val="22"/>
              </w:rPr>
              <w:t xml:space="preserve">told DISH that </w:t>
            </w:r>
            <w:r w:rsidRPr="00245464">
              <w:rPr>
                <w:rFonts w:ascii="Calibri" w:hAnsi="Calibri" w:cs="Calibri"/>
                <w:b/>
                <w:sz w:val="22"/>
                <w:szCs w:val="22"/>
              </w:rPr>
              <w:t>it took corrective action:  It reviewed the incident with a sales manager and added Krakauer’s number to its internal Do Not Call list</w:t>
            </w:r>
            <w:r w:rsidR="00B91217" w:rsidRPr="00245464">
              <w:rPr>
                <w:rFonts w:ascii="Calibri" w:hAnsi="Calibri" w:cs="Calibri"/>
                <w:b/>
                <w:sz w:val="22"/>
                <w:szCs w:val="22"/>
              </w:rPr>
              <w:t>.</w:t>
            </w:r>
            <w:r w:rsidR="00B91217">
              <w:rPr>
                <w:rFonts w:ascii="Calibri" w:hAnsi="Calibri" w:cs="Calibri"/>
                <w:b/>
                <w:sz w:val="22"/>
                <w:szCs w:val="22"/>
              </w:rPr>
              <w:t xml:space="preserve">  </w:t>
            </w:r>
            <w:r w:rsidRPr="00245464">
              <w:rPr>
                <w:rFonts w:ascii="Calibri" w:hAnsi="Calibri" w:cs="Calibri"/>
                <w:b/>
                <w:sz w:val="22"/>
                <w:szCs w:val="22"/>
              </w:rPr>
              <w:t xml:space="preserve">And it </w:t>
            </w:r>
            <w:r>
              <w:rPr>
                <w:rFonts w:ascii="Calibri" w:hAnsi="Calibri" w:cs="Calibri"/>
                <w:b/>
                <w:sz w:val="22"/>
                <w:szCs w:val="22"/>
              </w:rPr>
              <w:t>told</w:t>
            </w:r>
            <w:r w:rsidRPr="00245464">
              <w:rPr>
                <w:rFonts w:ascii="Calibri" w:hAnsi="Calibri" w:cs="Calibri"/>
                <w:b/>
                <w:sz w:val="22"/>
                <w:szCs w:val="22"/>
              </w:rPr>
              <w:t xml:space="preserve"> DISH that</w:t>
            </w:r>
            <w:r>
              <w:rPr>
                <w:rFonts w:ascii="Calibri" w:hAnsi="Calibri" w:cs="Calibri"/>
                <w:b/>
                <w:sz w:val="22"/>
                <w:szCs w:val="22"/>
              </w:rPr>
              <w:t xml:space="preserve"> </w:t>
            </w:r>
            <w:r w:rsidR="008634ED">
              <w:rPr>
                <w:rFonts w:ascii="Calibri" w:hAnsi="Calibri" w:cs="Calibri"/>
                <w:b/>
                <w:sz w:val="22"/>
                <w:szCs w:val="22"/>
              </w:rPr>
              <w:t>it</w:t>
            </w:r>
            <w:r w:rsidRPr="00245464">
              <w:rPr>
                <w:rFonts w:ascii="Calibri" w:hAnsi="Calibri" w:cs="Calibri"/>
                <w:b/>
                <w:sz w:val="22"/>
                <w:szCs w:val="22"/>
              </w:rPr>
              <w:t xml:space="preserve"> always compl</w:t>
            </w:r>
            <w:r w:rsidR="008634ED">
              <w:rPr>
                <w:rFonts w:ascii="Calibri" w:hAnsi="Calibri" w:cs="Calibri"/>
                <w:b/>
                <w:sz w:val="22"/>
                <w:szCs w:val="22"/>
              </w:rPr>
              <w:t>ies</w:t>
            </w:r>
            <w:r w:rsidRPr="00245464">
              <w:rPr>
                <w:rFonts w:ascii="Calibri" w:hAnsi="Calibri" w:cs="Calibri"/>
                <w:b/>
                <w:sz w:val="22"/>
                <w:szCs w:val="22"/>
              </w:rPr>
              <w:t xml:space="preserve"> with National Do Not Call </w:t>
            </w:r>
            <w:r w:rsidR="008634ED">
              <w:rPr>
                <w:rFonts w:ascii="Calibri" w:hAnsi="Calibri" w:cs="Calibri"/>
                <w:b/>
                <w:sz w:val="22"/>
                <w:szCs w:val="22"/>
              </w:rPr>
              <w:t>p</w:t>
            </w:r>
            <w:r w:rsidRPr="00245464">
              <w:rPr>
                <w:rFonts w:ascii="Calibri" w:hAnsi="Calibri" w:cs="Calibri"/>
                <w:b/>
                <w:sz w:val="22"/>
                <w:szCs w:val="22"/>
              </w:rPr>
              <w:t xml:space="preserve">olicies </w:t>
            </w:r>
            <w:r w:rsidR="008634ED">
              <w:rPr>
                <w:rFonts w:ascii="Calibri" w:hAnsi="Calibri" w:cs="Calibri"/>
                <w:b/>
                <w:sz w:val="22"/>
                <w:szCs w:val="22"/>
              </w:rPr>
              <w:t xml:space="preserve">and takes </w:t>
            </w:r>
            <w:r w:rsidRPr="00245464">
              <w:rPr>
                <w:rFonts w:ascii="Calibri" w:hAnsi="Calibri" w:cs="Calibri"/>
                <w:b/>
                <w:sz w:val="22"/>
                <w:szCs w:val="22"/>
              </w:rPr>
              <w:t>Do Not Call violations very seriously.</w:t>
            </w:r>
            <w:r>
              <w:rPr>
                <w:rFonts w:ascii="Calibri" w:hAnsi="Calibri" w:cs="Calibri"/>
                <w:b/>
                <w:sz w:val="22"/>
                <w:szCs w:val="22"/>
              </w:rPr>
              <w:t xml:space="preserve"> </w:t>
            </w:r>
            <w:r w:rsidR="006E056D">
              <w:rPr>
                <w:rFonts w:ascii="Calibri" w:hAnsi="Calibri" w:cs="Calibri"/>
                <w:b/>
                <w:sz w:val="22"/>
                <w:szCs w:val="22"/>
              </w:rPr>
              <w:t xml:space="preserve"> </w:t>
            </w:r>
            <w:r w:rsidRPr="00245464">
              <w:rPr>
                <w:rFonts w:ascii="Calibri" w:hAnsi="Calibri" w:cs="Calibri"/>
                <w:b/>
                <w:sz w:val="22"/>
                <w:szCs w:val="22"/>
              </w:rPr>
              <w:t>SSN said it wouldn’t call Krakauer again.</w:t>
            </w:r>
          </w:p>
        </w:tc>
      </w:tr>
      <w:tr w:rsidR="00245464" w:rsidRPr="00907D75" w14:paraId="4A194ABA" w14:textId="77777777" w:rsidTr="0057593C">
        <w:trPr>
          <w:trHeight w:val="4795"/>
        </w:trPr>
        <w:tc>
          <w:tcPr>
            <w:tcW w:w="5805" w:type="dxa"/>
            <w:vAlign w:val="center"/>
          </w:tcPr>
          <w:p w14:paraId="686D4618" w14:textId="5D7D29FE" w:rsidR="00245464" w:rsidRDefault="00245464" w:rsidP="00363A6A">
            <w:pPr>
              <w:pStyle w:val="O-BodyText"/>
              <w:spacing w:after="120"/>
              <w:ind w:right="200"/>
              <w:jc w:val="both"/>
              <w:rPr>
                <w:rFonts w:ascii="Calibri" w:hAnsi="Calibri" w:cs="Calibri"/>
                <w:b/>
                <w:sz w:val="28"/>
                <w:szCs w:val="28"/>
              </w:rPr>
            </w:pPr>
            <w:r>
              <w:rPr>
                <w:rFonts w:ascii="Calibri" w:hAnsi="Calibri" w:cs="Calibri"/>
                <w:b/>
                <w:sz w:val="28"/>
                <w:szCs w:val="28"/>
              </w:rPr>
              <w:t>What did DISH do after completing its investigation</w:t>
            </w:r>
            <w:r w:rsidR="008634ED">
              <w:rPr>
                <w:rFonts w:ascii="Calibri" w:hAnsi="Calibri" w:cs="Calibri"/>
                <w:b/>
                <w:sz w:val="28"/>
                <w:szCs w:val="28"/>
              </w:rPr>
              <w:t xml:space="preserve"> about SSN’s call to Krakauer</w:t>
            </w:r>
            <w:r>
              <w:rPr>
                <w:rFonts w:ascii="Calibri" w:hAnsi="Calibri" w:cs="Calibri"/>
                <w:b/>
                <w:sz w:val="28"/>
                <w:szCs w:val="28"/>
              </w:rPr>
              <w:t>?</w:t>
            </w:r>
          </w:p>
        </w:tc>
        <w:tc>
          <w:tcPr>
            <w:tcW w:w="5805" w:type="dxa"/>
            <w:vAlign w:val="center"/>
          </w:tcPr>
          <w:p w14:paraId="4326FF34" w14:textId="1E050D91" w:rsidR="00245464" w:rsidRPr="00245464" w:rsidRDefault="00245464" w:rsidP="00245464">
            <w:pPr>
              <w:pStyle w:val="O-BodyText"/>
              <w:spacing w:after="120"/>
              <w:ind w:left="290" w:right="65"/>
              <w:jc w:val="both"/>
              <w:rPr>
                <w:rFonts w:ascii="Calibri" w:hAnsi="Calibri" w:cs="Calibri"/>
                <w:b/>
                <w:sz w:val="22"/>
                <w:szCs w:val="22"/>
              </w:rPr>
            </w:pPr>
            <w:r w:rsidRPr="00245464">
              <w:rPr>
                <w:rFonts w:ascii="Calibri" w:hAnsi="Calibri" w:cs="Calibri"/>
                <w:b/>
                <w:sz w:val="22"/>
                <w:szCs w:val="22"/>
              </w:rPr>
              <w:t>DISH reported to Krakauer what it had found.</w:t>
            </w:r>
          </w:p>
        </w:tc>
      </w:tr>
      <w:tr w:rsidR="004B0ABB" w:rsidRPr="00907D75" w14:paraId="17DE4E03" w14:textId="77777777" w:rsidTr="0057593C">
        <w:trPr>
          <w:trHeight w:val="4795"/>
        </w:trPr>
        <w:tc>
          <w:tcPr>
            <w:tcW w:w="5805" w:type="dxa"/>
            <w:vAlign w:val="center"/>
          </w:tcPr>
          <w:p w14:paraId="62B686B2" w14:textId="2ED95A41" w:rsidR="004B0ABB" w:rsidRDefault="004B0ABB"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SSN </w:t>
            </w:r>
            <w:r w:rsidR="00B91217">
              <w:rPr>
                <w:rFonts w:ascii="Calibri" w:hAnsi="Calibri" w:cs="Calibri"/>
                <w:b/>
                <w:sz w:val="28"/>
                <w:szCs w:val="28"/>
              </w:rPr>
              <w:t>take</w:t>
            </w:r>
            <w:r>
              <w:rPr>
                <w:rFonts w:ascii="Calibri" w:hAnsi="Calibri" w:cs="Calibri"/>
                <w:b/>
                <w:sz w:val="28"/>
                <w:szCs w:val="28"/>
              </w:rPr>
              <w:t xml:space="preserve"> the corrective action it said it would take</w:t>
            </w:r>
            <w:r w:rsidR="00A41DDC">
              <w:rPr>
                <w:rFonts w:ascii="Calibri" w:hAnsi="Calibri" w:cs="Calibri"/>
                <w:b/>
                <w:sz w:val="28"/>
                <w:szCs w:val="28"/>
              </w:rPr>
              <w:t xml:space="preserve"> after Krakauer’s initial complaint</w:t>
            </w:r>
            <w:r>
              <w:rPr>
                <w:rFonts w:ascii="Calibri" w:hAnsi="Calibri" w:cs="Calibri"/>
                <w:b/>
                <w:sz w:val="28"/>
                <w:szCs w:val="28"/>
              </w:rPr>
              <w:t>?</w:t>
            </w:r>
          </w:p>
        </w:tc>
        <w:tc>
          <w:tcPr>
            <w:tcW w:w="5805" w:type="dxa"/>
            <w:vAlign w:val="center"/>
          </w:tcPr>
          <w:p w14:paraId="0F5A5793" w14:textId="4066CF3D" w:rsidR="004B0ABB" w:rsidRPr="00245464" w:rsidRDefault="00200A79" w:rsidP="004B0ABB">
            <w:pPr>
              <w:pStyle w:val="O-BodyText"/>
              <w:spacing w:after="120"/>
              <w:ind w:left="290" w:right="65"/>
              <w:jc w:val="both"/>
              <w:rPr>
                <w:rFonts w:ascii="Calibri" w:hAnsi="Calibri" w:cs="Calibri"/>
                <w:b/>
                <w:sz w:val="22"/>
                <w:szCs w:val="22"/>
              </w:rPr>
            </w:pPr>
            <w:r>
              <w:rPr>
                <w:rFonts w:ascii="Calibri" w:hAnsi="Calibri" w:cs="Calibri"/>
                <w:b/>
                <w:sz w:val="22"/>
                <w:szCs w:val="22"/>
              </w:rPr>
              <w:t>No. U</w:t>
            </w:r>
            <w:r w:rsidR="004B0ABB" w:rsidRPr="004B0ABB">
              <w:rPr>
                <w:rFonts w:ascii="Calibri" w:hAnsi="Calibri" w:cs="Calibri"/>
                <w:b/>
                <w:sz w:val="22"/>
                <w:szCs w:val="22"/>
              </w:rPr>
              <w:t>nbeknownst to DISH, SSN ignored DISH and</w:t>
            </w:r>
            <w:r w:rsidR="004B0ABB">
              <w:rPr>
                <w:rFonts w:ascii="Calibri" w:hAnsi="Calibri" w:cs="Calibri"/>
                <w:b/>
                <w:sz w:val="22"/>
                <w:szCs w:val="22"/>
              </w:rPr>
              <w:t xml:space="preserve"> </w:t>
            </w:r>
            <w:r w:rsidR="004B0ABB" w:rsidRPr="004B0ABB">
              <w:rPr>
                <w:rFonts w:ascii="Calibri" w:hAnsi="Calibri" w:cs="Calibri"/>
                <w:b/>
                <w:sz w:val="22"/>
                <w:szCs w:val="22"/>
              </w:rPr>
              <w:t>repeatedly called Krakauer from May 2010 to August 2011.</w:t>
            </w:r>
          </w:p>
        </w:tc>
      </w:tr>
      <w:tr w:rsidR="00200A79" w:rsidRPr="00907D75" w14:paraId="6A493BFA" w14:textId="77777777" w:rsidTr="0057593C">
        <w:trPr>
          <w:trHeight w:val="4795"/>
        </w:trPr>
        <w:tc>
          <w:tcPr>
            <w:tcW w:w="5805" w:type="dxa"/>
            <w:vAlign w:val="center"/>
          </w:tcPr>
          <w:p w14:paraId="00526760" w14:textId="00EF074C" w:rsidR="00200A79" w:rsidRDefault="00200A79"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Were SSN’s </w:t>
            </w:r>
            <w:r w:rsidR="006E056D">
              <w:rPr>
                <w:rFonts w:ascii="Calibri" w:hAnsi="Calibri" w:cs="Calibri"/>
                <w:b/>
                <w:sz w:val="28"/>
                <w:szCs w:val="28"/>
              </w:rPr>
              <w:t xml:space="preserve">Do Not Call </w:t>
            </w:r>
            <w:r>
              <w:rPr>
                <w:rFonts w:ascii="Calibri" w:hAnsi="Calibri" w:cs="Calibri"/>
                <w:b/>
                <w:sz w:val="28"/>
                <w:szCs w:val="28"/>
              </w:rPr>
              <w:t>violations limited to calling Krakauer?</w:t>
            </w:r>
          </w:p>
        </w:tc>
        <w:tc>
          <w:tcPr>
            <w:tcW w:w="5805" w:type="dxa"/>
            <w:vAlign w:val="center"/>
          </w:tcPr>
          <w:p w14:paraId="74548A44" w14:textId="4601A92E" w:rsidR="00200A79" w:rsidRDefault="00200A79" w:rsidP="004B0ABB">
            <w:pPr>
              <w:pStyle w:val="O-BodyText"/>
              <w:spacing w:after="120"/>
              <w:ind w:left="290" w:right="65"/>
              <w:jc w:val="both"/>
              <w:rPr>
                <w:rFonts w:ascii="Calibri" w:hAnsi="Calibri" w:cs="Calibri"/>
                <w:b/>
                <w:sz w:val="22"/>
                <w:szCs w:val="22"/>
              </w:rPr>
            </w:pPr>
            <w:r>
              <w:rPr>
                <w:rFonts w:ascii="Calibri" w:hAnsi="Calibri" w:cs="Calibri"/>
                <w:b/>
                <w:sz w:val="22"/>
                <w:szCs w:val="22"/>
              </w:rPr>
              <w:t>No. I</w:t>
            </w:r>
            <w:r w:rsidRPr="00200A79">
              <w:rPr>
                <w:rFonts w:ascii="Calibri" w:hAnsi="Calibri" w:cs="Calibri"/>
                <w:b/>
                <w:sz w:val="22"/>
                <w:szCs w:val="22"/>
              </w:rPr>
              <w:t xml:space="preserve">t turned out SSN had been secretly </w:t>
            </w:r>
            <w:r w:rsidR="006E056D">
              <w:rPr>
                <w:rFonts w:ascii="Calibri" w:hAnsi="Calibri" w:cs="Calibri"/>
                <w:b/>
                <w:sz w:val="22"/>
                <w:szCs w:val="22"/>
              </w:rPr>
              <w:t xml:space="preserve">disregarding </w:t>
            </w:r>
            <w:r w:rsidRPr="00200A79">
              <w:rPr>
                <w:rFonts w:ascii="Calibri" w:hAnsi="Calibri" w:cs="Calibri"/>
                <w:b/>
                <w:sz w:val="22"/>
                <w:szCs w:val="22"/>
              </w:rPr>
              <w:t>the Registry</w:t>
            </w:r>
            <w:r w:rsidR="00B91217" w:rsidRPr="00200A79">
              <w:rPr>
                <w:rFonts w:ascii="Calibri" w:hAnsi="Calibri" w:cs="Calibri"/>
                <w:b/>
                <w:sz w:val="22"/>
                <w:szCs w:val="22"/>
              </w:rPr>
              <w:t xml:space="preserve">.  </w:t>
            </w:r>
            <w:r w:rsidRPr="00200A79">
              <w:rPr>
                <w:rFonts w:ascii="Calibri" w:hAnsi="Calibri" w:cs="Calibri"/>
                <w:b/>
                <w:sz w:val="22"/>
                <w:szCs w:val="22"/>
              </w:rPr>
              <w:t>From May 2010 to August 2011, SSN made thousands of calls to numbers on the Registry.</w:t>
            </w:r>
          </w:p>
        </w:tc>
      </w:tr>
      <w:tr w:rsidR="00200A79" w:rsidRPr="00907D75" w14:paraId="5A34A415" w14:textId="77777777" w:rsidTr="0057593C">
        <w:trPr>
          <w:trHeight w:val="4795"/>
        </w:trPr>
        <w:tc>
          <w:tcPr>
            <w:tcW w:w="5805" w:type="dxa"/>
            <w:vAlign w:val="center"/>
          </w:tcPr>
          <w:p w14:paraId="2CE940C0" w14:textId="2E145DCD" w:rsidR="00200A79" w:rsidRDefault="00200A79" w:rsidP="00363A6A">
            <w:pPr>
              <w:pStyle w:val="O-BodyText"/>
              <w:spacing w:after="120"/>
              <w:ind w:right="200"/>
              <w:jc w:val="both"/>
              <w:rPr>
                <w:rFonts w:ascii="Calibri" w:hAnsi="Calibri" w:cs="Calibri"/>
                <w:b/>
                <w:sz w:val="28"/>
                <w:szCs w:val="28"/>
              </w:rPr>
            </w:pPr>
            <w:r>
              <w:rPr>
                <w:rFonts w:ascii="Calibri" w:hAnsi="Calibri" w:cs="Calibri"/>
                <w:b/>
                <w:sz w:val="28"/>
                <w:szCs w:val="28"/>
              </w:rPr>
              <w:t>Why didn’t DISH know about the</w:t>
            </w:r>
            <w:r w:rsidR="006E056D">
              <w:rPr>
                <w:rFonts w:ascii="Calibri" w:hAnsi="Calibri" w:cs="Calibri"/>
                <w:b/>
                <w:sz w:val="28"/>
                <w:szCs w:val="28"/>
              </w:rPr>
              <w:t xml:space="preserve"> thousands of </w:t>
            </w:r>
            <w:r>
              <w:rPr>
                <w:rFonts w:ascii="Calibri" w:hAnsi="Calibri" w:cs="Calibri"/>
                <w:b/>
                <w:sz w:val="28"/>
                <w:szCs w:val="28"/>
              </w:rPr>
              <w:t>calls made by SSN</w:t>
            </w:r>
            <w:r w:rsidR="006E056D">
              <w:rPr>
                <w:rFonts w:ascii="Calibri" w:hAnsi="Calibri" w:cs="Calibri"/>
                <w:b/>
                <w:sz w:val="28"/>
                <w:szCs w:val="28"/>
              </w:rPr>
              <w:t xml:space="preserve"> to numbers on the Do Not Call Registry during the class period</w:t>
            </w:r>
            <w:r>
              <w:rPr>
                <w:rFonts w:ascii="Calibri" w:hAnsi="Calibri" w:cs="Calibri"/>
                <w:b/>
                <w:sz w:val="28"/>
                <w:szCs w:val="28"/>
              </w:rPr>
              <w:t>?</w:t>
            </w:r>
          </w:p>
        </w:tc>
        <w:tc>
          <w:tcPr>
            <w:tcW w:w="5805" w:type="dxa"/>
            <w:vAlign w:val="center"/>
          </w:tcPr>
          <w:p w14:paraId="0B65C49E" w14:textId="5E5F601B" w:rsidR="00200A79" w:rsidRDefault="00200A79" w:rsidP="004B0ABB">
            <w:pPr>
              <w:pStyle w:val="O-BodyText"/>
              <w:spacing w:after="120"/>
              <w:ind w:left="290" w:right="65"/>
              <w:jc w:val="both"/>
              <w:rPr>
                <w:rFonts w:ascii="Calibri" w:hAnsi="Calibri" w:cs="Calibri"/>
                <w:b/>
                <w:sz w:val="22"/>
                <w:szCs w:val="22"/>
              </w:rPr>
            </w:pPr>
            <w:r>
              <w:rPr>
                <w:rFonts w:ascii="Calibri" w:hAnsi="Calibri" w:cs="Calibri"/>
                <w:b/>
                <w:sz w:val="22"/>
                <w:szCs w:val="22"/>
              </w:rPr>
              <w:t xml:space="preserve">Even </w:t>
            </w:r>
            <w:r w:rsidRPr="00200A79">
              <w:rPr>
                <w:rFonts w:ascii="Calibri" w:hAnsi="Calibri" w:cs="Calibri"/>
                <w:b/>
                <w:sz w:val="22"/>
                <w:szCs w:val="22"/>
              </w:rPr>
              <w:t>though SSN had placed more than 1.6 million calls during the class period, DISH didn’t receive a single complaint</w:t>
            </w:r>
            <w:r>
              <w:rPr>
                <w:rFonts w:ascii="Calibri" w:hAnsi="Calibri" w:cs="Calibri"/>
                <w:b/>
                <w:sz w:val="22"/>
                <w:szCs w:val="22"/>
              </w:rPr>
              <w:t xml:space="preserve"> from an SSN call recipient, including from Krakauer.</w:t>
            </w:r>
          </w:p>
        </w:tc>
      </w:tr>
      <w:tr w:rsidR="00200A79" w:rsidRPr="00907D75" w14:paraId="4FAD0CED" w14:textId="77777777" w:rsidTr="0057593C">
        <w:trPr>
          <w:trHeight w:val="4795"/>
        </w:trPr>
        <w:tc>
          <w:tcPr>
            <w:tcW w:w="5805" w:type="dxa"/>
            <w:vAlign w:val="center"/>
          </w:tcPr>
          <w:p w14:paraId="4D5BCD86" w14:textId="541FA17D" w:rsidR="00200A79" w:rsidRDefault="00200A7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did this lawsuit begin?</w:t>
            </w:r>
          </w:p>
        </w:tc>
        <w:tc>
          <w:tcPr>
            <w:tcW w:w="5805" w:type="dxa"/>
            <w:vAlign w:val="center"/>
          </w:tcPr>
          <w:p w14:paraId="55E86665" w14:textId="125ABB61" w:rsidR="00200A79" w:rsidRDefault="00200A79" w:rsidP="004B0ABB">
            <w:pPr>
              <w:pStyle w:val="O-BodyText"/>
              <w:spacing w:after="120"/>
              <w:ind w:left="290" w:right="65"/>
              <w:jc w:val="both"/>
              <w:rPr>
                <w:rFonts w:ascii="Calibri" w:hAnsi="Calibri" w:cs="Calibri"/>
                <w:b/>
                <w:sz w:val="22"/>
                <w:szCs w:val="22"/>
              </w:rPr>
            </w:pPr>
            <w:r w:rsidRPr="00200A79">
              <w:rPr>
                <w:rFonts w:ascii="Calibri" w:hAnsi="Calibri" w:cs="Calibri"/>
                <w:b/>
                <w:sz w:val="22"/>
                <w:szCs w:val="22"/>
              </w:rPr>
              <w:t>In April 2014, Krakauer sued DISH (not SSN) under the TCPA</w:t>
            </w:r>
            <w:r w:rsidR="00B91217" w:rsidRPr="00200A79">
              <w:rPr>
                <w:rFonts w:ascii="Calibri" w:hAnsi="Calibri" w:cs="Calibri"/>
                <w:b/>
                <w:sz w:val="22"/>
                <w:szCs w:val="22"/>
              </w:rPr>
              <w:t>.</w:t>
            </w:r>
            <w:r w:rsidR="00B91217">
              <w:rPr>
                <w:rFonts w:ascii="Calibri" w:hAnsi="Calibri" w:cs="Calibri"/>
                <w:b/>
                <w:sz w:val="22"/>
                <w:szCs w:val="22"/>
              </w:rPr>
              <w:t xml:space="preserve">  </w:t>
            </w:r>
            <w:r w:rsidRPr="00200A79">
              <w:rPr>
                <w:rFonts w:ascii="Calibri" w:hAnsi="Calibri" w:cs="Calibri"/>
                <w:b/>
                <w:sz w:val="22"/>
                <w:szCs w:val="22"/>
              </w:rPr>
              <w:t>He purported to represent a class of “[a]</w:t>
            </w:r>
            <w:proofErr w:type="spellStart"/>
            <w:r w:rsidRPr="00200A79">
              <w:rPr>
                <w:rFonts w:ascii="Calibri" w:hAnsi="Calibri" w:cs="Calibri"/>
                <w:b/>
                <w:sz w:val="22"/>
                <w:szCs w:val="22"/>
              </w:rPr>
              <w:t>ll</w:t>
            </w:r>
            <w:proofErr w:type="spellEnd"/>
            <w:r w:rsidRPr="00200A79">
              <w:rPr>
                <w:rFonts w:ascii="Calibri" w:hAnsi="Calibri" w:cs="Calibri"/>
                <w:b/>
                <w:sz w:val="22"/>
                <w:szCs w:val="22"/>
              </w:rPr>
              <w:t xml:space="preserve"> persons … whose telephone numbers were listed on the [Registry] for at least 30 days, but who received telemarketing calls from [SSN], to promote [DISH] from May 1, 2010 to August 1, 2011.”</w:t>
            </w:r>
          </w:p>
        </w:tc>
      </w:tr>
      <w:tr w:rsidR="00BB15EE" w:rsidRPr="00907D75" w14:paraId="3EF3141B" w14:textId="77777777" w:rsidTr="0057593C">
        <w:trPr>
          <w:trHeight w:val="4795"/>
        </w:trPr>
        <w:tc>
          <w:tcPr>
            <w:tcW w:w="5805" w:type="dxa"/>
            <w:vAlign w:val="center"/>
          </w:tcPr>
          <w:p w14:paraId="43327626" w14:textId="01A848F5" w:rsidR="00BB15EE" w:rsidRDefault="0018584D" w:rsidP="00363A6A">
            <w:pPr>
              <w:pStyle w:val="O-BodyText"/>
              <w:spacing w:after="120"/>
              <w:ind w:right="200"/>
              <w:jc w:val="both"/>
              <w:rPr>
                <w:rFonts w:ascii="Calibri" w:hAnsi="Calibri" w:cs="Calibri"/>
                <w:b/>
                <w:sz w:val="28"/>
                <w:szCs w:val="28"/>
              </w:rPr>
            </w:pPr>
            <w:r>
              <w:rPr>
                <w:rFonts w:ascii="Calibri" w:hAnsi="Calibri" w:cs="Calibri"/>
                <w:b/>
                <w:sz w:val="28"/>
                <w:szCs w:val="28"/>
              </w:rPr>
              <w:t>How were class members identified?</w:t>
            </w:r>
          </w:p>
        </w:tc>
        <w:tc>
          <w:tcPr>
            <w:tcW w:w="5805" w:type="dxa"/>
            <w:vAlign w:val="center"/>
          </w:tcPr>
          <w:p w14:paraId="01EB67A0" w14:textId="422791D0" w:rsidR="00BB15EE" w:rsidRPr="00200A79" w:rsidRDefault="0018584D" w:rsidP="0018584D">
            <w:pPr>
              <w:pStyle w:val="O-BodyText"/>
              <w:spacing w:after="120"/>
              <w:ind w:left="290" w:right="65"/>
              <w:jc w:val="both"/>
              <w:rPr>
                <w:rFonts w:ascii="Calibri" w:hAnsi="Calibri" w:cs="Calibri"/>
                <w:b/>
                <w:sz w:val="22"/>
                <w:szCs w:val="22"/>
              </w:rPr>
            </w:pPr>
            <w:r w:rsidRPr="0018584D">
              <w:rPr>
                <w:rFonts w:ascii="Calibri" w:hAnsi="Calibri" w:cs="Calibri"/>
                <w:b/>
                <w:sz w:val="22"/>
                <w:szCs w:val="22"/>
              </w:rPr>
              <w:t>Krakauer’s expert relied on SSN call records</w:t>
            </w:r>
            <w:r>
              <w:rPr>
                <w:rFonts w:ascii="Calibri" w:hAnsi="Calibri" w:cs="Calibri"/>
                <w:b/>
                <w:sz w:val="22"/>
                <w:szCs w:val="22"/>
              </w:rPr>
              <w:t xml:space="preserve"> </w:t>
            </w:r>
            <w:r w:rsidRPr="0018584D">
              <w:rPr>
                <w:rFonts w:ascii="Calibri" w:hAnsi="Calibri" w:cs="Calibri"/>
                <w:b/>
                <w:sz w:val="22"/>
                <w:szCs w:val="22"/>
              </w:rPr>
              <w:t xml:space="preserve">to identify what she said were more than 50,000 calls to residential landlines </w:t>
            </w:r>
            <w:r w:rsidR="006E056D">
              <w:rPr>
                <w:rFonts w:ascii="Calibri" w:hAnsi="Calibri" w:cs="Calibri"/>
                <w:b/>
                <w:sz w:val="22"/>
                <w:szCs w:val="22"/>
              </w:rPr>
              <w:t xml:space="preserve">during the class period </w:t>
            </w:r>
            <w:r w:rsidRPr="0018584D">
              <w:rPr>
                <w:rFonts w:ascii="Calibri" w:hAnsi="Calibri" w:cs="Calibri"/>
                <w:b/>
                <w:sz w:val="22"/>
                <w:szCs w:val="22"/>
              </w:rPr>
              <w:t xml:space="preserve">to </w:t>
            </w:r>
            <w:r w:rsidR="006E056D">
              <w:rPr>
                <w:rFonts w:ascii="Calibri" w:hAnsi="Calibri" w:cs="Calibri"/>
                <w:b/>
                <w:sz w:val="22"/>
                <w:szCs w:val="22"/>
              </w:rPr>
              <w:t xml:space="preserve">some </w:t>
            </w:r>
            <w:r w:rsidRPr="0018584D">
              <w:rPr>
                <w:rFonts w:ascii="Calibri" w:hAnsi="Calibri" w:cs="Calibri"/>
                <w:b/>
                <w:sz w:val="22"/>
                <w:szCs w:val="22"/>
              </w:rPr>
              <w:t>20,000 phone numbers on the Registry</w:t>
            </w:r>
            <w:r w:rsidR="00B91217" w:rsidRPr="0018584D">
              <w:rPr>
                <w:rFonts w:ascii="Calibri" w:hAnsi="Calibri" w:cs="Calibri"/>
                <w:b/>
                <w:sz w:val="22"/>
                <w:szCs w:val="22"/>
              </w:rPr>
              <w:t>.</w:t>
            </w:r>
            <w:r w:rsidR="00B91217">
              <w:rPr>
                <w:rFonts w:ascii="Calibri" w:hAnsi="Calibri" w:cs="Calibri"/>
                <w:b/>
                <w:sz w:val="22"/>
                <w:szCs w:val="22"/>
              </w:rPr>
              <w:t xml:space="preserve">  </w:t>
            </w:r>
            <w:r w:rsidR="00AF074E">
              <w:rPr>
                <w:rFonts w:ascii="Calibri" w:hAnsi="Calibri" w:cs="Calibri"/>
                <w:b/>
                <w:sz w:val="22"/>
                <w:szCs w:val="22"/>
              </w:rPr>
              <w:t>Krakauer then relied on private databases that found names associated with the numbers SSN called.</w:t>
            </w:r>
          </w:p>
        </w:tc>
      </w:tr>
      <w:tr w:rsidR="0018584D" w:rsidRPr="00907D75" w14:paraId="7BD7B3BF" w14:textId="77777777" w:rsidTr="0057593C">
        <w:trPr>
          <w:trHeight w:val="4795"/>
        </w:trPr>
        <w:tc>
          <w:tcPr>
            <w:tcW w:w="5805" w:type="dxa"/>
            <w:vAlign w:val="center"/>
          </w:tcPr>
          <w:p w14:paraId="7A0CAFC2" w14:textId="65B01AC0" w:rsidR="0018584D" w:rsidRDefault="00AF074E" w:rsidP="00363A6A">
            <w:pPr>
              <w:pStyle w:val="O-BodyText"/>
              <w:spacing w:after="120"/>
              <w:ind w:right="200"/>
              <w:jc w:val="both"/>
              <w:rPr>
                <w:rFonts w:ascii="Calibri" w:hAnsi="Calibri" w:cs="Calibri"/>
                <w:b/>
                <w:sz w:val="28"/>
                <w:szCs w:val="28"/>
              </w:rPr>
            </w:pPr>
            <w:r>
              <w:rPr>
                <w:rFonts w:ascii="Calibri" w:hAnsi="Calibri" w:cs="Calibri"/>
                <w:b/>
                <w:sz w:val="28"/>
                <w:szCs w:val="28"/>
              </w:rPr>
              <w:t>Why did DISH oppose class certification?</w:t>
            </w:r>
          </w:p>
        </w:tc>
        <w:tc>
          <w:tcPr>
            <w:tcW w:w="5805" w:type="dxa"/>
            <w:vAlign w:val="center"/>
          </w:tcPr>
          <w:p w14:paraId="5B2348B2" w14:textId="055F9437" w:rsidR="00AF074E" w:rsidRPr="000A4157" w:rsidRDefault="00AF074E" w:rsidP="00AF074E">
            <w:pPr>
              <w:pStyle w:val="O-BodyText"/>
              <w:spacing w:after="120"/>
              <w:ind w:left="290" w:right="65"/>
              <w:jc w:val="both"/>
              <w:rPr>
                <w:rFonts w:ascii="Calibri" w:hAnsi="Calibri" w:cs="Calibri"/>
                <w:b/>
                <w:sz w:val="22"/>
                <w:szCs w:val="22"/>
              </w:rPr>
            </w:pPr>
            <w:r>
              <w:rPr>
                <w:rFonts w:ascii="Calibri" w:hAnsi="Calibri" w:cs="Calibri"/>
                <w:b/>
                <w:sz w:val="22"/>
                <w:szCs w:val="22"/>
              </w:rPr>
              <w:t>DISH argued that t</w:t>
            </w:r>
            <w:r w:rsidRPr="00AF074E">
              <w:rPr>
                <w:rFonts w:ascii="Calibri" w:hAnsi="Calibri" w:cs="Calibri"/>
                <w:b/>
                <w:sz w:val="22"/>
                <w:szCs w:val="22"/>
              </w:rPr>
              <w:t>he class went beyond the relevant group of</w:t>
            </w:r>
            <w:r>
              <w:rPr>
                <w:rFonts w:ascii="Calibri" w:hAnsi="Calibri" w:cs="Calibri"/>
                <w:b/>
                <w:sz w:val="22"/>
                <w:szCs w:val="22"/>
              </w:rPr>
              <w:t xml:space="preserve"> </w:t>
            </w:r>
            <w:r w:rsidRPr="00AF074E">
              <w:rPr>
                <w:rFonts w:ascii="Calibri" w:hAnsi="Calibri" w:cs="Calibri"/>
                <w:b/>
                <w:sz w:val="22"/>
                <w:szCs w:val="22"/>
              </w:rPr>
              <w:t>people</w:t>
            </w:r>
            <w:r w:rsidR="00D00E4F">
              <w:rPr>
                <w:rFonts w:ascii="Calibri" w:hAnsi="Calibri" w:cs="Calibri"/>
                <w:b/>
                <w:sz w:val="22"/>
                <w:szCs w:val="22"/>
              </w:rPr>
              <w:t>, which were p</w:t>
            </w:r>
            <w:r>
              <w:rPr>
                <w:rFonts w:ascii="Calibri" w:hAnsi="Calibri" w:cs="Calibri"/>
                <w:b/>
                <w:sz w:val="22"/>
                <w:szCs w:val="22"/>
              </w:rPr>
              <w:t xml:space="preserve">hone </w:t>
            </w:r>
            <w:r w:rsidRPr="00D00E4F">
              <w:rPr>
                <w:rFonts w:ascii="Calibri" w:hAnsi="Calibri" w:cs="Calibri"/>
                <w:b/>
                <w:i/>
                <w:sz w:val="22"/>
                <w:szCs w:val="22"/>
              </w:rPr>
              <w:t>subscribers</w:t>
            </w:r>
            <w:r w:rsidR="00B91217">
              <w:rPr>
                <w:rFonts w:ascii="Calibri" w:hAnsi="Calibri" w:cs="Calibri"/>
                <w:b/>
                <w:sz w:val="22"/>
                <w:szCs w:val="22"/>
              </w:rPr>
              <w:t xml:space="preserve">.  </w:t>
            </w:r>
            <w:r w:rsidRPr="00AF074E">
              <w:rPr>
                <w:rFonts w:ascii="Calibri" w:hAnsi="Calibri" w:cs="Calibri"/>
                <w:b/>
                <w:sz w:val="22"/>
                <w:szCs w:val="22"/>
              </w:rPr>
              <w:t>Krakauer didn’t even have</w:t>
            </w:r>
            <w:r>
              <w:rPr>
                <w:rFonts w:ascii="Calibri" w:hAnsi="Calibri" w:cs="Calibri"/>
                <w:b/>
                <w:sz w:val="22"/>
                <w:szCs w:val="22"/>
              </w:rPr>
              <w:t xml:space="preserve"> </w:t>
            </w:r>
            <w:r w:rsidRPr="00AF074E">
              <w:rPr>
                <w:rFonts w:ascii="Calibri" w:hAnsi="Calibri" w:cs="Calibri"/>
                <w:b/>
                <w:sz w:val="22"/>
                <w:szCs w:val="22"/>
              </w:rPr>
              <w:t>subscriber information</w:t>
            </w:r>
            <w:r w:rsidR="00D00E4F">
              <w:rPr>
                <w:rFonts w:ascii="Calibri" w:hAnsi="Calibri" w:cs="Calibri"/>
                <w:b/>
                <w:sz w:val="22"/>
                <w:szCs w:val="22"/>
              </w:rPr>
              <w:t>.  Also, t</w:t>
            </w:r>
            <w:r w:rsidR="000A4157">
              <w:rPr>
                <w:rFonts w:ascii="Calibri" w:hAnsi="Calibri" w:cs="Calibri"/>
                <w:b/>
                <w:sz w:val="22"/>
                <w:szCs w:val="22"/>
              </w:rPr>
              <w:t xml:space="preserve">he private databases used by Krakauer didn’t show whether named individuals </w:t>
            </w:r>
            <w:r w:rsidR="00D00E4F">
              <w:rPr>
                <w:rFonts w:ascii="Calibri" w:hAnsi="Calibri" w:cs="Calibri"/>
                <w:b/>
                <w:sz w:val="22"/>
                <w:szCs w:val="22"/>
              </w:rPr>
              <w:t xml:space="preserve">even </w:t>
            </w:r>
            <w:r w:rsidR="000A4157">
              <w:rPr>
                <w:rFonts w:ascii="Calibri" w:hAnsi="Calibri" w:cs="Calibri"/>
                <w:b/>
                <w:sz w:val="22"/>
                <w:szCs w:val="22"/>
              </w:rPr>
              <w:t xml:space="preserve">used the numbers called at the time the calls were made, much less whether they </w:t>
            </w:r>
            <w:proofErr w:type="gramStart"/>
            <w:r w:rsidR="000A4157">
              <w:rPr>
                <w:rFonts w:ascii="Calibri" w:hAnsi="Calibri" w:cs="Calibri"/>
                <w:b/>
                <w:sz w:val="22"/>
                <w:szCs w:val="22"/>
              </w:rPr>
              <w:t xml:space="preserve">actually </w:t>
            </w:r>
            <w:r w:rsidR="000A4157">
              <w:rPr>
                <w:rFonts w:ascii="Calibri" w:hAnsi="Calibri" w:cs="Calibri"/>
                <w:b/>
                <w:i/>
                <w:sz w:val="22"/>
                <w:szCs w:val="22"/>
              </w:rPr>
              <w:t>received</w:t>
            </w:r>
            <w:proofErr w:type="gramEnd"/>
            <w:r w:rsidR="000A4157">
              <w:rPr>
                <w:rFonts w:ascii="Calibri" w:hAnsi="Calibri" w:cs="Calibri"/>
                <w:b/>
                <w:sz w:val="22"/>
                <w:szCs w:val="22"/>
              </w:rPr>
              <w:t xml:space="preserve"> telemarketing calls from SSN.</w:t>
            </w:r>
          </w:p>
          <w:p w14:paraId="53BFB035" w14:textId="107DF1C1" w:rsidR="0018584D" w:rsidRPr="0018584D" w:rsidRDefault="0018584D" w:rsidP="00AF074E">
            <w:pPr>
              <w:pStyle w:val="O-BodyText"/>
              <w:spacing w:after="120"/>
              <w:ind w:left="290" w:right="65"/>
              <w:jc w:val="both"/>
              <w:rPr>
                <w:rFonts w:ascii="Calibri" w:hAnsi="Calibri" w:cs="Calibri"/>
                <w:b/>
                <w:sz w:val="22"/>
                <w:szCs w:val="22"/>
              </w:rPr>
            </w:pPr>
          </w:p>
        </w:tc>
      </w:tr>
      <w:tr w:rsidR="00AF074E" w:rsidRPr="00907D75" w14:paraId="1ABED216" w14:textId="77777777" w:rsidTr="0057593C">
        <w:trPr>
          <w:trHeight w:val="4795"/>
        </w:trPr>
        <w:tc>
          <w:tcPr>
            <w:tcW w:w="5805" w:type="dxa"/>
            <w:vAlign w:val="center"/>
          </w:tcPr>
          <w:p w14:paraId="5DF78A4E" w14:textId="330903F7" w:rsidR="00AF074E" w:rsidRDefault="000A4157"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result of the trial</w:t>
            </w:r>
            <w:r w:rsidR="00B91217">
              <w:rPr>
                <w:rFonts w:ascii="Calibri" w:hAnsi="Calibri" w:cs="Calibri"/>
                <w:b/>
                <w:sz w:val="28"/>
                <w:szCs w:val="28"/>
              </w:rPr>
              <w:t xml:space="preserve">?  </w:t>
            </w:r>
          </w:p>
        </w:tc>
        <w:tc>
          <w:tcPr>
            <w:tcW w:w="5805" w:type="dxa"/>
            <w:vAlign w:val="center"/>
          </w:tcPr>
          <w:p w14:paraId="7C81CDBD" w14:textId="22CED921" w:rsidR="00AF074E" w:rsidRDefault="000A4157" w:rsidP="00AF074E">
            <w:pPr>
              <w:pStyle w:val="O-BodyText"/>
              <w:spacing w:after="120"/>
              <w:ind w:left="290" w:right="65"/>
              <w:jc w:val="both"/>
              <w:rPr>
                <w:rFonts w:ascii="Calibri" w:hAnsi="Calibri" w:cs="Calibri"/>
                <w:b/>
                <w:sz w:val="22"/>
                <w:szCs w:val="22"/>
              </w:rPr>
            </w:pPr>
            <w:r>
              <w:rPr>
                <w:rFonts w:ascii="Calibri" w:hAnsi="Calibri" w:cs="Calibri"/>
                <w:b/>
                <w:sz w:val="22"/>
                <w:szCs w:val="22"/>
              </w:rPr>
              <w:t>The class was certified, and a jury trial was held</w:t>
            </w:r>
            <w:r w:rsidR="00B91217">
              <w:rPr>
                <w:rFonts w:ascii="Calibri" w:hAnsi="Calibri" w:cs="Calibri"/>
                <w:b/>
                <w:sz w:val="22"/>
                <w:szCs w:val="22"/>
              </w:rPr>
              <w:t xml:space="preserve">.  </w:t>
            </w:r>
            <w:r>
              <w:rPr>
                <w:rFonts w:ascii="Calibri" w:hAnsi="Calibri" w:cs="Calibri"/>
                <w:b/>
                <w:sz w:val="22"/>
                <w:szCs w:val="22"/>
              </w:rPr>
              <w:t>The jury awarded $400 for each call placed by SSN to the class members, who were not yet identified</w:t>
            </w:r>
            <w:r w:rsidR="00B91217">
              <w:rPr>
                <w:rFonts w:ascii="Calibri" w:hAnsi="Calibri" w:cs="Calibri"/>
                <w:b/>
                <w:sz w:val="22"/>
                <w:szCs w:val="22"/>
              </w:rPr>
              <w:t xml:space="preserve">.  </w:t>
            </w:r>
            <w:r>
              <w:rPr>
                <w:rFonts w:ascii="Calibri" w:hAnsi="Calibri" w:cs="Calibri"/>
                <w:b/>
                <w:sz w:val="22"/>
                <w:szCs w:val="22"/>
              </w:rPr>
              <w:t>That amounted to about $20 million, which the district court then tripled.</w:t>
            </w:r>
          </w:p>
        </w:tc>
      </w:tr>
      <w:tr w:rsidR="006B69F0" w:rsidRPr="00907D75" w14:paraId="6C41B47D" w14:textId="77777777" w:rsidTr="0057593C">
        <w:trPr>
          <w:trHeight w:val="4795"/>
        </w:trPr>
        <w:tc>
          <w:tcPr>
            <w:tcW w:w="5805" w:type="dxa"/>
            <w:vAlign w:val="center"/>
          </w:tcPr>
          <w:p w14:paraId="53468CFC" w14:textId="435CEA7E" w:rsidR="006B69F0" w:rsidRDefault="006B69F0" w:rsidP="00363A6A">
            <w:pPr>
              <w:pStyle w:val="O-BodyText"/>
              <w:spacing w:after="120"/>
              <w:ind w:right="200"/>
              <w:jc w:val="both"/>
              <w:rPr>
                <w:rFonts w:ascii="Calibri" w:hAnsi="Calibri" w:cs="Calibri"/>
                <w:b/>
                <w:sz w:val="28"/>
                <w:szCs w:val="28"/>
              </w:rPr>
            </w:pPr>
            <w:r>
              <w:rPr>
                <w:rFonts w:ascii="Calibri" w:hAnsi="Calibri" w:cs="Calibri"/>
                <w:b/>
                <w:sz w:val="28"/>
                <w:szCs w:val="28"/>
              </w:rPr>
              <w:t>Why did the district court triple the damage award?</w:t>
            </w:r>
          </w:p>
        </w:tc>
        <w:tc>
          <w:tcPr>
            <w:tcW w:w="5805" w:type="dxa"/>
            <w:vAlign w:val="center"/>
          </w:tcPr>
          <w:p w14:paraId="549B7E1B" w14:textId="1C0190C8" w:rsidR="006B69F0" w:rsidRDefault="006B69F0" w:rsidP="00AF074E">
            <w:pPr>
              <w:pStyle w:val="O-BodyText"/>
              <w:spacing w:after="120"/>
              <w:ind w:left="290" w:right="65"/>
              <w:jc w:val="both"/>
              <w:rPr>
                <w:rFonts w:ascii="Calibri" w:hAnsi="Calibri" w:cs="Calibri"/>
                <w:b/>
                <w:sz w:val="22"/>
                <w:szCs w:val="22"/>
              </w:rPr>
            </w:pPr>
            <w:r w:rsidRPr="006B69F0">
              <w:rPr>
                <w:rFonts w:ascii="Calibri" w:hAnsi="Calibri" w:cs="Calibri"/>
                <w:b/>
                <w:sz w:val="22"/>
                <w:szCs w:val="22"/>
              </w:rPr>
              <w:t xml:space="preserve">Treble damages are available only for willful or knowing violations of the TCPA.  47 U.S.C. § 227(c)(5)(C).  The court </w:t>
            </w:r>
            <w:r>
              <w:rPr>
                <w:rFonts w:ascii="Calibri" w:hAnsi="Calibri" w:cs="Calibri"/>
                <w:b/>
                <w:sz w:val="22"/>
                <w:szCs w:val="22"/>
              </w:rPr>
              <w:t>found</w:t>
            </w:r>
            <w:r w:rsidRPr="006B69F0">
              <w:rPr>
                <w:rFonts w:ascii="Calibri" w:hAnsi="Calibri" w:cs="Calibri"/>
                <w:b/>
                <w:sz w:val="22"/>
                <w:szCs w:val="22"/>
              </w:rPr>
              <w:t xml:space="preserve"> that SSN’s conduct could be imputed to DISH, and that DISH should have known of TCPA violations that SSN committed before the class period.</w:t>
            </w:r>
          </w:p>
        </w:tc>
      </w:tr>
      <w:tr w:rsidR="006B69F0" w:rsidRPr="00907D75" w14:paraId="55B7DFD1" w14:textId="77777777" w:rsidTr="0057593C">
        <w:trPr>
          <w:trHeight w:val="4795"/>
        </w:trPr>
        <w:tc>
          <w:tcPr>
            <w:tcW w:w="5805" w:type="dxa"/>
            <w:vAlign w:val="center"/>
          </w:tcPr>
          <w:p w14:paraId="01C683ED" w14:textId="5D1C4219" w:rsidR="006B69F0" w:rsidRDefault="006B69F0"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final </w:t>
            </w:r>
            <w:r w:rsidR="00D00E4F">
              <w:rPr>
                <w:rFonts w:ascii="Calibri" w:hAnsi="Calibri" w:cs="Calibri"/>
                <w:b/>
                <w:sz w:val="28"/>
                <w:szCs w:val="28"/>
              </w:rPr>
              <w:t xml:space="preserve">damages </w:t>
            </w:r>
            <w:r>
              <w:rPr>
                <w:rFonts w:ascii="Calibri" w:hAnsi="Calibri" w:cs="Calibri"/>
                <w:b/>
                <w:sz w:val="28"/>
                <w:szCs w:val="28"/>
              </w:rPr>
              <w:t>amount awarded by the district court?</w:t>
            </w:r>
          </w:p>
        </w:tc>
        <w:tc>
          <w:tcPr>
            <w:tcW w:w="5805" w:type="dxa"/>
            <w:vAlign w:val="center"/>
          </w:tcPr>
          <w:p w14:paraId="37BFD76A" w14:textId="1314570B" w:rsidR="006B69F0" w:rsidRPr="006B69F0" w:rsidRDefault="006B69F0" w:rsidP="006B69F0">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6B69F0">
              <w:rPr>
                <w:rFonts w:ascii="Calibri" w:hAnsi="Calibri" w:cs="Calibri"/>
                <w:b/>
                <w:sz w:val="22"/>
                <w:szCs w:val="22"/>
              </w:rPr>
              <w:t xml:space="preserve">he court </w:t>
            </w:r>
            <w:r w:rsidR="00D00E4F">
              <w:rPr>
                <w:rFonts w:ascii="Calibri" w:hAnsi="Calibri" w:cs="Calibri"/>
                <w:b/>
                <w:sz w:val="22"/>
                <w:szCs w:val="22"/>
              </w:rPr>
              <w:t>tripled</w:t>
            </w:r>
            <w:r w:rsidRPr="006B69F0">
              <w:rPr>
                <w:rFonts w:ascii="Calibri" w:hAnsi="Calibri" w:cs="Calibri"/>
                <w:b/>
                <w:sz w:val="22"/>
                <w:szCs w:val="22"/>
              </w:rPr>
              <w:t xml:space="preserve"> </w:t>
            </w:r>
            <w:r>
              <w:rPr>
                <w:rFonts w:ascii="Calibri" w:hAnsi="Calibri" w:cs="Calibri"/>
                <w:b/>
                <w:sz w:val="22"/>
                <w:szCs w:val="22"/>
              </w:rPr>
              <w:t>the $400 for each call to $1,200</w:t>
            </w:r>
            <w:r w:rsidR="00B91217">
              <w:rPr>
                <w:rFonts w:ascii="Calibri" w:hAnsi="Calibri" w:cs="Calibri"/>
                <w:b/>
                <w:sz w:val="22"/>
                <w:szCs w:val="22"/>
              </w:rPr>
              <w:t xml:space="preserve">.  </w:t>
            </w:r>
            <w:r w:rsidRPr="006B69F0">
              <w:rPr>
                <w:rFonts w:ascii="Calibri" w:hAnsi="Calibri" w:cs="Calibri"/>
                <w:b/>
                <w:sz w:val="22"/>
                <w:szCs w:val="22"/>
              </w:rPr>
              <w:t>Because a statutory violation requires a plaintiff to have received</w:t>
            </w:r>
            <w:r>
              <w:rPr>
                <w:rFonts w:ascii="Calibri" w:hAnsi="Calibri" w:cs="Calibri"/>
                <w:b/>
                <w:sz w:val="22"/>
                <w:szCs w:val="22"/>
              </w:rPr>
              <w:t xml:space="preserve"> </w:t>
            </w:r>
            <w:r w:rsidRPr="006B69F0">
              <w:rPr>
                <w:rFonts w:ascii="Calibri" w:hAnsi="Calibri" w:cs="Calibri"/>
                <w:b/>
                <w:sz w:val="22"/>
                <w:szCs w:val="22"/>
              </w:rPr>
              <w:t xml:space="preserve">two calls, the court awarded each plaintiff at least $2,400—with many </w:t>
            </w:r>
            <w:proofErr w:type="gramStart"/>
            <w:r w:rsidRPr="006B69F0">
              <w:rPr>
                <w:rFonts w:ascii="Calibri" w:hAnsi="Calibri" w:cs="Calibri"/>
                <w:b/>
                <w:sz w:val="22"/>
                <w:szCs w:val="22"/>
              </w:rPr>
              <w:t>set</w:t>
            </w:r>
            <w:proofErr w:type="gramEnd"/>
            <w:r w:rsidRPr="006B69F0">
              <w:rPr>
                <w:rFonts w:ascii="Calibri" w:hAnsi="Calibri" w:cs="Calibri"/>
                <w:b/>
                <w:sz w:val="22"/>
                <w:szCs w:val="22"/>
              </w:rPr>
              <w:t xml:space="preserve"> to receive $10,000 and up.</w:t>
            </w:r>
          </w:p>
        </w:tc>
      </w:tr>
      <w:tr w:rsidR="00B5732A" w:rsidRPr="00907D75" w14:paraId="4CBA811A" w14:textId="77777777" w:rsidTr="0057593C">
        <w:trPr>
          <w:trHeight w:val="4795"/>
        </w:trPr>
        <w:tc>
          <w:tcPr>
            <w:tcW w:w="5805" w:type="dxa"/>
            <w:vAlign w:val="center"/>
          </w:tcPr>
          <w:p w14:paraId="743941DB" w14:textId="6C3D5912" w:rsidR="00B5732A" w:rsidRDefault="00B5732A"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Had the class members been identified by the time damages were awarded?</w:t>
            </w:r>
          </w:p>
        </w:tc>
        <w:tc>
          <w:tcPr>
            <w:tcW w:w="5805" w:type="dxa"/>
            <w:vAlign w:val="center"/>
          </w:tcPr>
          <w:p w14:paraId="53A06E76" w14:textId="316679EF" w:rsidR="00B5732A" w:rsidRDefault="00B5732A" w:rsidP="006B69F0">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E82FB1">
              <w:rPr>
                <w:rFonts w:ascii="Calibri" w:hAnsi="Calibri" w:cs="Calibri"/>
                <w:b/>
                <w:sz w:val="22"/>
                <w:szCs w:val="22"/>
              </w:rPr>
              <w:t>A</w:t>
            </w:r>
            <w:r w:rsidR="00D00E4F">
              <w:rPr>
                <w:rFonts w:ascii="Calibri" w:hAnsi="Calibri" w:cs="Calibri"/>
                <w:b/>
                <w:sz w:val="22"/>
                <w:szCs w:val="22"/>
              </w:rPr>
              <w:t>t the time damages were awarded</w:t>
            </w:r>
            <w:r w:rsidR="00E82FB1">
              <w:rPr>
                <w:rFonts w:ascii="Calibri" w:hAnsi="Calibri" w:cs="Calibri"/>
                <w:b/>
                <w:sz w:val="22"/>
                <w:szCs w:val="22"/>
              </w:rPr>
              <w:t>, n</w:t>
            </w:r>
            <w:r w:rsidRPr="00B5732A">
              <w:rPr>
                <w:rFonts w:ascii="Calibri" w:hAnsi="Calibri" w:cs="Calibri"/>
                <w:b/>
                <w:sz w:val="22"/>
                <w:szCs w:val="22"/>
              </w:rPr>
              <w:t>either the jury nor the court had determined who received the calls, much less whether they were subscribers.  For that reason, the court initially declined to enter judgment.</w:t>
            </w:r>
          </w:p>
        </w:tc>
      </w:tr>
      <w:tr w:rsidR="006A5857" w:rsidRPr="00907D75" w14:paraId="4403FDFC" w14:textId="77777777" w:rsidTr="0057593C">
        <w:trPr>
          <w:trHeight w:val="4795"/>
        </w:trPr>
        <w:tc>
          <w:tcPr>
            <w:tcW w:w="5805" w:type="dxa"/>
            <w:vAlign w:val="center"/>
          </w:tcPr>
          <w:p w14:paraId="00B465C2" w14:textId="63922D24" w:rsidR="006A5857" w:rsidRDefault="006A5857" w:rsidP="00363A6A">
            <w:pPr>
              <w:pStyle w:val="O-BodyText"/>
              <w:spacing w:after="120"/>
              <w:ind w:right="200"/>
              <w:jc w:val="both"/>
              <w:rPr>
                <w:rFonts w:ascii="Calibri" w:hAnsi="Calibri" w:cs="Calibri"/>
                <w:b/>
                <w:sz w:val="28"/>
                <w:szCs w:val="28"/>
              </w:rPr>
            </w:pPr>
            <w:r>
              <w:rPr>
                <w:rFonts w:ascii="Calibri" w:hAnsi="Calibri" w:cs="Calibri"/>
                <w:b/>
                <w:sz w:val="28"/>
                <w:szCs w:val="28"/>
              </w:rPr>
              <w:t>How did the court determine who the class members were?</w:t>
            </w:r>
          </w:p>
        </w:tc>
        <w:tc>
          <w:tcPr>
            <w:tcW w:w="5805" w:type="dxa"/>
            <w:vAlign w:val="center"/>
          </w:tcPr>
          <w:p w14:paraId="23B0784E" w14:textId="7A6D794D" w:rsidR="006A5857" w:rsidRDefault="00E006E6" w:rsidP="006B69F0">
            <w:pPr>
              <w:pStyle w:val="O-BodyText"/>
              <w:spacing w:after="120"/>
              <w:ind w:left="290" w:right="65"/>
              <w:jc w:val="both"/>
              <w:rPr>
                <w:rFonts w:ascii="Calibri" w:hAnsi="Calibri" w:cs="Calibri"/>
                <w:b/>
                <w:sz w:val="22"/>
                <w:szCs w:val="22"/>
              </w:rPr>
            </w:pPr>
            <w:r>
              <w:rPr>
                <w:rFonts w:ascii="Calibri" w:hAnsi="Calibri" w:cs="Calibri"/>
                <w:b/>
                <w:sz w:val="22"/>
                <w:szCs w:val="22"/>
              </w:rPr>
              <w:t>Because</w:t>
            </w:r>
            <w:r w:rsidR="006A5857" w:rsidRPr="006A5857">
              <w:rPr>
                <w:rFonts w:ascii="Calibri" w:hAnsi="Calibri" w:cs="Calibri"/>
                <w:b/>
                <w:sz w:val="22"/>
                <w:szCs w:val="22"/>
              </w:rPr>
              <w:t xml:space="preserve"> DISH had not had an opportunity to litigate whether identifiable people received the calls, </w:t>
            </w:r>
            <w:r>
              <w:rPr>
                <w:rFonts w:ascii="Calibri" w:hAnsi="Calibri" w:cs="Calibri"/>
                <w:b/>
                <w:sz w:val="22"/>
                <w:szCs w:val="22"/>
              </w:rPr>
              <w:t>the court found that DISH was entitled to do so as</w:t>
            </w:r>
            <w:r w:rsidR="006A5857" w:rsidRPr="006A5857">
              <w:rPr>
                <w:rFonts w:ascii="Calibri" w:hAnsi="Calibri" w:cs="Calibri"/>
                <w:b/>
                <w:sz w:val="22"/>
                <w:szCs w:val="22"/>
              </w:rPr>
              <w:t xml:space="preserve"> a matter of fairness and basic due process</w:t>
            </w:r>
            <w:r w:rsidR="00B91217" w:rsidRPr="006A5857">
              <w:rPr>
                <w:rFonts w:ascii="Calibri" w:hAnsi="Calibri" w:cs="Calibri"/>
                <w:b/>
                <w:sz w:val="22"/>
                <w:szCs w:val="22"/>
              </w:rPr>
              <w:t>.</w:t>
            </w:r>
            <w:r w:rsidR="00B91217">
              <w:rPr>
                <w:rFonts w:ascii="Calibri" w:hAnsi="Calibri" w:cs="Calibri"/>
                <w:b/>
                <w:sz w:val="22"/>
                <w:szCs w:val="22"/>
              </w:rPr>
              <w:t xml:space="preserve">  </w:t>
            </w:r>
            <w:r w:rsidR="006A5857" w:rsidRPr="006A5857">
              <w:rPr>
                <w:rFonts w:ascii="Calibri" w:hAnsi="Calibri" w:cs="Calibri"/>
                <w:b/>
                <w:sz w:val="22"/>
                <w:szCs w:val="22"/>
              </w:rPr>
              <w:t xml:space="preserve">The </w:t>
            </w:r>
            <w:r>
              <w:rPr>
                <w:rFonts w:ascii="Calibri" w:hAnsi="Calibri" w:cs="Calibri"/>
                <w:b/>
                <w:sz w:val="22"/>
                <w:szCs w:val="22"/>
              </w:rPr>
              <w:t xml:space="preserve">court left those determinations to a </w:t>
            </w:r>
            <w:r w:rsidR="006A5857" w:rsidRPr="006A5857">
              <w:rPr>
                <w:rFonts w:ascii="Calibri" w:hAnsi="Calibri" w:cs="Calibri"/>
                <w:b/>
                <w:sz w:val="22"/>
                <w:szCs w:val="22"/>
              </w:rPr>
              <w:t>claims process.</w:t>
            </w:r>
          </w:p>
        </w:tc>
      </w:tr>
      <w:tr w:rsidR="009E1FC5" w:rsidRPr="00907D75" w14:paraId="7DD5D3D0" w14:textId="77777777" w:rsidTr="0057593C">
        <w:trPr>
          <w:trHeight w:val="4795"/>
        </w:trPr>
        <w:tc>
          <w:tcPr>
            <w:tcW w:w="5805" w:type="dxa"/>
            <w:vAlign w:val="center"/>
          </w:tcPr>
          <w:p w14:paraId="29B2CBB1" w14:textId="3A58BDE9" w:rsidR="009E1FC5" w:rsidRDefault="009E1FC5"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Did DISH propose a </w:t>
            </w:r>
            <w:r w:rsidR="00E006E6">
              <w:rPr>
                <w:rFonts w:ascii="Calibri" w:hAnsi="Calibri" w:cs="Calibri"/>
                <w:b/>
                <w:sz w:val="28"/>
                <w:szCs w:val="28"/>
              </w:rPr>
              <w:t xml:space="preserve">post-trial </w:t>
            </w:r>
            <w:r>
              <w:rPr>
                <w:rFonts w:ascii="Calibri" w:hAnsi="Calibri" w:cs="Calibri"/>
                <w:b/>
                <w:sz w:val="28"/>
                <w:szCs w:val="28"/>
              </w:rPr>
              <w:t>claims process?</w:t>
            </w:r>
          </w:p>
        </w:tc>
        <w:tc>
          <w:tcPr>
            <w:tcW w:w="5805" w:type="dxa"/>
            <w:vAlign w:val="center"/>
          </w:tcPr>
          <w:p w14:paraId="4B3CFD7F" w14:textId="3710F7B8" w:rsidR="009E1FC5" w:rsidRDefault="009E1FC5" w:rsidP="006B69F0">
            <w:pPr>
              <w:pStyle w:val="O-BodyText"/>
              <w:spacing w:after="120"/>
              <w:ind w:left="290" w:right="65"/>
              <w:jc w:val="both"/>
              <w:rPr>
                <w:rFonts w:ascii="Calibri" w:hAnsi="Calibri" w:cs="Calibri"/>
                <w:b/>
                <w:sz w:val="22"/>
                <w:szCs w:val="22"/>
              </w:rPr>
            </w:pPr>
            <w:r>
              <w:rPr>
                <w:rFonts w:ascii="Calibri" w:hAnsi="Calibri" w:cs="Calibri"/>
                <w:b/>
                <w:sz w:val="22"/>
                <w:szCs w:val="22"/>
              </w:rPr>
              <w:t>Yes</w:t>
            </w:r>
            <w:r w:rsidR="00B91217">
              <w:rPr>
                <w:rFonts w:ascii="Calibri" w:hAnsi="Calibri" w:cs="Calibri"/>
                <w:b/>
                <w:sz w:val="22"/>
                <w:szCs w:val="22"/>
              </w:rPr>
              <w:t xml:space="preserve">.  </w:t>
            </w:r>
            <w:r>
              <w:rPr>
                <w:rFonts w:ascii="Calibri" w:hAnsi="Calibri" w:cs="Calibri"/>
                <w:b/>
                <w:sz w:val="22"/>
                <w:szCs w:val="22"/>
              </w:rPr>
              <w:t xml:space="preserve">Although </w:t>
            </w:r>
            <w:r w:rsidRPr="009E1FC5">
              <w:rPr>
                <w:rFonts w:ascii="Calibri" w:hAnsi="Calibri" w:cs="Calibri"/>
                <w:b/>
                <w:sz w:val="22"/>
                <w:szCs w:val="22"/>
              </w:rPr>
              <w:t>DISH believed no post-trial process could cure the errors fro</w:t>
            </w:r>
            <w:r>
              <w:rPr>
                <w:rFonts w:ascii="Calibri" w:hAnsi="Calibri" w:cs="Calibri"/>
                <w:b/>
                <w:sz w:val="22"/>
                <w:szCs w:val="22"/>
              </w:rPr>
              <w:t xml:space="preserve">m class certification and trial, it nonetheless proposed </w:t>
            </w:r>
            <w:r w:rsidR="00E006E6">
              <w:rPr>
                <w:rFonts w:ascii="Calibri" w:hAnsi="Calibri" w:cs="Calibri"/>
                <w:b/>
                <w:sz w:val="22"/>
                <w:szCs w:val="22"/>
              </w:rPr>
              <w:t xml:space="preserve">that </w:t>
            </w:r>
            <w:r w:rsidRPr="009E1FC5">
              <w:rPr>
                <w:rFonts w:ascii="Calibri" w:hAnsi="Calibri" w:cs="Calibri"/>
                <w:b/>
                <w:sz w:val="22"/>
                <w:szCs w:val="22"/>
              </w:rPr>
              <w:t xml:space="preserve">each claimant complete a form and submit evidence that </w:t>
            </w:r>
            <w:r w:rsidR="00E006E6">
              <w:rPr>
                <w:rFonts w:ascii="Calibri" w:hAnsi="Calibri" w:cs="Calibri"/>
                <w:b/>
                <w:sz w:val="22"/>
                <w:szCs w:val="22"/>
              </w:rPr>
              <w:t>the claimant was</w:t>
            </w:r>
            <w:r w:rsidRPr="009E1FC5">
              <w:rPr>
                <w:rFonts w:ascii="Calibri" w:hAnsi="Calibri" w:cs="Calibri"/>
                <w:b/>
                <w:sz w:val="22"/>
                <w:szCs w:val="22"/>
              </w:rPr>
              <w:t xml:space="preserve"> a subscriber or </w:t>
            </w:r>
            <w:proofErr w:type="gramStart"/>
            <w:r w:rsidRPr="009E1FC5">
              <w:rPr>
                <w:rFonts w:ascii="Calibri" w:hAnsi="Calibri" w:cs="Calibri"/>
                <w:b/>
                <w:sz w:val="22"/>
                <w:szCs w:val="22"/>
              </w:rPr>
              <w:t>actually received</w:t>
            </w:r>
            <w:proofErr w:type="gramEnd"/>
            <w:r w:rsidRPr="009E1FC5">
              <w:rPr>
                <w:rFonts w:ascii="Calibri" w:hAnsi="Calibri" w:cs="Calibri"/>
                <w:b/>
                <w:sz w:val="22"/>
                <w:szCs w:val="22"/>
              </w:rPr>
              <w:t xml:space="preserve"> two or more calls</w:t>
            </w:r>
            <w:r w:rsidR="00B91217" w:rsidRPr="009E1FC5">
              <w:rPr>
                <w:rFonts w:ascii="Calibri" w:hAnsi="Calibri" w:cs="Calibri"/>
                <w:b/>
                <w:sz w:val="22"/>
                <w:szCs w:val="22"/>
              </w:rPr>
              <w:t>.</w:t>
            </w:r>
            <w:r w:rsidR="00B91217">
              <w:rPr>
                <w:rFonts w:ascii="Calibri" w:hAnsi="Calibri" w:cs="Calibri"/>
                <w:b/>
                <w:sz w:val="22"/>
                <w:szCs w:val="22"/>
              </w:rPr>
              <w:t xml:space="preserve">  </w:t>
            </w:r>
            <w:r>
              <w:rPr>
                <w:rFonts w:ascii="Calibri" w:hAnsi="Calibri" w:cs="Calibri"/>
                <w:b/>
                <w:sz w:val="22"/>
                <w:szCs w:val="22"/>
              </w:rPr>
              <w:t xml:space="preserve">The court denied </w:t>
            </w:r>
            <w:proofErr w:type="spellStart"/>
            <w:r>
              <w:rPr>
                <w:rFonts w:ascii="Calibri" w:hAnsi="Calibri" w:cs="Calibri"/>
                <w:b/>
                <w:sz w:val="22"/>
                <w:szCs w:val="22"/>
              </w:rPr>
              <w:t>DISH’s</w:t>
            </w:r>
            <w:proofErr w:type="spellEnd"/>
            <w:r>
              <w:rPr>
                <w:rFonts w:ascii="Calibri" w:hAnsi="Calibri" w:cs="Calibri"/>
                <w:b/>
                <w:sz w:val="22"/>
                <w:szCs w:val="22"/>
              </w:rPr>
              <w:t xml:space="preserve"> request.</w:t>
            </w:r>
          </w:p>
        </w:tc>
      </w:tr>
      <w:tr w:rsidR="006A5857" w:rsidRPr="00907D75" w14:paraId="2DBB3B59" w14:textId="77777777" w:rsidTr="0057593C">
        <w:trPr>
          <w:trHeight w:val="4795"/>
        </w:trPr>
        <w:tc>
          <w:tcPr>
            <w:tcW w:w="5805" w:type="dxa"/>
            <w:vAlign w:val="center"/>
          </w:tcPr>
          <w:p w14:paraId="21FEDFA1" w14:textId="146731A7" w:rsidR="006A5857" w:rsidRDefault="006A5857"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claims process </w:t>
            </w:r>
            <w:r w:rsidR="00E006E6">
              <w:rPr>
                <w:rFonts w:ascii="Calibri" w:hAnsi="Calibri" w:cs="Calibri"/>
                <w:b/>
                <w:sz w:val="28"/>
                <w:szCs w:val="28"/>
              </w:rPr>
              <w:t xml:space="preserve">did </w:t>
            </w:r>
            <w:r>
              <w:rPr>
                <w:rFonts w:ascii="Calibri" w:hAnsi="Calibri" w:cs="Calibri"/>
                <w:b/>
                <w:sz w:val="28"/>
                <w:szCs w:val="28"/>
              </w:rPr>
              <w:t>the court set up?</w:t>
            </w:r>
          </w:p>
        </w:tc>
        <w:tc>
          <w:tcPr>
            <w:tcW w:w="5805" w:type="dxa"/>
            <w:vAlign w:val="center"/>
          </w:tcPr>
          <w:p w14:paraId="49D5E4E7" w14:textId="7488000B" w:rsidR="006A5857" w:rsidRDefault="009E1FC5" w:rsidP="006B69F0">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district court first </w:t>
            </w:r>
            <w:r w:rsidR="00E006E6">
              <w:rPr>
                <w:rFonts w:ascii="Calibri" w:hAnsi="Calibri" w:cs="Calibri"/>
                <w:b/>
                <w:sz w:val="22"/>
                <w:szCs w:val="22"/>
              </w:rPr>
              <w:t>found</w:t>
            </w:r>
            <w:r w:rsidRPr="009E1FC5">
              <w:rPr>
                <w:rFonts w:ascii="Calibri" w:hAnsi="Calibri" w:cs="Calibri"/>
                <w:b/>
                <w:sz w:val="22"/>
                <w:szCs w:val="22"/>
              </w:rPr>
              <w:t xml:space="preserve"> that approximately 11,000 class members were </w:t>
            </w:r>
            <w:r w:rsidR="00E006E6">
              <w:rPr>
                <w:rFonts w:ascii="Calibri" w:hAnsi="Calibri" w:cs="Calibri"/>
                <w:b/>
                <w:sz w:val="22"/>
                <w:szCs w:val="22"/>
              </w:rPr>
              <w:t>sufficiently</w:t>
            </w:r>
            <w:r w:rsidRPr="009E1FC5">
              <w:rPr>
                <w:rFonts w:ascii="Calibri" w:hAnsi="Calibri" w:cs="Calibri"/>
                <w:b/>
                <w:sz w:val="22"/>
                <w:szCs w:val="22"/>
              </w:rPr>
              <w:t xml:space="preserve"> identified in Krakauer’s </w:t>
            </w:r>
            <w:r w:rsidR="00E006E6" w:rsidRPr="009E1FC5">
              <w:rPr>
                <w:rFonts w:ascii="Calibri" w:hAnsi="Calibri" w:cs="Calibri"/>
                <w:b/>
                <w:sz w:val="22"/>
                <w:szCs w:val="22"/>
              </w:rPr>
              <w:t>records</w:t>
            </w:r>
            <w:r w:rsidR="00E006E6">
              <w:rPr>
                <w:rFonts w:ascii="Calibri" w:hAnsi="Calibri" w:cs="Calibri"/>
                <w:b/>
                <w:sz w:val="22"/>
                <w:szCs w:val="22"/>
              </w:rPr>
              <w:t xml:space="preserve"> and</w:t>
            </w:r>
            <w:r>
              <w:rPr>
                <w:rFonts w:ascii="Calibri" w:hAnsi="Calibri" w:cs="Calibri"/>
                <w:b/>
                <w:sz w:val="22"/>
                <w:szCs w:val="22"/>
              </w:rPr>
              <w:t xml:space="preserve"> </w:t>
            </w:r>
            <w:r w:rsidR="00E006E6">
              <w:rPr>
                <w:rFonts w:ascii="Calibri" w:hAnsi="Calibri" w:cs="Calibri"/>
                <w:b/>
                <w:sz w:val="22"/>
                <w:szCs w:val="22"/>
              </w:rPr>
              <w:t>did not allow</w:t>
            </w:r>
            <w:r w:rsidRPr="009E1FC5">
              <w:rPr>
                <w:rFonts w:ascii="Calibri" w:hAnsi="Calibri" w:cs="Calibri"/>
                <w:b/>
                <w:sz w:val="22"/>
                <w:szCs w:val="22"/>
              </w:rPr>
              <w:t xml:space="preserve"> DISH </w:t>
            </w:r>
            <w:r w:rsidR="00E006E6">
              <w:rPr>
                <w:rFonts w:ascii="Calibri" w:hAnsi="Calibri" w:cs="Calibri"/>
                <w:b/>
                <w:sz w:val="22"/>
                <w:szCs w:val="22"/>
              </w:rPr>
              <w:t>to challenge those</w:t>
            </w:r>
            <w:r w:rsidRPr="009E1FC5">
              <w:rPr>
                <w:rFonts w:ascii="Calibri" w:hAnsi="Calibri" w:cs="Calibri"/>
                <w:b/>
                <w:sz w:val="22"/>
                <w:szCs w:val="22"/>
              </w:rPr>
              <w:t xml:space="preserve"> claim</w:t>
            </w:r>
            <w:r w:rsidR="00E006E6">
              <w:rPr>
                <w:rFonts w:ascii="Calibri" w:hAnsi="Calibri" w:cs="Calibri"/>
                <w:b/>
                <w:sz w:val="22"/>
                <w:szCs w:val="22"/>
              </w:rPr>
              <w:t>s</w:t>
            </w:r>
            <w:r w:rsidR="00B91217" w:rsidRPr="009E1FC5">
              <w:rPr>
                <w:rFonts w:ascii="Calibri" w:hAnsi="Calibri" w:cs="Calibri"/>
                <w:b/>
                <w:sz w:val="22"/>
                <w:szCs w:val="22"/>
              </w:rPr>
              <w:t>.</w:t>
            </w:r>
            <w:r w:rsidR="00B91217">
              <w:rPr>
                <w:rFonts w:ascii="Calibri" w:hAnsi="Calibri" w:cs="Calibri"/>
                <w:b/>
                <w:sz w:val="22"/>
                <w:szCs w:val="22"/>
              </w:rPr>
              <w:t xml:space="preserve">  </w:t>
            </w:r>
            <w:r w:rsidR="00F30495" w:rsidRPr="00F30495">
              <w:rPr>
                <w:rFonts w:ascii="Calibri" w:hAnsi="Calibri" w:cs="Calibri"/>
                <w:b/>
                <w:sz w:val="22"/>
                <w:szCs w:val="22"/>
              </w:rPr>
              <w:t xml:space="preserve">The identities of the remaining 7,000 class members </w:t>
            </w:r>
            <w:r w:rsidR="00373315">
              <w:rPr>
                <w:rFonts w:ascii="Calibri" w:hAnsi="Calibri" w:cs="Calibri"/>
                <w:b/>
                <w:sz w:val="22"/>
                <w:szCs w:val="22"/>
              </w:rPr>
              <w:t>were</w:t>
            </w:r>
            <w:r w:rsidR="00F30495" w:rsidRPr="00F30495">
              <w:rPr>
                <w:rFonts w:ascii="Calibri" w:hAnsi="Calibri" w:cs="Calibri"/>
                <w:b/>
                <w:sz w:val="22"/>
                <w:szCs w:val="22"/>
              </w:rPr>
              <w:t xml:space="preserve"> established through claim forms</w:t>
            </w:r>
            <w:r w:rsidR="00B91217">
              <w:rPr>
                <w:rFonts w:ascii="Calibri" w:hAnsi="Calibri" w:cs="Calibri"/>
                <w:b/>
                <w:sz w:val="22"/>
                <w:szCs w:val="22"/>
              </w:rPr>
              <w:t xml:space="preserve">.  </w:t>
            </w:r>
            <w:r w:rsidR="00373315" w:rsidRPr="00373315">
              <w:rPr>
                <w:rFonts w:ascii="Calibri" w:hAnsi="Calibri" w:cs="Calibri"/>
                <w:b/>
                <w:sz w:val="22"/>
                <w:szCs w:val="22"/>
              </w:rPr>
              <w:t>The court then entered an aggregate class judgment.</w:t>
            </w:r>
          </w:p>
        </w:tc>
      </w:tr>
      <w:tr w:rsidR="00373315" w:rsidRPr="00907D75" w14:paraId="1A54593B" w14:textId="77777777" w:rsidTr="0057593C">
        <w:trPr>
          <w:trHeight w:val="4795"/>
        </w:trPr>
        <w:tc>
          <w:tcPr>
            <w:tcW w:w="5805" w:type="dxa"/>
            <w:vAlign w:val="center"/>
          </w:tcPr>
          <w:p w14:paraId="25A72857" w14:textId="057D6628" w:rsidR="00373315" w:rsidRDefault="00373315" w:rsidP="00363A6A">
            <w:pPr>
              <w:pStyle w:val="O-BodyText"/>
              <w:spacing w:after="120"/>
              <w:ind w:right="200"/>
              <w:jc w:val="both"/>
              <w:rPr>
                <w:rFonts w:ascii="Calibri" w:hAnsi="Calibri" w:cs="Calibri"/>
                <w:b/>
                <w:sz w:val="28"/>
                <w:szCs w:val="28"/>
              </w:rPr>
            </w:pPr>
            <w:r>
              <w:rPr>
                <w:rFonts w:ascii="Calibri" w:hAnsi="Calibri" w:cs="Calibri"/>
                <w:b/>
                <w:sz w:val="28"/>
                <w:szCs w:val="28"/>
              </w:rPr>
              <w:t>What did the claim forms ask?</w:t>
            </w:r>
          </w:p>
        </w:tc>
        <w:tc>
          <w:tcPr>
            <w:tcW w:w="5805" w:type="dxa"/>
            <w:vAlign w:val="center"/>
          </w:tcPr>
          <w:p w14:paraId="18C3605C" w14:textId="0E5BF5F9" w:rsidR="00373315" w:rsidRDefault="00373315" w:rsidP="00373315">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Pr="00373315">
              <w:rPr>
                <w:rFonts w:ascii="Calibri" w:hAnsi="Calibri" w:cs="Calibri"/>
                <w:b/>
                <w:sz w:val="22"/>
                <w:szCs w:val="22"/>
              </w:rPr>
              <w:t xml:space="preserve">court’s </w:t>
            </w:r>
            <w:r w:rsidR="00E006E6">
              <w:rPr>
                <w:rFonts w:ascii="Calibri" w:hAnsi="Calibri" w:cs="Calibri"/>
                <w:b/>
                <w:sz w:val="22"/>
                <w:szCs w:val="22"/>
              </w:rPr>
              <w:t xml:space="preserve">claim </w:t>
            </w:r>
            <w:r w:rsidRPr="00373315">
              <w:rPr>
                <w:rFonts w:ascii="Calibri" w:hAnsi="Calibri" w:cs="Calibri"/>
                <w:b/>
                <w:sz w:val="22"/>
                <w:szCs w:val="22"/>
              </w:rPr>
              <w:t>form</w:t>
            </w:r>
            <w:r w:rsidR="00E006E6">
              <w:rPr>
                <w:rFonts w:ascii="Calibri" w:hAnsi="Calibri" w:cs="Calibri"/>
                <w:b/>
                <w:sz w:val="22"/>
                <w:szCs w:val="22"/>
              </w:rPr>
              <w:t>s</w:t>
            </w:r>
            <w:r w:rsidRPr="00373315">
              <w:rPr>
                <w:rFonts w:ascii="Calibri" w:hAnsi="Calibri" w:cs="Calibri"/>
                <w:b/>
                <w:sz w:val="22"/>
                <w:szCs w:val="22"/>
              </w:rPr>
              <w:t xml:space="preserve"> did not ask the</w:t>
            </w:r>
            <w:r>
              <w:rPr>
                <w:rFonts w:ascii="Calibri" w:hAnsi="Calibri" w:cs="Calibri"/>
                <w:b/>
                <w:sz w:val="22"/>
                <w:szCs w:val="22"/>
              </w:rPr>
              <w:t xml:space="preserve"> </w:t>
            </w:r>
            <w:r w:rsidRPr="00373315">
              <w:rPr>
                <w:rFonts w:ascii="Calibri" w:hAnsi="Calibri" w:cs="Calibri"/>
                <w:b/>
                <w:sz w:val="22"/>
                <w:szCs w:val="22"/>
              </w:rPr>
              <w:t>claimant to identify the telephone subscriber or who answered any call.</w:t>
            </w:r>
          </w:p>
        </w:tc>
      </w:tr>
      <w:tr w:rsidR="005D723B" w:rsidRPr="00907D75" w14:paraId="797BFFD5" w14:textId="77777777" w:rsidTr="0057593C">
        <w:trPr>
          <w:trHeight w:val="4795"/>
        </w:trPr>
        <w:tc>
          <w:tcPr>
            <w:tcW w:w="5805" w:type="dxa"/>
            <w:vAlign w:val="center"/>
          </w:tcPr>
          <w:p w14:paraId="5AD577AF" w14:textId="46C47488" w:rsidR="005D723B" w:rsidRDefault="005D723B" w:rsidP="005D723B">
            <w:pPr>
              <w:pStyle w:val="O-BodyText"/>
              <w:spacing w:after="120"/>
              <w:ind w:right="200"/>
              <w:jc w:val="both"/>
              <w:rPr>
                <w:rFonts w:ascii="Calibri" w:hAnsi="Calibri" w:cs="Calibri"/>
                <w:b/>
                <w:sz w:val="28"/>
                <w:szCs w:val="28"/>
              </w:rPr>
            </w:pPr>
            <w:r>
              <w:rPr>
                <w:rFonts w:ascii="Calibri" w:hAnsi="Calibri" w:cs="Calibri"/>
                <w:b/>
                <w:sz w:val="28"/>
                <w:szCs w:val="28"/>
              </w:rPr>
              <w:t>Does this court have jurisdiction to hear this appeal?</w:t>
            </w:r>
          </w:p>
        </w:tc>
        <w:tc>
          <w:tcPr>
            <w:tcW w:w="5805" w:type="dxa"/>
            <w:vAlign w:val="center"/>
          </w:tcPr>
          <w:p w14:paraId="4A5D5468" w14:textId="78F8150A" w:rsidR="005D723B" w:rsidRPr="00E006E6" w:rsidRDefault="005D723B" w:rsidP="005D723B">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Plaintiffs have conceded that the district court’s judgment is final under 28 U.S.C. § 1291.</w:t>
            </w:r>
          </w:p>
        </w:tc>
      </w:tr>
      <w:tr w:rsidR="00BC000F" w:rsidRPr="00CE08C8" w14:paraId="4A0C011A" w14:textId="77777777" w:rsidTr="00D712B1">
        <w:trPr>
          <w:trHeight w:val="4795"/>
        </w:trPr>
        <w:tc>
          <w:tcPr>
            <w:tcW w:w="5805" w:type="dxa"/>
            <w:vAlign w:val="center"/>
          </w:tcPr>
          <w:p w14:paraId="1CD23111" w14:textId="77777777" w:rsidR="00BC000F" w:rsidRDefault="00BC000F"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Didn’t the Supreme Court review an aggregate class judgment under similar circumstances in </w:t>
            </w:r>
            <w:r w:rsidRPr="00CE08C8">
              <w:rPr>
                <w:rFonts w:ascii="Calibri" w:hAnsi="Calibri" w:cs="Calibri"/>
                <w:b/>
                <w:i/>
                <w:sz w:val="28"/>
                <w:szCs w:val="28"/>
              </w:rPr>
              <w:t xml:space="preserve">Tyson Foods, Inc. v. </w:t>
            </w:r>
            <w:proofErr w:type="spellStart"/>
            <w:r w:rsidRPr="00CE08C8">
              <w:rPr>
                <w:rFonts w:ascii="Calibri" w:hAnsi="Calibri" w:cs="Calibri"/>
                <w:b/>
                <w:i/>
                <w:sz w:val="28"/>
                <w:szCs w:val="28"/>
              </w:rPr>
              <w:t>Bouaphakeo</w:t>
            </w:r>
            <w:proofErr w:type="spellEnd"/>
            <w:r>
              <w:rPr>
                <w:rFonts w:ascii="Calibri" w:hAnsi="Calibri" w:cs="Calibri"/>
                <w:b/>
                <w:sz w:val="28"/>
                <w:szCs w:val="28"/>
              </w:rPr>
              <w:t xml:space="preserve"> (</w:t>
            </w:r>
            <w:r w:rsidRPr="00CE08C8">
              <w:rPr>
                <w:rFonts w:ascii="Calibri" w:hAnsi="Calibri" w:cs="Calibri"/>
                <w:b/>
                <w:sz w:val="28"/>
                <w:szCs w:val="28"/>
              </w:rPr>
              <w:t xml:space="preserve">S. Ct. </w:t>
            </w:r>
            <w:r>
              <w:rPr>
                <w:rFonts w:ascii="Calibri" w:hAnsi="Calibri" w:cs="Calibri"/>
                <w:b/>
                <w:sz w:val="28"/>
                <w:szCs w:val="28"/>
              </w:rPr>
              <w:t>2016)?</w:t>
            </w:r>
          </w:p>
          <w:p w14:paraId="46B123E1" w14:textId="77777777" w:rsidR="00BC000F" w:rsidRDefault="00BC000F" w:rsidP="00525419">
            <w:pPr>
              <w:pStyle w:val="O-BodyText"/>
              <w:spacing w:after="120"/>
              <w:ind w:right="200"/>
              <w:jc w:val="both"/>
              <w:rPr>
                <w:rFonts w:ascii="Calibri" w:hAnsi="Calibri" w:cs="Calibri"/>
                <w:b/>
                <w:sz w:val="28"/>
                <w:szCs w:val="28"/>
              </w:rPr>
            </w:pPr>
          </w:p>
        </w:tc>
        <w:tc>
          <w:tcPr>
            <w:tcW w:w="5805" w:type="dxa"/>
            <w:vAlign w:val="center"/>
          </w:tcPr>
          <w:p w14:paraId="14BA4C40" w14:textId="6804094B" w:rsidR="00BC000F" w:rsidRPr="00CE08C8" w:rsidRDefault="00BC000F" w:rsidP="00525419">
            <w:pPr>
              <w:pStyle w:val="O-BodyText"/>
              <w:spacing w:after="120"/>
              <w:ind w:left="290" w:right="65"/>
              <w:jc w:val="both"/>
              <w:rPr>
                <w:rFonts w:ascii="Calibri" w:hAnsi="Calibri" w:cs="Calibri"/>
                <w:b/>
                <w:sz w:val="22"/>
                <w:szCs w:val="22"/>
                <w:highlight w:val="yellow"/>
              </w:rPr>
            </w:pPr>
            <w:r w:rsidRPr="00F02B47">
              <w:rPr>
                <w:rFonts w:ascii="Calibri" w:hAnsi="Calibri" w:cs="Calibri"/>
                <w:b/>
                <w:sz w:val="22"/>
                <w:szCs w:val="22"/>
                <w:highlight w:val="yellow"/>
              </w:rPr>
              <w:t xml:space="preserve">In </w:t>
            </w:r>
            <w:r w:rsidRPr="00F02B47">
              <w:rPr>
                <w:rFonts w:ascii="Calibri" w:hAnsi="Calibri" w:cs="Calibri"/>
                <w:b/>
                <w:i/>
                <w:sz w:val="22"/>
                <w:szCs w:val="22"/>
                <w:highlight w:val="yellow"/>
              </w:rPr>
              <w:t xml:space="preserve">Tyson Foods, Inc. v. </w:t>
            </w:r>
            <w:proofErr w:type="spellStart"/>
            <w:r w:rsidRPr="00F02B47">
              <w:rPr>
                <w:rFonts w:ascii="Calibri" w:hAnsi="Calibri" w:cs="Calibri"/>
                <w:b/>
                <w:i/>
                <w:sz w:val="22"/>
                <w:szCs w:val="22"/>
                <w:highlight w:val="yellow"/>
              </w:rPr>
              <w:t>Bouaphakeo</w:t>
            </w:r>
            <w:proofErr w:type="spellEnd"/>
            <w:r w:rsidRPr="00F02B47">
              <w:rPr>
                <w:rFonts w:ascii="Calibri" w:hAnsi="Calibri" w:cs="Calibri"/>
                <w:b/>
                <w:sz w:val="22"/>
                <w:szCs w:val="22"/>
                <w:highlight w:val="yellow"/>
              </w:rPr>
              <w:t xml:space="preserve"> (S. Ct. 2016), the Supreme Court affirmed an aggregate class judgment where the damages award had not yet been disbursed and the court had not yet decided how it would be disbursed.  AB5.</w:t>
            </w:r>
          </w:p>
        </w:tc>
      </w:tr>
      <w:tr w:rsidR="00BC000F" w14:paraId="00E6549C" w14:textId="77777777" w:rsidTr="00D712B1">
        <w:trPr>
          <w:trHeight w:val="4795"/>
        </w:trPr>
        <w:tc>
          <w:tcPr>
            <w:tcW w:w="5805" w:type="dxa"/>
            <w:vAlign w:val="center"/>
          </w:tcPr>
          <w:p w14:paraId="499311B8" w14:textId="410FAE39" w:rsidR="00BC000F" w:rsidRDefault="00BC000F" w:rsidP="00525419">
            <w:pPr>
              <w:pStyle w:val="O-BodyText"/>
              <w:spacing w:after="120"/>
              <w:ind w:right="200"/>
              <w:jc w:val="both"/>
              <w:rPr>
                <w:rFonts w:ascii="Calibri" w:hAnsi="Calibri" w:cs="Calibri"/>
                <w:b/>
                <w:sz w:val="28"/>
                <w:szCs w:val="28"/>
              </w:rPr>
            </w:pPr>
            <w:r>
              <w:rPr>
                <w:rFonts w:ascii="Calibri" w:hAnsi="Calibri" w:cs="Calibri"/>
                <w:b/>
                <w:sz w:val="28"/>
                <w:szCs w:val="28"/>
              </w:rPr>
              <w:t>Why didn’t DISH assert an affirmative defense under Section 227(c)(5) in this case?</w:t>
            </w:r>
          </w:p>
        </w:tc>
        <w:tc>
          <w:tcPr>
            <w:tcW w:w="5805" w:type="dxa"/>
            <w:vAlign w:val="center"/>
          </w:tcPr>
          <w:p w14:paraId="2A1BA06E" w14:textId="53115109" w:rsidR="00BC000F" w:rsidRDefault="00F02B47" w:rsidP="00525419">
            <w:pPr>
              <w:pStyle w:val="O-BodyText"/>
              <w:spacing w:after="120"/>
              <w:ind w:left="290" w:right="65"/>
              <w:jc w:val="both"/>
              <w:rPr>
                <w:rFonts w:ascii="Calibri" w:hAnsi="Calibri" w:cs="Calibri"/>
                <w:b/>
                <w:sz w:val="22"/>
                <w:szCs w:val="22"/>
              </w:rPr>
            </w:pPr>
            <w:r w:rsidRPr="00F02B47">
              <w:rPr>
                <w:rFonts w:ascii="Calibri" w:hAnsi="Calibri" w:cs="Calibri"/>
                <w:b/>
                <w:sz w:val="22"/>
                <w:szCs w:val="22"/>
                <w:highlight w:val="yellow"/>
              </w:rPr>
              <w:t>AB7, 48–49.</w:t>
            </w:r>
          </w:p>
        </w:tc>
      </w:tr>
    </w:tbl>
    <w:p w14:paraId="79A304A1" w14:textId="77777777" w:rsidR="00825577" w:rsidRPr="00907D75" w:rsidRDefault="00B510E9" w:rsidP="00525419">
      <w:pPr>
        <w:pStyle w:val="Heading1"/>
        <w:numPr>
          <w:ilvl w:val="0"/>
          <w:numId w:val="0"/>
        </w:numPr>
        <w:spacing w:after="120"/>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p>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5805"/>
      </w:tblGrid>
      <w:tr w:rsidR="00825577" w:rsidRPr="00907D75" w14:paraId="23220E61" w14:textId="77777777" w:rsidTr="008649A2">
        <w:trPr>
          <w:trHeight w:val="4795"/>
        </w:trPr>
        <w:tc>
          <w:tcPr>
            <w:tcW w:w="5805" w:type="dxa"/>
            <w:vAlign w:val="center"/>
          </w:tcPr>
          <w:p w14:paraId="7DF58327" w14:textId="268D3E3E" w:rsidR="00825577" w:rsidRPr="00907D75" w:rsidRDefault="00825577" w:rsidP="00BE50A2">
            <w:pPr>
              <w:pStyle w:val="O-BodyText"/>
              <w:spacing w:after="120"/>
              <w:ind w:right="200"/>
              <w:jc w:val="center"/>
              <w:rPr>
                <w:rFonts w:ascii="Calibri" w:hAnsi="Calibri" w:cs="Calibri"/>
                <w:b/>
                <w:sz w:val="52"/>
                <w:szCs w:val="52"/>
              </w:rPr>
            </w:pPr>
            <w:bookmarkStart w:id="1" w:name="_Hlk536640422"/>
            <w:r>
              <w:rPr>
                <w:rFonts w:ascii="Calibri" w:hAnsi="Calibri" w:cs="Calibri"/>
                <w:b/>
                <w:sz w:val="52"/>
                <w:szCs w:val="52"/>
              </w:rPr>
              <w:lastRenderedPageBreak/>
              <w:t>Argument I: Class is Overbroad</w:t>
            </w:r>
          </w:p>
        </w:tc>
        <w:tc>
          <w:tcPr>
            <w:tcW w:w="5805" w:type="dxa"/>
            <w:vAlign w:val="center"/>
          </w:tcPr>
          <w:p w14:paraId="4EB57A4F" w14:textId="4C9BDB5C" w:rsidR="00825577" w:rsidRPr="00907D75" w:rsidRDefault="00825577" w:rsidP="00BE50A2">
            <w:pPr>
              <w:pStyle w:val="O-BodyText"/>
              <w:spacing w:after="120"/>
              <w:ind w:left="290" w:right="65"/>
              <w:jc w:val="center"/>
              <w:rPr>
                <w:rFonts w:ascii="Calibri" w:hAnsi="Calibri" w:cs="Calibri"/>
                <w:b/>
                <w:sz w:val="52"/>
                <w:szCs w:val="52"/>
              </w:rPr>
            </w:pPr>
            <w:r w:rsidRPr="00907D75">
              <w:rPr>
                <w:rFonts w:ascii="Calibri" w:hAnsi="Calibri" w:cs="Calibri"/>
                <w:b/>
                <w:sz w:val="52"/>
                <w:szCs w:val="52"/>
              </w:rPr>
              <w:t>Color</w:t>
            </w:r>
            <w:r>
              <w:rPr>
                <w:rFonts w:ascii="Calibri" w:hAnsi="Calibri" w:cs="Calibri"/>
                <w:b/>
                <w:sz w:val="52"/>
                <w:szCs w:val="52"/>
              </w:rPr>
              <w:t>:</w:t>
            </w:r>
          </w:p>
        </w:tc>
      </w:tr>
      <w:bookmarkEnd w:id="1"/>
      <w:tr w:rsidR="00825577" w:rsidRPr="00907D75" w14:paraId="7E753BF7" w14:textId="77777777" w:rsidTr="008649A2">
        <w:trPr>
          <w:trHeight w:val="4795"/>
        </w:trPr>
        <w:tc>
          <w:tcPr>
            <w:tcW w:w="5805" w:type="dxa"/>
            <w:vAlign w:val="center"/>
          </w:tcPr>
          <w:p w14:paraId="4013DB0D" w14:textId="5E2332FF" w:rsidR="00825577" w:rsidRPr="00907D75" w:rsidRDefault="00461B87" w:rsidP="00525419">
            <w:pPr>
              <w:pStyle w:val="O-BodyText"/>
              <w:spacing w:after="120"/>
              <w:ind w:right="200"/>
              <w:jc w:val="both"/>
              <w:rPr>
                <w:rFonts w:ascii="Calibri" w:hAnsi="Calibri" w:cs="Calibri"/>
                <w:b/>
                <w:sz w:val="28"/>
                <w:szCs w:val="28"/>
              </w:rPr>
            </w:pPr>
            <w:r>
              <w:rPr>
                <w:rFonts w:ascii="Calibri" w:hAnsi="Calibri" w:cs="Calibri"/>
                <w:b/>
                <w:sz w:val="28"/>
                <w:szCs w:val="28"/>
              </w:rPr>
              <w:t>Your primary argument is that the class should be decertified</w:t>
            </w:r>
            <w:r w:rsidR="00B91217">
              <w:rPr>
                <w:rFonts w:ascii="Calibri" w:hAnsi="Calibri" w:cs="Calibri"/>
                <w:b/>
                <w:sz w:val="28"/>
                <w:szCs w:val="28"/>
              </w:rPr>
              <w:t xml:space="preserve">.  </w:t>
            </w:r>
            <w:r>
              <w:rPr>
                <w:rFonts w:ascii="Calibri" w:hAnsi="Calibri" w:cs="Calibri"/>
                <w:b/>
                <w:sz w:val="28"/>
                <w:szCs w:val="28"/>
              </w:rPr>
              <w:t>Why</w:t>
            </w:r>
            <w:r w:rsidR="00825577">
              <w:rPr>
                <w:rFonts w:ascii="Calibri" w:hAnsi="Calibri" w:cs="Calibri"/>
                <w:b/>
                <w:sz w:val="28"/>
                <w:szCs w:val="28"/>
              </w:rPr>
              <w:t>?</w:t>
            </w:r>
          </w:p>
        </w:tc>
        <w:tc>
          <w:tcPr>
            <w:tcW w:w="5805" w:type="dxa"/>
            <w:vAlign w:val="center"/>
          </w:tcPr>
          <w:p w14:paraId="54C75784" w14:textId="7E4A0B0E" w:rsidR="00825577" w:rsidRPr="00907D75" w:rsidRDefault="00E006E6"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00ED6158">
              <w:rPr>
                <w:rFonts w:ascii="Calibri" w:hAnsi="Calibri" w:cs="Calibri"/>
                <w:b/>
                <w:sz w:val="22"/>
                <w:szCs w:val="22"/>
              </w:rPr>
              <w:t xml:space="preserve">class is </w:t>
            </w:r>
            <w:r>
              <w:rPr>
                <w:rFonts w:ascii="Calibri" w:hAnsi="Calibri" w:cs="Calibri"/>
                <w:b/>
                <w:sz w:val="22"/>
                <w:szCs w:val="22"/>
              </w:rPr>
              <w:t xml:space="preserve">too broad because it includes </w:t>
            </w:r>
            <w:r w:rsidR="00461B87" w:rsidRPr="00461B87">
              <w:rPr>
                <w:rFonts w:ascii="Calibri" w:hAnsi="Calibri" w:cs="Calibri"/>
                <w:b/>
                <w:sz w:val="22"/>
                <w:szCs w:val="22"/>
              </w:rPr>
              <w:t xml:space="preserve">people who </w:t>
            </w:r>
            <w:r>
              <w:rPr>
                <w:rFonts w:ascii="Calibri" w:hAnsi="Calibri" w:cs="Calibri"/>
                <w:b/>
                <w:sz w:val="22"/>
                <w:szCs w:val="22"/>
              </w:rPr>
              <w:t xml:space="preserve">were not harmed, </w:t>
            </w:r>
            <w:r w:rsidR="00B043F9" w:rsidRPr="00B043F9">
              <w:rPr>
                <w:rFonts w:ascii="Calibri" w:hAnsi="Calibri" w:cs="Calibri"/>
                <w:b/>
                <w:i/>
                <w:sz w:val="22"/>
                <w:szCs w:val="22"/>
              </w:rPr>
              <w:t xml:space="preserve">Messner </w:t>
            </w:r>
            <w:r w:rsidR="00B043F9" w:rsidRPr="00B043F9">
              <w:rPr>
                <w:rFonts w:ascii="Calibri" w:hAnsi="Calibri" w:cs="Calibri"/>
                <w:b/>
                <w:sz w:val="22"/>
                <w:szCs w:val="22"/>
              </w:rPr>
              <w:t>(7th Cir. 2012)</w:t>
            </w:r>
            <w:r>
              <w:rPr>
                <w:rFonts w:ascii="Calibri" w:hAnsi="Calibri" w:cs="Calibri"/>
                <w:b/>
                <w:sz w:val="22"/>
                <w:szCs w:val="22"/>
              </w:rPr>
              <w:t>, and there is no way to make sure the</w:t>
            </w:r>
            <w:r w:rsidR="007D4B72" w:rsidRPr="007D4B72">
              <w:rPr>
                <w:rFonts w:ascii="Calibri" w:hAnsi="Calibri" w:cs="Calibri"/>
                <w:b/>
                <w:sz w:val="22"/>
                <w:szCs w:val="22"/>
              </w:rPr>
              <w:t xml:space="preserve"> damages award goes only to injured class members</w:t>
            </w:r>
            <w:r>
              <w:rPr>
                <w:rFonts w:ascii="Calibri" w:hAnsi="Calibri" w:cs="Calibri"/>
                <w:b/>
                <w:sz w:val="22"/>
                <w:szCs w:val="22"/>
              </w:rPr>
              <w:t xml:space="preserve">, </w:t>
            </w:r>
            <w:r w:rsidR="007D4B72" w:rsidRPr="007D4B72">
              <w:rPr>
                <w:rFonts w:ascii="Calibri" w:hAnsi="Calibri" w:cs="Calibri"/>
                <w:b/>
                <w:i/>
                <w:sz w:val="22"/>
                <w:szCs w:val="22"/>
              </w:rPr>
              <w:t xml:space="preserve">Tyson Foods </w:t>
            </w:r>
            <w:r w:rsidR="007D4B72">
              <w:rPr>
                <w:rFonts w:ascii="Calibri" w:hAnsi="Calibri" w:cs="Calibri"/>
                <w:b/>
                <w:i/>
                <w:sz w:val="22"/>
                <w:szCs w:val="22"/>
              </w:rPr>
              <w:t xml:space="preserve">(S. Ct. </w:t>
            </w:r>
            <w:r w:rsidR="007D4B72" w:rsidRPr="007D4B72">
              <w:rPr>
                <w:rFonts w:ascii="Calibri" w:hAnsi="Calibri" w:cs="Calibri"/>
                <w:b/>
                <w:sz w:val="22"/>
                <w:szCs w:val="22"/>
              </w:rPr>
              <w:t>2016) (Roberts, C.J., concurring).</w:t>
            </w:r>
          </w:p>
        </w:tc>
      </w:tr>
      <w:tr w:rsidR="007D4B72" w:rsidRPr="00907D75" w14:paraId="6BF46E68" w14:textId="77777777" w:rsidTr="008649A2">
        <w:trPr>
          <w:trHeight w:val="4795"/>
        </w:trPr>
        <w:tc>
          <w:tcPr>
            <w:tcW w:w="5805" w:type="dxa"/>
            <w:vAlign w:val="center"/>
          </w:tcPr>
          <w:p w14:paraId="1C9019CE" w14:textId="39131D7F" w:rsidR="007D4B72" w:rsidRDefault="007D4B72" w:rsidP="00525419">
            <w:pPr>
              <w:pStyle w:val="O-BodyText"/>
              <w:spacing w:after="120"/>
              <w:ind w:right="200"/>
              <w:jc w:val="both"/>
              <w:rPr>
                <w:rFonts w:ascii="Calibri" w:hAnsi="Calibri" w:cs="Calibri"/>
                <w:b/>
                <w:sz w:val="28"/>
                <w:szCs w:val="28"/>
              </w:rPr>
            </w:pPr>
            <w:r>
              <w:rPr>
                <w:rFonts w:ascii="Calibri" w:hAnsi="Calibri" w:cs="Calibri"/>
                <w:b/>
                <w:sz w:val="28"/>
                <w:szCs w:val="28"/>
              </w:rPr>
              <w:t>Why is the class overbroad?</w:t>
            </w:r>
          </w:p>
        </w:tc>
        <w:tc>
          <w:tcPr>
            <w:tcW w:w="5805" w:type="dxa"/>
            <w:vAlign w:val="center"/>
          </w:tcPr>
          <w:p w14:paraId="5F3AC069" w14:textId="2C4123E8" w:rsidR="007D4B72" w:rsidRDefault="00ED6158"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By </w:t>
            </w:r>
            <w:r w:rsidR="007D4B72">
              <w:rPr>
                <w:rFonts w:ascii="Calibri" w:hAnsi="Calibri" w:cs="Calibri"/>
                <w:b/>
                <w:sz w:val="22"/>
                <w:szCs w:val="22"/>
              </w:rPr>
              <w:t>certif</w:t>
            </w:r>
            <w:r>
              <w:rPr>
                <w:rFonts w:ascii="Calibri" w:hAnsi="Calibri" w:cs="Calibri"/>
                <w:b/>
                <w:sz w:val="22"/>
                <w:szCs w:val="22"/>
              </w:rPr>
              <w:t>ying a</w:t>
            </w:r>
            <w:r w:rsidR="007D4B72">
              <w:rPr>
                <w:rFonts w:ascii="Calibri" w:hAnsi="Calibri" w:cs="Calibri"/>
                <w:b/>
                <w:sz w:val="22"/>
                <w:szCs w:val="22"/>
              </w:rPr>
              <w:t xml:space="preserve"> </w:t>
            </w:r>
            <w:r w:rsidR="007D4B72" w:rsidRPr="007D4B72">
              <w:rPr>
                <w:rFonts w:ascii="Calibri" w:hAnsi="Calibri" w:cs="Calibri"/>
                <w:b/>
                <w:sz w:val="22"/>
                <w:szCs w:val="22"/>
              </w:rPr>
              <w:t xml:space="preserve">class that included anyone merely “associated with” a </w:t>
            </w:r>
            <w:r>
              <w:rPr>
                <w:rFonts w:ascii="Calibri" w:hAnsi="Calibri" w:cs="Calibri"/>
                <w:b/>
                <w:sz w:val="22"/>
                <w:szCs w:val="22"/>
              </w:rPr>
              <w:t xml:space="preserve">Registry </w:t>
            </w:r>
            <w:r w:rsidR="00AF0C2E">
              <w:rPr>
                <w:rFonts w:ascii="Calibri" w:hAnsi="Calibri" w:cs="Calibri"/>
                <w:b/>
                <w:sz w:val="22"/>
                <w:szCs w:val="22"/>
              </w:rPr>
              <w:t>phone number called by SSN, the class</w:t>
            </w:r>
            <w:r w:rsidR="007D4B72" w:rsidRPr="007D4B72">
              <w:rPr>
                <w:rFonts w:ascii="Calibri" w:hAnsi="Calibri" w:cs="Calibri"/>
                <w:b/>
                <w:sz w:val="22"/>
                <w:szCs w:val="22"/>
              </w:rPr>
              <w:t xml:space="preserve"> </w:t>
            </w:r>
            <w:r w:rsidR="00AF0C2E">
              <w:rPr>
                <w:rFonts w:ascii="Calibri" w:hAnsi="Calibri" w:cs="Calibri"/>
                <w:b/>
                <w:sz w:val="22"/>
                <w:szCs w:val="22"/>
              </w:rPr>
              <w:t>contains</w:t>
            </w:r>
            <w:r w:rsidR="007D4B72" w:rsidRPr="007D4B72">
              <w:rPr>
                <w:rFonts w:ascii="Calibri" w:hAnsi="Calibri" w:cs="Calibri"/>
                <w:b/>
                <w:sz w:val="22"/>
                <w:szCs w:val="22"/>
              </w:rPr>
              <w:t xml:space="preserve"> thousands of improper plaintiffs who could not possibly state a claim and who lack the actual injury re</w:t>
            </w:r>
            <w:r w:rsidR="007D4B72">
              <w:rPr>
                <w:rFonts w:ascii="Calibri" w:hAnsi="Calibri" w:cs="Calibri"/>
                <w:b/>
                <w:sz w:val="22"/>
                <w:szCs w:val="22"/>
              </w:rPr>
              <w:t>quired for Article III standing.</w:t>
            </w:r>
          </w:p>
        </w:tc>
      </w:tr>
      <w:tr w:rsidR="00A22D72" w:rsidRPr="00907D75" w14:paraId="05AFA8C8" w14:textId="77777777" w:rsidTr="008649A2">
        <w:trPr>
          <w:trHeight w:val="4795"/>
        </w:trPr>
        <w:tc>
          <w:tcPr>
            <w:tcW w:w="5805" w:type="dxa"/>
            <w:vAlign w:val="center"/>
          </w:tcPr>
          <w:p w14:paraId="23856420" w14:textId="7F8EF4D7" w:rsidR="00A22D72" w:rsidRDefault="00A22D72"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the class certified is too broad under the TCPA?</w:t>
            </w:r>
          </w:p>
        </w:tc>
        <w:tc>
          <w:tcPr>
            <w:tcW w:w="5805" w:type="dxa"/>
            <w:vAlign w:val="center"/>
          </w:tcPr>
          <w:p w14:paraId="4F5EDF77" w14:textId="5B1F111F" w:rsidR="00A22D72" w:rsidRPr="007D4B72" w:rsidRDefault="00AF0C2E" w:rsidP="00525419">
            <w:pPr>
              <w:pStyle w:val="O-BodyText"/>
              <w:spacing w:after="120"/>
              <w:ind w:left="290" w:right="65"/>
              <w:jc w:val="both"/>
              <w:rPr>
                <w:rFonts w:ascii="Calibri" w:hAnsi="Calibri" w:cs="Calibri"/>
                <w:b/>
                <w:sz w:val="22"/>
                <w:szCs w:val="22"/>
              </w:rPr>
            </w:pPr>
            <w:r>
              <w:rPr>
                <w:rFonts w:ascii="Calibri" w:hAnsi="Calibri" w:cs="Calibri"/>
                <w:b/>
                <w:sz w:val="22"/>
                <w:szCs w:val="22"/>
              </w:rPr>
              <w:t>By certifying a class that included p</w:t>
            </w:r>
            <w:r w:rsidR="00A22D72" w:rsidRPr="00874964">
              <w:rPr>
                <w:rFonts w:ascii="Calibri" w:hAnsi="Calibri" w:cs="Calibri"/>
                <w:b/>
                <w:sz w:val="22"/>
                <w:szCs w:val="22"/>
              </w:rPr>
              <w:t>eople called by SSN who were “associated with” a phone number on the Registry</w:t>
            </w:r>
            <w:r>
              <w:rPr>
                <w:rFonts w:ascii="Calibri" w:hAnsi="Calibri" w:cs="Calibri"/>
                <w:b/>
                <w:sz w:val="22"/>
                <w:szCs w:val="22"/>
              </w:rPr>
              <w:t>, the class</w:t>
            </w:r>
            <w:r w:rsidR="00A22D72" w:rsidRPr="00874964">
              <w:rPr>
                <w:rFonts w:ascii="Calibri" w:hAnsi="Calibri" w:cs="Calibri"/>
                <w:b/>
                <w:sz w:val="22"/>
                <w:szCs w:val="22"/>
              </w:rPr>
              <w:t xml:space="preserve"> </w:t>
            </w:r>
            <w:r>
              <w:rPr>
                <w:rFonts w:ascii="Calibri" w:hAnsi="Calibri" w:cs="Calibri"/>
                <w:b/>
                <w:sz w:val="22"/>
                <w:szCs w:val="22"/>
              </w:rPr>
              <w:t xml:space="preserve">includes </w:t>
            </w:r>
            <w:r w:rsidR="00A22D72" w:rsidRPr="00874964">
              <w:rPr>
                <w:rFonts w:ascii="Calibri" w:hAnsi="Calibri" w:cs="Calibri"/>
                <w:b/>
                <w:sz w:val="22"/>
                <w:szCs w:val="22"/>
              </w:rPr>
              <w:t>people with no conceivable clai</w:t>
            </w:r>
            <w:r w:rsidR="00A22D72">
              <w:rPr>
                <w:rFonts w:ascii="Calibri" w:hAnsi="Calibri" w:cs="Calibri"/>
                <w:b/>
                <w:sz w:val="22"/>
                <w:szCs w:val="22"/>
              </w:rPr>
              <w:t xml:space="preserve">m, such as </w:t>
            </w:r>
            <w:r w:rsidR="00A22D72" w:rsidRPr="00874964">
              <w:rPr>
                <w:rFonts w:ascii="Calibri" w:hAnsi="Calibri" w:cs="Calibri"/>
                <w:b/>
                <w:sz w:val="22"/>
                <w:szCs w:val="22"/>
              </w:rPr>
              <w:t>former boyfriends</w:t>
            </w:r>
            <w:r w:rsidR="00A22D72">
              <w:rPr>
                <w:rFonts w:ascii="Calibri" w:hAnsi="Calibri" w:cs="Calibri"/>
                <w:b/>
                <w:sz w:val="22"/>
                <w:szCs w:val="22"/>
              </w:rPr>
              <w:t xml:space="preserve"> or girlfriends</w:t>
            </w:r>
            <w:r w:rsidR="00A22D72" w:rsidRPr="00874964">
              <w:rPr>
                <w:rFonts w:ascii="Calibri" w:hAnsi="Calibri" w:cs="Calibri"/>
                <w:b/>
                <w:sz w:val="22"/>
                <w:szCs w:val="22"/>
              </w:rPr>
              <w:t>, and children who have grown up and moved out.</w:t>
            </w:r>
            <w:r w:rsidR="00A22D72">
              <w:rPr>
                <w:rFonts w:ascii="Calibri" w:hAnsi="Calibri" w:cs="Calibri"/>
                <w:b/>
                <w:sz w:val="22"/>
                <w:szCs w:val="22"/>
              </w:rPr>
              <w:t xml:space="preserve">  </w:t>
            </w:r>
            <w:r w:rsidR="00A22D72" w:rsidRPr="00D613D5">
              <w:rPr>
                <w:rFonts w:ascii="Calibri" w:hAnsi="Calibri" w:cs="Calibri"/>
                <w:b/>
                <w:sz w:val="22"/>
                <w:szCs w:val="22"/>
              </w:rPr>
              <w:t xml:space="preserve">It also </w:t>
            </w:r>
            <w:r>
              <w:rPr>
                <w:rFonts w:ascii="Calibri" w:hAnsi="Calibri" w:cs="Calibri"/>
                <w:b/>
                <w:sz w:val="22"/>
                <w:szCs w:val="22"/>
              </w:rPr>
              <w:t>includes</w:t>
            </w:r>
            <w:r w:rsidR="00A22D72" w:rsidRPr="00D613D5">
              <w:rPr>
                <w:rFonts w:ascii="Calibri" w:hAnsi="Calibri" w:cs="Calibri"/>
                <w:b/>
                <w:sz w:val="22"/>
                <w:szCs w:val="22"/>
              </w:rPr>
              <w:t xml:space="preserve"> people who suffered no concrete injury—who weren’t subscribers, didn’t answer the phone, or didn’t even hear it</w:t>
            </w:r>
            <w:r w:rsidR="00A22D72">
              <w:rPr>
                <w:rFonts w:ascii="Calibri" w:hAnsi="Calibri" w:cs="Calibri"/>
                <w:b/>
                <w:sz w:val="22"/>
                <w:szCs w:val="22"/>
              </w:rPr>
              <w:t xml:space="preserve"> </w:t>
            </w:r>
            <w:r w:rsidR="00A22D72" w:rsidRPr="00D613D5">
              <w:rPr>
                <w:rFonts w:ascii="Calibri" w:hAnsi="Calibri" w:cs="Calibri"/>
                <w:b/>
                <w:sz w:val="22"/>
                <w:szCs w:val="22"/>
              </w:rPr>
              <w:t>ring—and therefore lack standing.</w:t>
            </w:r>
          </w:p>
        </w:tc>
      </w:tr>
      <w:tr w:rsidR="00A22D72" w:rsidRPr="00907D75" w14:paraId="04669090" w14:textId="77777777" w:rsidTr="008649A2">
        <w:trPr>
          <w:trHeight w:val="4795"/>
        </w:trPr>
        <w:tc>
          <w:tcPr>
            <w:tcW w:w="5805" w:type="dxa"/>
            <w:vAlign w:val="center"/>
          </w:tcPr>
          <w:p w14:paraId="3467006F" w14:textId="05AA3893" w:rsidR="00A22D72" w:rsidRDefault="00A22D72" w:rsidP="00525419">
            <w:pPr>
              <w:pStyle w:val="O-BodyText"/>
              <w:spacing w:after="120"/>
              <w:ind w:right="200"/>
              <w:jc w:val="both"/>
              <w:rPr>
                <w:rFonts w:ascii="Calibri" w:hAnsi="Calibri" w:cs="Calibri"/>
                <w:b/>
                <w:sz w:val="28"/>
                <w:szCs w:val="28"/>
              </w:rPr>
            </w:pPr>
            <w:r>
              <w:rPr>
                <w:rFonts w:ascii="Calibri" w:hAnsi="Calibri" w:cs="Calibri"/>
                <w:b/>
                <w:sz w:val="28"/>
                <w:szCs w:val="28"/>
              </w:rPr>
              <w:t>Who can bring an action under the TCPA?</w:t>
            </w:r>
          </w:p>
        </w:tc>
        <w:tc>
          <w:tcPr>
            <w:tcW w:w="5805" w:type="dxa"/>
            <w:vAlign w:val="center"/>
          </w:tcPr>
          <w:p w14:paraId="6E8877BD" w14:textId="01B94459" w:rsidR="00A22D72" w:rsidRPr="007D4B72" w:rsidRDefault="00A22D72" w:rsidP="00525419">
            <w:pPr>
              <w:pStyle w:val="O-BodyText"/>
              <w:spacing w:after="120"/>
              <w:ind w:left="290" w:right="65"/>
              <w:jc w:val="both"/>
              <w:rPr>
                <w:rFonts w:ascii="Calibri" w:hAnsi="Calibri" w:cs="Calibri"/>
                <w:b/>
                <w:sz w:val="22"/>
                <w:szCs w:val="22"/>
              </w:rPr>
            </w:pPr>
            <w:r w:rsidRPr="00432A08">
              <w:rPr>
                <w:rFonts w:ascii="Calibri" w:hAnsi="Calibri" w:cs="Calibri"/>
                <w:b/>
                <w:sz w:val="22"/>
                <w:szCs w:val="22"/>
              </w:rPr>
              <w:t xml:space="preserve">The TCPA creates a private right of action that may be brought by a “telephone subscriber”—the individual who is “responsible for payment of the telephone bill,” 47 C.F.R. § 64.1100(h), and therefore has a statutory right to object to telemarketing calls, </w:t>
            </w:r>
            <w:r w:rsidRPr="00432A08">
              <w:rPr>
                <w:rFonts w:ascii="Calibri" w:hAnsi="Calibri" w:cs="Calibri"/>
                <w:b/>
                <w:i/>
                <w:sz w:val="22"/>
                <w:szCs w:val="22"/>
              </w:rPr>
              <w:t xml:space="preserve">see </w:t>
            </w:r>
            <w:r w:rsidRPr="00432A08">
              <w:rPr>
                <w:rFonts w:ascii="Calibri" w:hAnsi="Calibri" w:cs="Calibri"/>
                <w:b/>
                <w:sz w:val="22"/>
                <w:szCs w:val="22"/>
              </w:rPr>
              <w:t>47 C.F.R. § 64.1200(c)(2).</w:t>
            </w:r>
          </w:p>
        </w:tc>
      </w:tr>
      <w:tr w:rsidR="00A22D72" w:rsidRPr="00907D75" w14:paraId="6012232B" w14:textId="77777777" w:rsidTr="008649A2">
        <w:trPr>
          <w:trHeight w:val="4795"/>
        </w:trPr>
        <w:tc>
          <w:tcPr>
            <w:tcW w:w="5805" w:type="dxa"/>
            <w:vAlign w:val="center"/>
          </w:tcPr>
          <w:p w14:paraId="188D4B2D" w14:textId="1F6C90E5" w:rsidR="00A22D72" w:rsidRDefault="00A22D72" w:rsidP="00525419">
            <w:pPr>
              <w:pStyle w:val="O-BodyText"/>
              <w:spacing w:after="120"/>
              <w:ind w:right="200"/>
              <w:jc w:val="both"/>
              <w:rPr>
                <w:rFonts w:ascii="Calibri" w:hAnsi="Calibri" w:cs="Calibri"/>
                <w:b/>
                <w:sz w:val="28"/>
                <w:szCs w:val="28"/>
              </w:rPr>
            </w:pPr>
            <w:r>
              <w:rPr>
                <w:rFonts w:ascii="Calibri" w:hAnsi="Calibri" w:cs="Calibri"/>
                <w:b/>
                <w:sz w:val="28"/>
                <w:szCs w:val="28"/>
              </w:rPr>
              <w:t>You rely on the regulations, but what is the statutory language</w:t>
            </w:r>
            <w:r w:rsidR="00AF0C2E">
              <w:rPr>
                <w:rFonts w:ascii="Calibri" w:hAnsi="Calibri" w:cs="Calibri"/>
                <w:b/>
                <w:sz w:val="28"/>
                <w:szCs w:val="28"/>
              </w:rPr>
              <w:t xml:space="preserve"> of the TCPA</w:t>
            </w:r>
            <w:r>
              <w:rPr>
                <w:rFonts w:ascii="Calibri" w:hAnsi="Calibri" w:cs="Calibri"/>
                <w:b/>
                <w:sz w:val="28"/>
                <w:szCs w:val="28"/>
              </w:rPr>
              <w:t>?</w:t>
            </w:r>
          </w:p>
        </w:tc>
        <w:tc>
          <w:tcPr>
            <w:tcW w:w="5805" w:type="dxa"/>
            <w:vAlign w:val="center"/>
          </w:tcPr>
          <w:p w14:paraId="7F89AF2C" w14:textId="420BF724" w:rsidR="00A22D72" w:rsidRPr="00432A08" w:rsidRDefault="00A22D72" w:rsidP="00525419">
            <w:pPr>
              <w:pStyle w:val="O-BodyText"/>
              <w:spacing w:after="120"/>
              <w:ind w:left="290" w:right="65"/>
              <w:jc w:val="both"/>
              <w:rPr>
                <w:rFonts w:ascii="Calibri" w:hAnsi="Calibri" w:cs="Calibri"/>
                <w:b/>
                <w:sz w:val="22"/>
                <w:szCs w:val="22"/>
              </w:rPr>
            </w:pPr>
            <w:r w:rsidRPr="00D613D5">
              <w:rPr>
                <w:rFonts w:ascii="Calibri" w:hAnsi="Calibri" w:cs="Calibri"/>
                <w:b/>
                <w:sz w:val="22"/>
                <w:szCs w:val="22"/>
              </w:rPr>
              <w:t>Under the TCPA, “[a] person who has received more than one telephone call within any 12-month period by or on behalf of the same entity in violation of the regulations prescribed under this subsection may” bring suit.  47 U.S.C. § 227(c)(5).</w:t>
            </w:r>
          </w:p>
        </w:tc>
      </w:tr>
      <w:tr w:rsidR="00A22D72" w:rsidRPr="00907D75" w14:paraId="76454AD9" w14:textId="77777777" w:rsidTr="008649A2">
        <w:trPr>
          <w:trHeight w:val="4795"/>
        </w:trPr>
        <w:tc>
          <w:tcPr>
            <w:tcW w:w="5805" w:type="dxa"/>
            <w:vAlign w:val="center"/>
          </w:tcPr>
          <w:p w14:paraId="3533C2F1" w14:textId="45A709C1" w:rsidR="00A22D72" w:rsidRDefault="00A22D72"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The statute doesn’t refer to telephone “subscribers” at all</w:t>
            </w:r>
            <w:r w:rsidR="00B91217">
              <w:rPr>
                <w:rFonts w:ascii="Calibri" w:hAnsi="Calibri" w:cs="Calibri"/>
                <w:b/>
                <w:sz w:val="28"/>
                <w:szCs w:val="28"/>
              </w:rPr>
              <w:t xml:space="preserve">.  </w:t>
            </w:r>
            <w:r>
              <w:rPr>
                <w:rFonts w:ascii="Calibri" w:hAnsi="Calibri" w:cs="Calibri"/>
                <w:b/>
                <w:sz w:val="28"/>
                <w:szCs w:val="28"/>
              </w:rPr>
              <w:t>Why do you argue that only subscribers can bring a cause of action?</w:t>
            </w:r>
          </w:p>
        </w:tc>
        <w:tc>
          <w:tcPr>
            <w:tcW w:w="5805" w:type="dxa"/>
            <w:vAlign w:val="center"/>
          </w:tcPr>
          <w:p w14:paraId="1DCA55AB" w14:textId="654BCCA6" w:rsidR="00A22D72" w:rsidRDefault="00A22D72" w:rsidP="00525419">
            <w:pPr>
              <w:pStyle w:val="O-BodyText"/>
              <w:spacing w:after="120"/>
              <w:ind w:left="290" w:right="65"/>
              <w:jc w:val="both"/>
              <w:rPr>
                <w:rFonts w:ascii="Calibri" w:hAnsi="Calibri" w:cs="Calibri"/>
                <w:b/>
                <w:sz w:val="22"/>
                <w:szCs w:val="22"/>
              </w:rPr>
            </w:pPr>
            <w:r>
              <w:rPr>
                <w:rFonts w:ascii="Calibri" w:hAnsi="Calibri" w:cs="Calibri"/>
                <w:b/>
                <w:sz w:val="22"/>
                <w:szCs w:val="22"/>
              </w:rPr>
              <w:t>N</w:t>
            </w:r>
            <w:r w:rsidRPr="00D613D5">
              <w:rPr>
                <w:rFonts w:ascii="Calibri" w:hAnsi="Calibri" w:cs="Calibri"/>
                <w:b/>
                <w:sz w:val="22"/>
                <w:szCs w:val="22"/>
              </w:rPr>
              <w:t>ot just anyone can sue</w:t>
            </w:r>
            <w:r>
              <w:rPr>
                <w:rFonts w:ascii="Calibri" w:hAnsi="Calibri" w:cs="Calibri"/>
                <w:b/>
                <w:sz w:val="22"/>
                <w:szCs w:val="22"/>
              </w:rPr>
              <w:t xml:space="preserve">.  “[A] </w:t>
            </w:r>
            <w:r w:rsidRPr="00D613D5">
              <w:rPr>
                <w:rFonts w:ascii="Calibri" w:hAnsi="Calibri" w:cs="Calibri"/>
                <w:b/>
                <w:sz w:val="22"/>
                <w:szCs w:val="22"/>
              </w:rPr>
              <w:t xml:space="preserve">statutory cause of action extends only to plaintiffs whose interests fall within the zone of interests protected by the law invoked.”  </w:t>
            </w:r>
            <w:r w:rsidRPr="00D613D5">
              <w:rPr>
                <w:rFonts w:ascii="Calibri" w:hAnsi="Calibri" w:cs="Calibri"/>
                <w:b/>
                <w:i/>
                <w:sz w:val="22"/>
                <w:szCs w:val="22"/>
              </w:rPr>
              <w:t xml:space="preserve">Lexmark Int’l </w:t>
            </w:r>
            <w:r w:rsidRPr="00D613D5">
              <w:rPr>
                <w:rFonts w:ascii="Calibri" w:hAnsi="Calibri" w:cs="Calibri"/>
                <w:b/>
                <w:sz w:val="22"/>
                <w:szCs w:val="22"/>
              </w:rPr>
              <w:t>(</w:t>
            </w:r>
            <w:r>
              <w:rPr>
                <w:rFonts w:ascii="Calibri" w:hAnsi="Calibri" w:cs="Calibri"/>
                <w:b/>
                <w:sz w:val="22"/>
                <w:szCs w:val="22"/>
              </w:rPr>
              <w:t xml:space="preserve">S. Ct. </w:t>
            </w:r>
            <w:r w:rsidRPr="00D613D5">
              <w:rPr>
                <w:rFonts w:ascii="Calibri" w:hAnsi="Calibri" w:cs="Calibri"/>
                <w:b/>
                <w:sz w:val="22"/>
                <w:szCs w:val="22"/>
              </w:rPr>
              <w:t>2014)</w:t>
            </w:r>
            <w:r w:rsidR="00B91217" w:rsidRPr="00D613D5">
              <w:rPr>
                <w:rFonts w:ascii="Calibri" w:hAnsi="Calibri" w:cs="Calibri"/>
                <w:b/>
                <w:sz w:val="22"/>
                <w:szCs w:val="22"/>
              </w:rPr>
              <w:t>.</w:t>
            </w:r>
            <w:r w:rsidR="00B91217">
              <w:rPr>
                <w:rFonts w:ascii="Calibri" w:hAnsi="Calibri" w:cs="Calibri"/>
                <w:b/>
                <w:sz w:val="22"/>
                <w:szCs w:val="22"/>
              </w:rPr>
              <w:t xml:space="preserve">  </w:t>
            </w:r>
            <w:r w:rsidRPr="00DD26FD">
              <w:rPr>
                <w:rFonts w:ascii="Calibri" w:hAnsi="Calibri" w:cs="Calibri"/>
                <w:b/>
                <w:sz w:val="22"/>
                <w:szCs w:val="22"/>
              </w:rPr>
              <w:t xml:space="preserve">Thus, a court must ask “whether a legislatively conferred cause of action encompasses a particular plaintiff’s claim.”  </w:t>
            </w:r>
            <w:r w:rsidRPr="00DD26FD">
              <w:rPr>
                <w:rFonts w:ascii="Calibri" w:hAnsi="Calibri" w:cs="Calibri"/>
                <w:b/>
                <w:i/>
                <w:sz w:val="22"/>
                <w:szCs w:val="22"/>
              </w:rPr>
              <w:t>Id.</w:t>
            </w:r>
          </w:p>
        </w:tc>
      </w:tr>
      <w:tr w:rsidR="00A22D72" w:rsidRPr="00907D75" w14:paraId="7D3A170F" w14:textId="77777777" w:rsidTr="008649A2">
        <w:trPr>
          <w:trHeight w:val="4795"/>
        </w:trPr>
        <w:tc>
          <w:tcPr>
            <w:tcW w:w="5805" w:type="dxa"/>
            <w:vAlign w:val="center"/>
          </w:tcPr>
          <w:p w14:paraId="0825B781" w14:textId="6176DF33" w:rsidR="00A22D72" w:rsidRDefault="00A22D72"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Was </w:t>
            </w:r>
            <w:r w:rsidRPr="00AE6FEE">
              <w:rPr>
                <w:rFonts w:ascii="Calibri" w:hAnsi="Calibri" w:cs="Calibri"/>
                <w:b/>
                <w:i/>
                <w:sz w:val="28"/>
                <w:szCs w:val="28"/>
              </w:rPr>
              <w:t>Lexmark</w:t>
            </w:r>
            <w:r>
              <w:rPr>
                <w:rFonts w:ascii="Calibri" w:hAnsi="Calibri" w:cs="Calibri"/>
                <w:b/>
                <w:sz w:val="28"/>
                <w:szCs w:val="28"/>
              </w:rPr>
              <w:t xml:space="preserve"> a TCPA case?</w:t>
            </w:r>
          </w:p>
        </w:tc>
        <w:tc>
          <w:tcPr>
            <w:tcW w:w="5805" w:type="dxa"/>
            <w:vAlign w:val="center"/>
          </w:tcPr>
          <w:p w14:paraId="29FD8091" w14:textId="5BB4BBB9" w:rsidR="00A22D72" w:rsidRPr="00AE6FEE" w:rsidRDefault="00A22D72"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F64C49" w:rsidRPr="00E41B56">
              <w:rPr>
                <w:rFonts w:ascii="Calibri" w:hAnsi="Calibri" w:cs="Calibri"/>
                <w:b/>
                <w:i/>
                <w:sz w:val="22"/>
                <w:szCs w:val="22"/>
              </w:rPr>
              <w:t>Lexmark</w:t>
            </w:r>
            <w:r w:rsidR="00F64C49">
              <w:rPr>
                <w:rFonts w:ascii="Calibri" w:hAnsi="Calibri" w:cs="Calibri"/>
                <w:b/>
                <w:sz w:val="22"/>
                <w:szCs w:val="22"/>
              </w:rPr>
              <w:t xml:space="preserve"> (S. Ct. 2014) was a case brought under the </w:t>
            </w:r>
            <w:r w:rsidR="00F64C49" w:rsidRPr="00F64C49">
              <w:rPr>
                <w:rFonts w:ascii="Calibri" w:hAnsi="Calibri" w:cs="Calibri"/>
                <w:b/>
                <w:sz w:val="22"/>
                <w:szCs w:val="22"/>
              </w:rPr>
              <w:t>Lanham Act for false advertising</w:t>
            </w:r>
            <w:r w:rsidR="00B91217">
              <w:rPr>
                <w:rFonts w:ascii="Calibri" w:hAnsi="Calibri" w:cs="Calibri"/>
                <w:b/>
                <w:sz w:val="22"/>
                <w:szCs w:val="22"/>
              </w:rPr>
              <w:t>.</w:t>
            </w:r>
            <w:r w:rsidR="00B91217" w:rsidRPr="00F64C49">
              <w:rPr>
                <w:rFonts w:ascii="Calibri" w:hAnsi="Calibri" w:cs="Calibri"/>
                <w:b/>
                <w:sz w:val="22"/>
                <w:szCs w:val="22"/>
              </w:rPr>
              <w:t xml:space="preserve">  </w:t>
            </w:r>
            <w:r>
              <w:rPr>
                <w:rFonts w:ascii="Calibri" w:hAnsi="Calibri" w:cs="Calibri"/>
                <w:b/>
                <w:sz w:val="22"/>
                <w:szCs w:val="22"/>
              </w:rPr>
              <w:t>[</w:t>
            </w:r>
            <w:r>
              <w:rPr>
                <w:rFonts w:ascii="Calibri" w:hAnsi="Calibri" w:cs="Calibri"/>
                <w:b/>
                <w:i/>
                <w:sz w:val="22"/>
                <w:szCs w:val="22"/>
              </w:rPr>
              <w:t>Lexmark</w:t>
            </w:r>
            <w:r w:rsidR="00F64C49">
              <w:rPr>
                <w:rFonts w:ascii="Calibri" w:hAnsi="Calibri" w:cs="Calibri"/>
                <w:b/>
                <w:sz w:val="22"/>
                <w:szCs w:val="22"/>
              </w:rPr>
              <w:t xml:space="preserve"> is explained more below.</w:t>
            </w:r>
            <w:r>
              <w:rPr>
                <w:rFonts w:ascii="Calibri" w:hAnsi="Calibri" w:cs="Calibri"/>
                <w:b/>
                <w:sz w:val="22"/>
                <w:szCs w:val="22"/>
              </w:rPr>
              <w:t>]</w:t>
            </w:r>
          </w:p>
        </w:tc>
      </w:tr>
      <w:tr w:rsidR="00A22D72" w:rsidRPr="00907D75" w14:paraId="4DB539BB" w14:textId="77777777" w:rsidTr="008649A2">
        <w:trPr>
          <w:trHeight w:val="4795"/>
        </w:trPr>
        <w:tc>
          <w:tcPr>
            <w:tcW w:w="5805" w:type="dxa"/>
            <w:vAlign w:val="center"/>
          </w:tcPr>
          <w:p w14:paraId="34E50CDA" w14:textId="697CB9C5" w:rsidR="00A22D72" w:rsidRDefault="00A22D72"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cite </w:t>
            </w:r>
            <w:r w:rsidRPr="00AE6FEE">
              <w:rPr>
                <w:rFonts w:ascii="Calibri" w:hAnsi="Calibri" w:cs="Calibri"/>
                <w:b/>
                <w:i/>
                <w:sz w:val="28"/>
                <w:szCs w:val="28"/>
              </w:rPr>
              <w:t>Leaf Tobacco</w:t>
            </w:r>
            <w:r>
              <w:rPr>
                <w:rFonts w:ascii="Calibri" w:hAnsi="Calibri" w:cs="Calibri"/>
                <w:b/>
                <w:sz w:val="28"/>
                <w:szCs w:val="28"/>
              </w:rPr>
              <w:t xml:space="preserve"> (4</w:t>
            </w:r>
            <w:r w:rsidRPr="00C808D9">
              <w:rPr>
                <w:rFonts w:ascii="Calibri" w:hAnsi="Calibri" w:cs="Calibri"/>
                <w:b/>
                <w:sz w:val="28"/>
                <w:szCs w:val="28"/>
              </w:rPr>
              <w:t>th</w:t>
            </w:r>
            <w:r>
              <w:rPr>
                <w:rFonts w:ascii="Calibri" w:hAnsi="Calibri" w:cs="Calibri"/>
                <w:b/>
                <w:sz w:val="28"/>
                <w:szCs w:val="28"/>
              </w:rPr>
              <w:t xml:space="preserve"> Cir. 1984) to support your “zone of interests” argument</w:t>
            </w:r>
            <w:r w:rsidR="00B91217">
              <w:rPr>
                <w:rFonts w:ascii="Calibri" w:hAnsi="Calibri" w:cs="Calibri"/>
                <w:b/>
                <w:sz w:val="28"/>
                <w:szCs w:val="28"/>
              </w:rPr>
              <w:t xml:space="preserve">.  </w:t>
            </w:r>
            <w:r>
              <w:rPr>
                <w:rFonts w:ascii="Calibri" w:hAnsi="Calibri" w:cs="Calibri"/>
                <w:b/>
                <w:sz w:val="28"/>
                <w:szCs w:val="28"/>
              </w:rPr>
              <w:t>What was the holding in that case?</w:t>
            </w:r>
          </w:p>
        </w:tc>
        <w:tc>
          <w:tcPr>
            <w:tcW w:w="5805" w:type="dxa"/>
            <w:vAlign w:val="center"/>
          </w:tcPr>
          <w:p w14:paraId="522AC430" w14:textId="62CA975D" w:rsidR="00A22D72" w:rsidRPr="00AE6FEE" w:rsidRDefault="00A22D72" w:rsidP="00525419">
            <w:pPr>
              <w:pStyle w:val="O-BodyText"/>
              <w:spacing w:after="120"/>
              <w:ind w:left="290" w:right="65"/>
              <w:jc w:val="both"/>
              <w:rPr>
                <w:rFonts w:ascii="Calibri" w:hAnsi="Calibri" w:cs="Calibri"/>
                <w:b/>
                <w:sz w:val="22"/>
                <w:szCs w:val="22"/>
              </w:rPr>
            </w:pPr>
            <w:r w:rsidRPr="00D06560">
              <w:rPr>
                <w:rFonts w:ascii="Calibri" w:hAnsi="Calibri" w:cs="Calibri"/>
                <w:b/>
                <w:sz w:val="22"/>
                <w:szCs w:val="22"/>
                <w:highlight w:val="yellow"/>
              </w:rPr>
              <w:t>[Explain</w:t>
            </w:r>
            <w:r w:rsidR="0020552B">
              <w:rPr>
                <w:rFonts w:ascii="Calibri" w:hAnsi="Calibri" w:cs="Calibri"/>
                <w:b/>
                <w:sz w:val="22"/>
                <w:szCs w:val="22"/>
                <w:highlight w:val="yellow"/>
              </w:rPr>
              <w:t>.</w:t>
            </w:r>
            <w:r w:rsidRPr="00D06560">
              <w:rPr>
                <w:rFonts w:ascii="Calibri" w:hAnsi="Calibri" w:cs="Calibri"/>
                <w:b/>
                <w:sz w:val="22"/>
                <w:szCs w:val="22"/>
                <w:highlight w:val="yellow"/>
              </w:rPr>
              <w:t>]</w:t>
            </w:r>
          </w:p>
        </w:tc>
      </w:tr>
      <w:tr w:rsidR="00A22D72" w:rsidRPr="00907D75" w14:paraId="3985ECEC" w14:textId="77777777" w:rsidTr="008649A2">
        <w:trPr>
          <w:trHeight w:val="4795"/>
        </w:trPr>
        <w:tc>
          <w:tcPr>
            <w:tcW w:w="5805" w:type="dxa"/>
            <w:vAlign w:val="center"/>
          </w:tcPr>
          <w:p w14:paraId="0727EFF4" w14:textId="0F7F073A" w:rsidR="00A22D72" w:rsidRPr="00C808D9" w:rsidRDefault="00A22D72"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How does </w:t>
            </w:r>
            <w:proofErr w:type="gramStart"/>
            <w:r>
              <w:rPr>
                <w:rFonts w:ascii="Calibri" w:hAnsi="Calibri" w:cs="Calibri"/>
                <w:b/>
                <w:i/>
                <w:sz w:val="28"/>
                <w:szCs w:val="28"/>
              </w:rPr>
              <w:t>In</w:t>
            </w:r>
            <w:proofErr w:type="gramEnd"/>
            <w:r>
              <w:rPr>
                <w:rFonts w:ascii="Calibri" w:hAnsi="Calibri" w:cs="Calibri"/>
                <w:b/>
                <w:i/>
                <w:sz w:val="28"/>
                <w:szCs w:val="28"/>
              </w:rPr>
              <w:t xml:space="preserve"> re </w:t>
            </w:r>
            <w:proofErr w:type="spellStart"/>
            <w:r>
              <w:rPr>
                <w:rFonts w:ascii="Calibri" w:hAnsi="Calibri" w:cs="Calibri"/>
                <w:b/>
                <w:i/>
                <w:sz w:val="28"/>
                <w:szCs w:val="28"/>
              </w:rPr>
              <w:t>Peeples</w:t>
            </w:r>
            <w:proofErr w:type="spellEnd"/>
            <w:r>
              <w:rPr>
                <w:rFonts w:ascii="Calibri" w:hAnsi="Calibri" w:cs="Calibri"/>
                <w:b/>
                <w:sz w:val="28"/>
                <w:szCs w:val="28"/>
              </w:rPr>
              <w:t xml:space="preserve"> (10</w:t>
            </w:r>
            <w:r w:rsidRPr="00C808D9">
              <w:rPr>
                <w:rFonts w:ascii="Calibri" w:hAnsi="Calibri" w:cs="Calibri"/>
                <w:b/>
                <w:sz w:val="28"/>
                <w:szCs w:val="28"/>
              </w:rPr>
              <w:t>th</w:t>
            </w:r>
            <w:r>
              <w:rPr>
                <w:rFonts w:ascii="Calibri" w:hAnsi="Calibri" w:cs="Calibri"/>
                <w:b/>
                <w:sz w:val="28"/>
                <w:szCs w:val="28"/>
              </w:rPr>
              <w:t xml:space="preserve"> Cir. 2018) support your “zone of interests” argument?</w:t>
            </w:r>
          </w:p>
        </w:tc>
        <w:tc>
          <w:tcPr>
            <w:tcW w:w="5805" w:type="dxa"/>
            <w:vAlign w:val="center"/>
          </w:tcPr>
          <w:p w14:paraId="222D28E0" w14:textId="111DBCC1" w:rsidR="00A22D72" w:rsidRPr="00C808D9" w:rsidRDefault="00A22D72" w:rsidP="00525419">
            <w:pPr>
              <w:pStyle w:val="O-BodyText"/>
              <w:spacing w:after="120"/>
              <w:ind w:left="290" w:right="65"/>
              <w:jc w:val="both"/>
              <w:rPr>
                <w:rFonts w:ascii="Calibri" w:hAnsi="Calibri" w:cs="Calibri"/>
                <w:b/>
                <w:sz w:val="22"/>
                <w:szCs w:val="22"/>
              </w:rPr>
            </w:pPr>
            <w:r w:rsidRPr="00D06560">
              <w:rPr>
                <w:rFonts w:ascii="Calibri" w:hAnsi="Calibri" w:cs="Calibri"/>
                <w:b/>
                <w:sz w:val="22"/>
                <w:szCs w:val="22"/>
                <w:highlight w:val="yellow"/>
              </w:rPr>
              <w:t>[Explai</w:t>
            </w:r>
            <w:r w:rsidR="002944CA">
              <w:rPr>
                <w:rFonts w:ascii="Calibri" w:hAnsi="Calibri" w:cs="Calibri"/>
                <w:b/>
                <w:sz w:val="22"/>
                <w:szCs w:val="22"/>
                <w:highlight w:val="yellow"/>
              </w:rPr>
              <w:t>n</w:t>
            </w:r>
            <w:r w:rsidR="0020552B">
              <w:rPr>
                <w:rFonts w:ascii="Calibri" w:hAnsi="Calibri" w:cs="Calibri"/>
                <w:b/>
                <w:sz w:val="22"/>
                <w:szCs w:val="22"/>
                <w:highlight w:val="yellow"/>
              </w:rPr>
              <w:t>.</w:t>
            </w:r>
            <w:r w:rsidR="002944CA">
              <w:rPr>
                <w:rFonts w:ascii="Calibri" w:hAnsi="Calibri" w:cs="Calibri"/>
                <w:b/>
                <w:sz w:val="22"/>
                <w:szCs w:val="22"/>
                <w:highlight w:val="yellow"/>
              </w:rPr>
              <w:t>]</w:t>
            </w:r>
          </w:p>
        </w:tc>
      </w:tr>
      <w:tr w:rsidR="00F12889" w14:paraId="1D4F6178" w14:textId="77777777" w:rsidTr="008649A2">
        <w:trPr>
          <w:trHeight w:val="4795"/>
        </w:trPr>
        <w:tc>
          <w:tcPr>
            <w:tcW w:w="5805" w:type="dxa"/>
            <w:vAlign w:val="center"/>
          </w:tcPr>
          <w:p w14:paraId="115F0B23" w14:textId="77777777" w:rsidR="00F12889" w:rsidRDefault="00F12889" w:rsidP="00525419">
            <w:pPr>
              <w:pStyle w:val="O-BodyText"/>
              <w:spacing w:after="120"/>
              <w:ind w:right="200"/>
              <w:jc w:val="both"/>
              <w:rPr>
                <w:rFonts w:ascii="Calibri" w:hAnsi="Calibri" w:cs="Calibri"/>
                <w:b/>
                <w:sz w:val="28"/>
                <w:szCs w:val="28"/>
              </w:rPr>
            </w:pPr>
            <w:r>
              <w:rPr>
                <w:rFonts w:ascii="Calibri" w:hAnsi="Calibri" w:cs="Calibri"/>
                <w:b/>
                <w:sz w:val="28"/>
                <w:szCs w:val="28"/>
              </w:rPr>
              <w:t>If someone was at a residence and received more than one phone call from SSN, why aren’t they able to bring a lawsuit?</w:t>
            </w:r>
          </w:p>
        </w:tc>
        <w:tc>
          <w:tcPr>
            <w:tcW w:w="5805" w:type="dxa"/>
            <w:vAlign w:val="center"/>
          </w:tcPr>
          <w:p w14:paraId="063AEAD3" w14:textId="09EF2D1D" w:rsidR="00F12889" w:rsidRDefault="008C186A" w:rsidP="00525419">
            <w:pPr>
              <w:pStyle w:val="O-BodyText"/>
              <w:spacing w:after="120"/>
              <w:ind w:left="290" w:right="65"/>
              <w:jc w:val="both"/>
              <w:rPr>
                <w:rFonts w:ascii="Calibri" w:hAnsi="Calibri" w:cs="Calibri"/>
                <w:b/>
                <w:sz w:val="22"/>
                <w:szCs w:val="22"/>
              </w:rPr>
            </w:pPr>
            <w:r>
              <w:rPr>
                <w:rFonts w:ascii="Calibri" w:hAnsi="Calibri" w:cs="Calibri"/>
                <w:b/>
                <w:sz w:val="22"/>
                <w:szCs w:val="22"/>
              </w:rPr>
              <w:t>Under Section 227(c) of the TCPA,</w:t>
            </w:r>
            <w:r w:rsidR="00F12889" w:rsidRPr="00F12889">
              <w:rPr>
                <w:rFonts w:ascii="Calibri" w:hAnsi="Calibri" w:cs="Calibri"/>
                <w:b/>
                <w:sz w:val="22"/>
                <w:szCs w:val="22"/>
              </w:rPr>
              <w:t xml:space="preserve"> Congress protected the interests of telephone subscribers</w:t>
            </w:r>
            <w:r w:rsidR="00F12889">
              <w:rPr>
                <w:rFonts w:ascii="Calibri" w:hAnsi="Calibri" w:cs="Calibri"/>
                <w:b/>
                <w:sz w:val="22"/>
                <w:szCs w:val="22"/>
              </w:rPr>
              <w:t xml:space="preserve"> </w:t>
            </w:r>
            <w:r w:rsidR="00F12889" w:rsidRPr="00F12889">
              <w:rPr>
                <w:rFonts w:ascii="Calibri" w:hAnsi="Calibri" w:cs="Calibri"/>
                <w:b/>
                <w:sz w:val="22"/>
                <w:szCs w:val="22"/>
              </w:rPr>
              <w:t xml:space="preserve">who wanted to avoid telemarketing calls.  Section 227(c)’s title is “Protection of </w:t>
            </w:r>
            <w:r w:rsidR="00F12889" w:rsidRPr="00F12889">
              <w:rPr>
                <w:rFonts w:ascii="Calibri" w:hAnsi="Calibri" w:cs="Calibri"/>
                <w:b/>
                <w:i/>
                <w:sz w:val="22"/>
                <w:szCs w:val="22"/>
              </w:rPr>
              <w:t>subscriber</w:t>
            </w:r>
            <w:r w:rsidR="009971AE">
              <w:rPr>
                <w:rFonts w:ascii="Calibri" w:hAnsi="Calibri" w:cs="Calibri"/>
                <w:b/>
                <w:sz w:val="22"/>
                <w:szCs w:val="22"/>
              </w:rPr>
              <w:t xml:space="preserve"> privacy rights.”</w:t>
            </w:r>
          </w:p>
        </w:tc>
      </w:tr>
      <w:tr w:rsidR="00A22D72" w:rsidRPr="00907D75" w14:paraId="51A1EE65" w14:textId="77777777" w:rsidTr="008649A2">
        <w:trPr>
          <w:trHeight w:val="4795"/>
        </w:trPr>
        <w:tc>
          <w:tcPr>
            <w:tcW w:w="5805" w:type="dxa"/>
            <w:vAlign w:val="center"/>
          </w:tcPr>
          <w:p w14:paraId="40DDC21A" w14:textId="18953172" w:rsidR="00A22D72" w:rsidRDefault="009971AE"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Where does </w:t>
            </w:r>
            <w:r w:rsidR="005D1D24">
              <w:rPr>
                <w:rFonts w:ascii="Calibri" w:hAnsi="Calibri" w:cs="Calibri"/>
                <w:b/>
                <w:sz w:val="28"/>
                <w:szCs w:val="28"/>
              </w:rPr>
              <w:t xml:space="preserve">the </w:t>
            </w:r>
            <w:r>
              <w:rPr>
                <w:rFonts w:ascii="Calibri" w:hAnsi="Calibri" w:cs="Calibri"/>
                <w:b/>
                <w:sz w:val="28"/>
                <w:szCs w:val="28"/>
              </w:rPr>
              <w:t>TCPA</w:t>
            </w:r>
            <w:r w:rsidR="005D1D24">
              <w:rPr>
                <w:rFonts w:ascii="Calibri" w:hAnsi="Calibri" w:cs="Calibri"/>
                <w:b/>
                <w:sz w:val="28"/>
                <w:szCs w:val="28"/>
              </w:rPr>
              <w:t xml:space="preserve"> </w:t>
            </w:r>
            <w:r w:rsidR="009F0BB0">
              <w:rPr>
                <w:rFonts w:ascii="Calibri" w:hAnsi="Calibri" w:cs="Calibri"/>
                <w:b/>
                <w:sz w:val="28"/>
                <w:szCs w:val="28"/>
              </w:rPr>
              <w:t xml:space="preserve">say that only subscribers can </w:t>
            </w:r>
            <w:r w:rsidR="00B91217">
              <w:rPr>
                <w:rFonts w:ascii="Calibri" w:hAnsi="Calibri" w:cs="Calibri"/>
                <w:b/>
                <w:sz w:val="28"/>
                <w:szCs w:val="28"/>
              </w:rPr>
              <w:t>sue</w:t>
            </w:r>
            <w:r>
              <w:rPr>
                <w:rFonts w:ascii="Calibri" w:hAnsi="Calibri" w:cs="Calibri"/>
                <w:b/>
                <w:sz w:val="28"/>
                <w:szCs w:val="28"/>
              </w:rPr>
              <w:t xml:space="preserve"> for telemarketing violations</w:t>
            </w:r>
            <w:r w:rsidR="009F0BB0">
              <w:rPr>
                <w:rFonts w:ascii="Calibri" w:hAnsi="Calibri" w:cs="Calibri"/>
                <w:b/>
                <w:sz w:val="28"/>
                <w:szCs w:val="28"/>
              </w:rPr>
              <w:t>?</w:t>
            </w:r>
          </w:p>
        </w:tc>
        <w:tc>
          <w:tcPr>
            <w:tcW w:w="5805" w:type="dxa"/>
            <w:vAlign w:val="center"/>
          </w:tcPr>
          <w:p w14:paraId="166C3E62" w14:textId="0BC109A1" w:rsidR="00A22D72" w:rsidRDefault="009971AE" w:rsidP="00525419">
            <w:pPr>
              <w:pStyle w:val="O-BodyText"/>
              <w:spacing w:after="120"/>
              <w:ind w:left="290" w:right="65"/>
              <w:jc w:val="both"/>
              <w:rPr>
                <w:rFonts w:ascii="Calibri" w:hAnsi="Calibri" w:cs="Calibri"/>
                <w:b/>
                <w:sz w:val="22"/>
                <w:szCs w:val="22"/>
              </w:rPr>
            </w:pPr>
            <w:r w:rsidRPr="00F12889">
              <w:rPr>
                <w:rFonts w:ascii="Calibri" w:hAnsi="Calibri" w:cs="Calibri"/>
                <w:b/>
                <w:sz w:val="22"/>
                <w:szCs w:val="22"/>
              </w:rPr>
              <w:t xml:space="preserve">Section 227(c)’s title is “Protection of </w:t>
            </w:r>
            <w:r w:rsidRPr="00F12889">
              <w:rPr>
                <w:rFonts w:ascii="Calibri" w:hAnsi="Calibri" w:cs="Calibri"/>
                <w:b/>
                <w:i/>
                <w:sz w:val="22"/>
                <w:szCs w:val="22"/>
              </w:rPr>
              <w:t>subscriber</w:t>
            </w:r>
            <w:r w:rsidRPr="00F12889">
              <w:rPr>
                <w:rFonts w:ascii="Calibri" w:hAnsi="Calibri" w:cs="Calibri"/>
                <w:b/>
                <w:sz w:val="22"/>
                <w:szCs w:val="22"/>
              </w:rPr>
              <w:t xml:space="preserve"> privacy rights.”</w:t>
            </w:r>
            <w:r>
              <w:rPr>
                <w:rFonts w:ascii="Calibri" w:hAnsi="Calibri" w:cs="Calibri"/>
                <w:b/>
                <w:sz w:val="22"/>
                <w:szCs w:val="22"/>
              </w:rPr>
              <w:t xml:space="preserve"> And </w:t>
            </w:r>
            <w:r w:rsidR="009F0BB0">
              <w:rPr>
                <w:rFonts w:ascii="Calibri" w:hAnsi="Calibri" w:cs="Calibri"/>
                <w:b/>
                <w:sz w:val="22"/>
                <w:szCs w:val="22"/>
              </w:rPr>
              <w:t>Section 227(c)’s</w:t>
            </w:r>
            <w:r w:rsidR="009F0BB0" w:rsidRPr="009F0BB0">
              <w:rPr>
                <w:rFonts w:ascii="Calibri" w:hAnsi="Calibri" w:cs="Calibri"/>
                <w:b/>
                <w:sz w:val="22"/>
                <w:szCs w:val="22"/>
              </w:rPr>
              <w:t xml:space="preserve"> first sentence instructs the FCC to prescribe regulations “to protect </w:t>
            </w:r>
            <w:r w:rsidR="009F0BB0" w:rsidRPr="009F0BB0">
              <w:rPr>
                <w:rFonts w:ascii="Calibri" w:hAnsi="Calibri" w:cs="Calibri"/>
                <w:b/>
                <w:i/>
                <w:sz w:val="22"/>
                <w:szCs w:val="22"/>
              </w:rPr>
              <w:t>residential telephone subscribers’</w:t>
            </w:r>
            <w:r w:rsidR="009F0BB0" w:rsidRPr="009F0BB0">
              <w:rPr>
                <w:rFonts w:ascii="Calibri" w:hAnsi="Calibri" w:cs="Calibri"/>
                <w:b/>
                <w:sz w:val="22"/>
                <w:szCs w:val="22"/>
              </w:rPr>
              <w:t xml:space="preserve"> privacy rights to avoid receiving telephone solicitations to which they object</w:t>
            </w:r>
            <w:r>
              <w:rPr>
                <w:rFonts w:ascii="Calibri" w:hAnsi="Calibri" w:cs="Calibri"/>
                <w:b/>
                <w:sz w:val="22"/>
                <w:szCs w:val="22"/>
              </w:rPr>
              <w:t>.”</w:t>
            </w:r>
          </w:p>
        </w:tc>
      </w:tr>
      <w:tr w:rsidR="00A22D72" w:rsidRPr="00907D75" w14:paraId="7A31A946" w14:textId="77777777" w:rsidTr="008649A2">
        <w:trPr>
          <w:trHeight w:val="4795"/>
        </w:trPr>
        <w:tc>
          <w:tcPr>
            <w:tcW w:w="5805" w:type="dxa"/>
            <w:vAlign w:val="center"/>
          </w:tcPr>
          <w:p w14:paraId="31A6F331" w14:textId="20F570F1" w:rsidR="00A22D72" w:rsidRDefault="009F0BB0"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Who </w:t>
            </w:r>
            <w:r w:rsidR="009971AE">
              <w:rPr>
                <w:rFonts w:ascii="Calibri" w:hAnsi="Calibri" w:cs="Calibri"/>
                <w:b/>
                <w:sz w:val="28"/>
                <w:szCs w:val="28"/>
              </w:rPr>
              <w:t>can be listed on the Do Not Call Registry</w:t>
            </w:r>
            <w:r>
              <w:rPr>
                <w:rFonts w:ascii="Calibri" w:hAnsi="Calibri" w:cs="Calibri"/>
                <w:b/>
                <w:sz w:val="28"/>
                <w:szCs w:val="28"/>
              </w:rPr>
              <w:t>?</w:t>
            </w:r>
          </w:p>
        </w:tc>
        <w:tc>
          <w:tcPr>
            <w:tcW w:w="5805" w:type="dxa"/>
            <w:vAlign w:val="center"/>
          </w:tcPr>
          <w:p w14:paraId="6CCC71AB" w14:textId="4ADAB1A0" w:rsidR="00A22D72" w:rsidRDefault="009F0BB0"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9F0BB0">
              <w:rPr>
                <w:rFonts w:ascii="Calibri" w:hAnsi="Calibri" w:cs="Calibri"/>
                <w:b/>
                <w:sz w:val="22"/>
                <w:szCs w:val="22"/>
              </w:rPr>
              <w:t xml:space="preserve">he Do Not Call Registry is defined as a “database to compile a list of telephone numbers </w:t>
            </w:r>
            <w:r w:rsidRPr="009971AE">
              <w:rPr>
                <w:rFonts w:ascii="Calibri" w:hAnsi="Calibri" w:cs="Calibri"/>
                <w:b/>
                <w:sz w:val="22"/>
                <w:szCs w:val="22"/>
              </w:rPr>
              <w:t>of residential subscribers who object to receiving telephone solicitations.”</w:t>
            </w:r>
            <w:r w:rsidRPr="009F0BB0">
              <w:rPr>
                <w:rFonts w:ascii="Calibri" w:hAnsi="Calibri" w:cs="Calibri"/>
                <w:b/>
                <w:sz w:val="22"/>
                <w:szCs w:val="22"/>
              </w:rPr>
              <w:t xml:space="preserve">  </w:t>
            </w:r>
            <w:r w:rsidR="009971AE">
              <w:rPr>
                <w:rFonts w:ascii="Calibri" w:hAnsi="Calibri" w:cs="Calibri"/>
                <w:b/>
                <w:sz w:val="22"/>
                <w:szCs w:val="22"/>
              </w:rPr>
              <w:t>47 U.S.C.</w:t>
            </w:r>
            <w:r>
              <w:rPr>
                <w:rFonts w:ascii="Calibri" w:hAnsi="Calibri" w:cs="Calibri"/>
                <w:b/>
                <w:i/>
                <w:sz w:val="22"/>
                <w:szCs w:val="22"/>
              </w:rPr>
              <w:t xml:space="preserve"> </w:t>
            </w:r>
            <w:r w:rsidR="009971AE">
              <w:rPr>
                <w:rFonts w:ascii="Calibri" w:hAnsi="Calibri" w:cs="Calibri"/>
                <w:b/>
                <w:sz w:val="22"/>
                <w:szCs w:val="22"/>
              </w:rPr>
              <w:t>§ 227(c)(3).</w:t>
            </w:r>
          </w:p>
        </w:tc>
      </w:tr>
      <w:tr w:rsidR="009F0BB0" w:rsidRPr="00907D75" w14:paraId="25AD0D9D" w14:textId="77777777" w:rsidTr="008649A2">
        <w:trPr>
          <w:trHeight w:val="4795"/>
        </w:trPr>
        <w:tc>
          <w:tcPr>
            <w:tcW w:w="5805" w:type="dxa"/>
            <w:vAlign w:val="center"/>
          </w:tcPr>
          <w:p w14:paraId="76612717" w14:textId="5D1078F4" w:rsidR="009F0BB0" w:rsidRDefault="009F0BB0" w:rsidP="00525419">
            <w:pPr>
              <w:pStyle w:val="O-BodyText"/>
              <w:spacing w:after="120"/>
              <w:ind w:right="200"/>
              <w:jc w:val="both"/>
              <w:rPr>
                <w:rFonts w:ascii="Calibri" w:hAnsi="Calibri" w:cs="Calibri"/>
                <w:b/>
                <w:sz w:val="28"/>
                <w:szCs w:val="28"/>
              </w:rPr>
            </w:pPr>
            <w:r>
              <w:rPr>
                <w:rFonts w:ascii="Calibri" w:hAnsi="Calibri" w:cs="Calibri"/>
                <w:b/>
                <w:sz w:val="28"/>
                <w:szCs w:val="28"/>
              </w:rPr>
              <w:t>Explain why only subscribers can bring a claim when the statute uses “person” and not “subscriber.”</w:t>
            </w:r>
          </w:p>
        </w:tc>
        <w:tc>
          <w:tcPr>
            <w:tcW w:w="5805" w:type="dxa"/>
            <w:vAlign w:val="center"/>
          </w:tcPr>
          <w:p w14:paraId="08259AB7" w14:textId="5DB46ED4" w:rsidR="009F0BB0" w:rsidRDefault="009F0BB0" w:rsidP="00525419">
            <w:pPr>
              <w:pStyle w:val="O-BodyText"/>
              <w:spacing w:after="120"/>
              <w:ind w:left="290" w:right="65"/>
              <w:jc w:val="both"/>
              <w:rPr>
                <w:rFonts w:ascii="Calibri" w:hAnsi="Calibri" w:cs="Calibri"/>
                <w:b/>
                <w:sz w:val="22"/>
                <w:szCs w:val="22"/>
              </w:rPr>
            </w:pPr>
            <w:r w:rsidRPr="009F0BB0">
              <w:rPr>
                <w:rFonts w:ascii="Calibri" w:hAnsi="Calibri" w:cs="Calibri"/>
                <w:b/>
                <w:sz w:val="22"/>
                <w:szCs w:val="22"/>
              </w:rPr>
              <w:t>Congress tied the cause of action to subscribers.  A</w:t>
            </w:r>
            <w:r>
              <w:rPr>
                <w:rFonts w:ascii="Calibri" w:hAnsi="Calibri" w:cs="Calibri"/>
                <w:b/>
                <w:sz w:val="22"/>
                <w:szCs w:val="22"/>
              </w:rPr>
              <w:t xml:space="preserve"> </w:t>
            </w:r>
            <w:r w:rsidRPr="009F0BB0">
              <w:rPr>
                <w:rFonts w:ascii="Calibri" w:hAnsi="Calibri" w:cs="Calibri"/>
                <w:b/>
                <w:sz w:val="22"/>
                <w:szCs w:val="22"/>
              </w:rPr>
              <w:t>claim under § 227(c)(5) requires an underlying “violation of the regulations prescribed under this subsection.”  And the relevant regulation concerns subscribers</w:t>
            </w:r>
            <w:r w:rsidR="009971AE">
              <w:rPr>
                <w:rFonts w:ascii="Calibri" w:hAnsi="Calibri" w:cs="Calibri"/>
                <w:b/>
                <w:sz w:val="22"/>
                <w:szCs w:val="22"/>
              </w:rPr>
              <w:t>.  It is s</w:t>
            </w:r>
            <w:r w:rsidRPr="009F0BB0">
              <w:rPr>
                <w:rFonts w:ascii="Calibri" w:hAnsi="Calibri" w:cs="Calibri"/>
                <w:b/>
                <w:sz w:val="22"/>
                <w:szCs w:val="22"/>
              </w:rPr>
              <w:t xml:space="preserve">ubscribers </w:t>
            </w:r>
            <w:r w:rsidR="009971AE">
              <w:rPr>
                <w:rFonts w:ascii="Calibri" w:hAnsi="Calibri" w:cs="Calibri"/>
                <w:b/>
                <w:sz w:val="22"/>
                <w:szCs w:val="22"/>
              </w:rPr>
              <w:t xml:space="preserve">who </w:t>
            </w:r>
            <w:r w:rsidRPr="009F0BB0">
              <w:rPr>
                <w:rFonts w:ascii="Calibri" w:hAnsi="Calibri" w:cs="Calibri"/>
                <w:b/>
                <w:sz w:val="22"/>
                <w:szCs w:val="22"/>
              </w:rPr>
              <w:t>can place their numbers on the Registry, and the regulation prohibits calls to a “residential telephone subscriber who has registered his or her telephone number” on the Registry.  47 C.F.R. § 64.1200(c)(2).</w:t>
            </w:r>
          </w:p>
        </w:tc>
      </w:tr>
      <w:tr w:rsidR="00BE70B1" w:rsidRPr="00907D75" w14:paraId="5A4E1ABE" w14:textId="77777777" w:rsidTr="008649A2">
        <w:trPr>
          <w:trHeight w:val="4795"/>
        </w:trPr>
        <w:tc>
          <w:tcPr>
            <w:tcW w:w="5805" w:type="dxa"/>
            <w:vAlign w:val="center"/>
          </w:tcPr>
          <w:p w14:paraId="42D58EC5" w14:textId="66F593A1" w:rsidR="00BE70B1" w:rsidRDefault="00BE70B1" w:rsidP="00525419">
            <w:pPr>
              <w:pStyle w:val="O-BodyText"/>
              <w:spacing w:after="120"/>
              <w:ind w:right="200"/>
              <w:jc w:val="both"/>
              <w:rPr>
                <w:rFonts w:ascii="Calibri" w:hAnsi="Calibri" w:cs="Calibri"/>
                <w:b/>
                <w:sz w:val="28"/>
                <w:szCs w:val="28"/>
              </w:rPr>
            </w:pPr>
            <w:r>
              <w:rPr>
                <w:rFonts w:ascii="Calibri" w:hAnsi="Calibri" w:cs="Calibri"/>
                <w:b/>
                <w:sz w:val="28"/>
                <w:szCs w:val="28"/>
              </w:rPr>
              <w:t>What other support do you have for your argument that only subscribers are protected</w:t>
            </w:r>
            <w:r w:rsidR="009971AE">
              <w:rPr>
                <w:rFonts w:ascii="Calibri" w:hAnsi="Calibri" w:cs="Calibri"/>
                <w:b/>
                <w:sz w:val="28"/>
                <w:szCs w:val="28"/>
              </w:rPr>
              <w:t xml:space="preserve"> under the TCPA</w:t>
            </w:r>
            <w:r>
              <w:rPr>
                <w:rFonts w:ascii="Calibri" w:hAnsi="Calibri" w:cs="Calibri"/>
                <w:b/>
                <w:sz w:val="28"/>
                <w:szCs w:val="28"/>
              </w:rPr>
              <w:t>?</w:t>
            </w:r>
          </w:p>
        </w:tc>
        <w:tc>
          <w:tcPr>
            <w:tcW w:w="5805" w:type="dxa"/>
            <w:vAlign w:val="center"/>
          </w:tcPr>
          <w:p w14:paraId="15D2FD5A" w14:textId="25E4FA92" w:rsidR="00BE70B1" w:rsidRPr="009F0BB0" w:rsidRDefault="00BE70B1" w:rsidP="00525419">
            <w:pPr>
              <w:pStyle w:val="O-BodyText"/>
              <w:spacing w:after="120"/>
              <w:ind w:left="290" w:right="65"/>
              <w:jc w:val="both"/>
              <w:rPr>
                <w:rFonts w:ascii="Calibri" w:hAnsi="Calibri" w:cs="Calibri"/>
                <w:b/>
                <w:sz w:val="22"/>
                <w:szCs w:val="22"/>
              </w:rPr>
            </w:pPr>
            <w:r>
              <w:rPr>
                <w:rFonts w:ascii="Calibri" w:hAnsi="Calibri" w:cs="Calibri"/>
                <w:b/>
                <w:sz w:val="22"/>
                <w:szCs w:val="22"/>
              </w:rPr>
              <w:t>E</w:t>
            </w:r>
            <w:r w:rsidRPr="00BE70B1">
              <w:rPr>
                <w:rFonts w:ascii="Calibri" w:hAnsi="Calibri" w:cs="Calibri"/>
                <w:b/>
                <w:sz w:val="22"/>
                <w:szCs w:val="22"/>
              </w:rPr>
              <w:t xml:space="preserve">ven before the </w:t>
            </w:r>
            <w:r w:rsidR="009971AE">
              <w:rPr>
                <w:rFonts w:ascii="Calibri" w:hAnsi="Calibri" w:cs="Calibri"/>
                <w:b/>
                <w:sz w:val="22"/>
                <w:szCs w:val="22"/>
              </w:rPr>
              <w:t xml:space="preserve">Do Not Call </w:t>
            </w:r>
            <w:r w:rsidRPr="00BE70B1">
              <w:rPr>
                <w:rFonts w:ascii="Calibri" w:hAnsi="Calibri" w:cs="Calibri"/>
                <w:b/>
                <w:sz w:val="22"/>
                <w:szCs w:val="22"/>
              </w:rPr>
              <w:t xml:space="preserve">Registry was created, the regulation allowed only a “subscriber” to object to receiving calls by placing their number on companies’ internal Do Not Call lists.  </w:t>
            </w:r>
            <w:r>
              <w:rPr>
                <w:rFonts w:ascii="Calibri" w:hAnsi="Calibri" w:cs="Calibri"/>
                <w:b/>
                <w:sz w:val="22"/>
                <w:szCs w:val="22"/>
              </w:rPr>
              <w:t>47 C.F.R.</w:t>
            </w:r>
            <w:r w:rsidRPr="00BE70B1">
              <w:rPr>
                <w:rFonts w:ascii="Calibri" w:hAnsi="Calibri" w:cs="Calibri"/>
                <w:b/>
                <w:sz w:val="22"/>
                <w:szCs w:val="22"/>
              </w:rPr>
              <w:t xml:space="preserve"> § 64.1200(e) (1993)</w:t>
            </w:r>
            <w:r>
              <w:rPr>
                <w:rFonts w:ascii="Calibri" w:hAnsi="Calibri" w:cs="Calibri"/>
                <w:b/>
                <w:sz w:val="22"/>
                <w:szCs w:val="22"/>
              </w:rPr>
              <w:t>.</w:t>
            </w:r>
          </w:p>
        </w:tc>
      </w:tr>
      <w:tr w:rsidR="001E06A9" w:rsidRPr="00907D75" w14:paraId="5AB98C8B" w14:textId="77777777" w:rsidTr="008649A2">
        <w:trPr>
          <w:trHeight w:val="4795"/>
        </w:trPr>
        <w:tc>
          <w:tcPr>
            <w:tcW w:w="5805" w:type="dxa"/>
            <w:vAlign w:val="center"/>
          </w:tcPr>
          <w:p w14:paraId="40CB70F0" w14:textId="4C556521" w:rsidR="001E06A9" w:rsidRDefault="001E06A9"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injury does Section 227</w:t>
            </w:r>
            <w:r w:rsidR="00452C48">
              <w:rPr>
                <w:rFonts w:ascii="Calibri" w:hAnsi="Calibri" w:cs="Calibri"/>
                <w:b/>
                <w:sz w:val="28"/>
                <w:szCs w:val="28"/>
              </w:rPr>
              <w:t>(c) seek to redress?</w:t>
            </w:r>
          </w:p>
        </w:tc>
        <w:tc>
          <w:tcPr>
            <w:tcW w:w="5805" w:type="dxa"/>
            <w:vAlign w:val="center"/>
          </w:tcPr>
          <w:p w14:paraId="57B876FC" w14:textId="064DC8E5" w:rsidR="001E06A9" w:rsidRDefault="009971AE" w:rsidP="00525419">
            <w:pPr>
              <w:pStyle w:val="O-BodyText"/>
              <w:spacing w:after="120"/>
              <w:ind w:left="290" w:right="65"/>
              <w:jc w:val="both"/>
              <w:rPr>
                <w:rFonts w:ascii="Calibri" w:hAnsi="Calibri" w:cs="Calibri"/>
                <w:b/>
                <w:sz w:val="22"/>
                <w:szCs w:val="22"/>
              </w:rPr>
            </w:pPr>
            <w:r>
              <w:rPr>
                <w:rFonts w:ascii="Calibri" w:hAnsi="Calibri" w:cs="Calibri"/>
                <w:b/>
                <w:sz w:val="22"/>
                <w:szCs w:val="22"/>
              </w:rPr>
              <w:t>Section 227(c) seeks to compensate t</w:t>
            </w:r>
            <w:r w:rsidR="00452C48" w:rsidRPr="00452C48">
              <w:rPr>
                <w:rFonts w:ascii="Calibri" w:hAnsi="Calibri" w:cs="Calibri"/>
                <w:b/>
                <w:sz w:val="22"/>
                <w:szCs w:val="22"/>
              </w:rPr>
              <w:t xml:space="preserve">he injury </w:t>
            </w:r>
            <w:r>
              <w:rPr>
                <w:rFonts w:ascii="Calibri" w:hAnsi="Calibri" w:cs="Calibri"/>
                <w:b/>
                <w:sz w:val="22"/>
                <w:szCs w:val="22"/>
              </w:rPr>
              <w:t>from</w:t>
            </w:r>
            <w:r w:rsidR="00452C48" w:rsidRPr="00452C48">
              <w:rPr>
                <w:rFonts w:ascii="Calibri" w:hAnsi="Calibri" w:cs="Calibri"/>
                <w:b/>
                <w:sz w:val="22"/>
                <w:szCs w:val="22"/>
              </w:rPr>
              <w:t xml:space="preserve"> unwanted telemarketing calls to “residential subscribers who object to receiving telephone solicitations,” </w:t>
            </w:r>
            <w:r>
              <w:rPr>
                <w:rFonts w:ascii="Calibri" w:hAnsi="Calibri" w:cs="Calibri"/>
                <w:b/>
                <w:sz w:val="22"/>
                <w:szCs w:val="22"/>
              </w:rPr>
              <w:t>47 U.S.C. §</w:t>
            </w:r>
            <w:r w:rsidR="00452C48" w:rsidRPr="00452C48">
              <w:rPr>
                <w:rFonts w:ascii="Calibri" w:hAnsi="Calibri" w:cs="Calibri"/>
                <w:b/>
                <w:sz w:val="22"/>
                <w:szCs w:val="22"/>
              </w:rPr>
              <w:t xml:space="preserve"> 227(c)(3)—</w:t>
            </w:r>
            <w:r>
              <w:rPr>
                <w:rFonts w:ascii="Calibri" w:hAnsi="Calibri" w:cs="Calibri"/>
                <w:b/>
                <w:sz w:val="22"/>
                <w:szCs w:val="22"/>
              </w:rPr>
              <w:t>in other words,</w:t>
            </w:r>
            <w:r w:rsidR="00452C48" w:rsidRPr="00452C48">
              <w:rPr>
                <w:rFonts w:ascii="Calibri" w:hAnsi="Calibri" w:cs="Calibri"/>
                <w:b/>
                <w:sz w:val="22"/>
                <w:szCs w:val="22"/>
              </w:rPr>
              <w:t xml:space="preserve"> the harm to someone who affirmatively took action to prevent such calls</w:t>
            </w:r>
            <w:r>
              <w:rPr>
                <w:rFonts w:ascii="Calibri" w:hAnsi="Calibri" w:cs="Calibri"/>
                <w:b/>
                <w:sz w:val="22"/>
                <w:szCs w:val="22"/>
              </w:rPr>
              <w:t>.</w:t>
            </w:r>
          </w:p>
        </w:tc>
      </w:tr>
      <w:tr w:rsidR="004524CC" w:rsidRPr="00907D75" w14:paraId="6B46AAAD" w14:textId="77777777" w:rsidTr="008649A2">
        <w:trPr>
          <w:trHeight w:val="4795"/>
        </w:trPr>
        <w:tc>
          <w:tcPr>
            <w:tcW w:w="5805" w:type="dxa"/>
            <w:vAlign w:val="center"/>
          </w:tcPr>
          <w:p w14:paraId="5BAAFD04" w14:textId="217BDC40" w:rsidR="004524CC" w:rsidRDefault="007A4ED2"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Are </w:t>
            </w:r>
            <w:r w:rsidR="004524CC">
              <w:rPr>
                <w:rFonts w:ascii="Calibri" w:hAnsi="Calibri" w:cs="Calibri"/>
                <w:b/>
                <w:sz w:val="28"/>
                <w:szCs w:val="28"/>
              </w:rPr>
              <w:t>people who answer calls, but aren’t subscribers</w:t>
            </w:r>
            <w:r>
              <w:rPr>
                <w:rFonts w:ascii="Calibri" w:hAnsi="Calibri" w:cs="Calibri"/>
                <w:b/>
                <w:sz w:val="28"/>
                <w:szCs w:val="28"/>
              </w:rPr>
              <w:t>, injured</w:t>
            </w:r>
            <w:r w:rsidR="004524CC">
              <w:rPr>
                <w:rFonts w:ascii="Calibri" w:hAnsi="Calibri" w:cs="Calibri"/>
                <w:b/>
                <w:sz w:val="28"/>
                <w:szCs w:val="28"/>
              </w:rPr>
              <w:t>?</w:t>
            </w:r>
          </w:p>
        </w:tc>
        <w:tc>
          <w:tcPr>
            <w:tcW w:w="5805" w:type="dxa"/>
            <w:vAlign w:val="center"/>
          </w:tcPr>
          <w:p w14:paraId="49B9783D" w14:textId="6B7D528D" w:rsidR="004524CC" w:rsidRDefault="004524CC" w:rsidP="00525419">
            <w:pPr>
              <w:pStyle w:val="O-BodyText"/>
              <w:spacing w:after="120"/>
              <w:ind w:left="290" w:right="65"/>
              <w:jc w:val="both"/>
              <w:rPr>
                <w:rFonts w:ascii="Calibri" w:hAnsi="Calibri" w:cs="Calibri"/>
                <w:b/>
                <w:sz w:val="22"/>
                <w:szCs w:val="22"/>
              </w:rPr>
            </w:pPr>
            <w:r>
              <w:rPr>
                <w:rFonts w:ascii="Calibri" w:hAnsi="Calibri" w:cs="Calibri"/>
                <w:b/>
                <w:sz w:val="22"/>
                <w:szCs w:val="22"/>
              </w:rPr>
              <w:t>People</w:t>
            </w:r>
            <w:r w:rsidRPr="004524CC">
              <w:rPr>
                <w:rFonts w:ascii="Calibri" w:hAnsi="Calibri" w:cs="Calibri"/>
                <w:b/>
                <w:sz w:val="22"/>
                <w:szCs w:val="22"/>
              </w:rPr>
              <w:t xml:space="preserve"> who merely answer calls—</w:t>
            </w:r>
            <w:r w:rsidR="0061173E">
              <w:rPr>
                <w:rFonts w:ascii="Calibri" w:hAnsi="Calibri" w:cs="Calibri"/>
                <w:b/>
                <w:sz w:val="22"/>
                <w:szCs w:val="22"/>
              </w:rPr>
              <w:t>a houseguest or a</w:t>
            </w:r>
            <w:r w:rsidRPr="004524CC">
              <w:rPr>
                <w:rFonts w:ascii="Calibri" w:hAnsi="Calibri" w:cs="Calibri"/>
                <w:b/>
                <w:sz w:val="22"/>
                <w:szCs w:val="22"/>
              </w:rPr>
              <w:t xml:space="preserve"> subscriber’s son visiting from college—are not injured in the relevant way and have no claim based on calls to the subscriber’s number</w:t>
            </w:r>
            <w:r w:rsidR="002944CA">
              <w:rPr>
                <w:rFonts w:ascii="Calibri" w:hAnsi="Calibri" w:cs="Calibri"/>
                <w:b/>
                <w:sz w:val="22"/>
                <w:szCs w:val="22"/>
              </w:rPr>
              <w:t>.</w:t>
            </w:r>
          </w:p>
        </w:tc>
      </w:tr>
      <w:tr w:rsidR="004524CC" w:rsidRPr="00907D75" w14:paraId="1E6B7FA4" w14:textId="77777777" w:rsidTr="008649A2">
        <w:trPr>
          <w:trHeight w:val="4795"/>
        </w:trPr>
        <w:tc>
          <w:tcPr>
            <w:tcW w:w="5805" w:type="dxa"/>
            <w:vAlign w:val="center"/>
          </w:tcPr>
          <w:p w14:paraId="2446DC95" w14:textId="12FB632C" w:rsidR="004524CC" w:rsidRDefault="007A4ED2"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risk of allowing anyone answering calls to sue?</w:t>
            </w:r>
            <w:r w:rsidR="00B91217">
              <w:rPr>
                <w:rFonts w:ascii="Calibri" w:hAnsi="Calibri" w:cs="Calibri"/>
                <w:b/>
                <w:sz w:val="28"/>
                <w:szCs w:val="28"/>
              </w:rPr>
              <w:t xml:space="preserve">  </w:t>
            </w:r>
          </w:p>
        </w:tc>
        <w:tc>
          <w:tcPr>
            <w:tcW w:w="5805" w:type="dxa"/>
            <w:vAlign w:val="center"/>
          </w:tcPr>
          <w:p w14:paraId="4D89115A" w14:textId="5C903DBA" w:rsidR="004524CC" w:rsidRDefault="007A4ED2" w:rsidP="00525419">
            <w:pPr>
              <w:pStyle w:val="O-BodyText"/>
              <w:spacing w:after="120"/>
              <w:ind w:left="290" w:right="65"/>
              <w:jc w:val="both"/>
              <w:rPr>
                <w:rFonts w:ascii="Calibri" w:hAnsi="Calibri" w:cs="Calibri"/>
                <w:b/>
                <w:sz w:val="22"/>
                <w:szCs w:val="22"/>
              </w:rPr>
            </w:pPr>
            <w:r>
              <w:rPr>
                <w:rFonts w:ascii="Calibri" w:hAnsi="Calibri" w:cs="Calibri"/>
                <w:b/>
                <w:sz w:val="22"/>
                <w:szCs w:val="22"/>
              </w:rPr>
              <w:t>If anyone</w:t>
            </w:r>
            <w:r w:rsidR="00833CA4">
              <w:rPr>
                <w:rFonts w:ascii="Calibri" w:hAnsi="Calibri" w:cs="Calibri"/>
                <w:b/>
                <w:sz w:val="22"/>
                <w:szCs w:val="22"/>
              </w:rPr>
              <w:t xml:space="preserve"> answering calls could </w:t>
            </w:r>
            <w:r>
              <w:rPr>
                <w:rFonts w:ascii="Calibri" w:hAnsi="Calibri" w:cs="Calibri"/>
                <w:b/>
                <w:sz w:val="22"/>
                <w:szCs w:val="22"/>
              </w:rPr>
              <w:t>sue</w:t>
            </w:r>
            <w:r w:rsidR="00833CA4">
              <w:rPr>
                <w:rFonts w:ascii="Calibri" w:hAnsi="Calibri" w:cs="Calibri"/>
                <w:b/>
                <w:sz w:val="22"/>
                <w:szCs w:val="22"/>
              </w:rPr>
              <w:t xml:space="preserve">, it would </w:t>
            </w:r>
            <w:r w:rsidR="00843E87" w:rsidRPr="00843E87">
              <w:rPr>
                <w:rFonts w:ascii="Calibri" w:hAnsi="Calibri" w:cs="Calibri"/>
                <w:b/>
                <w:sz w:val="22"/>
                <w:szCs w:val="22"/>
              </w:rPr>
              <w:t>creat</w:t>
            </w:r>
            <w:r w:rsidR="00833CA4">
              <w:rPr>
                <w:rFonts w:ascii="Calibri" w:hAnsi="Calibri" w:cs="Calibri"/>
                <w:b/>
                <w:sz w:val="22"/>
                <w:szCs w:val="22"/>
              </w:rPr>
              <w:t xml:space="preserve">e </w:t>
            </w:r>
            <w:r w:rsidR="00843E87" w:rsidRPr="00843E87">
              <w:rPr>
                <w:rFonts w:ascii="Calibri" w:hAnsi="Calibri" w:cs="Calibri"/>
                <w:b/>
                <w:sz w:val="22"/>
                <w:szCs w:val="22"/>
              </w:rPr>
              <w:t>multiple claimants for each telemarketing violation.  This could create a race to judgment among eligible plaintiffs and risk double recovery against the defendant.  Congress could not have intended this result</w:t>
            </w:r>
            <w:proofErr w:type="gramStart"/>
            <w:r w:rsidR="00B91217" w:rsidRPr="00843E87">
              <w:rPr>
                <w:rFonts w:ascii="Calibri" w:hAnsi="Calibri" w:cs="Calibri"/>
                <w:b/>
                <w:sz w:val="22"/>
                <w:szCs w:val="22"/>
              </w:rPr>
              <w:t xml:space="preserve">. </w:t>
            </w:r>
            <w:proofErr w:type="gramEnd"/>
          </w:p>
        </w:tc>
      </w:tr>
      <w:tr w:rsidR="004524CC" w:rsidRPr="00907D75" w14:paraId="4E18AB0B" w14:textId="77777777" w:rsidTr="008649A2">
        <w:trPr>
          <w:trHeight w:val="4795"/>
        </w:trPr>
        <w:tc>
          <w:tcPr>
            <w:tcW w:w="5805" w:type="dxa"/>
            <w:vAlign w:val="center"/>
          </w:tcPr>
          <w:p w14:paraId="55F8E4CD" w14:textId="0E2CAC64" w:rsidR="004524CC" w:rsidRDefault="001E427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w:t>
            </w:r>
            <w:r w:rsidR="007A4ED2">
              <w:rPr>
                <w:rFonts w:ascii="Calibri" w:hAnsi="Calibri" w:cs="Calibri"/>
                <w:b/>
                <w:sz w:val="28"/>
                <w:szCs w:val="28"/>
              </w:rPr>
              <w:t xml:space="preserve">at did the </w:t>
            </w:r>
            <w:r>
              <w:rPr>
                <w:rFonts w:ascii="Calibri" w:hAnsi="Calibri" w:cs="Calibri"/>
                <w:b/>
                <w:sz w:val="28"/>
                <w:szCs w:val="28"/>
              </w:rPr>
              <w:t xml:space="preserve">district court </w:t>
            </w:r>
            <w:r w:rsidR="007A4ED2">
              <w:rPr>
                <w:rFonts w:ascii="Calibri" w:hAnsi="Calibri" w:cs="Calibri"/>
                <w:b/>
                <w:sz w:val="28"/>
                <w:szCs w:val="28"/>
              </w:rPr>
              <w:t xml:space="preserve">decide regarding who </w:t>
            </w:r>
            <w:r>
              <w:rPr>
                <w:rFonts w:ascii="Calibri" w:hAnsi="Calibri" w:cs="Calibri"/>
                <w:b/>
                <w:sz w:val="28"/>
                <w:szCs w:val="28"/>
              </w:rPr>
              <w:t>could bring a claim under the TCPA?</w:t>
            </w:r>
          </w:p>
        </w:tc>
        <w:tc>
          <w:tcPr>
            <w:tcW w:w="5805" w:type="dxa"/>
            <w:vAlign w:val="center"/>
          </w:tcPr>
          <w:p w14:paraId="486E64AA" w14:textId="16D6D334" w:rsidR="004524CC" w:rsidRDefault="001E4271" w:rsidP="00525419">
            <w:pPr>
              <w:pStyle w:val="O-BodyText"/>
              <w:spacing w:after="120"/>
              <w:ind w:left="290" w:right="65"/>
              <w:jc w:val="both"/>
              <w:rPr>
                <w:rFonts w:ascii="Calibri" w:hAnsi="Calibri" w:cs="Calibri"/>
                <w:b/>
                <w:sz w:val="22"/>
                <w:szCs w:val="22"/>
              </w:rPr>
            </w:pPr>
            <w:r w:rsidRPr="001E4271">
              <w:rPr>
                <w:rFonts w:ascii="Calibri" w:hAnsi="Calibri" w:cs="Calibri"/>
                <w:b/>
                <w:sz w:val="22"/>
                <w:szCs w:val="22"/>
              </w:rPr>
              <w:t>The district court</w:t>
            </w:r>
            <w:r>
              <w:rPr>
                <w:rFonts w:ascii="Calibri" w:hAnsi="Calibri" w:cs="Calibri"/>
                <w:b/>
                <w:sz w:val="22"/>
                <w:szCs w:val="22"/>
              </w:rPr>
              <w:t xml:space="preserve"> held</w:t>
            </w:r>
            <w:r w:rsidRPr="001E4271">
              <w:rPr>
                <w:rFonts w:ascii="Calibri" w:hAnsi="Calibri" w:cs="Calibri"/>
                <w:b/>
                <w:sz w:val="22"/>
                <w:szCs w:val="22"/>
              </w:rPr>
              <w:t xml:space="preserve"> that </w:t>
            </w:r>
            <w:r w:rsidR="007A4ED2">
              <w:rPr>
                <w:rFonts w:ascii="Calibri" w:hAnsi="Calibri" w:cs="Calibri"/>
                <w:b/>
                <w:sz w:val="22"/>
                <w:szCs w:val="22"/>
              </w:rPr>
              <w:t xml:space="preserve">Section 227(c)(5) is </w:t>
            </w:r>
            <w:r w:rsidRPr="001E4271">
              <w:rPr>
                <w:rFonts w:ascii="Calibri" w:hAnsi="Calibri" w:cs="Calibri"/>
                <w:b/>
                <w:sz w:val="22"/>
                <w:szCs w:val="22"/>
              </w:rPr>
              <w:t>not</w:t>
            </w:r>
            <w:r w:rsidR="00BE533B">
              <w:rPr>
                <w:rFonts w:ascii="Calibri" w:hAnsi="Calibri" w:cs="Calibri"/>
                <w:b/>
                <w:sz w:val="22"/>
                <w:szCs w:val="22"/>
              </w:rPr>
              <w:t xml:space="preserve"> </w:t>
            </w:r>
            <w:r w:rsidR="007A4ED2">
              <w:rPr>
                <w:rFonts w:ascii="Calibri" w:hAnsi="Calibri" w:cs="Calibri"/>
                <w:b/>
                <w:sz w:val="22"/>
                <w:szCs w:val="22"/>
              </w:rPr>
              <w:t>limit</w:t>
            </w:r>
            <w:r w:rsidRPr="001E4271">
              <w:rPr>
                <w:rFonts w:ascii="Calibri" w:hAnsi="Calibri" w:cs="Calibri"/>
                <w:b/>
                <w:sz w:val="22"/>
                <w:szCs w:val="22"/>
              </w:rPr>
              <w:t>ed</w:t>
            </w:r>
            <w:r w:rsidR="007A4ED2">
              <w:rPr>
                <w:rFonts w:ascii="Calibri" w:hAnsi="Calibri" w:cs="Calibri"/>
                <w:b/>
                <w:sz w:val="22"/>
                <w:szCs w:val="22"/>
              </w:rPr>
              <w:t xml:space="preserve"> to</w:t>
            </w:r>
            <w:r w:rsidRPr="001E4271">
              <w:rPr>
                <w:rFonts w:ascii="Calibri" w:hAnsi="Calibri" w:cs="Calibri"/>
                <w:b/>
                <w:sz w:val="22"/>
                <w:szCs w:val="22"/>
              </w:rPr>
              <w:t xml:space="preserve"> only subscribers.</w:t>
            </w:r>
            <w:r w:rsidR="007A4ED2">
              <w:rPr>
                <w:rFonts w:ascii="Calibri" w:hAnsi="Calibri" w:cs="Calibri"/>
                <w:b/>
                <w:sz w:val="22"/>
                <w:szCs w:val="22"/>
              </w:rPr>
              <w:t xml:space="preserve"> </w:t>
            </w:r>
            <w:r w:rsidRPr="001E4271">
              <w:rPr>
                <w:rFonts w:ascii="Calibri" w:hAnsi="Calibri" w:cs="Calibri"/>
                <w:b/>
                <w:sz w:val="22"/>
                <w:szCs w:val="22"/>
              </w:rPr>
              <w:t xml:space="preserve"> It certified a class that encompassed any person “associated with” a phone number on the Registry.</w:t>
            </w:r>
          </w:p>
        </w:tc>
      </w:tr>
      <w:tr w:rsidR="002E2FF5" w:rsidRPr="00907D75" w14:paraId="1DDA2693" w14:textId="77777777" w:rsidTr="008649A2">
        <w:trPr>
          <w:trHeight w:val="4795"/>
        </w:trPr>
        <w:tc>
          <w:tcPr>
            <w:tcW w:w="5805" w:type="dxa"/>
            <w:vAlign w:val="center"/>
          </w:tcPr>
          <w:p w14:paraId="2ADA90EE" w14:textId="08FFCA4D" w:rsidR="002E2FF5" w:rsidRDefault="002E2FF5" w:rsidP="00525419">
            <w:pPr>
              <w:pStyle w:val="O-BodyText"/>
              <w:spacing w:after="120"/>
              <w:ind w:right="200"/>
              <w:jc w:val="both"/>
              <w:rPr>
                <w:rFonts w:ascii="Calibri" w:hAnsi="Calibri" w:cs="Calibri"/>
                <w:b/>
                <w:sz w:val="28"/>
                <w:szCs w:val="28"/>
              </w:rPr>
            </w:pPr>
            <w:r>
              <w:rPr>
                <w:rFonts w:ascii="Calibri" w:hAnsi="Calibri" w:cs="Calibri"/>
                <w:b/>
                <w:sz w:val="28"/>
                <w:szCs w:val="28"/>
              </w:rPr>
              <w:t>What was the district court’s reasoning for finding that non-subscribers could sue?</w:t>
            </w:r>
          </w:p>
        </w:tc>
        <w:tc>
          <w:tcPr>
            <w:tcW w:w="5805" w:type="dxa"/>
            <w:vAlign w:val="center"/>
          </w:tcPr>
          <w:p w14:paraId="1DF6BDC0" w14:textId="37EC413B" w:rsidR="002E2FF5" w:rsidRPr="001E4271" w:rsidRDefault="002E2FF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district court said that </w:t>
            </w:r>
            <w:r w:rsidR="007A4ED2">
              <w:rPr>
                <w:rFonts w:ascii="Calibri" w:hAnsi="Calibri" w:cs="Calibri"/>
                <w:b/>
                <w:sz w:val="22"/>
                <w:szCs w:val="22"/>
              </w:rPr>
              <w:t>while Section</w:t>
            </w:r>
            <w:r w:rsidRPr="002E2FF5">
              <w:rPr>
                <w:rFonts w:ascii="Calibri" w:hAnsi="Calibri" w:cs="Calibri"/>
                <w:b/>
                <w:sz w:val="22"/>
                <w:szCs w:val="22"/>
              </w:rPr>
              <w:t xml:space="preserve"> 227(c)(1)</w:t>
            </w:r>
            <w:r w:rsidR="007A4ED2">
              <w:rPr>
                <w:rFonts w:ascii="Calibri" w:hAnsi="Calibri" w:cs="Calibri"/>
                <w:b/>
                <w:sz w:val="22"/>
                <w:szCs w:val="22"/>
              </w:rPr>
              <w:t xml:space="preserve"> – </w:t>
            </w:r>
            <w:r w:rsidRPr="002E2FF5">
              <w:rPr>
                <w:rFonts w:ascii="Calibri" w:hAnsi="Calibri" w:cs="Calibri"/>
                <w:b/>
                <w:sz w:val="22"/>
                <w:szCs w:val="22"/>
              </w:rPr>
              <w:t xml:space="preserve">(3) all </w:t>
            </w:r>
            <w:r w:rsidR="007A4ED2">
              <w:rPr>
                <w:rFonts w:ascii="Calibri" w:hAnsi="Calibri" w:cs="Calibri"/>
                <w:b/>
                <w:sz w:val="22"/>
                <w:szCs w:val="22"/>
              </w:rPr>
              <w:t xml:space="preserve">concern </w:t>
            </w:r>
            <w:r w:rsidRPr="002E2FF5">
              <w:rPr>
                <w:rFonts w:ascii="Calibri" w:hAnsi="Calibri" w:cs="Calibri"/>
                <w:b/>
                <w:sz w:val="22"/>
                <w:szCs w:val="22"/>
              </w:rPr>
              <w:t>subscribers register</w:t>
            </w:r>
            <w:r w:rsidR="007A4ED2">
              <w:rPr>
                <w:rFonts w:ascii="Calibri" w:hAnsi="Calibri" w:cs="Calibri"/>
                <w:b/>
                <w:sz w:val="22"/>
                <w:szCs w:val="22"/>
              </w:rPr>
              <w:t>ing</w:t>
            </w:r>
            <w:r w:rsidRPr="002E2FF5">
              <w:rPr>
                <w:rFonts w:ascii="Calibri" w:hAnsi="Calibri" w:cs="Calibri"/>
                <w:b/>
                <w:sz w:val="22"/>
                <w:szCs w:val="22"/>
              </w:rPr>
              <w:t xml:space="preserve"> their numbers,</w:t>
            </w:r>
            <w:r w:rsidR="007A4ED2">
              <w:rPr>
                <w:rFonts w:ascii="Calibri" w:hAnsi="Calibri" w:cs="Calibri"/>
                <w:b/>
                <w:sz w:val="22"/>
                <w:szCs w:val="22"/>
              </w:rPr>
              <w:t xml:space="preserve"> Section </w:t>
            </w:r>
            <w:r w:rsidRPr="002E2FF5">
              <w:rPr>
                <w:rFonts w:ascii="Calibri" w:hAnsi="Calibri" w:cs="Calibri"/>
                <w:b/>
                <w:sz w:val="22"/>
                <w:szCs w:val="22"/>
              </w:rPr>
              <w:t>227(c)(5) does not explicitly</w:t>
            </w:r>
            <w:r w:rsidR="007A4ED2">
              <w:rPr>
                <w:rFonts w:ascii="Calibri" w:hAnsi="Calibri" w:cs="Calibri"/>
                <w:b/>
                <w:sz w:val="22"/>
                <w:szCs w:val="22"/>
              </w:rPr>
              <w:t xml:space="preserve"> refer to </w:t>
            </w:r>
            <w:r w:rsidRPr="002E2FF5">
              <w:rPr>
                <w:rFonts w:ascii="Calibri" w:hAnsi="Calibri" w:cs="Calibri"/>
                <w:b/>
                <w:sz w:val="22"/>
                <w:szCs w:val="22"/>
              </w:rPr>
              <w:t>subscribers</w:t>
            </w:r>
            <w:r w:rsidR="007A4ED2">
              <w:rPr>
                <w:rFonts w:ascii="Calibri" w:hAnsi="Calibri" w:cs="Calibri"/>
                <w:b/>
                <w:sz w:val="22"/>
                <w:szCs w:val="22"/>
              </w:rPr>
              <w:t>.  It refers to a “a person who has received” calls.</w:t>
            </w:r>
          </w:p>
        </w:tc>
      </w:tr>
      <w:tr w:rsidR="002E2FF5" w:rsidRPr="00907D75" w14:paraId="22DB11F6" w14:textId="77777777" w:rsidTr="008649A2">
        <w:trPr>
          <w:trHeight w:val="4795"/>
        </w:trPr>
        <w:tc>
          <w:tcPr>
            <w:tcW w:w="5805" w:type="dxa"/>
            <w:vAlign w:val="center"/>
          </w:tcPr>
          <w:p w14:paraId="7C10F0D6" w14:textId="02C2B78A" w:rsidR="002E2FF5" w:rsidRDefault="002E2FF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Why </w:t>
            </w:r>
            <w:r w:rsidR="007A4ED2">
              <w:rPr>
                <w:rFonts w:ascii="Calibri" w:hAnsi="Calibri" w:cs="Calibri"/>
                <w:b/>
                <w:sz w:val="28"/>
                <w:szCs w:val="28"/>
              </w:rPr>
              <w:t>did</w:t>
            </w:r>
            <w:r>
              <w:rPr>
                <w:rFonts w:ascii="Calibri" w:hAnsi="Calibri" w:cs="Calibri"/>
                <w:b/>
                <w:sz w:val="28"/>
                <w:szCs w:val="28"/>
              </w:rPr>
              <w:t xml:space="preserve"> the district court </w:t>
            </w:r>
            <w:r w:rsidR="007A4ED2">
              <w:rPr>
                <w:rFonts w:ascii="Calibri" w:hAnsi="Calibri" w:cs="Calibri"/>
                <w:b/>
                <w:sz w:val="28"/>
                <w:szCs w:val="28"/>
              </w:rPr>
              <w:t>err</w:t>
            </w:r>
            <w:r>
              <w:rPr>
                <w:rFonts w:ascii="Calibri" w:hAnsi="Calibri" w:cs="Calibri"/>
                <w:b/>
                <w:sz w:val="28"/>
                <w:szCs w:val="28"/>
              </w:rPr>
              <w:t xml:space="preserve"> </w:t>
            </w:r>
            <w:r w:rsidR="007A4ED2">
              <w:rPr>
                <w:rFonts w:ascii="Calibri" w:hAnsi="Calibri" w:cs="Calibri"/>
                <w:b/>
                <w:sz w:val="28"/>
                <w:szCs w:val="28"/>
              </w:rPr>
              <w:t>by</w:t>
            </w:r>
            <w:r>
              <w:rPr>
                <w:rFonts w:ascii="Calibri" w:hAnsi="Calibri" w:cs="Calibri"/>
                <w:b/>
                <w:sz w:val="28"/>
                <w:szCs w:val="28"/>
              </w:rPr>
              <w:t xml:space="preserve"> allowing non-subscribers to recover under the TCPA?</w:t>
            </w:r>
          </w:p>
        </w:tc>
        <w:tc>
          <w:tcPr>
            <w:tcW w:w="5805" w:type="dxa"/>
            <w:vAlign w:val="center"/>
          </w:tcPr>
          <w:p w14:paraId="30F42FD0" w14:textId="69A9CD43" w:rsidR="002E2FF5" w:rsidRDefault="002E2FF5" w:rsidP="00525419">
            <w:pPr>
              <w:pStyle w:val="O-BodyText"/>
              <w:spacing w:after="120"/>
              <w:ind w:left="290" w:right="65"/>
              <w:jc w:val="both"/>
              <w:rPr>
                <w:rFonts w:ascii="Calibri" w:hAnsi="Calibri" w:cs="Calibri"/>
                <w:b/>
                <w:sz w:val="22"/>
                <w:szCs w:val="22"/>
              </w:rPr>
            </w:pPr>
            <w:r>
              <w:rPr>
                <w:rFonts w:ascii="Calibri" w:hAnsi="Calibri" w:cs="Calibri"/>
                <w:b/>
                <w:sz w:val="22"/>
                <w:szCs w:val="22"/>
              </w:rPr>
              <w:t>The court’s</w:t>
            </w:r>
            <w:r w:rsidRPr="002E2FF5">
              <w:rPr>
                <w:rFonts w:ascii="Calibri" w:hAnsi="Calibri" w:cs="Calibri"/>
                <w:b/>
                <w:sz w:val="22"/>
                <w:szCs w:val="22"/>
              </w:rPr>
              <w:t xml:space="preserve"> reasoning cannot be squared with the statutory text, which</w:t>
            </w:r>
            <w:r>
              <w:rPr>
                <w:rFonts w:ascii="Calibri" w:hAnsi="Calibri" w:cs="Calibri"/>
                <w:b/>
                <w:sz w:val="22"/>
                <w:szCs w:val="22"/>
              </w:rPr>
              <w:t xml:space="preserve"> </w:t>
            </w:r>
            <w:r w:rsidRPr="002E2FF5">
              <w:rPr>
                <w:rFonts w:ascii="Calibri" w:hAnsi="Calibri" w:cs="Calibri"/>
                <w:b/>
                <w:sz w:val="22"/>
                <w:szCs w:val="22"/>
              </w:rPr>
              <w:t>states that the “person” must suffer a “violation of the regulations</w:t>
            </w:r>
            <w:r>
              <w:rPr>
                <w:rFonts w:ascii="Calibri" w:hAnsi="Calibri" w:cs="Calibri"/>
                <w:b/>
                <w:sz w:val="22"/>
                <w:szCs w:val="22"/>
              </w:rPr>
              <w:t xml:space="preserve"> </w:t>
            </w:r>
            <w:r w:rsidRPr="002E2FF5">
              <w:rPr>
                <w:rFonts w:ascii="Calibri" w:hAnsi="Calibri" w:cs="Calibri"/>
                <w:b/>
                <w:sz w:val="22"/>
                <w:szCs w:val="22"/>
              </w:rPr>
              <w:t>prescribed under this subsection.”</w:t>
            </w:r>
            <w:r>
              <w:rPr>
                <w:rFonts w:ascii="Calibri" w:hAnsi="Calibri" w:cs="Calibri"/>
                <w:b/>
                <w:sz w:val="22"/>
                <w:szCs w:val="22"/>
              </w:rPr>
              <w:t xml:space="preserve"> And </w:t>
            </w:r>
            <w:r w:rsidRPr="002E2FF5">
              <w:rPr>
                <w:rFonts w:ascii="Calibri" w:hAnsi="Calibri" w:cs="Calibri"/>
                <w:b/>
                <w:sz w:val="22"/>
                <w:szCs w:val="22"/>
              </w:rPr>
              <w:t>the implementing regulations</w:t>
            </w:r>
            <w:r>
              <w:rPr>
                <w:rFonts w:ascii="Calibri" w:hAnsi="Calibri" w:cs="Calibri"/>
                <w:b/>
                <w:sz w:val="22"/>
                <w:szCs w:val="22"/>
              </w:rPr>
              <w:t>, from their inception,</w:t>
            </w:r>
            <w:r w:rsidR="002904A9">
              <w:rPr>
                <w:rFonts w:ascii="Calibri" w:hAnsi="Calibri" w:cs="Calibri"/>
                <w:b/>
                <w:sz w:val="22"/>
                <w:szCs w:val="22"/>
              </w:rPr>
              <w:t xml:space="preserve"> have concerned the rights of </w:t>
            </w:r>
            <w:r w:rsidRPr="002E2FF5">
              <w:rPr>
                <w:rFonts w:ascii="Calibri" w:hAnsi="Calibri" w:cs="Calibri"/>
                <w:b/>
                <w:sz w:val="22"/>
                <w:szCs w:val="22"/>
              </w:rPr>
              <w:t>subscribers who object to calls by placing their names on a Registry</w:t>
            </w:r>
            <w:r>
              <w:rPr>
                <w:rFonts w:ascii="Calibri" w:hAnsi="Calibri" w:cs="Calibri"/>
                <w:b/>
                <w:sz w:val="22"/>
                <w:szCs w:val="22"/>
              </w:rPr>
              <w:t>.</w:t>
            </w:r>
          </w:p>
        </w:tc>
      </w:tr>
      <w:tr w:rsidR="002E2FF5" w:rsidRPr="00907D75" w14:paraId="6B0AAE1E" w14:textId="77777777" w:rsidTr="008649A2">
        <w:trPr>
          <w:trHeight w:val="4795"/>
        </w:trPr>
        <w:tc>
          <w:tcPr>
            <w:tcW w:w="5805" w:type="dxa"/>
            <w:vAlign w:val="center"/>
          </w:tcPr>
          <w:p w14:paraId="41932E48" w14:textId="2621AC0C" w:rsidR="002E2FF5" w:rsidRPr="00F64C49" w:rsidRDefault="00F64C49"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You cite </w:t>
            </w:r>
            <w:r>
              <w:rPr>
                <w:rFonts w:ascii="Calibri" w:hAnsi="Calibri" w:cs="Calibri"/>
                <w:b/>
                <w:i/>
                <w:sz w:val="28"/>
                <w:szCs w:val="28"/>
              </w:rPr>
              <w:t>Lexmark</w:t>
            </w:r>
            <w:r>
              <w:rPr>
                <w:rFonts w:ascii="Calibri" w:hAnsi="Calibri" w:cs="Calibri"/>
                <w:b/>
                <w:sz w:val="28"/>
                <w:szCs w:val="28"/>
              </w:rPr>
              <w:t xml:space="preserve"> to support your argument that the district court erred</w:t>
            </w:r>
            <w:r w:rsidR="00B91217">
              <w:rPr>
                <w:rFonts w:ascii="Calibri" w:hAnsi="Calibri" w:cs="Calibri"/>
                <w:b/>
                <w:sz w:val="28"/>
                <w:szCs w:val="28"/>
              </w:rPr>
              <w:t xml:space="preserve">.  </w:t>
            </w:r>
            <w:r>
              <w:rPr>
                <w:rFonts w:ascii="Calibri" w:hAnsi="Calibri" w:cs="Calibri"/>
                <w:b/>
                <w:sz w:val="28"/>
                <w:szCs w:val="28"/>
              </w:rPr>
              <w:t>What was that case about</w:t>
            </w:r>
            <w:r w:rsidR="00B91217">
              <w:rPr>
                <w:rFonts w:ascii="Calibri" w:hAnsi="Calibri" w:cs="Calibri"/>
                <w:b/>
                <w:sz w:val="28"/>
                <w:szCs w:val="28"/>
              </w:rPr>
              <w:t xml:space="preserve">?  </w:t>
            </w:r>
          </w:p>
        </w:tc>
        <w:tc>
          <w:tcPr>
            <w:tcW w:w="5805" w:type="dxa"/>
            <w:vAlign w:val="center"/>
          </w:tcPr>
          <w:p w14:paraId="46635041" w14:textId="323478AE" w:rsidR="002E2FF5" w:rsidRDefault="00255365" w:rsidP="00525419">
            <w:pPr>
              <w:pStyle w:val="O-BodyText"/>
              <w:spacing w:after="120"/>
              <w:ind w:left="290" w:right="65"/>
              <w:jc w:val="both"/>
              <w:rPr>
                <w:rFonts w:ascii="Calibri" w:hAnsi="Calibri" w:cs="Calibri"/>
                <w:b/>
                <w:sz w:val="22"/>
                <w:szCs w:val="22"/>
              </w:rPr>
            </w:pPr>
            <w:r w:rsidRPr="00255365">
              <w:rPr>
                <w:rFonts w:ascii="Calibri" w:hAnsi="Calibri" w:cs="Calibri"/>
                <w:b/>
                <w:sz w:val="22"/>
                <w:szCs w:val="22"/>
              </w:rPr>
              <w:t xml:space="preserve">The plaintiff in </w:t>
            </w:r>
            <w:r w:rsidRPr="00255365">
              <w:rPr>
                <w:rFonts w:ascii="Calibri" w:hAnsi="Calibri" w:cs="Calibri"/>
                <w:b/>
                <w:i/>
                <w:sz w:val="22"/>
                <w:szCs w:val="22"/>
              </w:rPr>
              <w:t>Lexmark</w:t>
            </w:r>
            <w:r w:rsidRPr="00255365">
              <w:rPr>
                <w:rFonts w:ascii="Calibri" w:hAnsi="Calibri" w:cs="Calibri"/>
                <w:b/>
                <w:sz w:val="22"/>
                <w:szCs w:val="22"/>
              </w:rPr>
              <w:t xml:space="preserve"> </w:t>
            </w:r>
            <w:r>
              <w:rPr>
                <w:rFonts w:ascii="Calibri" w:hAnsi="Calibri" w:cs="Calibri"/>
                <w:b/>
                <w:sz w:val="22"/>
                <w:szCs w:val="22"/>
              </w:rPr>
              <w:t xml:space="preserve">(S. Ct. 2014) </w:t>
            </w:r>
            <w:r w:rsidRPr="00255365">
              <w:rPr>
                <w:rFonts w:ascii="Calibri" w:hAnsi="Calibri" w:cs="Calibri"/>
                <w:b/>
                <w:sz w:val="22"/>
                <w:szCs w:val="22"/>
              </w:rPr>
              <w:t>sought to sue under the Lanham Act for false advertising, alleging that a misleading ad duped her into purchasing a disappointing product.  Much like here, the statute provided that “</w:t>
            </w:r>
            <w:r w:rsidRPr="00255365">
              <w:rPr>
                <w:rFonts w:ascii="Calibri" w:hAnsi="Calibri" w:cs="Calibri"/>
                <w:b/>
                <w:i/>
                <w:sz w:val="22"/>
                <w:szCs w:val="22"/>
              </w:rPr>
              <w:t>any person</w:t>
            </w:r>
            <w:r w:rsidRPr="00255365">
              <w:rPr>
                <w:rFonts w:ascii="Calibri" w:hAnsi="Calibri" w:cs="Calibri"/>
                <w:b/>
                <w:sz w:val="22"/>
                <w:szCs w:val="22"/>
              </w:rPr>
              <w:t xml:space="preserve"> who believes that he or she is likely to be damaged” could sue.  </w:t>
            </w:r>
            <w:r>
              <w:rPr>
                <w:rFonts w:ascii="Calibri" w:hAnsi="Calibri" w:cs="Calibri"/>
                <w:b/>
                <w:sz w:val="22"/>
                <w:szCs w:val="22"/>
              </w:rPr>
              <w:t>Although that</w:t>
            </w:r>
            <w:r w:rsidRPr="00255365">
              <w:rPr>
                <w:rFonts w:ascii="Calibri" w:hAnsi="Calibri" w:cs="Calibri"/>
                <w:b/>
                <w:sz w:val="22"/>
                <w:szCs w:val="22"/>
              </w:rPr>
              <w:t xml:space="preserve"> broad language might suggest that an action is available to anyone</w:t>
            </w:r>
            <w:r>
              <w:rPr>
                <w:rFonts w:ascii="Calibri" w:hAnsi="Calibri" w:cs="Calibri"/>
                <w:b/>
                <w:sz w:val="22"/>
                <w:szCs w:val="22"/>
              </w:rPr>
              <w:t>, the Court explained that</w:t>
            </w:r>
            <w:r w:rsidRPr="00255365">
              <w:rPr>
                <w:rFonts w:ascii="Calibri" w:hAnsi="Calibri" w:cs="Calibri"/>
                <w:b/>
                <w:sz w:val="22"/>
                <w:szCs w:val="22"/>
              </w:rPr>
              <w:t xml:space="preserve"> the claim is available only to those Congress intended to protect—individuals suffering commercial harm to their reputation or</w:t>
            </w:r>
            <w:r>
              <w:rPr>
                <w:rFonts w:ascii="Calibri" w:hAnsi="Calibri" w:cs="Calibri"/>
                <w:b/>
                <w:sz w:val="22"/>
                <w:szCs w:val="22"/>
              </w:rPr>
              <w:t xml:space="preserve"> sales</w:t>
            </w:r>
            <w:r w:rsidRPr="00255365">
              <w:rPr>
                <w:rFonts w:ascii="Calibri" w:hAnsi="Calibri" w:cs="Calibri"/>
                <w:b/>
                <w:sz w:val="22"/>
                <w:szCs w:val="22"/>
              </w:rPr>
              <w:t>.</w:t>
            </w:r>
          </w:p>
        </w:tc>
      </w:tr>
      <w:tr w:rsidR="00255365" w:rsidRPr="00907D75" w14:paraId="7B05CF02" w14:textId="77777777" w:rsidTr="008649A2">
        <w:trPr>
          <w:trHeight w:val="4795"/>
        </w:trPr>
        <w:tc>
          <w:tcPr>
            <w:tcW w:w="5805" w:type="dxa"/>
            <w:vAlign w:val="center"/>
          </w:tcPr>
          <w:p w14:paraId="2E3FC7D5" w14:textId="464ACFA2" w:rsidR="00255365" w:rsidRPr="00255365" w:rsidRDefault="0025536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How does </w:t>
            </w:r>
            <w:r>
              <w:rPr>
                <w:rFonts w:ascii="Calibri" w:hAnsi="Calibri" w:cs="Calibri"/>
                <w:b/>
                <w:i/>
                <w:sz w:val="28"/>
                <w:szCs w:val="28"/>
              </w:rPr>
              <w:t>Lexmark</w:t>
            </w:r>
            <w:r>
              <w:rPr>
                <w:rFonts w:ascii="Calibri" w:hAnsi="Calibri" w:cs="Calibri"/>
                <w:b/>
                <w:sz w:val="28"/>
                <w:szCs w:val="28"/>
              </w:rPr>
              <w:t xml:space="preserve"> help you here?</w:t>
            </w:r>
          </w:p>
        </w:tc>
        <w:tc>
          <w:tcPr>
            <w:tcW w:w="5805" w:type="dxa"/>
            <w:vAlign w:val="center"/>
          </w:tcPr>
          <w:p w14:paraId="5FE1F877" w14:textId="69B84D1F" w:rsidR="00255365" w:rsidRPr="00255365" w:rsidRDefault="00E47A6D" w:rsidP="00525419">
            <w:pPr>
              <w:pStyle w:val="O-BodyText"/>
              <w:spacing w:after="120"/>
              <w:ind w:left="290" w:right="65"/>
              <w:jc w:val="both"/>
              <w:rPr>
                <w:rFonts w:ascii="Calibri" w:hAnsi="Calibri" w:cs="Calibri"/>
                <w:b/>
                <w:sz w:val="22"/>
                <w:szCs w:val="22"/>
              </w:rPr>
            </w:pPr>
            <w:r w:rsidRPr="00E47A6D">
              <w:rPr>
                <w:rFonts w:ascii="Calibri" w:hAnsi="Calibri" w:cs="Calibri"/>
                <w:b/>
                <w:i/>
                <w:sz w:val="22"/>
                <w:szCs w:val="22"/>
              </w:rPr>
              <w:t>Lexmark</w:t>
            </w:r>
            <w:r>
              <w:rPr>
                <w:rFonts w:ascii="Calibri" w:hAnsi="Calibri" w:cs="Calibri"/>
                <w:b/>
                <w:sz w:val="22"/>
                <w:szCs w:val="22"/>
              </w:rPr>
              <w:t xml:space="preserve"> instructs that claims are only available to those Congress intended to protect</w:t>
            </w:r>
            <w:proofErr w:type="gramStart"/>
            <w:r>
              <w:rPr>
                <w:rFonts w:ascii="Calibri" w:hAnsi="Calibri" w:cs="Calibri"/>
                <w:b/>
                <w:sz w:val="22"/>
                <w:szCs w:val="22"/>
              </w:rPr>
              <w:t xml:space="preserve">. </w:t>
            </w:r>
            <w:proofErr w:type="gramEnd"/>
            <w:r w:rsidR="005240DF">
              <w:rPr>
                <w:rFonts w:ascii="Calibri" w:hAnsi="Calibri" w:cs="Calibri"/>
                <w:b/>
                <w:sz w:val="22"/>
                <w:szCs w:val="22"/>
              </w:rPr>
              <w:t xml:space="preserve">Under the TCPA, </w:t>
            </w:r>
            <w:r w:rsidR="00255365" w:rsidRPr="00255365">
              <w:rPr>
                <w:rFonts w:ascii="Calibri" w:hAnsi="Calibri" w:cs="Calibri"/>
                <w:b/>
                <w:sz w:val="22"/>
                <w:szCs w:val="22"/>
              </w:rPr>
              <w:t>Congress intended to protect the subscriber whose desire to avoid telemarketing calls was ignored.</w:t>
            </w:r>
          </w:p>
        </w:tc>
      </w:tr>
      <w:tr w:rsidR="005240DF" w:rsidRPr="00907D75" w14:paraId="2E839DA8" w14:textId="77777777" w:rsidTr="008649A2">
        <w:trPr>
          <w:trHeight w:val="4795"/>
        </w:trPr>
        <w:tc>
          <w:tcPr>
            <w:tcW w:w="5805" w:type="dxa"/>
            <w:vAlign w:val="center"/>
          </w:tcPr>
          <w:p w14:paraId="499598E8" w14:textId="4FE2151B" w:rsidR="005240DF" w:rsidRDefault="005240DF" w:rsidP="00525419">
            <w:pPr>
              <w:pStyle w:val="O-BodyText"/>
              <w:spacing w:after="120"/>
              <w:ind w:right="200"/>
              <w:jc w:val="both"/>
              <w:rPr>
                <w:rFonts w:ascii="Calibri" w:hAnsi="Calibri" w:cs="Calibri"/>
                <w:b/>
                <w:sz w:val="28"/>
                <w:szCs w:val="28"/>
              </w:rPr>
            </w:pPr>
            <w:r>
              <w:rPr>
                <w:rFonts w:ascii="Calibri" w:hAnsi="Calibri" w:cs="Calibri"/>
                <w:b/>
                <w:sz w:val="28"/>
                <w:szCs w:val="28"/>
              </w:rPr>
              <w:t>You argue that the district court was wrong to rely on cases interpreting Section 227(b)(3)</w:t>
            </w:r>
            <w:r w:rsidR="00B91217">
              <w:rPr>
                <w:rFonts w:ascii="Calibri" w:hAnsi="Calibri" w:cs="Calibri"/>
                <w:b/>
                <w:sz w:val="28"/>
                <w:szCs w:val="28"/>
              </w:rPr>
              <w:t xml:space="preserve">.  </w:t>
            </w:r>
            <w:r>
              <w:rPr>
                <w:rFonts w:ascii="Calibri" w:hAnsi="Calibri" w:cs="Calibri"/>
                <w:b/>
                <w:sz w:val="28"/>
                <w:szCs w:val="28"/>
              </w:rPr>
              <w:t>Why is that?</w:t>
            </w:r>
          </w:p>
        </w:tc>
        <w:tc>
          <w:tcPr>
            <w:tcW w:w="5805" w:type="dxa"/>
            <w:vAlign w:val="center"/>
          </w:tcPr>
          <w:p w14:paraId="0B17E39C" w14:textId="6760BE7A" w:rsidR="005240DF" w:rsidRDefault="005240DF"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Section </w:t>
            </w:r>
            <w:r w:rsidRPr="005240DF">
              <w:rPr>
                <w:rFonts w:ascii="Calibri" w:hAnsi="Calibri" w:cs="Calibri"/>
                <w:b/>
                <w:sz w:val="22"/>
                <w:szCs w:val="22"/>
              </w:rPr>
              <w:t>227(b)(3</w:t>
            </w:r>
            <w:r>
              <w:rPr>
                <w:rFonts w:ascii="Calibri" w:hAnsi="Calibri" w:cs="Calibri"/>
                <w:b/>
                <w:sz w:val="22"/>
                <w:szCs w:val="22"/>
              </w:rPr>
              <w:t>)</w:t>
            </w:r>
            <w:r w:rsidRPr="005240DF">
              <w:rPr>
                <w:rFonts w:ascii="Calibri" w:hAnsi="Calibri" w:cs="Calibri"/>
                <w:b/>
                <w:sz w:val="22"/>
                <w:szCs w:val="22"/>
              </w:rPr>
              <w:t xml:space="preserve"> creates a cause of action for “robocalls,” and some district courts have thought it available to any</w:t>
            </w:r>
            <w:r>
              <w:rPr>
                <w:rFonts w:ascii="Calibri" w:hAnsi="Calibri" w:cs="Calibri"/>
                <w:b/>
                <w:sz w:val="22"/>
                <w:szCs w:val="22"/>
              </w:rPr>
              <w:t xml:space="preserve"> </w:t>
            </w:r>
            <w:r w:rsidRPr="005240DF">
              <w:rPr>
                <w:rFonts w:ascii="Calibri" w:hAnsi="Calibri" w:cs="Calibri"/>
                <w:b/>
                <w:sz w:val="22"/>
                <w:szCs w:val="22"/>
              </w:rPr>
              <w:t>robocall recipient</w:t>
            </w:r>
            <w:r w:rsidR="00B91217" w:rsidRPr="005240DF">
              <w:rPr>
                <w:rFonts w:ascii="Calibri" w:hAnsi="Calibri" w:cs="Calibri"/>
                <w:b/>
                <w:sz w:val="22"/>
                <w:szCs w:val="22"/>
              </w:rPr>
              <w:t>.</w:t>
            </w:r>
            <w:r w:rsidR="00B91217">
              <w:rPr>
                <w:rFonts w:ascii="Calibri" w:hAnsi="Calibri" w:cs="Calibri"/>
                <w:b/>
                <w:sz w:val="22"/>
                <w:szCs w:val="22"/>
              </w:rPr>
              <w:t xml:space="preserve">  </w:t>
            </w:r>
            <w:r>
              <w:rPr>
                <w:rFonts w:ascii="Calibri" w:hAnsi="Calibri" w:cs="Calibri"/>
                <w:b/>
                <w:sz w:val="22"/>
                <w:szCs w:val="22"/>
              </w:rPr>
              <w:t>B</w:t>
            </w:r>
            <w:r w:rsidRPr="005240DF">
              <w:rPr>
                <w:rFonts w:ascii="Calibri" w:hAnsi="Calibri" w:cs="Calibri"/>
                <w:b/>
                <w:sz w:val="22"/>
                <w:szCs w:val="22"/>
              </w:rPr>
              <w:t xml:space="preserve">ut “each provision of the [statute] must be analyzed individually to determine who falls within the scope of its protection.”  </w:t>
            </w:r>
            <w:r w:rsidRPr="005240DF">
              <w:rPr>
                <w:rFonts w:ascii="Calibri" w:hAnsi="Calibri" w:cs="Calibri"/>
                <w:b/>
                <w:i/>
                <w:sz w:val="22"/>
                <w:szCs w:val="22"/>
              </w:rPr>
              <w:t xml:space="preserve">Todd v. </w:t>
            </w:r>
            <w:proofErr w:type="spellStart"/>
            <w:r w:rsidRPr="005240DF">
              <w:rPr>
                <w:rFonts w:ascii="Calibri" w:hAnsi="Calibri" w:cs="Calibri"/>
                <w:b/>
                <w:i/>
                <w:sz w:val="22"/>
                <w:szCs w:val="22"/>
              </w:rPr>
              <w:t>Collecto</w:t>
            </w:r>
            <w:proofErr w:type="spellEnd"/>
            <w:r>
              <w:rPr>
                <w:rFonts w:ascii="Calibri" w:hAnsi="Calibri" w:cs="Calibri"/>
                <w:b/>
                <w:i/>
                <w:sz w:val="22"/>
                <w:szCs w:val="22"/>
              </w:rPr>
              <w:t xml:space="preserve"> </w:t>
            </w:r>
            <w:r w:rsidRPr="005240DF">
              <w:rPr>
                <w:rFonts w:ascii="Calibri" w:hAnsi="Calibri" w:cs="Calibri"/>
                <w:b/>
                <w:sz w:val="22"/>
                <w:szCs w:val="22"/>
              </w:rPr>
              <w:t>(7th Cir. 2013)</w:t>
            </w:r>
            <w:r>
              <w:rPr>
                <w:rFonts w:ascii="Calibri" w:hAnsi="Calibri" w:cs="Calibri"/>
                <w:b/>
                <w:sz w:val="22"/>
                <w:szCs w:val="22"/>
              </w:rPr>
              <w:t>.</w:t>
            </w:r>
          </w:p>
        </w:tc>
      </w:tr>
      <w:tr w:rsidR="005240DF" w:rsidRPr="00907D75" w14:paraId="31961BFA" w14:textId="77777777" w:rsidTr="008649A2">
        <w:trPr>
          <w:trHeight w:val="4795"/>
        </w:trPr>
        <w:tc>
          <w:tcPr>
            <w:tcW w:w="5805" w:type="dxa"/>
            <w:vAlign w:val="center"/>
          </w:tcPr>
          <w:p w14:paraId="4EFECC17" w14:textId="324B9895" w:rsidR="005240DF" w:rsidRDefault="00746AE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is Section 227(b) different from Section</w:t>
            </w:r>
            <w:r w:rsidR="005240DF">
              <w:rPr>
                <w:rFonts w:ascii="Calibri" w:hAnsi="Calibri" w:cs="Calibri"/>
                <w:b/>
                <w:sz w:val="28"/>
                <w:szCs w:val="28"/>
              </w:rPr>
              <w:t xml:space="preserve"> 227(c)?</w:t>
            </w:r>
          </w:p>
        </w:tc>
        <w:tc>
          <w:tcPr>
            <w:tcW w:w="5805" w:type="dxa"/>
            <w:vAlign w:val="center"/>
          </w:tcPr>
          <w:p w14:paraId="1FE865CD" w14:textId="2CD5088D" w:rsidR="005240DF" w:rsidRDefault="00411CEA"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Section </w:t>
            </w:r>
            <w:r w:rsidR="001E3643" w:rsidRPr="001E3643">
              <w:rPr>
                <w:rFonts w:ascii="Calibri" w:hAnsi="Calibri" w:cs="Calibri"/>
                <w:b/>
                <w:sz w:val="22"/>
                <w:szCs w:val="22"/>
              </w:rPr>
              <w:t xml:space="preserve">227(b) </w:t>
            </w:r>
            <w:r>
              <w:rPr>
                <w:rFonts w:ascii="Calibri" w:hAnsi="Calibri" w:cs="Calibri"/>
                <w:b/>
                <w:sz w:val="22"/>
                <w:szCs w:val="22"/>
              </w:rPr>
              <w:t xml:space="preserve">covers any robocall to any </w:t>
            </w:r>
            <w:r w:rsidR="001E3643" w:rsidRPr="001E3643">
              <w:rPr>
                <w:rFonts w:ascii="Calibri" w:hAnsi="Calibri" w:cs="Calibri"/>
                <w:b/>
                <w:sz w:val="22"/>
                <w:szCs w:val="22"/>
              </w:rPr>
              <w:t>residential telephone line</w:t>
            </w:r>
            <w:r>
              <w:rPr>
                <w:rFonts w:ascii="Calibri" w:hAnsi="Calibri" w:cs="Calibri"/>
                <w:b/>
                <w:sz w:val="22"/>
                <w:szCs w:val="22"/>
              </w:rPr>
              <w:t xml:space="preserve">, </w:t>
            </w:r>
            <w:r w:rsidR="001E3643" w:rsidRPr="001E3643">
              <w:rPr>
                <w:rFonts w:ascii="Calibri" w:hAnsi="Calibri" w:cs="Calibri"/>
                <w:b/>
                <w:sz w:val="22"/>
                <w:szCs w:val="22"/>
              </w:rPr>
              <w:t>makes no reference to resident</w:t>
            </w:r>
            <w:r>
              <w:rPr>
                <w:rFonts w:ascii="Calibri" w:hAnsi="Calibri" w:cs="Calibri"/>
                <w:b/>
                <w:sz w:val="22"/>
                <w:szCs w:val="22"/>
              </w:rPr>
              <w:t>ial subscribers or the Registry,</w:t>
            </w:r>
            <w:r w:rsidR="001E3643" w:rsidRPr="001E3643">
              <w:rPr>
                <w:rFonts w:ascii="Calibri" w:hAnsi="Calibri" w:cs="Calibri"/>
                <w:b/>
                <w:sz w:val="22"/>
                <w:szCs w:val="22"/>
              </w:rPr>
              <w:t xml:space="preserve"> and doesn’t require </w:t>
            </w:r>
            <w:r>
              <w:rPr>
                <w:rFonts w:ascii="Calibri" w:hAnsi="Calibri" w:cs="Calibri"/>
                <w:b/>
                <w:sz w:val="22"/>
                <w:szCs w:val="22"/>
              </w:rPr>
              <w:t>people</w:t>
            </w:r>
            <w:r w:rsidR="001E3643" w:rsidRPr="001E3643">
              <w:rPr>
                <w:rFonts w:ascii="Calibri" w:hAnsi="Calibri" w:cs="Calibri"/>
                <w:b/>
                <w:sz w:val="22"/>
                <w:szCs w:val="22"/>
              </w:rPr>
              <w:t xml:space="preserve"> to </w:t>
            </w:r>
            <w:r>
              <w:rPr>
                <w:rFonts w:ascii="Calibri" w:hAnsi="Calibri" w:cs="Calibri"/>
                <w:b/>
                <w:sz w:val="22"/>
                <w:szCs w:val="22"/>
              </w:rPr>
              <w:t xml:space="preserve">take </w:t>
            </w:r>
            <w:r w:rsidR="001E3643" w:rsidRPr="001E3643">
              <w:rPr>
                <w:rFonts w:ascii="Calibri" w:hAnsi="Calibri" w:cs="Calibri"/>
                <w:b/>
                <w:sz w:val="22"/>
                <w:szCs w:val="22"/>
              </w:rPr>
              <w:t>act</w:t>
            </w:r>
            <w:r>
              <w:rPr>
                <w:rFonts w:ascii="Calibri" w:hAnsi="Calibri" w:cs="Calibri"/>
                <w:b/>
                <w:sz w:val="22"/>
                <w:szCs w:val="22"/>
              </w:rPr>
              <w:t>ion</w:t>
            </w:r>
            <w:r w:rsidR="001E3643" w:rsidRPr="001E3643">
              <w:rPr>
                <w:rFonts w:ascii="Calibri" w:hAnsi="Calibri" w:cs="Calibri"/>
                <w:b/>
                <w:sz w:val="22"/>
                <w:szCs w:val="22"/>
              </w:rPr>
              <w:t xml:space="preserve"> to stop receiving robocalls</w:t>
            </w:r>
            <w:r w:rsidR="00B91217" w:rsidRPr="001E3643">
              <w:rPr>
                <w:rFonts w:ascii="Calibri" w:hAnsi="Calibri" w:cs="Calibri"/>
                <w:b/>
                <w:sz w:val="22"/>
                <w:szCs w:val="22"/>
              </w:rPr>
              <w:t>.</w:t>
            </w:r>
            <w:r w:rsidR="00B91217">
              <w:rPr>
                <w:rFonts w:ascii="Calibri" w:hAnsi="Calibri" w:cs="Calibri"/>
                <w:b/>
                <w:sz w:val="22"/>
                <w:szCs w:val="22"/>
              </w:rPr>
              <w:t xml:space="preserve">  </w:t>
            </w:r>
            <w:r w:rsidR="001E3643" w:rsidRPr="001E3643">
              <w:rPr>
                <w:rFonts w:ascii="Calibri" w:hAnsi="Calibri" w:cs="Calibri"/>
                <w:b/>
                <w:sz w:val="22"/>
                <w:szCs w:val="22"/>
              </w:rPr>
              <w:t xml:space="preserve">Section 227(b) was enacted through separate legislation and addresses a “different </w:t>
            </w:r>
            <w:proofErr w:type="gramStart"/>
            <w:r w:rsidR="001E3643" w:rsidRPr="001E3643">
              <w:rPr>
                <w:rFonts w:ascii="Calibri" w:hAnsi="Calibri" w:cs="Calibri"/>
                <w:b/>
                <w:sz w:val="22"/>
                <w:szCs w:val="22"/>
              </w:rPr>
              <w:t>harm[</w:t>
            </w:r>
            <w:proofErr w:type="gramEnd"/>
            <w:r w:rsidR="001E3643" w:rsidRPr="001E3643">
              <w:rPr>
                <w:rFonts w:ascii="Calibri" w:hAnsi="Calibri" w:cs="Calibri"/>
                <w:b/>
                <w:sz w:val="22"/>
                <w:szCs w:val="22"/>
              </w:rPr>
              <w:t>]” governed by “a different set of rules.”</w:t>
            </w:r>
            <w:r w:rsidR="001E3643">
              <w:rPr>
                <w:rFonts w:ascii="Calibri" w:hAnsi="Calibri" w:cs="Calibri"/>
                <w:b/>
                <w:sz w:val="22"/>
                <w:szCs w:val="22"/>
              </w:rPr>
              <w:t xml:space="preserve"> </w:t>
            </w:r>
            <w:proofErr w:type="spellStart"/>
            <w:r w:rsidR="001E3643" w:rsidRPr="001E3643">
              <w:rPr>
                <w:rFonts w:ascii="Calibri" w:hAnsi="Calibri" w:cs="Calibri"/>
                <w:b/>
                <w:i/>
                <w:sz w:val="22"/>
                <w:szCs w:val="22"/>
              </w:rPr>
              <w:t>Donaca</w:t>
            </w:r>
            <w:proofErr w:type="spellEnd"/>
            <w:r w:rsidR="001E3643" w:rsidRPr="001E3643">
              <w:rPr>
                <w:rFonts w:ascii="Calibri" w:hAnsi="Calibri" w:cs="Calibri"/>
                <w:b/>
                <w:i/>
                <w:sz w:val="22"/>
                <w:szCs w:val="22"/>
              </w:rPr>
              <w:t xml:space="preserve"> v. DISH </w:t>
            </w:r>
            <w:r w:rsidR="00B91217" w:rsidRPr="001E3643">
              <w:rPr>
                <w:rFonts w:ascii="Calibri" w:hAnsi="Calibri" w:cs="Calibri"/>
                <w:b/>
                <w:i/>
                <w:sz w:val="22"/>
                <w:szCs w:val="22"/>
              </w:rPr>
              <w:t>Network</w:t>
            </w:r>
            <w:r w:rsidR="00B91217">
              <w:rPr>
                <w:rFonts w:ascii="Calibri" w:hAnsi="Calibri" w:cs="Calibri"/>
                <w:b/>
                <w:i/>
                <w:sz w:val="22"/>
                <w:szCs w:val="22"/>
              </w:rPr>
              <w:t xml:space="preserve"> </w:t>
            </w:r>
            <w:r w:rsidR="00B91217" w:rsidRPr="001E3643">
              <w:rPr>
                <w:rFonts w:ascii="Calibri" w:hAnsi="Calibri" w:cs="Calibri"/>
                <w:b/>
                <w:sz w:val="22"/>
                <w:szCs w:val="22"/>
              </w:rPr>
              <w:t>(</w:t>
            </w:r>
            <w:r w:rsidR="001E3643" w:rsidRPr="001E3643">
              <w:rPr>
                <w:rFonts w:ascii="Calibri" w:hAnsi="Calibri" w:cs="Calibri"/>
                <w:b/>
                <w:sz w:val="22"/>
                <w:szCs w:val="22"/>
              </w:rPr>
              <w:t>D. Colo. 2014)</w:t>
            </w:r>
            <w:r w:rsidR="00B91217">
              <w:rPr>
                <w:rFonts w:ascii="Calibri" w:hAnsi="Calibri" w:cs="Calibri"/>
                <w:b/>
                <w:sz w:val="22"/>
                <w:szCs w:val="22"/>
              </w:rPr>
              <w:t xml:space="preserve">.  </w:t>
            </w:r>
          </w:p>
        </w:tc>
      </w:tr>
      <w:tr w:rsidR="005665D6" w:rsidRPr="00907D75" w14:paraId="10A29B7B" w14:textId="77777777" w:rsidTr="008649A2">
        <w:trPr>
          <w:trHeight w:val="4795"/>
        </w:trPr>
        <w:tc>
          <w:tcPr>
            <w:tcW w:w="5805" w:type="dxa"/>
            <w:vAlign w:val="center"/>
          </w:tcPr>
          <w:p w14:paraId="36F02014" w14:textId="64BFA981" w:rsidR="005665D6" w:rsidRDefault="005665D6" w:rsidP="00525419">
            <w:pPr>
              <w:pStyle w:val="O-BodyText"/>
              <w:spacing w:after="120"/>
              <w:ind w:right="200"/>
              <w:jc w:val="both"/>
              <w:rPr>
                <w:rFonts w:ascii="Calibri" w:hAnsi="Calibri" w:cs="Calibri"/>
                <w:b/>
                <w:sz w:val="28"/>
                <w:szCs w:val="28"/>
              </w:rPr>
            </w:pPr>
            <w:r>
              <w:rPr>
                <w:rFonts w:ascii="Calibri" w:hAnsi="Calibri" w:cs="Calibri"/>
                <w:b/>
                <w:sz w:val="28"/>
                <w:szCs w:val="28"/>
              </w:rPr>
              <w:t>Explain why the district court was wrong to include all people assoc</w:t>
            </w:r>
            <w:r w:rsidR="00411CEA">
              <w:rPr>
                <w:rFonts w:ascii="Calibri" w:hAnsi="Calibri" w:cs="Calibri"/>
                <w:b/>
                <w:sz w:val="28"/>
                <w:szCs w:val="28"/>
              </w:rPr>
              <w:t>iated with a residential number.</w:t>
            </w:r>
          </w:p>
        </w:tc>
        <w:tc>
          <w:tcPr>
            <w:tcW w:w="5805" w:type="dxa"/>
            <w:vAlign w:val="center"/>
          </w:tcPr>
          <w:p w14:paraId="350B615A" w14:textId="27D69534" w:rsidR="005665D6" w:rsidRPr="001E3643" w:rsidRDefault="005665D6" w:rsidP="00525419">
            <w:pPr>
              <w:pStyle w:val="O-BodyText"/>
              <w:spacing w:after="120"/>
              <w:ind w:left="290" w:right="65"/>
              <w:jc w:val="both"/>
              <w:rPr>
                <w:rFonts w:ascii="Calibri" w:hAnsi="Calibri" w:cs="Calibri"/>
                <w:b/>
                <w:sz w:val="22"/>
                <w:szCs w:val="22"/>
              </w:rPr>
            </w:pPr>
            <w:r w:rsidRPr="005665D6">
              <w:rPr>
                <w:rFonts w:ascii="Calibri" w:hAnsi="Calibri" w:cs="Calibri"/>
                <w:b/>
                <w:sz w:val="22"/>
                <w:szCs w:val="22"/>
              </w:rPr>
              <w:t>The court’s “associated with” class necessarily included</w:t>
            </w:r>
            <w:r>
              <w:rPr>
                <w:rFonts w:ascii="Calibri" w:hAnsi="Calibri" w:cs="Calibri"/>
                <w:b/>
                <w:sz w:val="22"/>
                <w:szCs w:val="22"/>
              </w:rPr>
              <w:t xml:space="preserve"> </w:t>
            </w:r>
            <w:r w:rsidRPr="005665D6">
              <w:rPr>
                <w:rFonts w:ascii="Calibri" w:hAnsi="Calibri" w:cs="Calibri"/>
                <w:b/>
                <w:sz w:val="22"/>
                <w:szCs w:val="22"/>
              </w:rPr>
              <w:t>non-subscribers</w:t>
            </w:r>
            <w:r>
              <w:rPr>
                <w:rFonts w:ascii="Calibri" w:hAnsi="Calibri" w:cs="Calibri"/>
                <w:b/>
                <w:sz w:val="22"/>
                <w:szCs w:val="22"/>
              </w:rPr>
              <w:t xml:space="preserve"> because </w:t>
            </w:r>
            <w:r w:rsidRPr="005665D6">
              <w:rPr>
                <w:rFonts w:ascii="Calibri" w:hAnsi="Calibri" w:cs="Calibri"/>
                <w:b/>
                <w:sz w:val="22"/>
                <w:szCs w:val="22"/>
              </w:rPr>
              <w:t>multiple people often are “associated with” a phone number.</w:t>
            </w:r>
          </w:p>
        </w:tc>
      </w:tr>
      <w:tr w:rsidR="005665D6" w:rsidRPr="00907D75" w14:paraId="1915D5A8" w14:textId="77777777" w:rsidTr="008649A2">
        <w:trPr>
          <w:trHeight w:val="4795"/>
        </w:trPr>
        <w:tc>
          <w:tcPr>
            <w:tcW w:w="5805" w:type="dxa"/>
            <w:vAlign w:val="center"/>
          </w:tcPr>
          <w:p w14:paraId="4951E7D9" w14:textId="33A15AD5" w:rsidR="005665D6" w:rsidRDefault="005665D6" w:rsidP="00525419">
            <w:pPr>
              <w:pStyle w:val="O-BodyText"/>
              <w:spacing w:after="120"/>
              <w:ind w:right="200"/>
              <w:jc w:val="both"/>
              <w:rPr>
                <w:rFonts w:ascii="Calibri" w:hAnsi="Calibri" w:cs="Calibri"/>
                <w:b/>
                <w:sz w:val="28"/>
                <w:szCs w:val="28"/>
              </w:rPr>
            </w:pPr>
            <w:r>
              <w:rPr>
                <w:rFonts w:ascii="Calibri" w:hAnsi="Calibri" w:cs="Calibri"/>
                <w:b/>
                <w:sz w:val="28"/>
                <w:szCs w:val="28"/>
              </w:rPr>
              <w:t>How were class members identified?</w:t>
            </w:r>
          </w:p>
        </w:tc>
        <w:tc>
          <w:tcPr>
            <w:tcW w:w="5805" w:type="dxa"/>
            <w:vAlign w:val="center"/>
          </w:tcPr>
          <w:p w14:paraId="66384E04" w14:textId="01B07B1A" w:rsidR="005665D6" w:rsidRPr="005665D6" w:rsidRDefault="005665D6" w:rsidP="00525419">
            <w:pPr>
              <w:pStyle w:val="O-BodyText"/>
              <w:spacing w:after="120"/>
              <w:ind w:left="290" w:right="65"/>
              <w:jc w:val="both"/>
              <w:rPr>
                <w:rFonts w:ascii="Calibri" w:hAnsi="Calibri" w:cs="Calibri"/>
                <w:b/>
                <w:sz w:val="22"/>
                <w:szCs w:val="22"/>
              </w:rPr>
            </w:pPr>
            <w:r w:rsidRPr="005665D6">
              <w:rPr>
                <w:rFonts w:ascii="Calibri" w:hAnsi="Calibri" w:cs="Calibri"/>
                <w:b/>
                <w:sz w:val="22"/>
                <w:szCs w:val="22"/>
              </w:rPr>
              <w:t xml:space="preserve">The court </w:t>
            </w:r>
            <w:r w:rsidR="001565AB">
              <w:rPr>
                <w:rFonts w:ascii="Calibri" w:hAnsi="Calibri" w:cs="Calibri"/>
                <w:b/>
                <w:sz w:val="22"/>
                <w:szCs w:val="22"/>
              </w:rPr>
              <w:t>identified</w:t>
            </w:r>
            <w:r w:rsidRPr="005665D6">
              <w:rPr>
                <w:rFonts w:ascii="Calibri" w:hAnsi="Calibri" w:cs="Calibri"/>
                <w:b/>
                <w:sz w:val="22"/>
                <w:szCs w:val="22"/>
              </w:rPr>
              <w:t xml:space="preserve"> class membership</w:t>
            </w:r>
            <w:r w:rsidR="00411CEA">
              <w:rPr>
                <w:rFonts w:ascii="Calibri" w:hAnsi="Calibri" w:cs="Calibri"/>
                <w:b/>
                <w:sz w:val="22"/>
                <w:szCs w:val="22"/>
              </w:rPr>
              <w:t xml:space="preserve"> </w:t>
            </w:r>
            <w:r w:rsidRPr="005665D6">
              <w:rPr>
                <w:rFonts w:ascii="Calibri" w:hAnsi="Calibri" w:cs="Calibri"/>
                <w:b/>
                <w:sz w:val="22"/>
                <w:szCs w:val="22"/>
              </w:rPr>
              <w:t>on records</w:t>
            </w:r>
            <w:r>
              <w:rPr>
                <w:rFonts w:ascii="Calibri" w:hAnsi="Calibri" w:cs="Calibri"/>
                <w:b/>
                <w:sz w:val="22"/>
                <w:szCs w:val="22"/>
              </w:rPr>
              <w:t xml:space="preserve"> </w:t>
            </w:r>
            <w:r w:rsidRPr="005665D6">
              <w:rPr>
                <w:rFonts w:ascii="Calibri" w:hAnsi="Calibri" w:cs="Calibri"/>
                <w:b/>
                <w:sz w:val="22"/>
                <w:szCs w:val="22"/>
              </w:rPr>
              <w:t xml:space="preserve">from Five9, </w:t>
            </w:r>
            <w:r w:rsidR="00411CEA">
              <w:rPr>
                <w:rFonts w:ascii="Calibri" w:hAnsi="Calibri" w:cs="Calibri"/>
                <w:b/>
                <w:sz w:val="22"/>
                <w:szCs w:val="22"/>
              </w:rPr>
              <w:t xml:space="preserve">a vender that </w:t>
            </w:r>
            <w:r w:rsidRPr="005665D6">
              <w:rPr>
                <w:rFonts w:ascii="Calibri" w:hAnsi="Calibri" w:cs="Calibri"/>
                <w:b/>
                <w:sz w:val="22"/>
                <w:szCs w:val="22"/>
              </w:rPr>
              <w:t>provided telemarketing software to SSN</w:t>
            </w:r>
            <w:r w:rsidR="00B91217">
              <w:rPr>
                <w:rFonts w:ascii="Calibri" w:hAnsi="Calibri" w:cs="Calibri"/>
                <w:b/>
                <w:sz w:val="22"/>
                <w:szCs w:val="22"/>
              </w:rPr>
              <w:t xml:space="preserve">.  </w:t>
            </w:r>
            <w:r w:rsidRPr="005665D6">
              <w:rPr>
                <w:rFonts w:ascii="Calibri" w:hAnsi="Calibri" w:cs="Calibri"/>
                <w:b/>
                <w:sz w:val="22"/>
                <w:szCs w:val="22"/>
              </w:rPr>
              <w:t>But those records don’t show whether a person was the subscriber.  And many of the numbers in those records are</w:t>
            </w:r>
            <w:r>
              <w:rPr>
                <w:rFonts w:ascii="Calibri" w:hAnsi="Calibri" w:cs="Calibri"/>
                <w:b/>
                <w:sz w:val="22"/>
                <w:szCs w:val="22"/>
              </w:rPr>
              <w:t xml:space="preserve"> </w:t>
            </w:r>
            <w:r w:rsidRPr="005665D6">
              <w:rPr>
                <w:rFonts w:ascii="Calibri" w:hAnsi="Calibri" w:cs="Calibri"/>
                <w:b/>
                <w:sz w:val="22"/>
                <w:szCs w:val="22"/>
              </w:rPr>
              <w:t>associated with multiple names—only one of which could be the subscriber.</w:t>
            </w:r>
          </w:p>
        </w:tc>
      </w:tr>
      <w:tr w:rsidR="009C6893" w:rsidRPr="00907D75" w14:paraId="2A2E7CBE" w14:textId="77777777" w:rsidTr="008649A2">
        <w:trPr>
          <w:trHeight w:val="4795"/>
        </w:trPr>
        <w:tc>
          <w:tcPr>
            <w:tcW w:w="5805" w:type="dxa"/>
            <w:vAlign w:val="center"/>
          </w:tcPr>
          <w:p w14:paraId="159362B1" w14:textId="72E59480" w:rsidR="009C6893" w:rsidRDefault="009C6893"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the court rely on any other information besides Five9?</w:t>
            </w:r>
          </w:p>
        </w:tc>
        <w:tc>
          <w:tcPr>
            <w:tcW w:w="5805" w:type="dxa"/>
            <w:vAlign w:val="center"/>
          </w:tcPr>
          <w:p w14:paraId="523DDC05" w14:textId="3CAE0A37" w:rsidR="009C6893" w:rsidRPr="005665D6" w:rsidRDefault="009C6893" w:rsidP="00525419">
            <w:pPr>
              <w:pStyle w:val="O-BodyText"/>
              <w:spacing w:after="120"/>
              <w:ind w:left="290" w:right="65"/>
              <w:jc w:val="both"/>
              <w:rPr>
                <w:rFonts w:ascii="Calibri" w:hAnsi="Calibri" w:cs="Calibri"/>
                <w:b/>
                <w:sz w:val="22"/>
                <w:szCs w:val="22"/>
              </w:rPr>
            </w:pPr>
            <w:r w:rsidRPr="009C6893">
              <w:rPr>
                <w:rFonts w:ascii="Calibri" w:hAnsi="Calibri" w:cs="Calibri"/>
                <w:b/>
                <w:sz w:val="22"/>
                <w:szCs w:val="22"/>
              </w:rPr>
              <w:t>When the Five9 data didn’t supply a name, the court relied on a</w:t>
            </w:r>
            <w:r>
              <w:rPr>
                <w:rFonts w:ascii="Calibri" w:hAnsi="Calibri" w:cs="Calibri"/>
                <w:b/>
                <w:sz w:val="22"/>
                <w:szCs w:val="22"/>
              </w:rPr>
              <w:t xml:space="preserve"> </w:t>
            </w:r>
            <w:r w:rsidRPr="009C6893">
              <w:rPr>
                <w:rFonts w:ascii="Calibri" w:hAnsi="Calibri" w:cs="Calibri"/>
                <w:b/>
                <w:sz w:val="22"/>
                <w:szCs w:val="22"/>
              </w:rPr>
              <w:t>LexisNexis database</w:t>
            </w:r>
            <w:r w:rsidR="001565AB">
              <w:rPr>
                <w:rFonts w:ascii="Calibri" w:hAnsi="Calibri" w:cs="Calibri"/>
                <w:b/>
                <w:sz w:val="22"/>
                <w:szCs w:val="22"/>
              </w:rPr>
              <w:t>, w</w:t>
            </w:r>
            <w:r w:rsidRPr="009C6893">
              <w:rPr>
                <w:rFonts w:ascii="Calibri" w:hAnsi="Calibri" w:cs="Calibri"/>
                <w:b/>
                <w:sz w:val="22"/>
                <w:szCs w:val="22"/>
              </w:rPr>
              <w:t>hich also doesn’t identify subscribers</w:t>
            </w:r>
            <w:r>
              <w:rPr>
                <w:rFonts w:ascii="Calibri" w:hAnsi="Calibri" w:cs="Calibri"/>
                <w:b/>
                <w:sz w:val="22"/>
                <w:szCs w:val="22"/>
              </w:rPr>
              <w:t>.</w:t>
            </w:r>
          </w:p>
        </w:tc>
      </w:tr>
      <w:tr w:rsidR="009C6893" w:rsidRPr="00907D75" w14:paraId="303237B9" w14:textId="77777777" w:rsidTr="008649A2">
        <w:trPr>
          <w:trHeight w:val="4795"/>
        </w:trPr>
        <w:tc>
          <w:tcPr>
            <w:tcW w:w="5805" w:type="dxa"/>
            <w:vAlign w:val="center"/>
          </w:tcPr>
          <w:p w14:paraId="42DE4001" w14:textId="09C53790" w:rsidR="009C6893" w:rsidRDefault="009C6893" w:rsidP="00525419">
            <w:pPr>
              <w:pStyle w:val="O-BodyText"/>
              <w:spacing w:after="120"/>
              <w:ind w:right="200"/>
              <w:jc w:val="both"/>
              <w:rPr>
                <w:rFonts w:ascii="Calibri" w:hAnsi="Calibri" w:cs="Calibri"/>
                <w:b/>
                <w:sz w:val="28"/>
                <w:szCs w:val="28"/>
              </w:rPr>
            </w:pPr>
            <w:r>
              <w:rPr>
                <w:rFonts w:ascii="Calibri" w:hAnsi="Calibri" w:cs="Calibri"/>
                <w:b/>
                <w:sz w:val="28"/>
                <w:szCs w:val="28"/>
              </w:rPr>
              <w:t>How did the LexisNexis database identify people associated with residential phone numbers?</w:t>
            </w:r>
          </w:p>
        </w:tc>
        <w:tc>
          <w:tcPr>
            <w:tcW w:w="5805" w:type="dxa"/>
            <w:vAlign w:val="center"/>
          </w:tcPr>
          <w:p w14:paraId="634A3077" w14:textId="7931715F" w:rsidR="009C6893" w:rsidRPr="009C6893" w:rsidRDefault="00A318B5" w:rsidP="00525419">
            <w:pPr>
              <w:pStyle w:val="O-BodyText"/>
              <w:spacing w:after="120"/>
              <w:ind w:left="290" w:right="65"/>
              <w:jc w:val="both"/>
              <w:rPr>
                <w:rFonts w:ascii="Calibri" w:hAnsi="Calibri" w:cs="Calibri"/>
                <w:b/>
                <w:sz w:val="22"/>
                <w:szCs w:val="22"/>
              </w:rPr>
            </w:pPr>
            <w:r>
              <w:rPr>
                <w:rFonts w:ascii="Calibri" w:hAnsi="Calibri" w:cs="Calibri"/>
                <w:b/>
                <w:sz w:val="22"/>
                <w:szCs w:val="22"/>
              </w:rPr>
              <w:t>LexisNexis records</w:t>
            </w:r>
            <w:r w:rsidR="009C6893">
              <w:rPr>
                <w:rFonts w:ascii="Calibri" w:hAnsi="Calibri" w:cs="Calibri"/>
                <w:b/>
                <w:sz w:val="22"/>
                <w:szCs w:val="22"/>
              </w:rPr>
              <w:t xml:space="preserve"> </w:t>
            </w:r>
            <w:r>
              <w:rPr>
                <w:rFonts w:ascii="Calibri" w:hAnsi="Calibri" w:cs="Calibri"/>
                <w:b/>
                <w:sz w:val="22"/>
                <w:szCs w:val="22"/>
              </w:rPr>
              <w:t>could</w:t>
            </w:r>
            <w:r w:rsidR="009C6893" w:rsidRPr="009C6893">
              <w:rPr>
                <w:rFonts w:ascii="Calibri" w:hAnsi="Calibri" w:cs="Calibri"/>
                <w:b/>
                <w:sz w:val="22"/>
                <w:szCs w:val="22"/>
              </w:rPr>
              <w:t xml:space="preserve"> come from</w:t>
            </w:r>
            <w:r w:rsidR="009C6893">
              <w:rPr>
                <w:rFonts w:ascii="Calibri" w:hAnsi="Calibri" w:cs="Calibri"/>
                <w:b/>
                <w:sz w:val="22"/>
                <w:szCs w:val="22"/>
              </w:rPr>
              <w:t xml:space="preserve"> </w:t>
            </w:r>
            <w:r w:rsidR="009C6893" w:rsidRPr="009C6893">
              <w:rPr>
                <w:rFonts w:ascii="Calibri" w:hAnsi="Calibri" w:cs="Calibri"/>
                <w:b/>
                <w:sz w:val="22"/>
                <w:szCs w:val="22"/>
              </w:rPr>
              <w:t xml:space="preserve">thousands of different sources, including credit card applications, utilities, and warranties.  Whenever </w:t>
            </w:r>
            <w:r w:rsidR="009C6893">
              <w:rPr>
                <w:rFonts w:ascii="Calibri" w:hAnsi="Calibri" w:cs="Calibri"/>
                <w:b/>
                <w:sz w:val="22"/>
                <w:szCs w:val="22"/>
              </w:rPr>
              <w:t>anyone</w:t>
            </w:r>
            <w:r w:rsidR="009C6893" w:rsidRPr="009C6893">
              <w:rPr>
                <w:rFonts w:ascii="Calibri" w:hAnsi="Calibri" w:cs="Calibri"/>
                <w:b/>
                <w:sz w:val="22"/>
                <w:szCs w:val="22"/>
              </w:rPr>
              <w:t xml:space="preserve"> liste</w:t>
            </w:r>
            <w:r>
              <w:rPr>
                <w:rFonts w:ascii="Calibri" w:hAnsi="Calibri" w:cs="Calibri"/>
                <w:b/>
                <w:sz w:val="22"/>
                <w:szCs w:val="22"/>
              </w:rPr>
              <w:t xml:space="preserve">d the subscriber’s phone number, that </w:t>
            </w:r>
            <w:r w:rsidR="009C6893" w:rsidRPr="009C6893">
              <w:rPr>
                <w:rFonts w:ascii="Calibri" w:hAnsi="Calibri" w:cs="Calibri"/>
                <w:b/>
                <w:sz w:val="22"/>
                <w:szCs w:val="22"/>
              </w:rPr>
              <w:t>person would be “associated with” the number</w:t>
            </w:r>
            <w:r w:rsidR="00B91217" w:rsidRPr="009C6893">
              <w:rPr>
                <w:rFonts w:ascii="Calibri" w:hAnsi="Calibri" w:cs="Calibri"/>
                <w:b/>
                <w:sz w:val="22"/>
                <w:szCs w:val="22"/>
              </w:rPr>
              <w:t>.</w:t>
            </w:r>
          </w:p>
        </w:tc>
      </w:tr>
      <w:tr w:rsidR="008B7C74" w:rsidRPr="00907D75" w14:paraId="5CFEC8C6" w14:textId="77777777" w:rsidTr="008649A2">
        <w:trPr>
          <w:trHeight w:val="4795"/>
        </w:trPr>
        <w:tc>
          <w:tcPr>
            <w:tcW w:w="5805" w:type="dxa"/>
            <w:vAlign w:val="center"/>
          </w:tcPr>
          <w:p w14:paraId="235E226B" w14:textId="02A8825D" w:rsidR="008B7C74" w:rsidRDefault="008B7C74" w:rsidP="00525419">
            <w:pPr>
              <w:pStyle w:val="O-BodyText"/>
              <w:spacing w:after="120"/>
              <w:ind w:right="200"/>
              <w:jc w:val="both"/>
              <w:rPr>
                <w:rFonts w:ascii="Calibri" w:hAnsi="Calibri" w:cs="Calibri"/>
                <w:b/>
                <w:sz w:val="28"/>
                <w:szCs w:val="28"/>
              </w:rPr>
            </w:pPr>
            <w:r>
              <w:rPr>
                <w:rFonts w:ascii="Calibri" w:hAnsi="Calibri" w:cs="Calibri"/>
                <w:b/>
                <w:sz w:val="28"/>
                <w:szCs w:val="28"/>
              </w:rPr>
              <w:t>How else were people associated with numbers called by SSN identified?</w:t>
            </w:r>
          </w:p>
        </w:tc>
        <w:tc>
          <w:tcPr>
            <w:tcW w:w="5805" w:type="dxa"/>
            <w:vAlign w:val="center"/>
          </w:tcPr>
          <w:p w14:paraId="6D5B2747" w14:textId="60218C69" w:rsidR="008B7C74" w:rsidRDefault="008B7C74" w:rsidP="00525419">
            <w:pPr>
              <w:pStyle w:val="O-BodyText"/>
              <w:spacing w:after="120"/>
              <w:ind w:left="290" w:right="65"/>
              <w:jc w:val="both"/>
              <w:rPr>
                <w:rFonts w:ascii="Calibri" w:hAnsi="Calibri" w:cs="Calibri"/>
                <w:b/>
                <w:sz w:val="22"/>
                <w:szCs w:val="22"/>
              </w:rPr>
            </w:pPr>
            <w:r>
              <w:rPr>
                <w:rFonts w:ascii="Calibri" w:hAnsi="Calibri" w:cs="Calibri"/>
                <w:b/>
                <w:sz w:val="22"/>
                <w:szCs w:val="22"/>
              </w:rPr>
              <w:t>F</w:t>
            </w:r>
            <w:r w:rsidRPr="008B7C74">
              <w:rPr>
                <w:rFonts w:ascii="Calibri" w:hAnsi="Calibri" w:cs="Calibri"/>
                <w:b/>
                <w:sz w:val="22"/>
                <w:szCs w:val="22"/>
              </w:rPr>
              <w:t xml:space="preserve">or thousands of numbers </w:t>
            </w:r>
            <w:r w:rsidR="00095709">
              <w:rPr>
                <w:rFonts w:ascii="Calibri" w:hAnsi="Calibri" w:cs="Calibri"/>
                <w:b/>
                <w:sz w:val="22"/>
                <w:szCs w:val="22"/>
              </w:rPr>
              <w:t xml:space="preserve">called by </w:t>
            </w:r>
            <w:r w:rsidRPr="008B7C74">
              <w:rPr>
                <w:rFonts w:ascii="Calibri" w:hAnsi="Calibri" w:cs="Calibri"/>
                <w:b/>
                <w:sz w:val="22"/>
                <w:szCs w:val="22"/>
              </w:rPr>
              <w:t xml:space="preserve">SSN, </w:t>
            </w:r>
            <w:r w:rsidRPr="008B7C74">
              <w:rPr>
                <w:rFonts w:ascii="Calibri" w:hAnsi="Calibri" w:cs="Calibri"/>
                <w:b/>
                <w:i/>
                <w:sz w:val="22"/>
                <w:szCs w:val="22"/>
              </w:rPr>
              <w:t>anyone</w:t>
            </w:r>
            <w:r w:rsidRPr="008B7C74">
              <w:rPr>
                <w:rFonts w:ascii="Calibri" w:hAnsi="Calibri" w:cs="Calibri"/>
                <w:b/>
                <w:sz w:val="22"/>
                <w:szCs w:val="22"/>
              </w:rPr>
              <w:t xml:space="preserve"> could</w:t>
            </w:r>
            <w:r>
              <w:rPr>
                <w:rFonts w:ascii="Calibri" w:hAnsi="Calibri" w:cs="Calibri"/>
                <w:b/>
                <w:sz w:val="22"/>
                <w:szCs w:val="22"/>
              </w:rPr>
              <w:t xml:space="preserve"> </w:t>
            </w:r>
            <w:r w:rsidRPr="008B7C74">
              <w:rPr>
                <w:rFonts w:ascii="Calibri" w:hAnsi="Calibri" w:cs="Calibri"/>
                <w:b/>
                <w:sz w:val="22"/>
                <w:szCs w:val="22"/>
              </w:rPr>
              <w:t xml:space="preserve">attempt to self-verify their “association with” the number using a website (www.dishclassaction.com), without showing they were the subscriber.  Even Krakauer’s class notice didn’t require </w:t>
            </w:r>
            <w:r w:rsidR="00095709">
              <w:rPr>
                <w:rFonts w:ascii="Calibri" w:hAnsi="Calibri" w:cs="Calibri"/>
                <w:b/>
                <w:sz w:val="22"/>
                <w:szCs w:val="22"/>
              </w:rPr>
              <w:t xml:space="preserve">people to confirm they were </w:t>
            </w:r>
            <w:r w:rsidRPr="008B7C74">
              <w:rPr>
                <w:rFonts w:ascii="Calibri" w:hAnsi="Calibri" w:cs="Calibri"/>
                <w:b/>
                <w:sz w:val="22"/>
                <w:szCs w:val="22"/>
              </w:rPr>
              <w:t>subscriber</w:t>
            </w:r>
            <w:r w:rsidR="00095709">
              <w:rPr>
                <w:rFonts w:ascii="Calibri" w:hAnsi="Calibri" w:cs="Calibri"/>
                <w:b/>
                <w:sz w:val="22"/>
                <w:szCs w:val="22"/>
              </w:rPr>
              <w:t>s</w:t>
            </w:r>
            <w:r w:rsidRPr="008B7C74">
              <w:rPr>
                <w:rFonts w:ascii="Calibri" w:hAnsi="Calibri" w:cs="Calibri"/>
                <w:b/>
                <w:sz w:val="22"/>
                <w:szCs w:val="22"/>
              </w:rPr>
              <w:t>.</w:t>
            </w:r>
          </w:p>
        </w:tc>
      </w:tr>
      <w:tr w:rsidR="008B7C74" w:rsidRPr="00907D75" w14:paraId="042233AF" w14:textId="77777777" w:rsidTr="008649A2">
        <w:trPr>
          <w:trHeight w:val="4795"/>
        </w:trPr>
        <w:tc>
          <w:tcPr>
            <w:tcW w:w="5805" w:type="dxa"/>
            <w:vAlign w:val="center"/>
          </w:tcPr>
          <w:p w14:paraId="570F783D" w14:textId="2226B1D9" w:rsidR="008B7C74" w:rsidRDefault="00D60313"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You argue that the class definition includes people who lack Article III standing</w:t>
            </w:r>
            <w:r w:rsidR="00B91217">
              <w:rPr>
                <w:rFonts w:ascii="Calibri" w:hAnsi="Calibri" w:cs="Calibri"/>
                <w:b/>
                <w:sz w:val="28"/>
                <w:szCs w:val="28"/>
              </w:rPr>
              <w:t xml:space="preserve">.  </w:t>
            </w:r>
            <w:r>
              <w:rPr>
                <w:rFonts w:ascii="Calibri" w:hAnsi="Calibri" w:cs="Calibri"/>
                <w:b/>
                <w:sz w:val="28"/>
                <w:szCs w:val="28"/>
              </w:rPr>
              <w:t>Please explain.</w:t>
            </w:r>
          </w:p>
        </w:tc>
        <w:tc>
          <w:tcPr>
            <w:tcW w:w="5805" w:type="dxa"/>
            <w:vAlign w:val="center"/>
          </w:tcPr>
          <w:p w14:paraId="078493AE" w14:textId="5B321072" w:rsidR="008B7C74" w:rsidRDefault="00D60313"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D60313">
              <w:rPr>
                <w:rFonts w:ascii="Calibri" w:hAnsi="Calibri" w:cs="Calibri"/>
                <w:b/>
                <w:sz w:val="22"/>
                <w:szCs w:val="22"/>
              </w:rPr>
              <w:t>he broad class certified here runs afoul of Article III because it includes people who suffered no concrete injury</w:t>
            </w:r>
            <w:r>
              <w:rPr>
                <w:rFonts w:ascii="Calibri" w:hAnsi="Calibri" w:cs="Calibri"/>
                <w:b/>
                <w:sz w:val="22"/>
                <w:szCs w:val="22"/>
              </w:rPr>
              <w:t>.</w:t>
            </w:r>
          </w:p>
        </w:tc>
      </w:tr>
      <w:tr w:rsidR="00D60313" w:rsidRPr="00907D75" w14:paraId="4C2AAA37" w14:textId="77777777" w:rsidTr="008649A2">
        <w:trPr>
          <w:trHeight w:val="4795"/>
        </w:trPr>
        <w:tc>
          <w:tcPr>
            <w:tcW w:w="5805" w:type="dxa"/>
            <w:vAlign w:val="center"/>
          </w:tcPr>
          <w:p w14:paraId="1EB26272" w14:textId="167FF1DA" w:rsidR="00D60313" w:rsidRDefault="00D60313" w:rsidP="00525419">
            <w:pPr>
              <w:pStyle w:val="O-BodyText"/>
              <w:spacing w:after="120"/>
              <w:ind w:right="200"/>
              <w:jc w:val="both"/>
              <w:rPr>
                <w:rFonts w:ascii="Calibri" w:hAnsi="Calibri" w:cs="Calibri"/>
                <w:b/>
                <w:sz w:val="28"/>
                <w:szCs w:val="28"/>
              </w:rPr>
            </w:pPr>
            <w:r>
              <w:rPr>
                <w:rFonts w:ascii="Calibri" w:hAnsi="Calibri" w:cs="Calibri"/>
                <w:b/>
                <w:sz w:val="28"/>
                <w:szCs w:val="28"/>
              </w:rPr>
              <w:t>What does Article III require for standing?</w:t>
            </w:r>
          </w:p>
        </w:tc>
        <w:tc>
          <w:tcPr>
            <w:tcW w:w="5805" w:type="dxa"/>
            <w:vAlign w:val="center"/>
          </w:tcPr>
          <w:p w14:paraId="3C776A02" w14:textId="0D38E53F" w:rsidR="00D60313" w:rsidRPr="00D60313" w:rsidRDefault="00D60313" w:rsidP="00525419">
            <w:pPr>
              <w:pStyle w:val="O-BodyText"/>
              <w:spacing w:after="120"/>
              <w:ind w:left="290" w:right="65"/>
              <w:jc w:val="both"/>
              <w:rPr>
                <w:rFonts w:ascii="Calibri" w:hAnsi="Calibri" w:cs="Calibri"/>
                <w:b/>
                <w:sz w:val="22"/>
                <w:szCs w:val="22"/>
              </w:rPr>
            </w:pPr>
            <w:r w:rsidRPr="00D60313">
              <w:rPr>
                <w:rFonts w:ascii="Calibri" w:hAnsi="Calibri" w:cs="Calibri"/>
                <w:b/>
                <w:sz w:val="22"/>
                <w:szCs w:val="22"/>
              </w:rPr>
              <w:t>“[A]t an irreducible minimum, Art. III requires the party who</w:t>
            </w:r>
            <w:r>
              <w:rPr>
                <w:rFonts w:ascii="Calibri" w:hAnsi="Calibri" w:cs="Calibri"/>
                <w:b/>
                <w:sz w:val="22"/>
                <w:szCs w:val="22"/>
              </w:rPr>
              <w:t xml:space="preserve"> </w:t>
            </w:r>
            <w:r w:rsidRPr="00D60313">
              <w:rPr>
                <w:rFonts w:ascii="Calibri" w:hAnsi="Calibri" w:cs="Calibri"/>
                <w:b/>
                <w:sz w:val="22"/>
                <w:szCs w:val="22"/>
              </w:rPr>
              <w:t xml:space="preserve">invokes the court’s authority to show that he personally has suffered some </w:t>
            </w:r>
            <w:r w:rsidRPr="00095709">
              <w:rPr>
                <w:rFonts w:ascii="Calibri" w:hAnsi="Calibri" w:cs="Calibri"/>
                <w:b/>
                <w:i/>
                <w:sz w:val="22"/>
                <w:szCs w:val="22"/>
              </w:rPr>
              <w:t>actual or threatened injury</w:t>
            </w:r>
            <w:r w:rsidRPr="00D60313">
              <w:rPr>
                <w:rFonts w:ascii="Calibri" w:hAnsi="Calibri" w:cs="Calibri"/>
                <w:b/>
                <w:sz w:val="22"/>
                <w:szCs w:val="22"/>
              </w:rPr>
              <w:t xml:space="preserve"> as a result of the putatively illegal conduct of the defendant.”  </w:t>
            </w:r>
            <w:r w:rsidRPr="00D60313">
              <w:rPr>
                <w:rFonts w:ascii="Calibri" w:hAnsi="Calibri" w:cs="Calibri"/>
                <w:b/>
                <w:i/>
                <w:sz w:val="22"/>
                <w:szCs w:val="22"/>
              </w:rPr>
              <w:t>Valley Forge Christian Coll.</w:t>
            </w:r>
            <w:r>
              <w:rPr>
                <w:rFonts w:ascii="Calibri" w:hAnsi="Calibri" w:cs="Calibri"/>
                <w:b/>
                <w:sz w:val="22"/>
                <w:szCs w:val="22"/>
              </w:rPr>
              <w:t xml:space="preserve"> (S. Ct. 1982).</w:t>
            </w:r>
          </w:p>
        </w:tc>
      </w:tr>
      <w:tr w:rsidR="00D60313" w:rsidRPr="00907D75" w14:paraId="61C61925" w14:textId="77777777" w:rsidTr="008649A2">
        <w:trPr>
          <w:trHeight w:val="4795"/>
        </w:trPr>
        <w:tc>
          <w:tcPr>
            <w:tcW w:w="5805" w:type="dxa"/>
            <w:vAlign w:val="center"/>
          </w:tcPr>
          <w:p w14:paraId="3C35304B" w14:textId="1BB8822B" w:rsidR="00D60313" w:rsidRDefault="00D60313" w:rsidP="00525419">
            <w:pPr>
              <w:pStyle w:val="O-BodyText"/>
              <w:spacing w:after="120"/>
              <w:ind w:right="200"/>
              <w:jc w:val="both"/>
              <w:rPr>
                <w:rFonts w:ascii="Calibri" w:hAnsi="Calibri" w:cs="Calibri"/>
                <w:b/>
                <w:sz w:val="28"/>
                <w:szCs w:val="28"/>
              </w:rPr>
            </w:pPr>
            <w:r>
              <w:rPr>
                <w:rFonts w:ascii="Calibri" w:hAnsi="Calibri" w:cs="Calibri"/>
                <w:b/>
                <w:sz w:val="28"/>
                <w:szCs w:val="28"/>
              </w:rPr>
              <w:t>Does Article III require individuals to show actual or threatened injury, even in class actions?</w:t>
            </w:r>
          </w:p>
        </w:tc>
        <w:tc>
          <w:tcPr>
            <w:tcW w:w="5805" w:type="dxa"/>
            <w:vAlign w:val="center"/>
          </w:tcPr>
          <w:p w14:paraId="5F8A9013" w14:textId="75E379DB" w:rsidR="00D60313" w:rsidRPr="00D60313" w:rsidRDefault="00D60313"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this </w:t>
            </w:r>
            <w:r w:rsidRPr="00D60313">
              <w:rPr>
                <w:rFonts w:ascii="Calibri" w:hAnsi="Calibri" w:cs="Calibri"/>
                <w:b/>
                <w:sz w:val="22"/>
                <w:szCs w:val="22"/>
              </w:rPr>
              <w:t>fundamental principle holds equally true in class actions</w:t>
            </w:r>
            <w:r w:rsidR="00B91217">
              <w:rPr>
                <w:rFonts w:ascii="Calibri" w:hAnsi="Calibri" w:cs="Calibri"/>
                <w:b/>
                <w:sz w:val="22"/>
                <w:szCs w:val="22"/>
              </w:rPr>
              <w:t xml:space="preserve">.  </w:t>
            </w:r>
            <w:r w:rsidRPr="00D60313">
              <w:rPr>
                <w:rFonts w:ascii="Calibri" w:hAnsi="Calibri" w:cs="Calibri"/>
                <w:b/>
                <w:i/>
                <w:sz w:val="22"/>
                <w:szCs w:val="22"/>
              </w:rPr>
              <w:t>Halvorson v. Auto-Owners Ins. Co.</w:t>
            </w:r>
            <w:r w:rsidRPr="00D60313">
              <w:rPr>
                <w:rFonts w:ascii="Calibri" w:hAnsi="Calibri" w:cs="Calibri"/>
                <w:b/>
                <w:sz w:val="22"/>
                <w:szCs w:val="22"/>
              </w:rPr>
              <w:t xml:space="preserve"> (8th Cir. 2013)</w:t>
            </w:r>
            <w:r>
              <w:rPr>
                <w:rFonts w:ascii="Calibri" w:hAnsi="Calibri" w:cs="Calibri"/>
                <w:b/>
                <w:sz w:val="22"/>
                <w:szCs w:val="22"/>
              </w:rPr>
              <w:t>.</w:t>
            </w:r>
          </w:p>
        </w:tc>
      </w:tr>
      <w:tr w:rsidR="00D60313" w:rsidRPr="00907D75" w14:paraId="4D700665" w14:textId="77777777" w:rsidTr="008649A2">
        <w:trPr>
          <w:trHeight w:val="4795"/>
        </w:trPr>
        <w:tc>
          <w:tcPr>
            <w:tcW w:w="5805" w:type="dxa"/>
            <w:vAlign w:val="center"/>
          </w:tcPr>
          <w:p w14:paraId="0B132D2F" w14:textId="4387EE4D" w:rsidR="00D60313" w:rsidRDefault="002948F9"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Does Article III require concrete injury when there is a statutory violation?</w:t>
            </w:r>
          </w:p>
        </w:tc>
        <w:tc>
          <w:tcPr>
            <w:tcW w:w="5805" w:type="dxa"/>
            <w:vAlign w:val="center"/>
          </w:tcPr>
          <w:p w14:paraId="79B91BE5" w14:textId="2E43CCC6" w:rsidR="00D60313" w:rsidRDefault="007104AB"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7104AB">
              <w:rPr>
                <w:rFonts w:ascii="Calibri" w:hAnsi="Calibri" w:cs="Calibri"/>
                <w:b/>
                <w:sz w:val="22"/>
                <w:szCs w:val="22"/>
              </w:rPr>
              <w:t>because the fact of a statutory violation does not necessarily establish actual</w:t>
            </w:r>
            <w:r w:rsidRPr="007104AB">
              <w:rPr>
                <w:rFonts w:ascii="Calibri" w:hAnsi="Calibri" w:cs="Calibri"/>
                <w:b/>
                <w:i/>
                <w:sz w:val="22"/>
                <w:szCs w:val="22"/>
              </w:rPr>
              <w:t xml:space="preserve"> </w:t>
            </w:r>
            <w:r w:rsidRPr="007104AB">
              <w:rPr>
                <w:rFonts w:ascii="Calibri" w:hAnsi="Calibri" w:cs="Calibri"/>
                <w:b/>
                <w:sz w:val="22"/>
                <w:szCs w:val="22"/>
              </w:rPr>
              <w:t>injury</w:t>
            </w:r>
            <w:r>
              <w:rPr>
                <w:rFonts w:ascii="Calibri" w:hAnsi="Calibri" w:cs="Calibri"/>
                <w:b/>
                <w:sz w:val="22"/>
                <w:szCs w:val="22"/>
              </w:rPr>
              <w:t xml:space="preserve">.  </w:t>
            </w:r>
            <w:proofErr w:type="spellStart"/>
            <w:r w:rsidR="002948F9" w:rsidRPr="002948F9">
              <w:rPr>
                <w:rFonts w:ascii="Calibri" w:hAnsi="Calibri" w:cs="Calibri"/>
                <w:b/>
                <w:i/>
                <w:sz w:val="22"/>
                <w:szCs w:val="22"/>
              </w:rPr>
              <w:t>Soehnlen</w:t>
            </w:r>
            <w:proofErr w:type="spellEnd"/>
            <w:r w:rsidR="002948F9" w:rsidRPr="002948F9">
              <w:rPr>
                <w:rFonts w:ascii="Calibri" w:hAnsi="Calibri" w:cs="Calibri"/>
                <w:b/>
                <w:i/>
                <w:sz w:val="22"/>
                <w:szCs w:val="22"/>
              </w:rPr>
              <w:t xml:space="preserve"> v. Fleet Owners Ins. Fund</w:t>
            </w:r>
            <w:r w:rsidR="002948F9" w:rsidRPr="002948F9">
              <w:rPr>
                <w:rFonts w:ascii="Calibri" w:hAnsi="Calibri" w:cs="Calibri"/>
                <w:b/>
                <w:sz w:val="22"/>
                <w:szCs w:val="22"/>
              </w:rPr>
              <w:t xml:space="preserve"> (6th </w:t>
            </w:r>
            <w:r>
              <w:rPr>
                <w:rFonts w:ascii="Calibri" w:hAnsi="Calibri" w:cs="Calibri"/>
                <w:b/>
                <w:sz w:val="22"/>
                <w:szCs w:val="22"/>
              </w:rPr>
              <w:t xml:space="preserve">Cir. 2016); </w:t>
            </w:r>
            <w:proofErr w:type="spellStart"/>
            <w:r w:rsidRPr="007104AB">
              <w:rPr>
                <w:rFonts w:ascii="Calibri" w:hAnsi="Calibri" w:cs="Calibri"/>
                <w:b/>
                <w:i/>
                <w:sz w:val="22"/>
                <w:szCs w:val="22"/>
              </w:rPr>
              <w:t>Groshek</w:t>
            </w:r>
            <w:proofErr w:type="spellEnd"/>
            <w:r w:rsidRPr="007104AB">
              <w:rPr>
                <w:rFonts w:ascii="Calibri" w:hAnsi="Calibri" w:cs="Calibri"/>
                <w:b/>
                <w:i/>
                <w:sz w:val="22"/>
                <w:szCs w:val="22"/>
              </w:rPr>
              <w:t xml:space="preserve"> v. Time Warner Cable</w:t>
            </w:r>
            <w:r w:rsidRPr="007104AB">
              <w:rPr>
                <w:rFonts w:ascii="Calibri" w:hAnsi="Calibri" w:cs="Calibri"/>
                <w:b/>
                <w:sz w:val="22"/>
                <w:szCs w:val="22"/>
              </w:rPr>
              <w:t xml:space="preserve"> (7th Cir. 2017)</w:t>
            </w:r>
            <w:r>
              <w:rPr>
                <w:rFonts w:ascii="Calibri" w:hAnsi="Calibri" w:cs="Calibri"/>
                <w:b/>
                <w:sz w:val="22"/>
                <w:szCs w:val="22"/>
              </w:rPr>
              <w:t>.</w:t>
            </w:r>
          </w:p>
        </w:tc>
      </w:tr>
      <w:tr w:rsidR="007104AB" w:rsidRPr="00907D75" w14:paraId="0F617660" w14:textId="77777777" w:rsidTr="008649A2">
        <w:trPr>
          <w:trHeight w:val="4795"/>
        </w:trPr>
        <w:tc>
          <w:tcPr>
            <w:tcW w:w="5805" w:type="dxa"/>
            <w:vAlign w:val="center"/>
          </w:tcPr>
          <w:p w14:paraId="1D6BF733" w14:textId="0430E022" w:rsidR="007104AB" w:rsidRDefault="007104AB" w:rsidP="00525419">
            <w:pPr>
              <w:pStyle w:val="O-BodyText"/>
              <w:spacing w:after="120"/>
              <w:ind w:right="200"/>
              <w:jc w:val="both"/>
              <w:rPr>
                <w:rFonts w:ascii="Calibri" w:hAnsi="Calibri" w:cs="Calibri"/>
                <w:b/>
                <w:sz w:val="28"/>
                <w:szCs w:val="28"/>
              </w:rPr>
            </w:pPr>
            <w:r>
              <w:rPr>
                <w:rFonts w:ascii="Calibri" w:hAnsi="Calibri" w:cs="Calibri"/>
                <w:b/>
                <w:sz w:val="28"/>
                <w:szCs w:val="28"/>
              </w:rPr>
              <w:t>How do courts determine whether plaintiffs were injured under the TCPA?</w:t>
            </w:r>
          </w:p>
        </w:tc>
        <w:tc>
          <w:tcPr>
            <w:tcW w:w="5805" w:type="dxa"/>
            <w:vAlign w:val="center"/>
          </w:tcPr>
          <w:p w14:paraId="51F71806" w14:textId="57D0A133" w:rsidR="007104AB" w:rsidRDefault="007104AB" w:rsidP="00525419">
            <w:pPr>
              <w:pStyle w:val="O-BodyText"/>
              <w:spacing w:after="120"/>
              <w:ind w:left="290" w:right="65"/>
              <w:jc w:val="both"/>
              <w:rPr>
                <w:rFonts w:ascii="Calibri" w:hAnsi="Calibri" w:cs="Calibri"/>
                <w:b/>
                <w:sz w:val="22"/>
                <w:szCs w:val="22"/>
              </w:rPr>
            </w:pPr>
            <w:r>
              <w:rPr>
                <w:rFonts w:ascii="Calibri" w:hAnsi="Calibri" w:cs="Calibri"/>
                <w:b/>
                <w:sz w:val="22"/>
                <w:szCs w:val="22"/>
              </w:rPr>
              <w:t>C</w:t>
            </w:r>
            <w:r w:rsidRPr="007104AB">
              <w:rPr>
                <w:rFonts w:ascii="Calibri" w:hAnsi="Calibri" w:cs="Calibri"/>
                <w:b/>
                <w:sz w:val="22"/>
                <w:szCs w:val="22"/>
              </w:rPr>
              <w:t>ourts have examined whether</w:t>
            </w:r>
            <w:r>
              <w:rPr>
                <w:rFonts w:ascii="Calibri" w:hAnsi="Calibri" w:cs="Calibri"/>
                <w:b/>
                <w:sz w:val="22"/>
                <w:szCs w:val="22"/>
              </w:rPr>
              <w:t xml:space="preserve"> </w:t>
            </w:r>
            <w:r w:rsidRPr="007104AB">
              <w:rPr>
                <w:rFonts w:ascii="Calibri" w:hAnsi="Calibri" w:cs="Calibri"/>
                <w:b/>
                <w:sz w:val="22"/>
                <w:szCs w:val="22"/>
              </w:rPr>
              <w:t>plaintiffs were injured in some concrete way</w:t>
            </w:r>
            <w:r w:rsidR="00095709">
              <w:rPr>
                <w:rFonts w:ascii="Calibri" w:hAnsi="Calibri" w:cs="Calibri"/>
                <w:b/>
                <w:sz w:val="22"/>
                <w:szCs w:val="22"/>
              </w:rPr>
              <w:t>: (1)</w:t>
            </w:r>
            <w:r w:rsidRPr="007104AB">
              <w:rPr>
                <w:rFonts w:ascii="Calibri" w:hAnsi="Calibri" w:cs="Calibri"/>
                <w:b/>
                <w:sz w:val="22"/>
                <w:szCs w:val="22"/>
              </w:rPr>
              <w:t xml:space="preserve">, because they were unable to use a phone line, </w:t>
            </w:r>
            <w:proofErr w:type="spellStart"/>
            <w:r w:rsidRPr="007104AB">
              <w:rPr>
                <w:rFonts w:ascii="Calibri" w:hAnsi="Calibri" w:cs="Calibri"/>
                <w:b/>
                <w:i/>
                <w:sz w:val="22"/>
                <w:szCs w:val="22"/>
              </w:rPr>
              <w:t>Mey</w:t>
            </w:r>
            <w:proofErr w:type="spellEnd"/>
            <w:r w:rsidRPr="007104AB">
              <w:rPr>
                <w:rFonts w:ascii="Calibri" w:hAnsi="Calibri" w:cs="Calibri"/>
                <w:b/>
                <w:i/>
                <w:sz w:val="22"/>
                <w:szCs w:val="22"/>
              </w:rPr>
              <w:t xml:space="preserve"> v. Got Warranty</w:t>
            </w:r>
            <w:r w:rsidRPr="007104AB">
              <w:rPr>
                <w:rFonts w:ascii="Calibri" w:hAnsi="Calibri" w:cs="Calibri"/>
                <w:b/>
                <w:sz w:val="22"/>
                <w:szCs w:val="22"/>
              </w:rPr>
              <w:t xml:space="preserve"> (N.D. W. Va. 2016); </w:t>
            </w:r>
            <w:r w:rsidR="00095709">
              <w:rPr>
                <w:rFonts w:ascii="Calibri" w:hAnsi="Calibri" w:cs="Calibri"/>
                <w:b/>
                <w:sz w:val="22"/>
                <w:szCs w:val="22"/>
              </w:rPr>
              <w:t>(2) </w:t>
            </w:r>
            <w:r w:rsidRPr="007104AB">
              <w:rPr>
                <w:rFonts w:ascii="Calibri" w:hAnsi="Calibri" w:cs="Calibri"/>
                <w:b/>
                <w:sz w:val="22"/>
                <w:szCs w:val="22"/>
              </w:rPr>
              <w:t xml:space="preserve">because of “aggravation” caused by an intrusion on privacy, </w:t>
            </w:r>
            <w:r w:rsidRPr="007104AB">
              <w:rPr>
                <w:rFonts w:ascii="Calibri" w:hAnsi="Calibri" w:cs="Calibri"/>
                <w:b/>
                <w:i/>
                <w:sz w:val="22"/>
                <w:szCs w:val="22"/>
              </w:rPr>
              <w:t>Van Patten v. Vertical Fitness Grp</w:t>
            </w:r>
            <w:r w:rsidR="00B91217" w:rsidRPr="007104AB">
              <w:rPr>
                <w:rFonts w:ascii="Calibri" w:hAnsi="Calibri" w:cs="Calibri"/>
                <w:b/>
                <w:i/>
                <w:sz w:val="22"/>
                <w:szCs w:val="22"/>
              </w:rPr>
              <w:t>.</w:t>
            </w:r>
            <w:r w:rsidR="00B91217" w:rsidRPr="007104AB">
              <w:rPr>
                <w:rFonts w:ascii="Calibri" w:hAnsi="Calibri" w:cs="Calibri"/>
                <w:b/>
                <w:sz w:val="22"/>
                <w:szCs w:val="22"/>
              </w:rPr>
              <w:t xml:space="preserve">  </w:t>
            </w:r>
            <w:r w:rsidRPr="007104AB">
              <w:rPr>
                <w:rFonts w:ascii="Calibri" w:hAnsi="Calibri" w:cs="Calibri"/>
                <w:b/>
                <w:sz w:val="22"/>
                <w:szCs w:val="22"/>
              </w:rPr>
              <w:t>(9th Cir. 2017);</w:t>
            </w:r>
            <w:r w:rsidR="00095709">
              <w:rPr>
                <w:rFonts w:ascii="Calibri" w:hAnsi="Calibri" w:cs="Calibri"/>
                <w:b/>
                <w:sz w:val="22"/>
                <w:szCs w:val="22"/>
              </w:rPr>
              <w:t xml:space="preserve"> (3) </w:t>
            </w:r>
            <w:r w:rsidRPr="007104AB">
              <w:rPr>
                <w:rFonts w:ascii="Calibri" w:hAnsi="Calibri" w:cs="Calibri"/>
                <w:b/>
                <w:sz w:val="22"/>
                <w:szCs w:val="22"/>
              </w:rPr>
              <w:t>or</w:t>
            </w:r>
            <w:r>
              <w:rPr>
                <w:rFonts w:ascii="Calibri" w:hAnsi="Calibri" w:cs="Calibri"/>
                <w:b/>
                <w:sz w:val="22"/>
                <w:szCs w:val="22"/>
              </w:rPr>
              <w:t xml:space="preserve"> </w:t>
            </w:r>
            <w:r w:rsidRPr="007104AB">
              <w:rPr>
                <w:rFonts w:ascii="Calibri" w:hAnsi="Calibri" w:cs="Calibri"/>
                <w:b/>
                <w:sz w:val="22"/>
                <w:szCs w:val="22"/>
              </w:rPr>
              <w:t xml:space="preserve">because they incurred actual costs, </w:t>
            </w:r>
            <w:r w:rsidRPr="007104AB">
              <w:rPr>
                <w:rFonts w:ascii="Calibri" w:hAnsi="Calibri" w:cs="Calibri"/>
                <w:b/>
                <w:i/>
                <w:sz w:val="22"/>
                <w:szCs w:val="22"/>
              </w:rPr>
              <w:t>F</w:t>
            </w:r>
            <w:r>
              <w:rPr>
                <w:rFonts w:ascii="Calibri" w:hAnsi="Calibri" w:cs="Calibri"/>
                <w:b/>
                <w:i/>
                <w:sz w:val="22"/>
                <w:szCs w:val="22"/>
              </w:rPr>
              <w:t xml:space="preserve">lorence Endocrine Clinic </w:t>
            </w:r>
            <w:r w:rsidRPr="007104AB">
              <w:rPr>
                <w:rFonts w:ascii="Calibri" w:hAnsi="Calibri" w:cs="Calibri"/>
                <w:b/>
                <w:sz w:val="22"/>
                <w:szCs w:val="22"/>
              </w:rPr>
              <w:t>(11th Cir. 2017)</w:t>
            </w:r>
            <w:r w:rsidR="00B91217" w:rsidRPr="007104AB">
              <w:rPr>
                <w:rFonts w:ascii="Calibri" w:hAnsi="Calibri" w:cs="Calibri"/>
                <w:b/>
                <w:sz w:val="22"/>
                <w:szCs w:val="22"/>
              </w:rPr>
              <w:t>.</w:t>
            </w:r>
            <w:r w:rsidR="00B91217">
              <w:rPr>
                <w:rFonts w:ascii="Calibri" w:hAnsi="Calibri" w:cs="Calibri"/>
                <w:b/>
                <w:sz w:val="22"/>
                <w:szCs w:val="22"/>
              </w:rPr>
              <w:t xml:space="preserve">  </w:t>
            </w:r>
            <w:r>
              <w:rPr>
                <w:rFonts w:ascii="Calibri" w:hAnsi="Calibri" w:cs="Calibri"/>
                <w:b/>
                <w:sz w:val="22"/>
                <w:szCs w:val="22"/>
              </w:rPr>
              <w:t>This makes sense—</w:t>
            </w:r>
            <w:r w:rsidRPr="007104AB">
              <w:rPr>
                <w:rFonts w:ascii="Calibri" w:hAnsi="Calibri" w:cs="Calibri"/>
                <w:b/>
                <w:sz w:val="22"/>
                <w:szCs w:val="22"/>
              </w:rPr>
              <w:t>a phone ringing in an empty house creates no injury</w:t>
            </w:r>
            <w:r>
              <w:rPr>
                <w:rFonts w:ascii="Calibri" w:hAnsi="Calibri" w:cs="Calibri"/>
                <w:b/>
                <w:sz w:val="22"/>
                <w:szCs w:val="22"/>
              </w:rPr>
              <w:t>.</w:t>
            </w:r>
          </w:p>
        </w:tc>
      </w:tr>
      <w:tr w:rsidR="007104AB" w:rsidRPr="00907D75" w14:paraId="58EB4FCD" w14:textId="77777777" w:rsidTr="008649A2">
        <w:trPr>
          <w:trHeight w:val="4795"/>
        </w:trPr>
        <w:tc>
          <w:tcPr>
            <w:tcW w:w="5805" w:type="dxa"/>
            <w:vAlign w:val="center"/>
          </w:tcPr>
          <w:p w14:paraId="719420A0" w14:textId="2E717517" w:rsidR="007104AB" w:rsidRDefault="00831301" w:rsidP="00525419">
            <w:pPr>
              <w:pStyle w:val="O-BodyText"/>
              <w:spacing w:after="120"/>
              <w:ind w:right="200"/>
              <w:jc w:val="both"/>
              <w:rPr>
                <w:rFonts w:ascii="Calibri" w:hAnsi="Calibri" w:cs="Calibri"/>
                <w:b/>
                <w:sz w:val="28"/>
                <w:szCs w:val="28"/>
              </w:rPr>
            </w:pPr>
            <w:r>
              <w:rPr>
                <w:rFonts w:ascii="Calibri" w:hAnsi="Calibri" w:cs="Calibri"/>
                <w:b/>
                <w:sz w:val="28"/>
                <w:szCs w:val="28"/>
              </w:rPr>
              <w:t>Was injury shown in this case?</w:t>
            </w:r>
          </w:p>
        </w:tc>
        <w:tc>
          <w:tcPr>
            <w:tcW w:w="5805" w:type="dxa"/>
            <w:vAlign w:val="center"/>
          </w:tcPr>
          <w:p w14:paraId="5AB47B4E" w14:textId="009CBA08" w:rsidR="007104AB" w:rsidRDefault="0083130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831301">
              <w:rPr>
                <w:rFonts w:ascii="Calibri" w:hAnsi="Calibri" w:cs="Calibri"/>
                <w:b/>
                <w:sz w:val="22"/>
                <w:szCs w:val="22"/>
              </w:rPr>
              <w:t>The court acknowledged</w:t>
            </w:r>
            <w:r>
              <w:rPr>
                <w:rFonts w:ascii="Calibri" w:hAnsi="Calibri" w:cs="Calibri"/>
                <w:b/>
                <w:sz w:val="22"/>
                <w:szCs w:val="22"/>
              </w:rPr>
              <w:t xml:space="preserve"> </w:t>
            </w:r>
            <w:r w:rsidRPr="00831301">
              <w:rPr>
                <w:rFonts w:ascii="Calibri" w:hAnsi="Calibri" w:cs="Calibri"/>
                <w:b/>
                <w:sz w:val="22"/>
                <w:szCs w:val="22"/>
              </w:rPr>
              <w:t>that members of the certified class did not necessarily pick up or hear ringing every call at issue in this case.</w:t>
            </w:r>
            <w:r w:rsidR="00095709">
              <w:rPr>
                <w:rFonts w:ascii="Calibri" w:hAnsi="Calibri" w:cs="Calibri"/>
                <w:b/>
                <w:sz w:val="22"/>
                <w:szCs w:val="22"/>
              </w:rPr>
              <w:t xml:space="preserve"> </w:t>
            </w:r>
            <w:r w:rsidR="00CF6975">
              <w:rPr>
                <w:rFonts w:ascii="Calibri" w:hAnsi="Calibri" w:cs="Calibri"/>
                <w:b/>
                <w:sz w:val="22"/>
                <w:szCs w:val="22"/>
              </w:rPr>
              <w:t xml:space="preserve"> </w:t>
            </w:r>
            <w:r w:rsidR="00095709">
              <w:rPr>
                <w:rFonts w:ascii="Calibri" w:hAnsi="Calibri" w:cs="Calibri"/>
                <w:b/>
                <w:sz w:val="22"/>
                <w:szCs w:val="22"/>
              </w:rPr>
              <w:t xml:space="preserve">But </w:t>
            </w:r>
            <w:r w:rsidRPr="00831301">
              <w:rPr>
                <w:rFonts w:ascii="Calibri" w:hAnsi="Calibri" w:cs="Calibri"/>
                <w:b/>
                <w:sz w:val="22"/>
                <w:szCs w:val="22"/>
              </w:rPr>
              <w:t xml:space="preserve">the court found standing based on some </w:t>
            </w:r>
            <w:r w:rsidRPr="00831301">
              <w:rPr>
                <w:rFonts w:ascii="Calibri" w:hAnsi="Calibri" w:cs="Calibri"/>
                <w:b/>
                <w:i/>
                <w:sz w:val="22"/>
                <w:szCs w:val="22"/>
              </w:rPr>
              <w:t>past</w:t>
            </w:r>
            <w:r w:rsidRPr="00831301">
              <w:rPr>
                <w:rFonts w:ascii="Calibri" w:hAnsi="Calibri" w:cs="Calibri"/>
                <w:b/>
                <w:sz w:val="22"/>
                <w:szCs w:val="22"/>
              </w:rPr>
              <w:t xml:space="preserve"> </w:t>
            </w:r>
            <w:r w:rsidRPr="00831301">
              <w:rPr>
                <w:rFonts w:ascii="Calibri" w:hAnsi="Calibri" w:cs="Calibri"/>
                <w:b/>
                <w:i/>
                <w:sz w:val="22"/>
                <w:szCs w:val="22"/>
              </w:rPr>
              <w:t>risk</w:t>
            </w:r>
            <w:r w:rsidRPr="00831301">
              <w:rPr>
                <w:rFonts w:ascii="Calibri" w:hAnsi="Calibri" w:cs="Calibri"/>
                <w:b/>
                <w:sz w:val="22"/>
                <w:szCs w:val="22"/>
              </w:rPr>
              <w:t xml:space="preserve"> of an injury to privacy.</w:t>
            </w:r>
            <w:r>
              <w:rPr>
                <w:rFonts w:ascii="Calibri" w:hAnsi="Calibri" w:cs="Calibri"/>
                <w:b/>
                <w:sz w:val="22"/>
                <w:szCs w:val="22"/>
              </w:rPr>
              <w:t xml:space="preserve"> </w:t>
            </w:r>
            <w:r w:rsidR="00095709">
              <w:rPr>
                <w:rFonts w:ascii="Calibri" w:hAnsi="Calibri" w:cs="Calibri"/>
                <w:b/>
                <w:sz w:val="22"/>
                <w:szCs w:val="22"/>
              </w:rPr>
              <w:t xml:space="preserve"> </w:t>
            </w:r>
            <w:r w:rsidRPr="00831301">
              <w:rPr>
                <w:rFonts w:ascii="Calibri" w:hAnsi="Calibri" w:cs="Calibri"/>
                <w:b/>
                <w:sz w:val="22"/>
                <w:szCs w:val="22"/>
              </w:rPr>
              <w:t>That was legal error.</w:t>
            </w:r>
          </w:p>
        </w:tc>
      </w:tr>
      <w:tr w:rsidR="00A34CBD" w:rsidRPr="00907D75" w14:paraId="75F42A9D" w14:textId="77777777" w:rsidTr="008649A2">
        <w:trPr>
          <w:trHeight w:val="4795"/>
        </w:trPr>
        <w:tc>
          <w:tcPr>
            <w:tcW w:w="5805" w:type="dxa"/>
            <w:vAlign w:val="center"/>
          </w:tcPr>
          <w:p w14:paraId="3561F4D8" w14:textId="212F29AE" w:rsidR="00A34CBD" w:rsidRDefault="00A34C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Can </w:t>
            </w:r>
            <w:r w:rsidRPr="00A34CBD">
              <w:rPr>
                <w:rFonts w:ascii="Calibri" w:hAnsi="Calibri" w:cs="Calibri"/>
                <w:b/>
                <w:i/>
                <w:sz w:val="28"/>
                <w:szCs w:val="28"/>
              </w:rPr>
              <w:t>risk</w:t>
            </w:r>
            <w:r>
              <w:rPr>
                <w:rFonts w:ascii="Calibri" w:hAnsi="Calibri" w:cs="Calibri"/>
                <w:b/>
                <w:sz w:val="28"/>
                <w:szCs w:val="28"/>
              </w:rPr>
              <w:t xml:space="preserve"> of injury establish standing?</w:t>
            </w:r>
          </w:p>
        </w:tc>
        <w:tc>
          <w:tcPr>
            <w:tcW w:w="5805" w:type="dxa"/>
            <w:vAlign w:val="center"/>
          </w:tcPr>
          <w:p w14:paraId="09FACF6C" w14:textId="766DA452" w:rsidR="00A34CBD" w:rsidRDefault="00A34CBD" w:rsidP="00525419">
            <w:pPr>
              <w:pStyle w:val="O-BodyText"/>
              <w:spacing w:after="120"/>
              <w:ind w:left="290" w:right="65"/>
              <w:jc w:val="both"/>
              <w:rPr>
                <w:rFonts w:ascii="Calibri" w:hAnsi="Calibri" w:cs="Calibri"/>
                <w:b/>
                <w:sz w:val="22"/>
                <w:szCs w:val="22"/>
              </w:rPr>
            </w:pPr>
            <w:r w:rsidRPr="00A34CBD">
              <w:rPr>
                <w:rFonts w:ascii="Calibri" w:hAnsi="Calibri" w:cs="Calibri"/>
                <w:b/>
                <w:sz w:val="22"/>
                <w:szCs w:val="22"/>
              </w:rPr>
              <w:t>“Risk of</w:t>
            </w:r>
            <w:r>
              <w:rPr>
                <w:rFonts w:ascii="Calibri" w:hAnsi="Calibri" w:cs="Calibri"/>
                <w:b/>
                <w:sz w:val="22"/>
                <w:szCs w:val="22"/>
              </w:rPr>
              <w:t xml:space="preserve"> </w:t>
            </w:r>
            <w:r w:rsidRPr="00A34CBD">
              <w:rPr>
                <w:rFonts w:ascii="Calibri" w:hAnsi="Calibri" w:cs="Calibri"/>
                <w:b/>
                <w:sz w:val="22"/>
                <w:szCs w:val="22"/>
              </w:rPr>
              <w:t xml:space="preserve">injury” can sometimes establish standing when a plaintiff complains of threatened </w:t>
            </w:r>
            <w:r w:rsidRPr="00A34CBD">
              <w:rPr>
                <w:rFonts w:ascii="Calibri" w:hAnsi="Calibri" w:cs="Calibri"/>
                <w:b/>
                <w:i/>
                <w:sz w:val="22"/>
                <w:szCs w:val="22"/>
              </w:rPr>
              <w:t xml:space="preserve">future </w:t>
            </w:r>
            <w:r w:rsidRPr="00A34CBD">
              <w:rPr>
                <w:rFonts w:ascii="Calibri" w:hAnsi="Calibri" w:cs="Calibri"/>
                <w:b/>
                <w:sz w:val="22"/>
                <w:szCs w:val="22"/>
              </w:rPr>
              <w:t xml:space="preserve">harm.  </w:t>
            </w:r>
            <w:r w:rsidRPr="00A34CBD">
              <w:rPr>
                <w:rFonts w:ascii="Calibri" w:hAnsi="Calibri" w:cs="Calibri"/>
                <w:b/>
                <w:i/>
                <w:sz w:val="22"/>
                <w:szCs w:val="22"/>
              </w:rPr>
              <w:t>See Clapper v. Amnesty Int’l USA</w:t>
            </w:r>
            <w:r w:rsidRPr="00A34CBD">
              <w:rPr>
                <w:rFonts w:ascii="Calibri" w:hAnsi="Calibri" w:cs="Calibri"/>
                <w:b/>
                <w:sz w:val="22"/>
                <w:szCs w:val="22"/>
              </w:rPr>
              <w:t xml:space="preserve"> (</w:t>
            </w:r>
            <w:r>
              <w:rPr>
                <w:rFonts w:ascii="Calibri" w:hAnsi="Calibri" w:cs="Calibri"/>
                <w:b/>
                <w:sz w:val="22"/>
                <w:szCs w:val="22"/>
              </w:rPr>
              <w:t xml:space="preserve">S. Ct. </w:t>
            </w:r>
            <w:r w:rsidRPr="00A34CBD">
              <w:rPr>
                <w:rFonts w:ascii="Calibri" w:hAnsi="Calibri" w:cs="Calibri"/>
                <w:b/>
                <w:sz w:val="22"/>
                <w:szCs w:val="22"/>
              </w:rPr>
              <w:t>2013)</w:t>
            </w:r>
            <w:r>
              <w:rPr>
                <w:rFonts w:ascii="Calibri" w:hAnsi="Calibri" w:cs="Calibri"/>
                <w:b/>
                <w:sz w:val="22"/>
                <w:szCs w:val="22"/>
              </w:rPr>
              <w:t xml:space="preserve">; </w:t>
            </w:r>
            <w:r w:rsidRPr="00A34CBD">
              <w:rPr>
                <w:rFonts w:ascii="Calibri" w:hAnsi="Calibri" w:cs="Calibri"/>
                <w:b/>
                <w:i/>
                <w:sz w:val="22"/>
                <w:szCs w:val="22"/>
              </w:rPr>
              <w:t>O’Shea v. Littleton</w:t>
            </w:r>
            <w:r w:rsidRPr="00A34CBD">
              <w:rPr>
                <w:rFonts w:ascii="Calibri" w:hAnsi="Calibri" w:cs="Calibri"/>
                <w:b/>
                <w:sz w:val="22"/>
                <w:szCs w:val="22"/>
              </w:rPr>
              <w:t xml:space="preserve"> (</w:t>
            </w:r>
            <w:r>
              <w:rPr>
                <w:rFonts w:ascii="Calibri" w:hAnsi="Calibri" w:cs="Calibri"/>
                <w:b/>
                <w:sz w:val="22"/>
                <w:szCs w:val="22"/>
              </w:rPr>
              <w:t xml:space="preserve">S. Ct. </w:t>
            </w:r>
            <w:r w:rsidR="00D015C0">
              <w:rPr>
                <w:rFonts w:ascii="Calibri" w:hAnsi="Calibri" w:cs="Calibri"/>
                <w:b/>
                <w:sz w:val="22"/>
                <w:szCs w:val="22"/>
              </w:rPr>
              <w:t>1974)</w:t>
            </w:r>
            <w:r w:rsidR="006122CB">
              <w:rPr>
                <w:rFonts w:ascii="Calibri" w:hAnsi="Calibri" w:cs="Calibri"/>
                <w:b/>
                <w:sz w:val="22"/>
                <w:szCs w:val="22"/>
              </w:rPr>
              <w:t xml:space="preserve">.  </w:t>
            </w:r>
            <w:r w:rsidR="00D015C0" w:rsidRPr="00D015C0">
              <w:rPr>
                <w:rFonts w:ascii="Calibri" w:hAnsi="Calibri" w:cs="Calibri"/>
                <w:b/>
                <w:sz w:val="22"/>
                <w:szCs w:val="22"/>
              </w:rPr>
              <w:t xml:space="preserve">But when a plaintiff seeks relief for alleged </w:t>
            </w:r>
            <w:r w:rsidR="00D015C0" w:rsidRPr="00D015C0">
              <w:rPr>
                <w:rFonts w:ascii="Calibri" w:hAnsi="Calibri" w:cs="Calibri"/>
                <w:b/>
                <w:i/>
                <w:sz w:val="22"/>
                <w:szCs w:val="22"/>
              </w:rPr>
              <w:t>past</w:t>
            </w:r>
            <w:r w:rsidR="00443BE4">
              <w:rPr>
                <w:rFonts w:ascii="Calibri" w:hAnsi="Calibri" w:cs="Calibri"/>
                <w:b/>
                <w:sz w:val="22"/>
                <w:szCs w:val="22"/>
              </w:rPr>
              <w:t xml:space="preserve"> harm, the </w:t>
            </w:r>
            <w:r w:rsidR="00D015C0" w:rsidRPr="00443BE4">
              <w:rPr>
                <w:rFonts w:ascii="Calibri" w:hAnsi="Calibri" w:cs="Calibri"/>
                <w:b/>
                <w:i/>
                <w:sz w:val="22"/>
                <w:szCs w:val="22"/>
              </w:rPr>
              <w:t>risk</w:t>
            </w:r>
            <w:r w:rsidR="00D015C0" w:rsidRPr="00D015C0">
              <w:rPr>
                <w:rFonts w:ascii="Calibri" w:hAnsi="Calibri" w:cs="Calibri"/>
                <w:b/>
                <w:sz w:val="22"/>
                <w:szCs w:val="22"/>
              </w:rPr>
              <w:t xml:space="preserve"> that such harm might have happened is irrelevant.</w:t>
            </w:r>
          </w:p>
        </w:tc>
      </w:tr>
      <w:tr w:rsidR="00A34CBD" w:rsidRPr="00907D75" w14:paraId="2264426D" w14:textId="77777777" w:rsidTr="008649A2">
        <w:trPr>
          <w:trHeight w:val="4795"/>
        </w:trPr>
        <w:tc>
          <w:tcPr>
            <w:tcW w:w="5805" w:type="dxa"/>
            <w:vAlign w:val="center"/>
          </w:tcPr>
          <w:p w14:paraId="36C76658" w14:textId="1600F5EC" w:rsidR="00A34CBD" w:rsidRDefault="00A34C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kind of injury was required in </w:t>
            </w:r>
            <w:r w:rsidRPr="00A34CBD">
              <w:rPr>
                <w:rFonts w:ascii="Calibri" w:hAnsi="Calibri" w:cs="Calibri"/>
                <w:b/>
                <w:i/>
                <w:sz w:val="28"/>
                <w:szCs w:val="28"/>
              </w:rPr>
              <w:t>Clapper</w:t>
            </w:r>
            <w:r>
              <w:rPr>
                <w:rFonts w:ascii="Calibri" w:hAnsi="Calibri" w:cs="Calibri"/>
                <w:b/>
                <w:sz w:val="28"/>
                <w:szCs w:val="28"/>
              </w:rPr>
              <w:t xml:space="preserve"> </w:t>
            </w:r>
            <w:r w:rsidR="00443BE4" w:rsidRPr="00443BE4">
              <w:rPr>
                <w:rFonts w:ascii="Calibri" w:hAnsi="Calibri" w:cs="Calibri"/>
                <w:b/>
                <w:i/>
                <w:sz w:val="28"/>
                <w:szCs w:val="28"/>
              </w:rPr>
              <w:t>v. Amnesty Int’l USA</w:t>
            </w:r>
            <w:r w:rsidR="00443BE4" w:rsidRPr="00443BE4">
              <w:rPr>
                <w:rFonts w:ascii="Calibri" w:hAnsi="Calibri" w:cs="Calibri"/>
                <w:b/>
                <w:sz w:val="28"/>
                <w:szCs w:val="28"/>
              </w:rPr>
              <w:t xml:space="preserve"> </w:t>
            </w:r>
            <w:r>
              <w:rPr>
                <w:rFonts w:ascii="Calibri" w:hAnsi="Calibri" w:cs="Calibri"/>
                <w:b/>
                <w:sz w:val="28"/>
                <w:szCs w:val="28"/>
              </w:rPr>
              <w:t>(S. Ct. 2013)?</w:t>
            </w:r>
          </w:p>
        </w:tc>
        <w:tc>
          <w:tcPr>
            <w:tcW w:w="5805" w:type="dxa"/>
            <w:vAlign w:val="center"/>
          </w:tcPr>
          <w:p w14:paraId="1AAE0E38" w14:textId="43CDCD2D" w:rsidR="00A34CBD" w:rsidRDefault="00A34C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A34CBD">
              <w:rPr>
                <w:rFonts w:ascii="Calibri" w:hAnsi="Calibri" w:cs="Calibri"/>
                <w:b/>
                <w:i/>
                <w:sz w:val="22"/>
                <w:szCs w:val="22"/>
              </w:rPr>
              <w:t>Clapper</w:t>
            </w:r>
            <w:r>
              <w:rPr>
                <w:rFonts w:ascii="Calibri" w:hAnsi="Calibri" w:cs="Calibri"/>
                <w:b/>
                <w:sz w:val="22"/>
                <w:szCs w:val="22"/>
              </w:rPr>
              <w:t xml:space="preserve"> </w:t>
            </w:r>
            <w:r w:rsidR="00443BE4" w:rsidRPr="00A34CBD">
              <w:rPr>
                <w:rFonts w:ascii="Calibri" w:hAnsi="Calibri" w:cs="Calibri"/>
                <w:b/>
                <w:i/>
                <w:sz w:val="22"/>
                <w:szCs w:val="22"/>
              </w:rPr>
              <w:t>v. Amnesty Int’l USA</w:t>
            </w:r>
            <w:r w:rsidR="00443BE4" w:rsidRPr="00A34CBD">
              <w:rPr>
                <w:rFonts w:ascii="Calibri" w:hAnsi="Calibri" w:cs="Calibri"/>
                <w:b/>
                <w:sz w:val="22"/>
                <w:szCs w:val="22"/>
              </w:rPr>
              <w:t xml:space="preserve"> </w:t>
            </w:r>
            <w:r>
              <w:rPr>
                <w:rFonts w:ascii="Calibri" w:hAnsi="Calibri" w:cs="Calibri"/>
                <w:b/>
                <w:sz w:val="22"/>
                <w:szCs w:val="22"/>
              </w:rPr>
              <w:t xml:space="preserve">(2013), the Supreme Court required </w:t>
            </w:r>
            <w:r w:rsidRPr="00A34CBD">
              <w:rPr>
                <w:rFonts w:ascii="Calibri" w:hAnsi="Calibri" w:cs="Calibri"/>
                <w:b/>
                <w:sz w:val="22"/>
                <w:szCs w:val="22"/>
              </w:rPr>
              <w:t xml:space="preserve">a non-speculative </w:t>
            </w:r>
            <w:r w:rsidR="00443BE4">
              <w:rPr>
                <w:rFonts w:ascii="Calibri" w:hAnsi="Calibri" w:cs="Calibri"/>
                <w:b/>
                <w:sz w:val="22"/>
                <w:szCs w:val="22"/>
              </w:rPr>
              <w:t>risk</w:t>
            </w:r>
            <w:r w:rsidRPr="00A34CBD">
              <w:rPr>
                <w:rFonts w:ascii="Calibri" w:hAnsi="Calibri" w:cs="Calibri"/>
                <w:b/>
                <w:sz w:val="22"/>
                <w:szCs w:val="22"/>
              </w:rPr>
              <w:t xml:space="preserve"> of injury that is “certainly imp</w:t>
            </w:r>
            <w:r>
              <w:rPr>
                <w:rFonts w:ascii="Calibri" w:hAnsi="Calibri" w:cs="Calibri"/>
                <w:b/>
                <w:sz w:val="22"/>
                <w:szCs w:val="22"/>
              </w:rPr>
              <w:t>ending.”</w:t>
            </w:r>
          </w:p>
        </w:tc>
      </w:tr>
      <w:tr w:rsidR="00A34CBD" w:rsidRPr="00907D75" w14:paraId="0BBB5B86" w14:textId="77777777" w:rsidTr="008649A2">
        <w:trPr>
          <w:trHeight w:val="4795"/>
        </w:trPr>
        <w:tc>
          <w:tcPr>
            <w:tcW w:w="5805" w:type="dxa"/>
            <w:vAlign w:val="center"/>
          </w:tcPr>
          <w:p w14:paraId="0911AFDE" w14:textId="2C666B87" w:rsidR="00A34CBD" w:rsidRDefault="00A34C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w:t>
            </w:r>
            <w:r w:rsidRPr="00A34CBD">
              <w:rPr>
                <w:rFonts w:ascii="Calibri" w:hAnsi="Calibri" w:cs="Calibri"/>
                <w:b/>
                <w:i/>
                <w:sz w:val="28"/>
                <w:szCs w:val="28"/>
              </w:rPr>
              <w:t>O’Shea</w:t>
            </w:r>
            <w:r w:rsidR="00443BE4" w:rsidRPr="00443BE4">
              <w:rPr>
                <w:rFonts w:ascii="Calibri" w:eastAsiaTheme="minorHAnsi" w:hAnsi="Calibri" w:cs="Calibri"/>
                <w:b/>
                <w:i/>
                <w:sz w:val="22"/>
                <w:szCs w:val="22"/>
              </w:rPr>
              <w:t xml:space="preserve"> </w:t>
            </w:r>
            <w:r w:rsidR="00443BE4" w:rsidRPr="00443BE4">
              <w:rPr>
                <w:rFonts w:ascii="Calibri" w:hAnsi="Calibri" w:cs="Calibri"/>
                <w:b/>
                <w:i/>
                <w:sz w:val="28"/>
                <w:szCs w:val="28"/>
              </w:rPr>
              <w:t>v. Littleton</w:t>
            </w:r>
            <w:r>
              <w:rPr>
                <w:rFonts w:ascii="Calibri" w:hAnsi="Calibri" w:cs="Calibri"/>
                <w:b/>
                <w:sz w:val="28"/>
                <w:szCs w:val="28"/>
              </w:rPr>
              <w:t xml:space="preserve"> (S. Ct. 1974) require for standing?</w:t>
            </w:r>
          </w:p>
        </w:tc>
        <w:tc>
          <w:tcPr>
            <w:tcW w:w="5805" w:type="dxa"/>
            <w:vAlign w:val="center"/>
          </w:tcPr>
          <w:p w14:paraId="06948B94" w14:textId="2DAAF5BE" w:rsidR="00A34CBD" w:rsidRDefault="00A34C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A34CBD">
              <w:rPr>
                <w:rFonts w:ascii="Calibri" w:hAnsi="Calibri" w:cs="Calibri"/>
                <w:b/>
                <w:i/>
                <w:sz w:val="22"/>
                <w:szCs w:val="22"/>
              </w:rPr>
              <w:t>O’Shea</w:t>
            </w:r>
            <w:r>
              <w:rPr>
                <w:rFonts w:ascii="Calibri" w:hAnsi="Calibri" w:cs="Calibri"/>
                <w:b/>
                <w:sz w:val="22"/>
                <w:szCs w:val="22"/>
              </w:rPr>
              <w:t xml:space="preserve"> </w:t>
            </w:r>
            <w:r w:rsidR="00443BE4" w:rsidRPr="00A34CBD">
              <w:rPr>
                <w:rFonts w:ascii="Calibri" w:hAnsi="Calibri" w:cs="Calibri"/>
                <w:b/>
                <w:i/>
                <w:sz w:val="22"/>
                <w:szCs w:val="22"/>
              </w:rPr>
              <w:t>v. Littleton</w:t>
            </w:r>
            <w:r w:rsidR="00443BE4" w:rsidRPr="00A34CBD">
              <w:rPr>
                <w:rFonts w:ascii="Calibri" w:hAnsi="Calibri" w:cs="Calibri"/>
                <w:b/>
                <w:sz w:val="22"/>
                <w:szCs w:val="22"/>
              </w:rPr>
              <w:t xml:space="preserve"> </w:t>
            </w:r>
            <w:r>
              <w:rPr>
                <w:rFonts w:ascii="Calibri" w:hAnsi="Calibri" w:cs="Calibri"/>
                <w:b/>
                <w:sz w:val="22"/>
                <w:szCs w:val="22"/>
              </w:rPr>
              <w:t xml:space="preserve">(S. Ct. 1974), the Supreme Court stated: </w:t>
            </w:r>
            <w:r w:rsidRPr="00A34CBD">
              <w:rPr>
                <w:rFonts w:ascii="Calibri" w:hAnsi="Calibri" w:cs="Calibri"/>
                <w:b/>
                <w:sz w:val="22"/>
                <w:szCs w:val="22"/>
              </w:rPr>
              <w:t xml:space="preserve">“It must be alleged that the plaintiff has sustained or is immediately in danger of </w:t>
            </w:r>
            <w:r>
              <w:rPr>
                <w:rFonts w:ascii="Calibri" w:hAnsi="Calibri" w:cs="Calibri"/>
                <w:b/>
                <w:sz w:val="22"/>
                <w:szCs w:val="22"/>
              </w:rPr>
              <w:t>sustaining some direct injury.”</w:t>
            </w:r>
          </w:p>
        </w:tc>
      </w:tr>
      <w:tr w:rsidR="00D015C0" w:rsidRPr="00907D75" w14:paraId="548F8C9C" w14:textId="77777777" w:rsidTr="008649A2">
        <w:trPr>
          <w:trHeight w:val="4795"/>
        </w:trPr>
        <w:tc>
          <w:tcPr>
            <w:tcW w:w="5805" w:type="dxa"/>
            <w:vAlign w:val="center"/>
          </w:tcPr>
          <w:p w14:paraId="379F4FD4" w14:textId="12A23299" w:rsidR="00D015C0" w:rsidRDefault="00D015C0"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Why is the </w:t>
            </w:r>
            <w:r w:rsidRPr="00443BE4">
              <w:rPr>
                <w:rFonts w:ascii="Calibri" w:hAnsi="Calibri" w:cs="Calibri"/>
                <w:b/>
                <w:i/>
                <w:sz w:val="28"/>
                <w:szCs w:val="28"/>
              </w:rPr>
              <w:t>risk</w:t>
            </w:r>
            <w:r>
              <w:rPr>
                <w:rFonts w:ascii="Calibri" w:hAnsi="Calibri" w:cs="Calibri"/>
                <w:b/>
                <w:sz w:val="28"/>
                <w:szCs w:val="28"/>
              </w:rPr>
              <w:t xml:space="preserve"> of harm irrelevant when a plaintiff seeks relief for </w:t>
            </w:r>
            <w:r w:rsidRPr="00443BE4">
              <w:rPr>
                <w:rFonts w:ascii="Calibri" w:hAnsi="Calibri" w:cs="Calibri"/>
                <w:b/>
                <w:i/>
                <w:sz w:val="28"/>
                <w:szCs w:val="28"/>
              </w:rPr>
              <w:t>past</w:t>
            </w:r>
            <w:r>
              <w:rPr>
                <w:rFonts w:ascii="Calibri" w:hAnsi="Calibri" w:cs="Calibri"/>
                <w:b/>
                <w:sz w:val="28"/>
                <w:szCs w:val="28"/>
              </w:rPr>
              <w:t xml:space="preserve"> harm?</w:t>
            </w:r>
          </w:p>
        </w:tc>
        <w:tc>
          <w:tcPr>
            <w:tcW w:w="5805" w:type="dxa"/>
            <w:vAlign w:val="center"/>
          </w:tcPr>
          <w:p w14:paraId="75C653F3" w14:textId="1CB99A1C" w:rsidR="00D015C0" w:rsidRDefault="00D015C0" w:rsidP="00525419">
            <w:pPr>
              <w:pStyle w:val="O-BodyText"/>
              <w:spacing w:after="120"/>
              <w:ind w:left="290" w:right="65"/>
              <w:jc w:val="both"/>
              <w:rPr>
                <w:rFonts w:ascii="Calibri" w:hAnsi="Calibri" w:cs="Calibri"/>
                <w:b/>
                <w:sz w:val="22"/>
                <w:szCs w:val="22"/>
              </w:rPr>
            </w:pPr>
            <w:r w:rsidRPr="00D015C0">
              <w:rPr>
                <w:rFonts w:ascii="Calibri" w:hAnsi="Calibri" w:cs="Calibri"/>
                <w:b/>
                <w:sz w:val="22"/>
                <w:szCs w:val="22"/>
              </w:rPr>
              <w:t xml:space="preserve">It amounts to saying, “I could have been hurt (even though I wasn’t).”  If the harm didn’t occur, there’s no injury.  </w:t>
            </w:r>
            <w:r w:rsidRPr="00D015C0">
              <w:rPr>
                <w:rFonts w:ascii="Calibri" w:hAnsi="Calibri" w:cs="Calibri"/>
                <w:b/>
                <w:i/>
                <w:sz w:val="22"/>
                <w:szCs w:val="22"/>
              </w:rPr>
              <w:t>See generally Summers v. Earth Island Inst.</w:t>
            </w:r>
            <w:r w:rsidRPr="00D015C0">
              <w:rPr>
                <w:rFonts w:ascii="Calibri" w:hAnsi="Calibri" w:cs="Calibri"/>
                <w:b/>
                <w:sz w:val="22"/>
                <w:szCs w:val="22"/>
              </w:rPr>
              <w:t xml:space="preserve"> (</w:t>
            </w:r>
            <w:r>
              <w:rPr>
                <w:rFonts w:ascii="Calibri" w:hAnsi="Calibri" w:cs="Calibri"/>
                <w:b/>
                <w:sz w:val="22"/>
                <w:szCs w:val="22"/>
              </w:rPr>
              <w:t xml:space="preserve">S. Ct. </w:t>
            </w:r>
            <w:r w:rsidRPr="00D015C0">
              <w:rPr>
                <w:rFonts w:ascii="Calibri" w:hAnsi="Calibri" w:cs="Calibri"/>
                <w:b/>
                <w:sz w:val="22"/>
                <w:szCs w:val="22"/>
              </w:rPr>
              <w:t>2009)</w:t>
            </w:r>
            <w:r>
              <w:rPr>
                <w:rFonts w:ascii="Calibri" w:hAnsi="Calibri" w:cs="Calibri"/>
                <w:b/>
                <w:sz w:val="22"/>
                <w:szCs w:val="22"/>
              </w:rPr>
              <w:t>.</w:t>
            </w:r>
          </w:p>
        </w:tc>
      </w:tr>
      <w:tr w:rsidR="00D015C0" w:rsidRPr="00907D75" w14:paraId="553891A7" w14:textId="77777777" w:rsidTr="008649A2">
        <w:trPr>
          <w:trHeight w:val="4795"/>
        </w:trPr>
        <w:tc>
          <w:tcPr>
            <w:tcW w:w="5805" w:type="dxa"/>
            <w:vAlign w:val="center"/>
          </w:tcPr>
          <w:p w14:paraId="5B2ABC73" w14:textId="6A8D4717" w:rsidR="00D015C0" w:rsidRDefault="00D015C0"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Supreme Court say about standing in </w:t>
            </w:r>
            <w:r w:rsidRPr="00D015C0">
              <w:rPr>
                <w:rFonts w:ascii="Calibri" w:hAnsi="Calibri" w:cs="Calibri"/>
                <w:b/>
                <w:i/>
                <w:sz w:val="28"/>
                <w:szCs w:val="28"/>
              </w:rPr>
              <w:t>Summers v. Earth Island Inst.</w:t>
            </w:r>
            <w:r w:rsidRPr="00D015C0">
              <w:rPr>
                <w:rFonts w:ascii="Calibri" w:hAnsi="Calibri" w:cs="Calibri"/>
                <w:b/>
                <w:sz w:val="28"/>
                <w:szCs w:val="28"/>
              </w:rPr>
              <w:t xml:space="preserve"> (S. Ct. 2009)</w:t>
            </w:r>
            <w:r>
              <w:rPr>
                <w:rFonts w:ascii="Calibri" w:hAnsi="Calibri" w:cs="Calibri"/>
                <w:b/>
                <w:sz w:val="28"/>
                <w:szCs w:val="28"/>
              </w:rPr>
              <w:t>?</w:t>
            </w:r>
          </w:p>
        </w:tc>
        <w:tc>
          <w:tcPr>
            <w:tcW w:w="5805" w:type="dxa"/>
            <w:vAlign w:val="center"/>
          </w:tcPr>
          <w:p w14:paraId="118C7A32" w14:textId="39B779C0" w:rsidR="00D015C0" w:rsidRPr="00D015C0" w:rsidRDefault="00D015C0"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00443BE4" w:rsidRPr="00D015C0">
              <w:rPr>
                <w:rFonts w:ascii="Calibri" w:hAnsi="Calibri" w:cs="Calibri"/>
                <w:b/>
                <w:i/>
                <w:sz w:val="22"/>
                <w:szCs w:val="22"/>
              </w:rPr>
              <w:t>Summers v. Earth Island Inst.</w:t>
            </w:r>
            <w:r w:rsidR="00443BE4" w:rsidRPr="00D015C0">
              <w:rPr>
                <w:rFonts w:ascii="Calibri" w:hAnsi="Calibri" w:cs="Calibri"/>
                <w:b/>
                <w:sz w:val="22"/>
                <w:szCs w:val="22"/>
              </w:rPr>
              <w:t xml:space="preserve"> </w:t>
            </w:r>
            <w:r>
              <w:rPr>
                <w:rFonts w:ascii="Calibri" w:hAnsi="Calibri" w:cs="Calibri"/>
                <w:b/>
                <w:sz w:val="22"/>
                <w:szCs w:val="22"/>
              </w:rPr>
              <w:t xml:space="preserve"> (S Ct. 2009), the Supreme Court explained: </w:t>
            </w:r>
            <w:r w:rsidRPr="00D015C0">
              <w:rPr>
                <w:rFonts w:ascii="Calibri" w:hAnsi="Calibri" w:cs="Calibri"/>
                <w:b/>
                <w:sz w:val="22"/>
                <w:szCs w:val="22"/>
              </w:rPr>
              <w:t>“Standing … is not an ingenious academic exercise in the conceivable</w:t>
            </w:r>
            <w:r w:rsidRPr="00D015C0">
              <w:rPr>
                <w:rFonts w:ascii="Century Schoolbook" w:hAnsi="Century Schoolbook" w:cs="Century Schoolbook"/>
                <w:color w:val="000000"/>
                <w:spacing w:val="-2"/>
                <w:sz w:val="28"/>
                <w:szCs w:val="24"/>
              </w:rPr>
              <w:t xml:space="preserve"> </w:t>
            </w:r>
            <w:r w:rsidRPr="00D015C0">
              <w:rPr>
                <w:rFonts w:ascii="Calibri" w:hAnsi="Calibri" w:cs="Calibri"/>
                <w:b/>
                <w:sz w:val="22"/>
                <w:szCs w:val="22"/>
              </w:rPr>
              <w:t>but requires a factual</w:t>
            </w:r>
            <w:r>
              <w:rPr>
                <w:rFonts w:ascii="Calibri" w:hAnsi="Calibri" w:cs="Calibri"/>
                <w:b/>
                <w:sz w:val="22"/>
                <w:szCs w:val="22"/>
              </w:rPr>
              <w:t xml:space="preserve"> showing of perceptible harm.”</w:t>
            </w:r>
            <w:r w:rsidRPr="00D015C0">
              <w:rPr>
                <w:rFonts w:ascii="Calibri" w:hAnsi="Calibri" w:cs="Calibri"/>
                <w:b/>
                <w:sz w:val="22"/>
                <w:szCs w:val="22"/>
              </w:rPr>
              <w:t xml:space="preserve">  The </w:t>
            </w:r>
            <w:r w:rsidR="00443BE4">
              <w:rPr>
                <w:rFonts w:ascii="Calibri" w:hAnsi="Calibri" w:cs="Calibri"/>
                <w:b/>
                <w:sz w:val="22"/>
                <w:szCs w:val="22"/>
              </w:rPr>
              <w:t xml:space="preserve">district </w:t>
            </w:r>
            <w:r>
              <w:rPr>
                <w:rFonts w:ascii="Calibri" w:hAnsi="Calibri" w:cs="Calibri"/>
                <w:b/>
                <w:sz w:val="22"/>
                <w:szCs w:val="22"/>
              </w:rPr>
              <w:t>c</w:t>
            </w:r>
            <w:r w:rsidRPr="00D015C0">
              <w:rPr>
                <w:rFonts w:ascii="Calibri" w:hAnsi="Calibri" w:cs="Calibri"/>
                <w:b/>
                <w:sz w:val="22"/>
                <w:szCs w:val="22"/>
              </w:rPr>
              <w:t>ourt’s contrary rule would nullify the requirement of injury in fact.</w:t>
            </w:r>
          </w:p>
        </w:tc>
      </w:tr>
      <w:tr w:rsidR="00D015C0" w:rsidRPr="00907D75" w14:paraId="3D86925A" w14:textId="77777777" w:rsidTr="008649A2">
        <w:trPr>
          <w:trHeight w:val="4795"/>
        </w:trPr>
        <w:tc>
          <w:tcPr>
            <w:tcW w:w="5805" w:type="dxa"/>
            <w:vAlign w:val="center"/>
          </w:tcPr>
          <w:p w14:paraId="1C4E3155" w14:textId="722FB8F2" w:rsidR="00D015C0" w:rsidRDefault="00D015C0" w:rsidP="00525419">
            <w:pPr>
              <w:pStyle w:val="O-BodyText"/>
              <w:spacing w:after="120"/>
              <w:ind w:right="200"/>
              <w:jc w:val="both"/>
              <w:rPr>
                <w:rFonts w:ascii="Calibri" w:hAnsi="Calibri" w:cs="Calibri"/>
                <w:b/>
                <w:sz w:val="28"/>
                <w:szCs w:val="28"/>
              </w:rPr>
            </w:pPr>
            <w:r>
              <w:rPr>
                <w:rFonts w:ascii="Calibri" w:hAnsi="Calibri" w:cs="Calibri"/>
                <w:b/>
                <w:sz w:val="28"/>
                <w:szCs w:val="28"/>
              </w:rPr>
              <w:t>You argue that the class was overbroad</w:t>
            </w:r>
            <w:r w:rsidR="006122CB">
              <w:rPr>
                <w:rFonts w:ascii="Calibri" w:hAnsi="Calibri" w:cs="Calibri"/>
                <w:b/>
                <w:sz w:val="28"/>
                <w:szCs w:val="28"/>
              </w:rPr>
              <w:t xml:space="preserve">.  </w:t>
            </w:r>
            <w:r>
              <w:rPr>
                <w:rFonts w:ascii="Calibri" w:hAnsi="Calibri" w:cs="Calibri"/>
                <w:b/>
                <w:sz w:val="28"/>
                <w:szCs w:val="28"/>
              </w:rPr>
              <w:t>How so?</w:t>
            </w:r>
          </w:p>
        </w:tc>
        <w:tc>
          <w:tcPr>
            <w:tcW w:w="5805" w:type="dxa"/>
            <w:vAlign w:val="center"/>
          </w:tcPr>
          <w:p w14:paraId="7EC743F2" w14:textId="037FD464" w:rsidR="00D015C0" w:rsidRPr="00D015C0" w:rsidRDefault="0037342F" w:rsidP="00525419">
            <w:pPr>
              <w:pStyle w:val="O-BodyText"/>
              <w:spacing w:after="120"/>
              <w:ind w:left="290" w:right="65"/>
              <w:jc w:val="both"/>
              <w:rPr>
                <w:rFonts w:ascii="Calibri" w:hAnsi="Calibri" w:cs="Calibri"/>
                <w:b/>
                <w:sz w:val="22"/>
                <w:szCs w:val="22"/>
              </w:rPr>
            </w:pPr>
            <w:r>
              <w:rPr>
                <w:rFonts w:ascii="Calibri" w:hAnsi="Calibri" w:cs="Calibri"/>
                <w:b/>
                <w:sz w:val="22"/>
                <w:szCs w:val="22"/>
              </w:rPr>
              <w:t>A</w:t>
            </w:r>
            <w:r w:rsidRPr="0037342F">
              <w:rPr>
                <w:rFonts w:ascii="Calibri" w:hAnsi="Calibri" w:cs="Calibri"/>
                <w:b/>
                <w:sz w:val="22"/>
                <w:szCs w:val="22"/>
              </w:rPr>
              <w:t xml:space="preserve"> class that includes</w:t>
            </w:r>
            <w:r>
              <w:rPr>
                <w:rFonts w:ascii="Calibri" w:hAnsi="Calibri" w:cs="Calibri"/>
                <w:b/>
                <w:sz w:val="22"/>
                <w:szCs w:val="22"/>
              </w:rPr>
              <w:t xml:space="preserve"> </w:t>
            </w:r>
            <w:r w:rsidRPr="0037342F">
              <w:rPr>
                <w:rFonts w:ascii="Calibri" w:hAnsi="Calibri" w:cs="Calibri"/>
                <w:b/>
                <w:sz w:val="22"/>
                <w:szCs w:val="22"/>
              </w:rPr>
              <w:t>non-subscribers includes members who have no cause of action</w:t>
            </w:r>
            <w:r w:rsidR="00443BE4">
              <w:rPr>
                <w:rFonts w:ascii="Calibri" w:hAnsi="Calibri" w:cs="Calibri"/>
                <w:b/>
                <w:sz w:val="22"/>
                <w:szCs w:val="22"/>
              </w:rPr>
              <w:t xml:space="preserve">.  </w:t>
            </w:r>
            <w:r w:rsidR="00F237F1" w:rsidRPr="00F237F1">
              <w:rPr>
                <w:rFonts w:ascii="Calibri" w:hAnsi="Calibri" w:cs="Calibri"/>
                <w:b/>
                <w:sz w:val="22"/>
                <w:szCs w:val="22"/>
              </w:rPr>
              <w:t xml:space="preserve">And by certifying a class of everyone “associated with” a phone number, </w:t>
            </w:r>
            <w:r w:rsidR="00F237F1">
              <w:rPr>
                <w:rFonts w:ascii="Calibri" w:hAnsi="Calibri" w:cs="Calibri"/>
                <w:b/>
                <w:sz w:val="22"/>
                <w:szCs w:val="22"/>
              </w:rPr>
              <w:t>the class</w:t>
            </w:r>
            <w:r w:rsidR="00F237F1" w:rsidRPr="00F237F1">
              <w:rPr>
                <w:rFonts w:ascii="Calibri" w:hAnsi="Calibri" w:cs="Calibri"/>
                <w:b/>
                <w:sz w:val="22"/>
                <w:szCs w:val="22"/>
              </w:rPr>
              <w:t xml:space="preserve"> includes members who suffered</w:t>
            </w:r>
            <w:r w:rsidR="00F237F1">
              <w:rPr>
                <w:rFonts w:ascii="Calibri" w:hAnsi="Calibri" w:cs="Calibri"/>
                <w:b/>
                <w:sz w:val="22"/>
                <w:szCs w:val="22"/>
              </w:rPr>
              <w:t xml:space="preserve"> no injury and lack standing.</w:t>
            </w:r>
          </w:p>
        </w:tc>
      </w:tr>
      <w:tr w:rsidR="00D015C0" w:rsidRPr="00907D75" w14:paraId="620766FA" w14:textId="77777777" w:rsidTr="008649A2">
        <w:trPr>
          <w:trHeight w:val="4795"/>
        </w:trPr>
        <w:tc>
          <w:tcPr>
            <w:tcW w:w="5805" w:type="dxa"/>
            <w:vAlign w:val="center"/>
          </w:tcPr>
          <w:p w14:paraId="3D65EC2D" w14:textId="7289BDBE" w:rsidR="00D015C0" w:rsidRDefault="00D015C0"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court hold in </w:t>
            </w:r>
            <w:r w:rsidRPr="00F237F1">
              <w:rPr>
                <w:rFonts w:ascii="Calibri" w:hAnsi="Calibri" w:cs="Calibri"/>
                <w:b/>
                <w:i/>
                <w:sz w:val="28"/>
                <w:szCs w:val="28"/>
              </w:rPr>
              <w:t>Messner</w:t>
            </w:r>
            <w:r w:rsidR="00443BE4">
              <w:rPr>
                <w:rFonts w:ascii="Calibri" w:hAnsi="Calibri" w:cs="Calibri"/>
                <w:b/>
                <w:i/>
                <w:sz w:val="28"/>
                <w:szCs w:val="28"/>
              </w:rPr>
              <w:t xml:space="preserve"> v. Northshore Univ. </w:t>
            </w:r>
            <w:proofErr w:type="spellStart"/>
            <w:r w:rsidR="00443BE4">
              <w:rPr>
                <w:rFonts w:ascii="Calibri" w:hAnsi="Calibri" w:cs="Calibri"/>
                <w:b/>
                <w:i/>
                <w:sz w:val="28"/>
                <w:szCs w:val="28"/>
              </w:rPr>
              <w:t>HealthSystems</w:t>
            </w:r>
            <w:proofErr w:type="spellEnd"/>
            <w:r w:rsidR="00A1197D">
              <w:rPr>
                <w:rFonts w:ascii="Calibri" w:hAnsi="Calibri" w:cs="Calibri"/>
                <w:b/>
                <w:sz w:val="28"/>
                <w:szCs w:val="28"/>
              </w:rPr>
              <w:t xml:space="preserve"> (7</w:t>
            </w:r>
            <w:r w:rsidR="00A1197D" w:rsidRPr="00A1197D">
              <w:rPr>
                <w:rFonts w:ascii="Calibri" w:hAnsi="Calibri" w:cs="Calibri"/>
                <w:b/>
                <w:sz w:val="28"/>
                <w:szCs w:val="28"/>
                <w:vertAlign w:val="superscript"/>
              </w:rPr>
              <w:t>th</w:t>
            </w:r>
            <w:r w:rsidR="00A1197D">
              <w:rPr>
                <w:rFonts w:ascii="Calibri" w:hAnsi="Calibri" w:cs="Calibri"/>
                <w:b/>
                <w:sz w:val="28"/>
                <w:szCs w:val="28"/>
              </w:rPr>
              <w:t xml:space="preserve"> Cir. 2012)</w:t>
            </w:r>
            <w:r>
              <w:rPr>
                <w:rFonts w:ascii="Calibri" w:hAnsi="Calibri" w:cs="Calibri"/>
                <w:b/>
                <w:sz w:val="28"/>
                <w:szCs w:val="28"/>
              </w:rPr>
              <w:t>?</w:t>
            </w:r>
          </w:p>
        </w:tc>
        <w:tc>
          <w:tcPr>
            <w:tcW w:w="5805" w:type="dxa"/>
            <w:vAlign w:val="center"/>
          </w:tcPr>
          <w:p w14:paraId="0A225444" w14:textId="5DB106CA" w:rsidR="00D015C0" w:rsidRPr="00D015C0" w:rsidRDefault="00443BE4"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443BE4">
              <w:rPr>
                <w:rFonts w:ascii="Calibri" w:hAnsi="Calibri" w:cs="Calibri"/>
                <w:b/>
                <w:i/>
                <w:sz w:val="22"/>
                <w:szCs w:val="22"/>
              </w:rPr>
              <w:t xml:space="preserve">Messner v. Northshore Univ. </w:t>
            </w:r>
            <w:proofErr w:type="spellStart"/>
            <w:r w:rsidRPr="00443BE4">
              <w:rPr>
                <w:rFonts w:ascii="Calibri" w:hAnsi="Calibri" w:cs="Calibri"/>
                <w:b/>
                <w:i/>
                <w:sz w:val="22"/>
                <w:szCs w:val="22"/>
              </w:rPr>
              <w:t>HealthSystems</w:t>
            </w:r>
            <w:proofErr w:type="spellEnd"/>
            <w:r w:rsidRPr="00443BE4">
              <w:rPr>
                <w:rFonts w:ascii="Calibri" w:hAnsi="Calibri" w:cs="Calibri"/>
                <w:b/>
                <w:sz w:val="22"/>
                <w:szCs w:val="22"/>
              </w:rPr>
              <w:t xml:space="preserve"> (7</w:t>
            </w:r>
            <w:r w:rsidRPr="00443BE4">
              <w:rPr>
                <w:rFonts w:ascii="Calibri" w:hAnsi="Calibri" w:cs="Calibri"/>
                <w:b/>
                <w:sz w:val="22"/>
                <w:szCs w:val="22"/>
                <w:vertAlign w:val="superscript"/>
              </w:rPr>
              <w:t>th</w:t>
            </w:r>
            <w:r w:rsidRPr="00443BE4">
              <w:rPr>
                <w:rFonts w:ascii="Calibri" w:hAnsi="Calibri" w:cs="Calibri"/>
                <w:b/>
                <w:sz w:val="22"/>
                <w:szCs w:val="22"/>
              </w:rPr>
              <w:t xml:space="preserve"> Cir. 2012)</w:t>
            </w:r>
            <w:r>
              <w:rPr>
                <w:rFonts w:ascii="Calibri" w:hAnsi="Calibri" w:cs="Calibri"/>
                <w:b/>
                <w:sz w:val="22"/>
                <w:szCs w:val="22"/>
              </w:rPr>
              <w:t>, the court explained that a class</w:t>
            </w:r>
            <w:r w:rsidR="00D015C0" w:rsidRPr="00D015C0">
              <w:rPr>
                <w:rFonts w:ascii="Calibri" w:hAnsi="Calibri" w:cs="Calibri"/>
                <w:b/>
                <w:sz w:val="22"/>
                <w:szCs w:val="22"/>
              </w:rPr>
              <w:t xml:space="preserve"> “defined so broadly as to include a great number of members who for some reason could not have been harmed … is defined too bro</w:t>
            </w:r>
            <w:r>
              <w:rPr>
                <w:rFonts w:ascii="Calibri" w:hAnsi="Calibri" w:cs="Calibri"/>
                <w:b/>
                <w:sz w:val="22"/>
                <w:szCs w:val="22"/>
              </w:rPr>
              <w:t>adly to permit certification.”</w:t>
            </w:r>
          </w:p>
        </w:tc>
      </w:tr>
      <w:tr w:rsidR="00D015C0" w:rsidRPr="00907D75" w14:paraId="29038EE6" w14:textId="77777777" w:rsidTr="008649A2">
        <w:trPr>
          <w:trHeight w:val="4795"/>
        </w:trPr>
        <w:tc>
          <w:tcPr>
            <w:tcW w:w="5805" w:type="dxa"/>
            <w:vAlign w:val="center"/>
          </w:tcPr>
          <w:p w14:paraId="2378DC32" w14:textId="72EFC58D" w:rsidR="00D015C0" w:rsidRDefault="00D015C0"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court hold in </w:t>
            </w:r>
            <w:r w:rsidRPr="00D015C0">
              <w:rPr>
                <w:rFonts w:ascii="Calibri" w:hAnsi="Calibri" w:cs="Calibri"/>
                <w:b/>
                <w:i/>
                <w:sz w:val="28"/>
                <w:szCs w:val="28"/>
              </w:rPr>
              <w:t>Walker</w:t>
            </w:r>
            <w:r w:rsidR="00443BE4">
              <w:rPr>
                <w:rFonts w:ascii="Calibri" w:hAnsi="Calibri" w:cs="Calibri"/>
                <w:b/>
                <w:i/>
                <w:sz w:val="28"/>
                <w:szCs w:val="28"/>
              </w:rPr>
              <w:t xml:space="preserve"> v. Consolidated Freightways</w:t>
            </w:r>
            <w:r>
              <w:rPr>
                <w:rFonts w:ascii="Calibri" w:hAnsi="Calibri" w:cs="Calibri"/>
                <w:b/>
                <w:sz w:val="28"/>
                <w:szCs w:val="28"/>
              </w:rPr>
              <w:t xml:space="preserve"> (4</w:t>
            </w:r>
            <w:r w:rsidRPr="00D015C0">
              <w:rPr>
                <w:rFonts w:ascii="Calibri" w:hAnsi="Calibri" w:cs="Calibri"/>
                <w:b/>
                <w:sz w:val="28"/>
                <w:szCs w:val="28"/>
              </w:rPr>
              <w:t>th</w:t>
            </w:r>
            <w:r>
              <w:rPr>
                <w:rFonts w:ascii="Calibri" w:hAnsi="Calibri" w:cs="Calibri"/>
                <w:b/>
                <w:sz w:val="28"/>
                <w:szCs w:val="28"/>
              </w:rPr>
              <w:t xml:space="preserve"> Cir.  1991).</w:t>
            </w:r>
          </w:p>
        </w:tc>
        <w:tc>
          <w:tcPr>
            <w:tcW w:w="5805" w:type="dxa"/>
            <w:vAlign w:val="center"/>
          </w:tcPr>
          <w:p w14:paraId="6EA41D43" w14:textId="13D4CE3B" w:rsidR="00D015C0" w:rsidRPr="00D015C0" w:rsidRDefault="00750E76" w:rsidP="00525419">
            <w:pPr>
              <w:pStyle w:val="O-BodyText"/>
              <w:jc w:val="both"/>
              <w:rPr>
                <w:rFonts w:ascii="Calibri" w:hAnsi="Calibri" w:cs="Calibri"/>
                <w:b/>
                <w:sz w:val="22"/>
                <w:szCs w:val="22"/>
              </w:rPr>
            </w:pPr>
            <w:r>
              <w:rPr>
                <w:rFonts w:ascii="Calibri" w:hAnsi="Calibri" w:cs="Calibri"/>
                <w:b/>
                <w:sz w:val="22"/>
                <w:szCs w:val="22"/>
              </w:rPr>
              <w:t xml:space="preserve">A </w:t>
            </w:r>
            <w:r w:rsidRPr="00750E76">
              <w:rPr>
                <w:rFonts w:ascii="Calibri" w:hAnsi="Calibri" w:cs="Calibri"/>
                <w:b/>
                <w:sz w:val="22"/>
                <w:szCs w:val="22"/>
              </w:rPr>
              <w:t>class cannot be certified when it includes individuals who have no cla</w:t>
            </w:r>
            <w:r>
              <w:rPr>
                <w:rFonts w:ascii="Calibri" w:hAnsi="Calibri" w:cs="Calibri"/>
                <w:b/>
                <w:sz w:val="22"/>
                <w:szCs w:val="22"/>
              </w:rPr>
              <w:t>im and “lack standing to sue</w:t>
            </w:r>
            <w:r w:rsidRPr="00750E76">
              <w:rPr>
                <w:rFonts w:ascii="Calibri" w:hAnsi="Calibri" w:cs="Calibri"/>
                <w:b/>
                <w:sz w:val="22"/>
                <w:szCs w:val="22"/>
              </w:rPr>
              <w:t>.</w:t>
            </w:r>
            <w:r>
              <w:rPr>
                <w:rFonts w:ascii="Calibri" w:hAnsi="Calibri" w:cs="Calibri"/>
                <w:b/>
                <w:sz w:val="22"/>
                <w:szCs w:val="22"/>
              </w:rPr>
              <w:t xml:space="preserve">” </w:t>
            </w:r>
            <w:r w:rsidRPr="00750E76">
              <w:rPr>
                <w:rFonts w:ascii="Calibri" w:hAnsi="Calibri" w:cs="Calibri"/>
                <w:b/>
                <w:i/>
                <w:sz w:val="22"/>
                <w:szCs w:val="22"/>
              </w:rPr>
              <w:t>Walker</w:t>
            </w:r>
            <w:r w:rsidR="00443BE4" w:rsidRPr="00443BE4">
              <w:rPr>
                <w:rFonts w:ascii="Calibri" w:eastAsiaTheme="minorHAnsi" w:hAnsi="Calibri" w:cs="Calibri"/>
                <w:b/>
                <w:i/>
                <w:sz w:val="28"/>
                <w:szCs w:val="28"/>
              </w:rPr>
              <w:t xml:space="preserve"> </w:t>
            </w:r>
            <w:r w:rsidR="00443BE4" w:rsidRPr="00443BE4">
              <w:rPr>
                <w:rFonts w:ascii="Calibri" w:hAnsi="Calibri" w:cs="Calibri"/>
                <w:b/>
                <w:i/>
                <w:sz w:val="22"/>
                <w:szCs w:val="22"/>
              </w:rPr>
              <w:t>v. Consol</w:t>
            </w:r>
            <w:r w:rsidR="00443BE4">
              <w:rPr>
                <w:rFonts w:ascii="Calibri" w:hAnsi="Calibri" w:cs="Calibri"/>
                <w:b/>
                <w:i/>
                <w:sz w:val="22"/>
                <w:szCs w:val="22"/>
              </w:rPr>
              <w:t>idated</w:t>
            </w:r>
            <w:r w:rsidR="00443BE4" w:rsidRPr="00443BE4">
              <w:rPr>
                <w:rFonts w:ascii="Calibri" w:hAnsi="Calibri" w:cs="Calibri"/>
                <w:b/>
                <w:i/>
                <w:sz w:val="22"/>
                <w:szCs w:val="22"/>
              </w:rPr>
              <w:t xml:space="preserve"> Freightways</w:t>
            </w:r>
            <w:r w:rsidRPr="00750E76">
              <w:rPr>
                <w:rFonts w:ascii="Calibri" w:hAnsi="Calibri" w:cs="Calibri"/>
                <w:b/>
                <w:sz w:val="22"/>
                <w:szCs w:val="22"/>
              </w:rPr>
              <w:t xml:space="preserve"> (4th Cir.  1991)</w:t>
            </w:r>
            <w:r>
              <w:rPr>
                <w:rFonts w:ascii="Calibri" w:hAnsi="Calibri" w:cs="Calibri"/>
                <w:b/>
                <w:sz w:val="22"/>
                <w:szCs w:val="22"/>
              </w:rPr>
              <w:t>.</w:t>
            </w:r>
          </w:p>
        </w:tc>
      </w:tr>
      <w:tr w:rsidR="0037342F" w:rsidRPr="00907D75" w14:paraId="4E6E0E57" w14:textId="77777777" w:rsidTr="008649A2">
        <w:trPr>
          <w:trHeight w:val="4795"/>
        </w:trPr>
        <w:tc>
          <w:tcPr>
            <w:tcW w:w="5805" w:type="dxa"/>
            <w:vAlign w:val="center"/>
          </w:tcPr>
          <w:p w14:paraId="6A35EF56" w14:textId="257A5561" w:rsidR="0037342F" w:rsidRDefault="0037342F"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cite </w:t>
            </w:r>
            <w:proofErr w:type="spellStart"/>
            <w:r w:rsidRPr="0037342F">
              <w:rPr>
                <w:rFonts w:ascii="Calibri" w:hAnsi="Calibri" w:cs="Calibri"/>
                <w:b/>
                <w:i/>
                <w:sz w:val="28"/>
                <w:szCs w:val="28"/>
              </w:rPr>
              <w:t>Walewski</w:t>
            </w:r>
            <w:proofErr w:type="spellEnd"/>
            <w:r w:rsidR="00AC31C7">
              <w:rPr>
                <w:rFonts w:ascii="Calibri" w:hAnsi="Calibri" w:cs="Calibri"/>
                <w:b/>
                <w:i/>
                <w:sz w:val="28"/>
                <w:szCs w:val="28"/>
              </w:rPr>
              <w:t xml:space="preserve"> </w:t>
            </w:r>
            <w:r w:rsidR="00AC31C7" w:rsidRPr="00AC31C7">
              <w:rPr>
                <w:rFonts w:ascii="Calibri" w:hAnsi="Calibri" w:cs="Calibri"/>
                <w:b/>
                <w:i/>
                <w:sz w:val="28"/>
                <w:szCs w:val="28"/>
              </w:rPr>
              <w:t xml:space="preserve">v. </w:t>
            </w:r>
            <w:proofErr w:type="spellStart"/>
            <w:r w:rsidR="00AC31C7" w:rsidRPr="00AC31C7">
              <w:rPr>
                <w:rFonts w:ascii="Calibri" w:hAnsi="Calibri" w:cs="Calibri"/>
                <w:b/>
                <w:i/>
                <w:sz w:val="28"/>
                <w:szCs w:val="28"/>
              </w:rPr>
              <w:t>Zenimax</w:t>
            </w:r>
            <w:proofErr w:type="spellEnd"/>
            <w:r w:rsidR="00AC31C7" w:rsidRPr="00AC31C7">
              <w:rPr>
                <w:rFonts w:ascii="Calibri" w:hAnsi="Calibri" w:cs="Calibri"/>
                <w:b/>
                <w:i/>
                <w:sz w:val="28"/>
                <w:szCs w:val="28"/>
              </w:rPr>
              <w:t xml:space="preserve"> Media</w:t>
            </w:r>
            <w:r>
              <w:rPr>
                <w:rFonts w:ascii="Calibri" w:hAnsi="Calibri" w:cs="Calibri"/>
                <w:b/>
                <w:sz w:val="28"/>
                <w:szCs w:val="28"/>
              </w:rPr>
              <w:t xml:space="preserve">, an unpublished case from the </w:t>
            </w:r>
            <w:r w:rsidRPr="0037342F">
              <w:rPr>
                <w:rFonts w:ascii="Calibri" w:hAnsi="Calibri" w:cs="Calibri"/>
                <w:b/>
                <w:sz w:val="28"/>
                <w:szCs w:val="28"/>
              </w:rPr>
              <w:t>11th Cir</w:t>
            </w:r>
            <w:r>
              <w:rPr>
                <w:rFonts w:ascii="Calibri" w:hAnsi="Calibri" w:cs="Calibri"/>
                <w:b/>
                <w:sz w:val="28"/>
                <w:szCs w:val="28"/>
              </w:rPr>
              <w:t>cuit (11th Cir.</w:t>
            </w:r>
            <w:r w:rsidRPr="0037342F">
              <w:rPr>
                <w:rFonts w:ascii="Calibri" w:hAnsi="Calibri" w:cs="Calibri"/>
                <w:b/>
                <w:sz w:val="28"/>
                <w:szCs w:val="28"/>
              </w:rPr>
              <w:t xml:space="preserve"> 2012)</w:t>
            </w:r>
            <w:r w:rsidR="006122CB" w:rsidRPr="0037342F">
              <w:rPr>
                <w:rFonts w:ascii="Calibri" w:hAnsi="Calibri" w:cs="Calibri"/>
                <w:b/>
                <w:sz w:val="28"/>
                <w:szCs w:val="28"/>
              </w:rPr>
              <w:t>.</w:t>
            </w:r>
            <w:r w:rsidR="006122CB">
              <w:rPr>
                <w:rFonts w:ascii="Calibri" w:hAnsi="Calibri" w:cs="Calibri"/>
                <w:b/>
                <w:sz w:val="28"/>
                <w:szCs w:val="28"/>
              </w:rPr>
              <w:t xml:space="preserve">  </w:t>
            </w:r>
            <w:r>
              <w:rPr>
                <w:rFonts w:ascii="Calibri" w:hAnsi="Calibri" w:cs="Calibri"/>
                <w:b/>
                <w:sz w:val="28"/>
                <w:szCs w:val="28"/>
              </w:rPr>
              <w:t>How is that relevant?</w:t>
            </w:r>
          </w:p>
        </w:tc>
        <w:tc>
          <w:tcPr>
            <w:tcW w:w="5805" w:type="dxa"/>
            <w:vAlign w:val="center"/>
          </w:tcPr>
          <w:p w14:paraId="322B9E8B" w14:textId="3B702661" w:rsidR="0037342F" w:rsidRDefault="0037342F" w:rsidP="00525419">
            <w:pPr>
              <w:pStyle w:val="O-BodyText"/>
              <w:jc w:val="both"/>
              <w:rPr>
                <w:rFonts w:ascii="Calibri" w:hAnsi="Calibri" w:cs="Calibri"/>
                <w:b/>
                <w:sz w:val="22"/>
                <w:szCs w:val="22"/>
              </w:rPr>
            </w:pPr>
            <w:r>
              <w:rPr>
                <w:rFonts w:ascii="Calibri" w:hAnsi="Calibri" w:cs="Calibri"/>
                <w:b/>
                <w:sz w:val="22"/>
                <w:szCs w:val="22"/>
              </w:rPr>
              <w:t xml:space="preserve">In </w:t>
            </w:r>
            <w:proofErr w:type="spellStart"/>
            <w:r w:rsidRPr="0037342F">
              <w:rPr>
                <w:rFonts w:ascii="Calibri" w:hAnsi="Calibri" w:cs="Calibri"/>
                <w:b/>
                <w:i/>
                <w:sz w:val="22"/>
                <w:szCs w:val="22"/>
              </w:rPr>
              <w:t>Walewski</w:t>
            </w:r>
            <w:proofErr w:type="spellEnd"/>
            <w:r>
              <w:rPr>
                <w:rFonts w:ascii="Calibri" w:hAnsi="Calibri" w:cs="Calibri"/>
                <w:b/>
                <w:sz w:val="22"/>
                <w:szCs w:val="22"/>
              </w:rPr>
              <w:t xml:space="preserve"> </w:t>
            </w:r>
            <w:r w:rsidR="00AC31C7" w:rsidRPr="00AC31C7">
              <w:rPr>
                <w:rFonts w:ascii="Calibri" w:hAnsi="Calibri" w:cs="Calibri"/>
                <w:b/>
                <w:i/>
                <w:sz w:val="22"/>
                <w:szCs w:val="22"/>
              </w:rPr>
              <w:t xml:space="preserve">v. </w:t>
            </w:r>
            <w:proofErr w:type="spellStart"/>
            <w:r w:rsidR="00AC31C7" w:rsidRPr="00AC31C7">
              <w:rPr>
                <w:rFonts w:ascii="Calibri" w:hAnsi="Calibri" w:cs="Calibri"/>
                <w:b/>
                <w:i/>
                <w:sz w:val="22"/>
                <w:szCs w:val="22"/>
              </w:rPr>
              <w:t>Zenimax</w:t>
            </w:r>
            <w:proofErr w:type="spellEnd"/>
            <w:r w:rsidR="00AC31C7" w:rsidRPr="00AC31C7">
              <w:rPr>
                <w:rFonts w:ascii="Calibri" w:hAnsi="Calibri" w:cs="Calibri"/>
                <w:b/>
                <w:i/>
                <w:sz w:val="22"/>
                <w:szCs w:val="22"/>
              </w:rPr>
              <w:t xml:space="preserve"> Media</w:t>
            </w:r>
            <w:r w:rsidR="00AC31C7" w:rsidRPr="00AC31C7">
              <w:rPr>
                <w:rFonts w:ascii="Calibri" w:hAnsi="Calibri" w:cs="Calibri"/>
                <w:b/>
                <w:sz w:val="22"/>
                <w:szCs w:val="22"/>
              </w:rPr>
              <w:t xml:space="preserve"> </w:t>
            </w:r>
            <w:r w:rsidRPr="0037342F">
              <w:rPr>
                <w:rFonts w:ascii="Calibri" w:hAnsi="Calibri" w:cs="Calibri"/>
                <w:b/>
                <w:sz w:val="22"/>
                <w:szCs w:val="22"/>
              </w:rPr>
              <w:t>(11th Cir. 2012)</w:t>
            </w:r>
            <w:r>
              <w:rPr>
                <w:rFonts w:ascii="Calibri" w:hAnsi="Calibri" w:cs="Calibri"/>
                <w:b/>
                <w:sz w:val="22"/>
                <w:szCs w:val="22"/>
              </w:rPr>
              <w:t xml:space="preserve">, the 11th Circuit </w:t>
            </w:r>
            <w:r w:rsidR="00AC31C7">
              <w:rPr>
                <w:rFonts w:ascii="Calibri" w:hAnsi="Calibri" w:cs="Calibri"/>
                <w:b/>
                <w:sz w:val="22"/>
                <w:szCs w:val="22"/>
              </w:rPr>
              <w:t>stated that</w:t>
            </w:r>
            <w:r>
              <w:rPr>
                <w:rFonts w:ascii="Calibri" w:hAnsi="Calibri" w:cs="Calibri"/>
                <w:b/>
                <w:sz w:val="22"/>
                <w:szCs w:val="22"/>
              </w:rPr>
              <w:t xml:space="preserve"> </w:t>
            </w:r>
            <w:r w:rsidR="00AC31C7" w:rsidRPr="00AC31C7">
              <w:rPr>
                <w:rFonts w:ascii="Calibri" w:hAnsi="Calibri" w:cs="Calibri"/>
                <w:b/>
                <w:sz w:val="22"/>
                <w:szCs w:val="22"/>
              </w:rPr>
              <w:t>a class that includes non-subscribers “impermissibly includes members who have no cause of action as a matter of law.”</w:t>
            </w:r>
          </w:p>
        </w:tc>
      </w:tr>
      <w:tr w:rsidR="00695F67" w:rsidRPr="00907D75" w14:paraId="36DE97E8" w14:textId="77777777" w:rsidTr="008649A2">
        <w:trPr>
          <w:trHeight w:val="4795"/>
        </w:trPr>
        <w:tc>
          <w:tcPr>
            <w:tcW w:w="5805" w:type="dxa"/>
            <w:vAlign w:val="center"/>
          </w:tcPr>
          <w:p w14:paraId="08901775" w14:textId="3F785815" w:rsidR="00695F67" w:rsidRDefault="00695F67"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court hold in </w:t>
            </w:r>
            <w:r w:rsidR="00AC31C7" w:rsidRPr="00AC31C7">
              <w:rPr>
                <w:rFonts w:ascii="Calibri" w:hAnsi="Calibri" w:cs="Calibri"/>
                <w:b/>
                <w:i/>
                <w:sz w:val="28"/>
                <w:szCs w:val="28"/>
              </w:rPr>
              <w:t>Denney v. Deutsche Bank</w:t>
            </w:r>
            <w:r>
              <w:rPr>
                <w:rFonts w:ascii="Calibri" w:hAnsi="Calibri" w:cs="Calibri"/>
                <w:b/>
                <w:sz w:val="28"/>
                <w:szCs w:val="28"/>
              </w:rPr>
              <w:t xml:space="preserve"> (2d Cir. 2006)?</w:t>
            </w:r>
          </w:p>
        </w:tc>
        <w:tc>
          <w:tcPr>
            <w:tcW w:w="5805" w:type="dxa"/>
            <w:vAlign w:val="center"/>
          </w:tcPr>
          <w:p w14:paraId="1AE0A31F" w14:textId="43356934" w:rsidR="00695F67" w:rsidRDefault="00695F67" w:rsidP="00525419">
            <w:pPr>
              <w:pStyle w:val="O-BodyText"/>
              <w:jc w:val="both"/>
              <w:rPr>
                <w:rFonts w:ascii="Calibri" w:hAnsi="Calibri" w:cs="Calibri"/>
                <w:b/>
                <w:sz w:val="22"/>
                <w:szCs w:val="22"/>
              </w:rPr>
            </w:pPr>
            <w:r>
              <w:rPr>
                <w:rFonts w:ascii="Calibri" w:hAnsi="Calibri" w:cs="Calibri"/>
                <w:b/>
                <w:sz w:val="22"/>
                <w:szCs w:val="22"/>
              </w:rPr>
              <w:t xml:space="preserve">A </w:t>
            </w:r>
            <w:r w:rsidRPr="00695F67">
              <w:rPr>
                <w:rFonts w:ascii="Calibri" w:hAnsi="Calibri" w:cs="Calibri"/>
                <w:b/>
                <w:sz w:val="22"/>
                <w:szCs w:val="22"/>
              </w:rPr>
              <w:t>class cannot be “defined in such a way” that it necessarily emb</w:t>
            </w:r>
            <w:r>
              <w:rPr>
                <w:rFonts w:ascii="Calibri" w:hAnsi="Calibri" w:cs="Calibri"/>
                <w:b/>
                <w:sz w:val="22"/>
                <w:szCs w:val="22"/>
              </w:rPr>
              <w:t xml:space="preserve">races people who “lack standing.” </w:t>
            </w:r>
            <w:r w:rsidR="00AC31C7" w:rsidRPr="00AC31C7">
              <w:rPr>
                <w:rFonts w:ascii="Calibri" w:hAnsi="Calibri" w:cs="Calibri"/>
                <w:b/>
                <w:i/>
                <w:sz w:val="22"/>
                <w:szCs w:val="22"/>
              </w:rPr>
              <w:t xml:space="preserve">Denney v. Deutsche Bank </w:t>
            </w:r>
            <w:r w:rsidRPr="00695F67">
              <w:rPr>
                <w:rFonts w:ascii="Calibri" w:hAnsi="Calibri" w:cs="Calibri"/>
                <w:b/>
                <w:sz w:val="22"/>
                <w:szCs w:val="22"/>
              </w:rPr>
              <w:t>(2d Cir. 2006)</w:t>
            </w:r>
            <w:r>
              <w:rPr>
                <w:rFonts w:ascii="Calibri" w:hAnsi="Calibri" w:cs="Calibri"/>
                <w:b/>
                <w:sz w:val="22"/>
                <w:szCs w:val="22"/>
              </w:rPr>
              <w:t>.</w:t>
            </w:r>
          </w:p>
        </w:tc>
      </w:tr>
      <w:tr w:rsidR="002C342A" w:rsidRPr="00907D75" w14:paraId="22BA1112" w14:textId="77777777" w:rsidTr="008649A2">
        <w:trPr>
          <w:trHeight w:val="4795"/>
        </w:trPr>
        <w:tc>
          <w:tcPr>
            <w:tcW w:w="5805" w:type="dxa"/>
            <w:vAlign w:val="center"/>
          </w:tcPr>
          <w:p w14:paraId="5734F2FD" w14:textId="2ABF91DE" w:rsidR="002C342A" w:rsidRDefault="00D53294"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court hold in </w:t>
            </w:r>
            <w:r w:rsidR="00AC31C7" w:rsidRPr="00AC31C7">
              <w:rPr>
                <w:rFonts w:ascii="Calibri" w:hAnsi="Calibri" w:cs="Calibri"/>
                <w:b/>
                <w:i/>
                <w:sz w:val="28"/>
                <w:szCs w:val="28"/>
              </w:rPr>
              <w:t>Kohen v. Pac</w:t>
            </w:r>
            <w:r w:rsidR="00AC31C7">
              <w:rPr>
                <w:rFonts w:ascii="Calibri" w:hAnsi="Calibri" w:cs="Calibri"/>
                <w:b/>
                <w:i/>
                <w:sz w:val="28"/>
                <w:szCs w:val="28"/>
              </w:rPr>
              <w:t>ific</w:t>
            </w:r>
            <w:r w:rsidR="00AC31C7" w:rsidRPr="00AC31C7">
              <w:rPr>
                <w:rFonts w:ascii="Calibri" w:hAnsi="Calibri" w:cs="Calibri"/>
                <w:b/>
                <w:i/>
                <w:sz w:val="28"/>
                <w:szCs w:val="28"/>
              </w:rPr>
              <w:t xml:space="preserve"> Inv</w:t>
            </w:r>
            <w:r w:rsidR="00AC31C7">
              <w:rPr>
                <w:rFonts w:ascii="Calibri" w:hAnsi="Calibri" w:cs="Calibri"/>
                <w:b/>
                <w:i/>
                <w:sz w:val="28"/>
                <w:szCs w:val="28"/>
              </w:rPr>
              <w:t>estment</w:t>
            </w:r>
            <w:r w:rsidR="00AC31C7" w:rsidRPr="00AC31C7">
              <w:rPr>
                <w:rFonts w:ascii="Calibri" w:hAnsi="Calibri" w:cs="Calibri"/>
                <w:b/>
                <w:i/>
                <w:sz w:val="28"/>
                <w:szCs w:val="28"/>
              </w:rPr>
              <w:t xml:space="preserve"> Mgmt. Co.</w:t>
            </w:r>
            <w:r w:rsidRPr="00D53294">
              <w:rPr>
                <w:rFonts w:ascii="Calibri" w:hAnsi="Calibri" w:cs="Calibri"/>
                <w:b/>
                <w:i/>
                <w:sz w:val="28"/>
                <w:szCs w:val="28"/>
              </w:rPr>
              <w:t xml:space="preserve"> </w:t>
            </w:r>
            <w:r>
              <w:rPr>
                <w:rFonts w:ascii="Calibri" w:hAnsi="Calibri" w:cs="Calibri"/>
                <w:b/>
                <w:sz w:val="28"/>
                <w:szCs w:val="28"/>
              </w:rPr>
              <w:t>(7th Cir. 2009)?</w:t>
            </w:r>
          </w:p>
        </w:tc>
        <w:tc>
          <w:tcPr>
            <w:tcW w:w="5805" w:type="dxa"/>
            <w:vAlign w:val="center"/>
          </w:tcPr>
          <w:p w14:paraId="255AAD60" w14:textId="109DF700" w:rsidR="002C342A" w:rsidRDefault="00D53294" w:rsidP="00525419">
            <w:pPr>
              <w:pStyle w:val="O-BodyText"/>
              <w:jc w:val="both"/>
              <w:rPr>
                <w:rFonts w:ascii="Calibri" w:hAnsi="Calibri" w:cs="Calibri"/>
                <w:b/>
                <w:sz w:val="22"/>
                <w:szCs w:val="22"/>
              </w:rPr>
            </w:pPr>
            <w:r>
              <w:rPr>
                <w:rFonts w:ascii="Calibri" w:hAnsi="Calibri" w:cs="Calibri"/>
                <w:b/>
                <w:sz w:val="22"/>
                <w:szCs w:val="22"/>
              </w:rPr>
              <w:t xml:space="preserve">It is </w:t>
            </w:r>
            <w:r w:rsidRPr="00D53294">
              <w:rPr>
                <w:rFonts w:ascii="Calibri" w:hAnsi="Calibri" w:cs="Calibri"/>
                <w:b/>
                <w:sz w:val="22"/>
                <w:szCs w:val="22"/>
              </w:rPr>
              <w:t>improper to certify a class “if the definition is so broad</w:t>
            </w:r>
            <w:r>
              <w:rPr>
                <w:rFonts w:ascii="Calibri" w:hAnsi="Calibri" w:cs="Calibri"/>
                <w:b/>
                <w:sz w:val="22"/>
                <w:szCs w:val="22"/>
              </w:rPr>
              <w:t xml:space="preserve"> </w:t>
            </w:r>
            <w:r w:rsidRPr="00D53294">
              <w:rPr>
                <w:rFonts w:ascii="Calibri" w:hAnsi="Calibri" w:cs="Calibri"/>
                <w:b/>
                <w:sz w:val="22"/>
                <w:szCs w:val="22"/>
              </w:rPr>
              <w:t xml:space="preserve">that it sweeps within </w:t>
            </w:r>
            <w:proofErr w:type="gramStart"/>
            <w:r w:rsidRPr="00D53294">
              <w:rPr>
                <w:rFonts w:ascii="Calibri" w:hAnsi="Calibri" w:cs="Calibri"/>
                <w:b/>
                <w:sz w:val="22"/>
                <w:szCs w:val="22"/>
              </w:rPr>
              <w:t>it</w:t>
            </w:r>
            <w:proofErr w:type="gramEnd"/>
            <w:r w:rsidRPr="00D53294">
              <w:rPr>
                <w:rFonts w:ascii="Calibri" w:hAnsi="Calibri" w:cs="Calibri"/>
                <w:b/>
                <w:sz w:val="22"/>
                <w:szCs w:val="22"/>
              </w:rPr>
              <w:t xml:space="preserve"> persons who could not have been injured by the defendant’s conduct</w:t>
            </w:r>
            <w:r>
              <w:rPr>
                <w:rFonts w:ascii="Calibri" w:hAnsi="Calibri" w:cs="Calibri"/>
                <w:b/>
                <w:sz w:val="22"/>
                <w:szCs w:val="22"/>
              </w:rPr>
              <w:t>.</w:t>
            </w:r>
            <w:r w:rsidRPr="00D53294">
              <w:rPr>
                <w:rFonts w:ascii="Calibri" w:hAnsi="Calibri" w:cs="Calibri"/>
                <w:b/>
                <w:sz w:val="22"/>
                <w:szCs w:val="22"/>
              </w:rPr>
              <w:t>”</w:t>
            </w:r>
            <w:r>
              <w:rPr>
                <w:rFonts w:ascii="Calibri" w:hAnsi="Calibri" w:cs="Calibri"/>
                <w:b/>
                <w:sz w:val="22"/>
                <w:szCs w:val="22"/>
              </w:rPr>
              <w:t xml:space="preserve"> </w:t>
            </w:r>
            <w:r w:rsidR="00AC31C7" w:rsidRPr="00AC31C7">
              <w:rPr>
                <w:rFonts w:ascii="Calibri" w:hAnsi="Calibri" w:cs="Calibri"/>
                <w:b/>
                <w:i/>
                <w:sz w:val="22"/>
                <w:szCs w:val="22"/>
              </w:rPr>
              <w:t>Kohen v. Pacific Investment Mgmt. Co.</w:t>
            </w:r>
            <w:r w:rsidRPr="00D53294">
              <w:rPr>
                <w:rFonts w:ascii="Calibri" w:hAnsi="Calibri" w:cs="Calibri"/>
                <w:b/>
                <w:i/>
                <w:sz w:val="22"/>
                <w:szCs w:val="22"/>
              </w:rPr>
              <w:t xml:space="preserve"> </w:t>
            </w:r>
            <w:r w:rsidRPr="00D53294">
              <w:rPr>
                <w:rFonts w:ascii="Calibri" w:hAnsi="Calibri" w:cs="Calibri"/>
                <w:b/>
                <w:sz w:val="22"/>
                <w:szCs w:val="22"/>
              </w:rPr>
              <w:t>(7th Cir. 2009)</w:t>
            </w:r>
            <w:r>
              <w:rPr>
                <w:rFonts w:ascii="Calibri" w:hAnsi="Calibri" w:cs="Calibri"/>
                <w:b/>
                <w:sz w:val="22"/>
                <w:szCs w:val="22"/>
              </w:rPr>
              <w:t>.</w:t>
            </w:r>
          </w:p>
        </w:tc>
      </w:tr>
      <w:tr w:rsidR="00D53294" w:rsidRPr="00907D75" w14:paraId="138F5473" w14:textId="77777777" w:rsidTr="008649A2">
        <w:trPr>
          <w:trHeight w:val="4795"/>
        </w:trPr>
        <w:tc>
          <w:tcPr>
            <w:tcW w:w="5805" w:type="dxa"/>
            <w:vAlign w:val="center"/>
          </w:tcPr>
          <w:p w14:paraId="03A4623F" w14:textId="00164A1B" w:rsidR="00D53294" w:rsidRDefault="00D53294" w:rsidP="00525419">
            <w:pPr>
              <w:pStyle w:val="O-BodyText"/>
              <w:spacing w:after="120"/>
              <w:ind w:right="200"/>
              <w:jc w:val="both"/>
              <w:rPr>
                <w:rFonts w:ascii="Calibri" w:hAnsi="Calibri" w:cs="Calibri"/>
                <w:b/>
                <w:sz w:val="28"/>
                <w:szCs w:val="28"/>
              </w:rPr>
            </w:pPr>
            <w:r>
              <w:rPr>
                <w:rFonts w:ascii="Calibri" w:hAnsi="Calibri" w:cs="Calibri"/>
                <w:b/>
                <w:sz w:val="28"/>
                <w:szCs w:val="28"/>
              </w:rPr>
              <w:t>You say</w:t>
            </w:r>
            <w:r w:rsidR="00AC31C7">
              <w:rPr>
                <w:rFonts w:ascii="Calibri" w:hAnsi="Calibri" w:cs="Calibri"/>
                <w:b/>
                <w:sz w:val="28"/>
                <w:szCs w:val="28"/>
              </w:rPr>
              <w:t xml:space="preserve"> </w:t>
            </w:r>
            <w:r>
              <w:rPr>
                <w:rFonts w:ascii="Calibri" w:hAnsi="Calibri" w:cs="Calibri"/>
                <w:b/>
                <w:sz w:val="28"/>
                <w:szCs w:val="28"/>
              </w:rPr>
              <w:t xml:space="preserve">that the class </w:t>
            </w:r>
            <w:r w:rsidRPr="00D53294">
              <w:rPr>
                <w:rFonts w:ascii="Calibri" w:hAnsi="Calibri" w:cs="Calibri"/>
                <w:b/>
                <w:sz w:val="28"/>
                <w:szCs w:val="28"/>
              </w:rPr>
              <w:t>must be decertified</w:t>
            </w:r>
            <w:r>
              <w:rPr>
                <w:rFonts w:ascii="Calibri" w:hAnsi="Calibri" w:cs="Calibri"/>
                <w:b/>
                <w:sz w:val="28"/>
                <w:szCs w:val="28"/>
              </w:rPr>
              <w:t xml:space="preserve"> because there is</w:t>
            </w:r>
            <w:r w:rsidRPr="00D53294">
              <w:rPr>
                <w:rFonts w:ascii="Calibri" w:hAnsi="Calibri" w:cs="Calibri"/>
                <w:b/>
                <w:sz w:val="28"/>
                <w:szCs w:val="28"/>
              </w:rPr>
              <w:t xml:space="preserve"> no administratively feasible mechanism to limit recovery to proper plaintiffs</w:t>
            </w:r>
            <w:r w:rsidR="006122CB">
              <w:rPr>
                <w:rFonts w:ascii="Calibri" w:hAnsi="Calibri" w:cs="Calibri"/>
                <w:b/>
                <w:sz w:val="28"/>
                <w:szCs w:val="28"/>
              </w:rPr>
              <w:t xml:space="preserve">.  </w:t>
            </w:r>
            <w:r>
              <w:rPr>
                <w:rFonts w:ascii="Calibri" w:hAnsi="Calibri" w:cs="Calibri"/>
                <w:b/>
                <w:sz w:val="28"/>
                <w:szCs w:val="28"/>
              </w:rPr>
              <w:t>What do you mean?</w:t>
            </w:r>
          </w:p>
        </w:tc>
        <w:tc>
          <w:tcPr>
            <w:tcW w:w="5805" w:type="dxa"/>
            <w:vAlign w:val="center"/>
          </w:tcPr>
          <w:p w14:paraId="5459C960" w14:textId="72B41765" w:rsidR="00D53294" w:rsidRDefault="00D53294" w:rsidP="00525419">
            <w:pPr>
              <w:pStyle w:val="O-BodyText"/>
              <w:jc w:val="both"/>
              <w:rPr>
                <w:rFonts w:ascii="Calibri" w:hAnsi="Calibri" w:cs="Calibri"/>
                <w:b/>
                <w:sz w:val="22"/>
                <w:szCs w:val="22"/>
              </w:rPr>
            </w:pPr>
            <w:r>
              <w:rPr>
                <w:rFonts w:ascii="Calibri" w:hAnsi="Calibri" w:cs="Calibri"/>
                <w:b/>
                <w:sz w:val="22"/>
                <w:szCs w:val="22"/>
              </w:rPr>
              <w:t xml:space="preserve">For </w:t>
            </w:r>
            <w:r w:rsidRPr="00D53294">
              <w:rPr>
                <w:rFonts w:ascii="Calibri" w:hAnsi="Calibri" w:cs="Calibri"/>
                <w:b/>
                <w:sz w:val="22"/>
                <w:szCs w:val="22"/>
              </w:rPr>
              <w:t xml:space="preserve">certification </w:t>
            </w:r>
            <w:r>
              <w:rPr>
                <w:rFonts w:ascii="Calibri" w:hAnsi="Calibri" w:cs="Calibri"/>
                <w:b/>
                <w:sz w:val="22"/>
                <w:szCs w:val="22"/>
              </w:rPr>
              <w:t xml:space="preserve">to be proper, </w:t>
            </w:r>
            <w:r w:rsidRPr="00D53294">
              <w:rPr>
                <w:rFonts w:ascii="Calibri" w:hAnsi="Calibri" w:cs="Calibri"/>
                <w:b/>
                <w:sz w:val="22"/>
                <w:szCs w:val="22"/>
              </w:rPr>
              <w:t xml:space="preserve">a plaintiff </w:t>
            </w:r>
            <w:r>
              <w:rPr>
                <w:rFonts w:ascii="Calibri" w:hAnsi="Calibri" w:cs="Calibri"/>
                <w:b/>
                <w:sz w:val="22"/>
                <w:szCs w:val="22"/>
              </w:rPr>
              <w:t xml:space="preserve">must be able to prove that </w:t>
            </w:r>
            <w:r w:rsidRPr="00D53294">
              <w:rPr>
                <w:rFonts w:ascii="Calibri" w:hAnsi="Calibri" w:cs="Calibri"/>
                <w:b/>
                <w:sz w:val="22"/>
                <w:szCs w:val="22"/>
              </w:rPr>
              <w:t>all class members w</w:t>
            </w:r>
            <w:r>
              <w:rPr>
                <w:rFonts w:ascii="Calibri" w:hAnsi="Calibri" w:cs="Calibri"/>
                <w:b/>
                <w:sz w:val="22"/>
                <w:szCs w:val="22"/>
              </w:rPr>
              <w:t>ere in fact injured.</w:t>
            </w:r>
            <w:r w:rsidRPr="00D53294">
              <w:rPr>
                <w:rFonts w:ascii="Calibri" w:hAnsi="Calibri" w:cs="Calibri"/>
                <w:b/>
                <w:sz w:val="22"/>
                <w:szCs w:val="22"/>
              </w:rPr>
              <w:t xml:space="preserve">  The plaintiff must identify a </w:t>
            </w:r>
            <w:r>
              <w:rPr>
                <w:rFonts w:ascii="Calibri" w:hAnsi="Calibri" w:cs="Calibri"/>
                <w:b/>
                <w:sz w:val="22"/>
                <w:szCs w:val="22"/>
              </w:rPr>
              <w:t>way to exclude</w:t>
            </w:r>
            <w:r w:rsidRPr="00D53294">
              <w:rPr>
                <w:rFonts w:ascii="Calibri" w:hAnsi="Calibri" w:cs="Calibri"/>
                <w:b/>
                <w:sz w:val="22"/>
                <w:szCs w:val="22"/>
              </w:rPr>
              <w:t xml:space="preserve"> uninjured class members that is </w:t>
            </w:r>
            <w:r w:rsidR="00AC31C7">
              <w:rPr>
                <w:rFonts w:ascii="Calibri" w:hAnsi="Calibri" w:cs="Calibri"/>
                <w:b/>
                <w:sz w:val="22"/>
                <w:szCs w:val="22"/>
              </w:rPr>
              <w:t xml:space="preserve">(1) </w:t>
            </w:r>
            <w:r w:rsidRPr="00D53294">
              <w:rPr>
                <w:rFonts w:ascii="Calibri" w:hAnsi="Calibri" w:cs="Calibri"/>
                <w:b/>
                <w:sz w:val="22"/>
                <w:szCs w:val="22"/>
              </w:rPr>
              <w:t>administratively feasible</w:t>
            </w:r>
            <w:r w:rsidR="00AC31C7">
              <w:rPr>
                <w:rFonts w:ascii="Calibri" w:hAnsi="Calibri" w:cs="Calibri"/>
                <w:b/>
                <w:sz w:val="22"/>
                <w:szCs w:val="22"/>
              </w:rPr>
              <w:t>,</w:t>
            </w:r>
            <w:r w:rsidRPr="00D53294">
              <w:rPr>
                <w:rFonts w:ascii="Calibri" w:hAnsi="Calibri" w:cs="Calibri"/>
                <w:b/>
                <w:sz w:val="22"/>
                <w:szCs w:val="22"/>
              </w:rPr>
              <w:t xml:space="preserve"> and</w:t>
            </w:r>
            <w:r w:rsidR="00AC31C7">
              <w:rPr>
                <w:rFonts w:ascii="Calibri" w:hAnsi="Calibri" w:cs="Calibri"/>
                <w:b/>
                <w:sz w:val="22"/>
                <w:szCs w:val="22"/>
              </w:rPr>
              <w:t xml:space="preserve"> (2) protects </w:t>
            </w:r>
            <w:r w:rsidRPr="00D53294">
              <w:rPr>
                <w:rFonts w:ascii="Calibri" w:hAnsi="Calibri" w:cs="Calibri"/>
                <w:b/>
                <w:sz w:val="22"/>
                <w:szCs w:val="22"/>
              </w:rPr>
              <w:t>defendants’ Seventh Amendment and due process rights.</w:t>
            </w:r>
            <w:r w:rsidR="00AC31C7">
              <w:rPr>
                <w:rFonts w:ascii="Calibri" w:hAnsi="Calibri" w:cs="Calibri"/>
                <w:b/>
                <w:sz w:val="22"/>
                <w:szCs w:val="22"/>
              </w:rPr>
              <w:t xml:space="preserve"> </w:t>
            </w:r>
            <w:r w:rsidRPr="00D53294">
              <w:rPr>
                <w:rFonts w:ascii="Calibri" w:hAnsi="Calibri" w:cs="Calibri"/>
                <w:b/>
                <w:sz w:val="22"/>
                <w:szCs w:val="22"/>
              </w:rPr>
              <w:t xml:space="preserve"> </w:t>
            </w:r>
            <w:r w:rsidRPr="00D53294">
              <w:rPr>
                <w:rFonts w:ascii="Calibri" w:hAnsi="Calibri" w:cs="Calibri"/>
                <w:b/>
                <w:i/>
                <w:sz w:val="22"/>
                <w:szCs w:val="22"/>
              </w:rPr>
              <w:t>In re Nexium Antitrust Litig</w:t>
            </w:r>
            <w:proofErr w:type="gramStart"/>
            <w:r w:rsidRPr="00D53294">
              <w:rPr>
                <w:rFonts w:ascii="Calibri" w:hAnsi="Calibri" w:cs="Calibri"/>
                <w:b/>
                <w:i/>
                <w:sz w:val="22"/>
                <w:szCs w:val="22"/>
              </w:rPr>
              <w:t>.</w:t>
            </w:r>
            <w:r>
              <w:rPr>
                <w:rFonts w:ascii="Calibri" w:hAnsi="Calibri" w:cs="Calibri"/>
                <w:b/>
                <w:sz w:val="22"/>
                <w:szCs w:val="22"/>
              </w:rPr>
              <w:t xml:space="preserve"> </w:t>
            </w:r>
            <w:proofErr w:type="gramEnd"/>
            <w:r w:rsidRPr="00D53294">
              <w:rPr>
                <w:rFonts w:ascii="Calibri" w:hAnsi="Calibri" w:cs="Calibri"/>
                <w:b/>
                <w:sz w:val="22"/>
                <w:szCs w:val="22"/>
              </w:rPr>
              <w:t>(1st Cir. 2015</w:t>
            </w:r>
            <w:r w:rsidR="00AC31C7">
              <w:rPr>
                <w:rFonts w:ascii="Calibri" w:hAnsi="Calibri" w:cs="Calibri"/>
                <w:b/>
                <w:sz w:val="22"/>
                <w:szCs w:val="22"/>
              </w:rPr>
              <w:t>).</w:t>
            </w:r>
          </w:p>
        </w:tc>
      </w:tr>
      <w:tr w:rsidR="00D53294" w:rsidRPr="00907D75" w14:paraId="74C5F59D" w14:textId="77777777" w:rsidTr="008649A2">
        <w:trPr>
          <w:trHeight w:val="4795"/>
        </w:trPr>
        <w:tc>
          <w:tcPr>
            <w:tcW w:w="5805" w:type="dxa"/>
            <w:vAlign w:val="center"/>
          </w:tcPr>
          <w:p w14:paraId="4B758796" w14:textId="605E9A31" w:rsidR="00D53294" w:rsidRDefault="00D53294"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t>
            </w:r>
            <w:r w:rsidR="00635640">
              <w:rPr>
                <w:rFonts w:ascii="Calibri" w:hAnsi="Calibri" w:cs="Calibri"/>
                <w:b/>
                <w:sz w:val="28"/>
                <w:szCs w:val="28"/>
              </w:rPr>
              <w:t xml:space="preserve">happened </w:t>
            </w:r>
            <w:r>
              <w:rPr>
                <w:rFonts w:ascii="Calibri" w:hAnsi="Calibri" w:cs="Calibri"/>
                <w:b/>
                <w:sz w:val="28"/>
                <w:szCs w:val="28"/>
              </w:rPr>
              <w:t xml:space="preserve">in </w:t>
            </w:r>
            <w:proofErr w:type="spellStart"/>
            <w:r w:rsidRPr="00D53294">
              <w:rPr>
                <w:rFonts w:ascii="Calibri" w:hAnsi="Calibri" w:cs="Calibri"/>
                <w:b/>
                <w:i/>
                <w:sz w:val="28"/>
                <w:szCs w:val="28"/>
              </w:rPr>
              <w:t>EQT</w:t>
            </w:r>
            <w:proofErr w:type="spellEnd"/>
            <w:r w:rsidRPr="00D53294">
              <w:rPr>
                <w:rFonts w:ascii="Calibri" w:hAnsi="Calibri" w:cs="Calibri"/>
                <w:b/>
                <w:i/>
                <w:sz w:val="28"/>
                <w:szCs w:val="28"/>
              </w:rPr>
              <w:t xml:space="preserve"> Prod</w:t>
            </w:r>
            <w:r w:rsidR="00AC31C7">
              <w:rPr>
                <w:rFonts w:ascii="Calibri" w:hAnsi="Calibri" w:cs="Calibri"/>
                <w:b/>
                <w:i/>
                <w:sz w:val="28"/>
                <w:szCs w:val="28"/>
              </w:rPr>
              <w:t>uction</w:t>
            </w:r>
            <w:r w:rsidRPr="00D53294">
              <w:rPr>
                <w:rFonts w:ascii="Calibri" w:hAnsi="Calibri" w:cs="Calibri"/>
                <w:b/>
                <w:i/>
                <w:sz w:val="28"/>
                <w:szCs w:val="28"/>
              </w:rPr>
              <w:t xml:space="preserve"> Co. v. Adair</w:t>
            </w:r>
            <w:r w:rsidRPr="00D53294">
              <w:rPr>
                <w:rFonts w:ascii="Calibri" w:hAnsi="Calibri" w:cs="Calibri"/>
                <w:b/>
                <w:sz w:val="28"/>
                <w:szCs w:val="28"/>
              </w:rPr>
              <w:t xml:space="preserve"> (4th Cir. 2014)</w:t>
            </w:r>
            <w:r>
              <w:rPr>
                <w:rFonts w:ascii="Calibri" w:hAnsi="Calibri" w:cs="Calibri"/>
                <w:b/>
                <w:sz w:val="28"/>
                <w:szCs w:val="28"/>
              </w:rPr>
              <w:t>?</w:t>
            </w:r>
          </w:p>
        </w:tc>
        <w:tc>
          <w:tcPr>
            <w:tcW w:w="5805" w:type="dxa"/>
            <w:vAlign w:val="center"/>
          </w:tcPr>
          <w:p w14:paraId="76DF6F83" w14:textId="50BF17D7" w:rsidR="00D53294" w:rsidRDefault="00D53294" w:rsidP="00525419">
            <w:pPr>
              <w:pStyle w:val="O-BodyText"/>
              <w:jc w:val="both"/>
              <w:rPr>
                <w:rFonts w:ascii="Calibri" w:hAnsi="Calibri" w:cs="Calibri"/>
                <w:b/>
                <w:sz w:val="22"/>
                <w:szCs w:val="22"/>
              </w:rPr>
            </w:pPr>
            <w:r>
              <w:rPr>
                <w:rFonts w:ascii="Calibri" w:hAnsi="Calibri" w:cs="Calibri"/>
                <w:b/>
                <w:sz w:val="22"/>
                <w:szCs w:val="22"/>
              </w:rPr>
              <w:t xml:space="preserve">In </w:t>
            </w:r>
            <w:proofErr w:type="spellStart"/>
            <w:r w:rsidRPr="00D53294">
              <w:rPr>
                <w:rFonts w:ascii="Calibri" w:hAnsi="Calibri" w:cs="Calibri"/>
                <w:b/>
                <w:i/>
                <w:sz w:val="22"/>
                <w:szCs w:val="22"/>
              </w:rPr>
              <w:t>EQT</w:t>
            </w:r>
            <w:proofErr w:type="spellEnd"/>
            <w:r w:rsidR="00AC31C7" w:rsidRPr="00AC31C7">
              <w:rPr>
                <w:rFonts w:ascii="Calibri" w:eastAsiaTheme="minorHAnsi" w:hAnsi="Calibri" w:cs="Calibri"/>
                <w:b/>
                <w:i/>
                <w:sz w:val="28"/>
                <w:szCs w:val="28"/>
              </w:rPr>
              <w:t xml:space="preserve"> </w:t>
            </w:r>
            <w:r w:rsidR="00AC31C7" w:rsidRPr="00AC31C7">
              <w:rPr>
                <w:rFonts w:ascii="Calibri" w:hAnsi="Calibri" w:cs="Calibri"/>
                <w:b/>
                <w:i/>
                <w:sz w:val="22"/>
                <w:szCs w:val="22"/>
              </w:rPr>
              <w:t>Production Co. v. Adair</w:t>
            </w:r>
            <w:r w:rsidRPr="00E56267">
              <w:rPr>
                <w:rFonts w:ascii="Calibri" w:hAnsi="Calibri" w:cs="Calibri"/>
                <w:b/>
                <w:sz w:val="22"/>
                <w:szCs w:val="22"/>
              </w:rPr>
              <w:t xml:space="preserve">, </w:t>
            </w:r>
            <w:r w:rsidR="00635640">
              <w:rPr>
                <w:rFonts w:ascii="Calibri" w:hAnsi="Calibri" w:cs="Calibri"/>
                <w:b/>
                <w:sz w:val="22"/>
                <w:szCs w:val="22"/>
              </w:rPr>
              <w:t>t</w:t>
            </w:r>
            <w:r w:rsidRPr="00E56267">
              <w:rPr>
                <w:rFonts w:ascii="Calibri" w:hAnsi="Calibri" w:cs="Calibri"/>
                <w:b/>
                <w:sz w:val="22"/>
                <w:szCs w:val="22"/>
              </w:rPr>
              <w:t xml:space="preserve">he 4th Circuit </w:t>
            </w:r>
            <w:r w:rsidR="00635640">
              <w:rPr>
                <w:rFonts w:ascii="Calibri" w:hAnsi="Calibri" w:cs="Calibri"/>
                <w:b/>
                <w:sz w:val="22"/>
                <w:szCs w:val="22"/>
              </w:rPr>
              <w:t>explained</w:t>
            </w:r>
            <w:r w:rsidRPr="00E56267">
              <w:rPr>
                <w:rFonts w:ascii="Calibri" w:hAnsi="Calibri" w:cs="Calibri"/>
                <w:b/>
                <w:sz w:val="22"/>
                <w:szCs w:val="22"/>
              </w:rPr>
              <w:t xml:space="preserve"> that it </w:t>
            </w:r>
            <w:r w:rsidR="00635640">
              <w:rPr>
                <w:rFonts w:ascii="Calibri" w:hAnsi="Calibri" w:cs="Calibri"/>
                <w:b/>
                <w:sz w:val="22"/>
                <w:szCs w:val="22"/>
              </w:rPr>
              <w:t xml:space="preserve">must be </w:t>
            </w:r>
            <w:r w:rsidRPr="00D53294">
              <w:rPr>
                <w:rFonts w:ascii="Calibri" w:hAnsi="Calibri" w:cs="Calibri"/>
                <w:b/>
                <w:sz w:val="22"/>
                <w:szCs w:val="22"/>
              </w:rPr>
              <w:t>administratively feasible for the court to determine w</w:t>
            </w:r>
            <w:r w:rsidR="00635640">
              <w:rPr>
                <w:rFonts w:ascii="Calibri" w:hAnsi="Calibri" w:cs="Calibri"/>
                <w:b/>
                <w:sz w:val="22"/>
                <w:szCs w:val="22"/>
              </w:rPr>
              <w:t>hether an individual is a class member.</w:t>
            </w:r>
          </w:p>
        </w:tc>
      </w:tr>
      <w:tr w:rsidR="00E56267" w:rsidRPr="00907D75" w14:paraId="12AC7775" w14:textId="77777777" w:rsidTr="008649A2">
        <w:trPr>
          <w:trHeight w:val="4795"/>
        </w:trPr>
        <w:tc>
          <w:tcPr>
            <w:tcW w:w="5805" w:type="dxa"/>
            <w:vAlign w:val="center"/>
          </w:tcPr>
          <w:p w14:paraId="100EC0B2" w14:textId="588163C1" w:rsidR="00E56267" w:rsidRDefault="00E56267" w:rsidP="00525419">
            <w:pPr>
              <w:pStyle w:val="O-BodyText"/>
              <w:spacing w:after="120"/>
              <w:ind w:right="200"/>
              <w:jc w:val="both"/>
              <w:rPr>
                <w:rFonts w:ascii="Calibri" w:hAnsi="Calibri" w:cs="Calibri"/>
                <w:b/>
                <w:sz w:val="28"/>
                <w:szCs w:val="28"/>
              </w:rPr>
            </w:pPr>
            <w:r>
              <w:rPr>
                <w:rFonts w:ascii="Calibri" w:hAnsi="Calibri" w:cs="Calibri"/>
                <w:b/>
                <w:sz w:val="28"/>
                <w:szCs w:val="28"/>
              </w:rPr>
              <w:t>How did Krakauer prove injury here</w:t>
            </w:r>
            <w:r w:rsidR="006122CB">
              <w:rPr>
                <w:rFonts w:ascii="Calibri" w:hAnsi="Calibri" w:cs="Calibri"/>
                <w:b/>
                <w:sz w:val="28"/>
                <w:szCs w:val="28"/>
              </w:rPr>
              <w:t xml:space="preserve">?  </w:t>
            </w:r>
          </w:p>
        </w:tc>
        <w:tc>
          <w:tcPr>
            <w:tcW w:w="5805" w:type="dxa"/>
            <w:vAlign w:val="center"/>
          </w:tcPr>
          <w:p w14:paraId="4C308FF4" w14:textId="143B0D53" w:rsidR="00635640" w:rsidRDefault="00E56267" w:rsidP="00525419">
            <w:pPr>
              <w:pStyle w:val="O-BodyText"/>
              <w:jc w:val="both"/>
              <w:rPr>
                <w:rFonts w:ascii="Calibri" w:hAnsi="Calibri" w:cs="Calibri"/>
                <w:b/>
                <w:sz w:val="22"/>
                <w:szCs w:val="22"/>
              </w:rPr>
            </w:pPr>
            <w:r w:rsidRPr="00E56267">
              <w:rPr>
                <w:rFonts w:ascii="Calibri" w:hAnsi="Calibri" w:cs="Calibri"/>
                <w:b/>
                <w:sz w:val="22"/>
                <w:szCs w:val="22"/>
              </w:rPr>
              <w:t xml:space="preserve">Krakauer </w:t>
            </w:r>
            <w:r>
              <w:rPr>
                <w:rFonts w:ascii="Calibri" w:hAnsi="Calibri" w:cs="Calibri"/>
                <w:b/>
                <w:sz w:val="22"/>
                <w:szCs w:val="22"/>
              </w:rPr>
              <w:t xml:space="preserve">only </w:t>
            </w:r>
            <w:r w:rsidRPr="00E56267">
              <w:rPr>
                <w:rFonts w:ascii="Calibri" w:hAnsi="Calibri" w:cs="Calibri"/>
                <w:b/>
                <w:sz w:val="22"/>
                <w:szCs w:val="22"/>
              </w:rPr>
              <w:t xml:space="preserve">sought to prove that SSN called certain </w:t>
            </w:r>
            <w:r w:rsidRPr="00E56267">
              <w:rPr>
                <w:rFonts w:ascii="Calibri" w:hAnsi="Calibri" w:cs="Calibri"/>
                <w:b/>
                <w:i/>
                <w:sz w:val="22"/>
                <w:szCs w:val="22"/>
              </w:rPr>
              <w:t>numbers</w:t>
            </w:r>
            <w:r w:rsidRPr="00E56267">
              <w:rPr>
                <w:rFonts w:ascii="Calibri" w:hAnsi="Calibri" w:cs="Calibri"/>
                <w:b/>
                <w:sz w:val="22"/>
                <w:szCs w:val="22"/>
              </w:rPr>
              <w:t>, not that any apparent class member was the affected subscriber, much less received calls or somehow suffered harm.</w:t>
            </w:r>
          </w:p>
          <w:p w14:paraId="21033246" w14:textId="1FF1E743" w:rsidR="00293338" w:rsidRDefault="00293338" w:rsidP="00525419">
            <w:pPr>
              <w:pStyle w:val="O-BodyText"/>
              <w:jc w:val="both"/>
              <w:rPr>
                <w:rFonts w:ascii="Calibri" w:hAnsi="Calibri" w:cs="Calibri"/>
                <w:b/>
                <w:sz w:val="22"/>
                <w:szCs w:val="22"/>
              </w:rPr>
            </w:pPr>
          </w:p>
        </w:tc>
      </w:tr>
      <w:tr w:rsidR="00293338" w:rsidRPr="00907D75" w14:paraId="61ADF401" w14:textId="77777777" w:rsidTr="008649A2">
        <w:trPr>
          <w:trHeight w:val="4795"/>
        </w:trPr>
        <w:tc>
          <w:tcPr>
            <w:tcW w:w="5805" w:type="dxa"/>
            <w:vAlign w:val="center"/>
          </w:tcPr>
          <w:p w14:paraId="40E5CE0A" w14:textId="0B723209" w:rsidR="00293338" w:rsidRDefault="00C27B6A"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How did </w:t>
            </w:r>
            <w:r w:rsidR="00635640">
              <w:rPr>
                <w:rFonts w:ascii="Calibri" w:hAnsi="Calibri" w:cs="Calibri"/>
                <w:b/>
                <w:sz w:val="28"/>
                <w:szCs w:val="28"/>
              </w:rPr>
              <w:t>Krakauer</w:t>
            </w:r>
            <w:r>
              <w:rPr>
                <w:rFonts w:ascii="Calibri" w:hAnsi="Calibri" w:cs="Calibri"/>
                <w:b/>
                <w:sz w:val="28"/>
                <w:szCs w:val="28"/>
              </w:rPr>
              <w:t xml:space="preserve"> find numbers called by SSN?</w:t>
            </w:r>
          </w:p>
        </w:tc>
        <w:tc>
          <w:tcPr>
            <w:tcW w:w="5805" w:type="dxa"/>
            <w:vAlign w:val="center"/>
          </w:tcPr>
          <w:p w14:paraId="4B1E3A43" w14:textId="5AE1518E" w:rsidR="00293338" w:rsidRPr="00E56267" w:rsidRDefault="00635640" w:rsidP="00525419">
            <w:pPr>
              <w:pStyle w:val="O-BodyText"/>
              <w:jc w:val="both"/>
              <w:rPr>
                <w:rFonts w:ascii="Calibri" w:hAnsi="Calibri" w:cs="Calibri"/>
                <w:b/>
                <w:sz w:val="22"/>
                <w:szCs w:val="22"/>
              </w:rPr>
            </w:pPr>
            <w:r>
              <w:rPr>
                <w:rFonts w:ascii="Calibri" w:hAnsi="Calibri" w:cs="Calibri"/>
                <w:b/>
                <w:sz w:val="22"/>
                <w:szCs w:val="22"/>
              </w:rPr>
              <w:t>Krakauer’s</w:t>
            </w:r>
            <w:r w:rsidR="00C27B6A" w:rsidRPr="00C27B6A">
              <w:rPr>
                <w:rFonts w:ascii="Calibri" w:hAnsi="Calibri" w:cs="Calibri"/>
                <w:b/>
                <w:sz w:val="22"/>
                <w:szCs w:val="22"/>
              </w:rPr>
              <w:t xml:space="preserve"> case was built on lists of SSN’s sales leads, which reflected </w:t>
            </w:r>
            <w:r>
              <w:rPr>
                <w:rFonts w:ascii="Calibri" w:hAnsi="Calibri" w:cs="Calibri"/>
                <w:b/>
                <w:sz w:val="22"/>
                <w:szCs w:val="22"/>
              </w:rPr>
              <w:t>numbers</w:t>
            </w:r>
            <w:r w:rsidR="00C27B6A" w:rsidRPr="00C27B6A">
              <w:rPr>
                <w:rFonts w:ascii="Calibri" w:hAnsi="Calibri" w:cs="Calibri"/>
                <w:b/>
                <w:sz w:val="22"/>
                <w:szCs w:val="22"/>
              </w:rPr>
              <w:t xml:space="preserve"> SSN </w:t>
            </w:r>
            <w:r w:rsidR="00C27B6A" w:rsidRPr="00C27B6A">
              <w:rPr>
                <w:rFonts w:ascii="Calibri" w:hAnsi="Calibri" w:cs="Calibri"/>
                <w:b/>
                <w:i/>
                <w:sz w:val="22"/>
                <w:szCs w:val="22"/>
              </w:rPr>
              <w:t>wanted</w:t>
            </w:r>
            <w:r w:rsidR="00C27B6A" w:rsidRPr="00C27B6A">
              <w:rPr>
                <w:rFonts w:ascii="Calibri" w:hAnsi="Calibri" w:cs="Calibri"/>
                <w:b/>
                <w:sz w:val="22"/>
                <w:szCs w:val="22"/>
              </w:rPr>
              <w:t xml:space="preserve"> to call.  He narrowed those lists to numbers on the Do Not Call Registry.  Where the records listed no names, he cross-referenced numbers against records in commercial databases (like LexisNexis) that purport to ma</w:t>
            </w:r>
            <w:r>
              <w:rPr>
                <w:rFonts w:ascii="Calibri" w:hAnsi="Calibri" w:cs="Calibri"/>
                <w:b/>
                <w:sz w:val="22"/>
                <w:szCs w:val="22"/>
              </w:rPr>
              <w:t>tch people with phone numbers.</w:t>
            </w:r>
          </w:p>
        </w:tc>
      </w:tr>
      <w:tr w:rsidR="00C27B6A" w:rsidRPr="00907D75" w14:paraId="486418BF" w14:textId="77777777" w:rsidTr="008649A2">
        <w:trPr>
          <w:trHeight w:val="4795"/>
        </w:trPr>
        <w:tc>
          <w:tcPr>
            <w:tcW w:w="5805" w:type="dxa"/>
            <w:vAlign w:val="center"/>
          </w:tcPr>
          <w:p w14:paraId="26B7DFDB" w14:textId="3A4AF256" w:rsidR="00C27B6A" w:rsidRDefault="00C27B6A"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Do the databases used by Krakauer identify DISH subscribers?</w:t>
            </w:r>
          </w:p>
        </w:tc>
        <w:tc>
          <w:tcPr>
            <w:tcW w:w="5805" w:type="dxa"/>
            <w:vAlign w:val="center"/>
          </w:tcPr>
          <w:p w14:paraId="7713A9C0" w14:textId="4CDA57B8" w:rsidR="00C27B6A" w:rsidRPr="00C27B6A" w:rsidRDefault="00C27B6A" w:rsidP="00525419">
            <w:pPr>
              <w:pStyle w:val="O-BodyText"/>
              <w:jc w:val="both"/>
              <w:rPr>
                <w:rFonts w:ascii="Calibri" w:hAnsi="Calibri" w:cs="Calibri"/>
                <w:b/>
                <w:sz w:val="22"/>
                <w:szCs w:val="22"/>
              </w:rPr>
            </w:pPr>
            <w:r>
              <w:rPr>
                <w:rFonts w:ascii="Calibri" w:hAnsi="Calibri" w:cs="Calibri"/>
                <w:b/>
                <w:sz w:val="22"/>
                <w:szCs w:val="22"/>
              </w:rPr>
              <w:t>No</w:t>
            </w:r>
            <w:r w:rsidR="00087D7F">
              <w:rPr>
                <w:rFonts w:ascii="Calibri" w:hAnsi="Calibri" w:cs="Calibri"/>
                <w:b/>
                <w:sz w:val="22"/>
                <w:szCs w:val="22"/>
              </w:rPr>
              <w:t xml:space="preserve">.  The </w:t>
            </w:r>
            <w:r>
              <w:rPr>
                <w:rFonts w:ascii="Calibri" w:hAnsi="Calibri" w:cs="Calibri"/>
                <w:b/>
                <w:sz w:val="22"/>
                <w:szCs w:val="22"/>
              </w:rPr>
              <w:t xml:space="preserve">databases </w:t>
            </w:r>
            <w:r w:rsidR="00087D7F">
              <w:rPr>
                <w:rFonts w:ascii="Calibri" w:hAnsi="Calibri" w:cs="Calibri"/>
                <w:b/>
                <w:sz w:val="22"/>
                <w:szCs w:val="22"/>
              </w:rPr>
              <w:t xml:space="preserve">used by Krakauer </w:t>
            </w:r>
            <w:r w:rsidRPr="00C27B6A">
              <w:rPr>
                <w:rFonts w:ascii="Calibri" w:hAnsi="Calibri" w:cs="Calibri"/>
                <w:b/>
                <w:sz w:val="22"/>
                <w:szCs w:val="22"/>
              </w:rPr>
              <w:t>don’t identify subscribers</w:t>
            </w:r>
            <w:r w:rsidR="00CC5AAB">
              <w:rPr>
                <w:rFonts w:ascii="Calibri" w:hAnsi="Calibri" w:cs="Calibri"/>
                <w:b/>
                <w:sz w:val="22"/>
                <w:szCs w:val="22"/>
              </w:rPr>
              <w:t xml:space="preserve">.  Each record could come from </w:t>
            </w:r>
            <w:r w:rsidRPr="00C27B6A">
              <w:rPr>
                <w:rFonts w:ascii="Calibri" w:hAnsi="Calibri" w:cs="Calibri"/>
                <w:b/>
                <w:sz w:val="22"/>
                <w:szCs w:val="22"/>
              </w:rPr>
              <w:t>thousands of</w:t>
            </w:r>
            <w:r w:rsidR="00087D7F">
              <w:rPr>
                <w:rFonts w:ascii="Calibri" w:hAnsi="Calibri" w:cs="Calibri"/>
                <w:b/>
                <w:sz w:val="22"/>
                <w:szCs w:val="22"/>
              </w:rPr>
              <w:t xml:space="preserve"> </w:t>
            </w:r>
            <w:r w:rsidR="00CC5AAB">
              <w:rPr>
                <w:rFonts w:ascii="Calibri" w:hAnsi="Calibri" w:cs="Calibri"/>
                <w:b/>
                <w:sz w:val="22"/>
                <w:szCs w:val="22"/>
              </w:rPr>
              <w:t>sources,</w:t>
            </w:r>
            <w:r w:rsidRPr="00C27B6A">
              <w:rPr>
                <w:rFonts w:ascii="Calibri" w:hAnsi="Calibri" w:cs="Calibri"/>
                <w:b/>
                <w:sz w:val="22"/>
                <w:szCs w:val="22"/>
              </w:rPr>
              <w:t xml:space="preserve"> like credit card applications, utilities, or warranties</w:t>
            </w:r>
            <w:r w:rsidR="00CC5AAB">
              <w:rPr>
                <w:rFonts w:ascii="Calibri" w:hAnsi="Calibri" w:cs="Calibri"/>
                <w:b/>
                <w:sz w:val="22"/>
                <w:szCs w:val="22"/>
              </w:rPr>
              <w:t>.</w:t>
            </w:r>
          </w:p>
        </w:tc>
      </w:tr>
      <w:tr w:rsidR="00C44F10" w:rsidRPr="00907D75" w14:paraId="15DD7F2B" w14:textId="77777777" w:rsidTr="008649A2">
        <w:trPr>
          <w:trHeight w:val="4795"/>
        </w:trPr>
        <w:tc>
          <w:tcPr>
            <w:tcW w:w="5805" w:type="dxa"/>
            <w:vAlign w:val="center"/>
          </w:tcPr>
          <w:p w14:paraId="1CA78EFA" w14:textId="2620D3AE" w:rsidR="00C44F10" w:rsidRDefault="00C44F10" w:rsidP="00525419">
            <w:pPr>
              <w:pStyle w:val="O-BodyText"/>
              <w:spacing w:after="120"/>
              <w:ind w:right="200"/>
              <w:jc w:val="both"/>
              <w:rPr>
                <w:rFonts w:ascii="Calibri" w:hAnsi="Calibri" w:cs="Calibri"/>
                <w:b/>
                <w:sz w:val="28"/>
                <w:szCs w:val="28"/>
              </w:rPr>
            </w:pPr>
            <w:r>
              <w:rPr>
                <w:rFonts w:ascii="Calibri" w:hAnsi="Calibri" w:cs="Calibri"/>
                <w:b/>
                <w:sz w:val="28"/>
                <w:szCs w:val="28"/>
              </w:rPr>
              <w:t>Did Krakauer have a way to establish who was injured?</w:t>
            </w:r>
          </w:p>
        </w:tc>
        <w:tc>
          <w:tcPr>
            <w:tcW w:w="5805" w:type="dxa"/>
            <w:vAlign w:val="center"/>
          </w:tcPr>
          <w:p w14:paraId="6324CD1B" w14:textId="4A639692" w:rsidR="00C44F10" w:rsidRDefault="00087D7F" w:rsidP="00525419">
            <w:pPr>
              <w:pStyle w:val="O-BodyText"/>
              <w:jc w:val="both"/>
              <w:rPr>
                <w:rFonts w:ascii="Calibri" w:hAnsi="Calibri" w:cs="Calibri"/>
                <w:b/>
                <w:sz w:val="22"/>
                <w:szCs w:val="22"/>
              </w:rPr>
            </w:pPr>
            <w:r>
              <w:rPr>
                <w:rFonts w:ascii="Calibri" w:hAnsi="Calibri" w:cs="Calibri"/>
                <w:b/>
                <w:sz w:val="22"/>
                <w:szCs w:val="22"/>
              </w:rPr>
              <w:t>No.  T</w:t>
            </w:r>
            <w:r w:rsidR="00C44F10">
              <w:rPr>
                <w:rFonts w:ascii="Calibri" w:hAnsi="Calibri" w:cs="Calibri"/>
                <w:b/>
                <w:sz w:val="22"/>
                <w:szCs w:val="22"/>
              </w:rPr>
              <w:t xml:space="preserve">he </w:t>
            </w:r>
            <w:r w:rsidR="00C44F10" w:rsidRPr="00C44F10">
              <w:rPr>
                <w:rFonts w:ascii="Calibri" w:hAnsi="Calibri" w:cs="Calibri"/>
                <w:b/>
                <w:sz w:val="22"/>
                <w:szCs w:val="22"/>
              </w:rPr>
              <w:t>lists of people “associated with” phone numbers didn’t show who picked up the phone, who was home when the phone rang, or even that class member</w:t>
            </w:r>
            <w:r>
              <w:rPr>
                <w:rFonts w:ascii="Calibri" w:hAnsi="Calibri" w:cs="Calibri"/>
                <w:b/>
                <w:sz w:val="22"/>
                <w:szCs w:val="22"/>
              </w:rPr>
              <w:t>s</w:t>
            </w:r>
            <w:r w:rsidR="00C44F10" w:rsidRPr="00C44F10">
              <w:rPr>
                <w:rFonts w:ascii="Calibri" w:hAnsi="Calibri" w:cs="Calibri"/>
                <w:b/>
                <w:sz w:val="22"/>
                <w:szCs w:val="22"/>
              </w:rPr>
              <w:t xml:space="preserve"> lived at the</w:t>
            </w:r>
            <w:r w:rsidR="00C44F10">
              <w:rPr>
                <w:rFonts w:ascii="Calibri" w:hAnsi="Calibri" w:cs="Calibri"/>
                <w:b/>
                <w:sz w:val="22"/>
                <w:szCs w:val="22"/>
              </w:rPr>
              <w:t xml:space="preserve"> </w:t>
            </w:r>
            <w:r w:rsidR="00C44F10" w:rsidRPr="00C44F10">
              <w:rPr>
                <w:rFonts w:ascii="Calibri" w:hAnsi="Calibri" w:cs="Calibri"/>
                <w:b/>
                <w:sz w:val="22"/>
                <w:szCs w:val="22"/>
              </w:rPr>
              <w:t>residence at the time of the call</w:t>
            </w:r>
            <w:r w:rsidR="00C44F10">
              <w:rPr>
                <w:rFonts w:ascii="Calibri" w:hAnsi="Calibri" w:cs="Calibri"/>
                <w:b/>
                <w:sz w:val="22"/>
                <w:szCs w:val="22"/>
              </w:rPr>
              <w:t>.</w:t>
            </w:r>
          </w:p>
        </w:tc>
      </w:tr>
      <w:tr w:rsidR="00C44F10" w:rsidRPr="00907D75" w14:paraId="6DA6C085" w14:textId="77777777" w:rsidTr="008649A2">
        <w:trPr>
          <w:trHeight w:val="4795"/>
        </w:trPr>
        <w:tc>
          <w:tcPr>
            <w:tcW w:w="5805" w:type="dxa"/>
            <w:vAlign w:val="center"/>
          </w:tcPr>
          <w:p w14:paraId="6DE1EA6C" w14:textId="230FEB10" w:rsidR="00C44F10" w:rsidRDefault="00C44F10" w:rsidP="00525419">
            <w:pPr>
              <w:pStyle w:val="O-BodyText"/>
              <w:spacing w:after="120"/>
              <w:ind w:right="200"/>
              <w:jc w:val="both"/>
              <w:rPr>
                <w:rFonts w:ascii="Calibri" w:hAnsi="Calibri" w:cs="Calibri"/>
                <w:b/>
                <w:sz w:val="28"/>
                <w:szCs w:val="28"/>
              </w:rPr>
            </w:pPr>
            <w:r>
              <w:rPr>
                <w:rFonts w:ascii="Calibri" w:hAnsi="Calibri" w:cs="Calibri"/>
                <w:b/>
                <w:sz w:val="28"/>
                <w:szCs w:val="28"/>
              </w:rPr>
              <w:t>You argue that the court erred because it failed to limit the judgment to those who prove liability</w:t>
            </w:r>
            <w:r w:rsidR="006122CB">
              <w:rPr>
                <w:rFonts w:ascii="Calibri" w:hAnsi="Calibri" w:cs="Calibri"/>
                <w:b/>
                <w:sz w:val="28"/>
                <w:szCs w:val="28"/>
              </w:rPr>
              <w:t xml:space="preserve">.  </w:t>
            </w:r>
            <w:r>
              <w:rPr>
                <w:rFonts w:ascii="Calibri" w:hAnsi="Calibri" w:cs="Calibri"/>
                <w:b/>
                <w:sz w:val="28"/>
                <w:szCs w:val="28"/>
              </w:rPr>
              <w:t>Please explain.</w:t>
            </w:r>
          </w:p>
        </w:tc>
        <w:tc>
          <w:tcPr>
            <w:tcW w:w="5805" w:type="dxa"/>
            <w:vAlign w:val="center"/>
          </w:tcPr>
          <w:p w14:paraId="0EEB22E7" w14:textId="16176B31" w:rsidR="00C44F10" w:rsidRDefault="00C44F10" w:rsidP="00525419">
            <w:pPr>
              <w:pStyle w:val="O-BodyText"/>
              <w:jc w:val="both"/>
              <w:rPr>
                <w:rFonts w:ascii="Calibri" w:hAnsi="Calibri" w:cs="Calibri"/>
                <w:b/>
                <w:sz w:val="22"/>
                <w:szCs w:val="22"/>
              </w:rPr>
            </w:pPr>
            <w:r>
              <w:rPr>
                <w:rFonts w:ascii="Calibri" w:hAnsi="Calibri" w:cs="Calibri"/>
                <w:b/>
                <w:sz w:val="22"/>
                <w:szCs w:val="22"/>
              </w:rPr>
              <w:t>E</w:t>
            </w:r>
            <w:r w:rsidRPr="00C44F10">
              <w:rPr>
                <w:rFonts w:ascii="Calibri" w:hAnsi="Calibri" w:cs="Calibri"/>
                <w:b/>
                <w:sz w:val="22"/>
                <w:szCs w:val="22"/>
              </w:rPr>
              <w:t xml:space="preserve">ven when a class has been properly certified, there must be some “way to ensure that the jury’s damages award goes only to injured class members.”  </w:t>
            </w:r>
            <w:r w:rsidRPr="00C44F10">
              <w:rPr>
                <w:rFonts w:ascii="Calibri" w:hAnsi="Calibri" w:cs="Calibri"/>
                <w:b/>
                <w:i/>
                <w:sz w:val="22"/>
                <w:szCs w:val="22"/>
              </w:rPr>
              <w:t>Tyson Foods</w:t>
            </w:r>
            <w:r>
              <w:rPr>
                <w:rFonts w:ascii="Calibri" w:hAnsi="Calibri" w:cs="Calibri"/>
                <w:b/>
                <w:sz w:val="22"/>
                <w:szCs w:val="22"/>
              </w:rPr>
              <w:t xml:space="preserve"> </w:t>
            </w:r>
            <w:r w:rsidRPr="00C44F10">
              <w:rPr>
                <w:rFonts w:ascii="Calibri" w:hAnsi="Calibri" w:cs="Calibri"/>
                <w:b/>
                <w:i/>
                <w:sz w:val="22"/>
                <w:szCs w:val="22"/>
              </w:rPr>
              <w:t xml:space="preserve">(S. Ct. </w:t>
            </w:r>
            <w:r w:rsidRPr="00C44F10">
              <w:rPr>
                <w:rFonts w:ascii="Calibri" w:hAnsi="Calibri" w:cs="Calibri"/>
                <w:b/>
                <w:sz w:val="22"/>
                <w:szCs w:val="22"/>
              </w:rPr>
              <w:t>2016) (Roberts, C.J., concurring)</w:t>
            </w:r>
            <w:r w:rsidR="006122CB" w:rsidRPr="00C44F10">
              <w:rPr>
                <w:rFonts w:ascii="Calibri" w:hAnsi="Calibri" w:cs="Calibri"/>
                <w:b/>
                <w:sz w:val="22"/>
                <w:szCs w:val="22"/>
              </w:rPr>
              <w:t>.</w:t>
            </w:r>
            <w:r w:rsidR="006122CB">
              <w:rPr>
                <w:rFonts w:ascii="Calibri" w:hAnsi="Calibri" w:cs="Calibri"/>
                <w:b/>
                <w:sz w:val="22"/>
                <w:szCs w:val="22"/>
              </w:rPr>
              <w:t xml:space="preserve">  </w:t>
            </w:r>
            <w:r>
              <w:rPr>
                <w:rFonts w:ascii="Calibri" w:hAnsi="Calibri" w:cs="Calibri"/>
                <w:b/>
                <w:sz w:val="22"/>
                <w:szCs w:val="22"/>
              </w:rPr>
              <w:t>A</w:t>
            </w:r>
            <w:r w:rsidRPr="00C44F10">
              <w:rPr>
                <w:rFonts w:ascii="Calibri" w:hAnsi="Calibri" w:cs="Calibri"/>
                <w:b/>
                <w:sz w:val="22"/>
                <w:szCs w:val="22"/>
              </w:rPr>
              <w:t>t trial</w:t>
            </w:r>
            <w:r>
              <w:rPr>
                <w:rFonts w:ascii="Calibri" w:hAnsi="Calibri" w:cs="Calibri"/>
                <w:b/>
                <w:sz w:val="22"/>
                <w:szCs w:val="22"/>
              </w:rPr>
              <w:t>,</w:t>
            </w:r>
            <w:r w:rsidRPr="00C44F10">
              <w:rPr>
                <w:rFonts w:ascii="Calibri" w:hAnsi="Calibri" w:cs="Calibri"/>
                <w:b/>
                <w:sz w:val="22"/>
                <w:szCs w:val="22"/>
              </w:rPr>
              <w:t xml:space="preserve"> Krakauer never showed that any class member (other than himself) was a subscriber, answered a phone call, heard the phone ring, or was otherwise injured.  And the jury made no such finding</w:t>
            </w:r>
            <w:r w:rsidR="006122CB">
              <w:rPr>
                <w:rFonts w:ascii="Calibri" w:hAnsi="Calibri" w:cs="Calibri"/>
                <w:b/>
                <w:sz w:val="22"/>
                <w:szCs w:val="22"/>
              </w:rPr>
              <w:t>.</w:t>
            </w:r>
          </w:p>
        </w:tc>
      </w:tr>
      <w:tr w:rsidR="00BA636C" w:rsidRPr="00907D75" w14:paraId="48B4DED8" w14:textId="77777777" w:rsidTr="008649A2">
        <w:trPr>
          <w:trHeight w:val="4795"/>
        </w:trPr>
        <w:tc>
          <w:tcPr>
            <w:tcW w:w="5805" w:type="dxa"/>
            <w:vAlign w:val="center"/>
          </w:tcPr>
          <w:p w14:paraId="07E3E54A" w14:textId="35D867E3" w:rsidR="00BA636C" w:rsidRDefault="00BA636C"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court instruct the jury about liability?</w:t>
            </w:r>
          </w:p>
        </w:tc>
        <w:tc>
          <w:tcPr>
            <w:tcW w:w="5805" w:type="dxa"/>
            <w:vAlign w:val="center"/>
          </w:tcPr>
          <w:p w14:paraId="4CE001E0" w14:textId="6EC7D378" w:rsidR="00BA636C" w:rsidRDefault="00BA636C" w:rsidP="00525419">
            <w:pPr>
              <w:pStyle w:val="O-BodyText"/>
              <w:jc w:val="both"/>
              <w:rPr>
                <w:rFonts w:ascii="Calibri" w:hAnsi="Calibri" w:cs="Calibri"/>
                <w:b/>
                <w:sz w:val="22"/>
                <w:szCs w:val="22"/>
              </w:rPr>
            </w:pPr>
            <w:r>
              <w:rPr>
                <w:rFonts w:ascii="Calibri" w:hAnsi="Calibri" w:cs="Calibri"/>
                <w:b/>
                <w:sz w:val="22"/>
                <w:szCs w:val="22"/>
              </w:rPr>
              <w:t>T</w:t>
            </w:r>
            <w:r w:rsidRPr="00BA636C">
              <w:rPr>
                <w:rFonts w:ascii="Calibri" w:hAnsi="Calibri" w:cs="Calibri"/>
                <w:b/>
                <w:sz w:val="22"/>
                <w:szCs w:val="22"/>
              </w:rPr>
              <w:t>he court instructed the jury that it could e</w:t>
            </w:r>
            <w:r w:rsidR="000131AC">
              <w:rPr>
                <w:rFonts w:ascii="Calibri" w:hAnsi="Calibri" w:cs="Calibri"/>
                <w:b/>
                <w:sz w:val="22"/>
                <w:szCs w:val="22"/>
              </w:rPr>
              <w:t xml:space="preserve">nter judgment if it found that </w:t>
            </w:r>
            <w:r w:rsidRPr="00BA636C">
              <w:rPr>
                <w:rFonts w:ascii="Calibri" w:hAnsi="Calibri" w:cs="Calibri"/>
                <w:b/>
                <w:sz w:val="22"/>
                <w:szCs w:val="22"/>
              </w:rPr>
              <w:t xml:space="preserve">SSN made at least two solicitation calls </w:t>
            </w:r>
            <w:r w:rsidR="000131AC" w:rsidRPr="000131AC">
              <w:rPr>
                <w:rFonts w:ascii="Calibri" w:hAnsi="Calibri" w:cs="Calibri"/>
                <w:b/>
                <w:sz w:val="22"/>
                <w:szCs w:val="22"/>
              </w:rPr>
              <w:t xml:space="preserve">to </w:t>
            </w:r>
            <w:r w:rsidR="000131AC" w:rsidRPr="000131AC">
              <w:rPr>
                <w:rFonts w:ascii="Calibri" w:hAnsi="Calibri" w:cs="Calibri"/>
                <w:b/>
                <w:i/>
                <w:sz w:val="22"/>
                <w:szCs w:val="22"/>
              </w:rPr>
              <w:t>numbers</w:t>
            </w:r>
            <w:r w:rsidR="000131AC" w:rsidRPr="000131AC">
              <w:rPr>
                <w:rFonts w:ascii="Calibri" w:hAnsi="Calibri" w:cs="Calibri"/>
                <w:b/>
                <w:sz w:val="22"/>
                <w:szCs w:val="22"/>
              </w:rPr>
              <w:t xml:space="preserve"> on the Do Not Call list.</w:t>
            </w:r>
            <w:r w:rsidR="006122CB" w:rsidRPr="000131AC">
              <w:rPr>
                <w:rFonts w:ascii="Calibri" w:hAnsi="Calibri" w:cs="Calibri"/>
                <w:b/>
                <w:sz w:val="22"/>
                <w:szCs w:val="22"/>
              </w:rPr>
              <w:t xml:space="preserve">  </w:t>
            </w:r>
          </w:p>
        </w:tc>
      </w:tr>
      <w:tr w:rsidR="000E35A7" w:rsidRPr="00907D75" w14:paraId="10F830AA" w14:textId="77777777" w:rsidTr="008649A2">
        <w:trPr>
          <w:trHeight w:val="4795"/>
        </w:trPr>
        <w:tc>
          <w:tcPr>
            <w:tcW w:w="5805" w:type="dxa"/>
            <w:vAlign w:val="center"/>
          </w:tcPr>
          <w:p w14:paraId="70222AE4" w14:textId="37ADA16D" w:rsidR="000E35A7" w:rsidRDefault="000E35A7" w:rsidP="00525419">
            <w:pPr>
              <w:pStyle w:val="O-BodyText"/>
              <w:spacing w:after="120"/>
              <w:ind w:right="200"/>
              <w:jc w:val="both"/>
              <w:rPr>
                <w:rFonts w:ascii="Calibri" w:hAnsi="Calibri" w:cs="Calibri"/>
                <w:b/>
                <w:sz w:val="28"/>
                <w:szCs w:val="28"/>
              </w:rPr>
            </w:pPr>
            <w:r>
              <w:rPr>
                <w:rFonts w:ascii="Calibri" w:hAnsi="Calibri" w:cs="Calibri"/>
                <w:b/>
                <w:sz w:val="28"/>
                <w:szCs w:val="28"/>
              </w:rPr>
              <w:t>Wh</w:t>
            </w:r>
            <w:r w:rsidR="000131AC">
              <w:rPr>
                <w:rFonts w:ascii="Calibri" w:hAnsi="Calibri" w:cs="Calibri"/>
                <w:b/>
                <w:sz w:val="28"/>
                <w:szCs w:val="28"/>
              </w:rPr>
              <w:t xml:space="preserve">y was it </w:t>
            </w:r>
            <w:r>
              <w:rPr>
                <w:rFonts w:ascii="Calibri" w:hAnsi="Calibri" w:cs="Calibri"/>
                <w:b/>
                <w:sz w:val="28"/>
                <w:szCs w:val="28"/>
              </w:rPr>
              <w:t xml:space="preserve">wrong </w:t>
            </w:r>
            <w:r w:rsidR="000131AC">
              <w:rPr>
                <w:rFonts w:ascii="Calibri" w:hAnsi="Calibri" w:cs="Calibri"/>
                <w:b/>
                <w:sz w:val="28"/>
                <w:szCs w:val="28"/>
              </w:rPr>
              <w:t>to</w:t>
            </w:r>
            <w:r>
              <w:rPr>
                <w:rFonts w:ascii="Calibri" w:hAnsi="Calibri" w:cs="Calibri"/>
                <w:b/>
                <w:sz w:val="28"/>
                <w:szCs w:val="28"/>
              </w:rPr>
              <w:t xml:space="preserve"> </w:t>
            </w:r>
            <w:r w:rsidR="000131AC">
              <w:rPr>
                <w:rFonts w:ascii="Calibri" w:hAnsi="Calibri" w:cs="Calibri"/>
                <w:b/>
                <w:sz w:val="28"/>
                <w:szCs w:val="28"/>
              </w:rPr>
              <w:t xml:space="preserve">instruct the jury that it could enter judgment if it found that SSN </w:t>
            </w:r>
            <w:proofErr w:type="gramStart"/>
            <w:r w:rsidR="000131AC">
              <w:rPr>
                <w:rFonts w:ascii="Calibri" w:hAnsi="Calibri" w:cs="Calibri"/>
                <w:b/>
                <w:sz w:val="28"/>
                <w:szCs w:val="28"/>
              </w:rPr>
              <w:t xml:space="preserve">made </w:t>
            </w:r>
            <w:r>
              <w:rPr>
                <w:rFonts w:ascii="Calibri" w:hAnsi="Calibri" w:cs="Calibri"/>
                <w:b/>
                <w:sz w:val="28"/>
                <w:szCs w:val="28"/>
              </w:rPr>
              <w:t xml:space="preserve"> </w:t>
            </w:r>
            <w:r w:rsidR="000131AC">
              <w:rPr>
                <w:rFonts w:ascii="Calibri" w:hAnsi="Calibri" w:cs="Calibri"/>
                <w:b/>
                <w:sz w:val="28"/>
                <w:szCs w:val="28"/>
              </w:rPr>
              <w:t>at</w:t>
            </w:r>
            <w:proofErr w:type="gramEnd"/>
            <w:r w:rsidR="000131AC">
              <w:rPr>
                <w:rFonts w:ascii="Calibri" w:hAnsi="Calibri" w:cs="Calibri"/>
                <w:b/>
                <w:sz w:val="28"/>
                <w:szCs w:val="28"/>
              </w:rPr>
              <w:t xml:space="preserve"> least two calls to numbers on the Do Not Call list</w:t>
            </w:r>
            <w:r>
              <w:rPr>
                <w:rFonts w:ascii="Calibri" w:hAnsi="Calibri" w:cs="Calibri"/>
                <w:b/>
                <w:sz w:val="28"/>
                <w:szCs w:val="28"/>
              </w:rPr>
              <w:t>?</w:t>
            </w:r>
          </w:p>
        </w:tc>
        <w:tc>
          <w:tcPr>
            <w:tcW w:w="5805" w:type="dxa"/>
            <w:vAlign w:val="center"/>
          </w:tcPr>
          <w:p w14:paraId="69D44F6E" w14:textId="74932226" w:rsidR="000E35A7" w:rsidRDefault="000E35A7" w:rsidP="00525419">
            <w:pPr>
              <w:pStyle w:val="O-BodyText"/>
              <w:jc w:val="both"/>
              <w:rPr>
                <w:rFonts w:ascii="Calibri" w:hAnsi="Calibri" w:cs="Calibri"/>
                <w:b/>
                <w:sz w:val="22"/>
                <w:szCs w:val="22"/>
              </w:rPr>
            </w:pPr>
            <w:r>
              <w:rPr>
                <w:rFonts w:ascii="Calibri" w:hAnsi="Calibri" w:cs="Calibri"/>
                <w:b/>
                <w:sz w:val="22"/>
                <w:szCs w:val="22"/>
              </w:rPr>
              <w:t>S</w:t>
            </w:r>
            <w:r w:rsidRPr="00BA636C">
              <w:rPr>
                <w:rFonts w:ascii="Calibri" w:hAnsi="Calibri" w:cs="Calibri"/>
                <w:b/>
                <w:sz w:val="22"/>
                <w:szCs w:val="22"/>
              </w:rPr>
              <w:t xml:space="preserve">howing two calls to a given phone </w:t>
            </w:r>
            <w:r w:rsidRPr="000131AC">
              <w:rPr>
                <w:rFonts w:ascii="Calibri" w:hAnsi="Calibri" w:cs="Calibri"/>
                <w:b/>
                <w:i/>
                <w:sz w:val="22"/>
                <w:szCs w:val="22"/>
              </w:rPr>
              <w:t>number</w:t>
            </w:r>
            <w:r w:rsidRPr="00BA636C">
              <w:rPr>
                <w:rFonts w:ascii="Calibri" w:hAnsi="Calibri" w:cs="Calibri"/>
                <w:b/>
                <w:sz w:val="22"/>
                <w:szCs w:val="22"/>
              </w:rPr>
              <w:t xml:space="preserve"> doesn’t weed out valid from invalid claims.  </w:t>
            </w:r>
            <w:r>
              <w:rPr>
                <w:rFonts w:ascii="Calibri" w:hAnsi="Calibri" w:cs="Calibri"/>
                <w:b/>
                <w:sz w:val="22"/>
                <w:szCs w:val="22"/>
              </w:rPr>
              <w:t xml:space="preserve">Imagine </w:t>
            </w:r>
            <w:r w:rsidRPr="00BA636C">
              <w:rPr>
                <w:rFonts w:ascii="Calibri" w:hAnsi="Calibri" w:cs="Calibri"/>
                <w:b/>
                <w:sz w:val="22"/>
                <w:szCs w:val="22"/>
              </w:rPr>
              <w:t>two calls to the Doe household</w:t>
            </w:r>
            <w:r>
              <w:rPr>
                <w:rFonts w:ascii="Calibri" w:hAnsi="Calibri" w:cs="Calibri"/>
                <w:b/>
                <w:sz w:val="22"/>
                <w:szCs w:val="22"/>
              </w:rPr>
              <w:t xml:space="preserve">; </w:t>
            </w:r>
            <w:r w:rsidRPr="00BA636C">
              <w:rPr>
                <w:rFonts w:ascii="Calibri" w:hAnsi="Calibri" w:cs="Calibri"/>
                <w:b/>
                <w:sz w:val="22"/>
                <w:szCs w:val="22"/>
              </w:rPr>
              <w:t xml:space="preserve">John Doe (the subscriber) answered the first and Jane Doe (home from college) answered the second.  The jury </w:t>
            </w:r>
            <w:r w:rsidR="000131AC">
              <w:rPr>
                <w:rFonts w:ascii="Calibri" w:hAnsi="Calibri" w:cs="Calibri"/>
                <w:b/>
                <w:sz w:val="22"/>
                <w:szCs w:val="22"/>
              </w:rPr>
              <w:t>wouldn’t know</w:t>
            </w:r>
            <w:r w:rsidRPr="00BA636C">
              <w:rPr>
                <w:rFonts w:ascii="Calibri" w:hAnsi="Calibri" w:cs="Calibri"/>
                <w:b/>
                <w:sz w:val="22"/>
                <w:szCs w:val="22"/>
              </w:rPr>
              <w:t xml:space="preserve">—it would </w:t>
            </w:r>
            <w:r w:rsidR="000131AC">
              <w:rPr>
                <w:rFonts w:ascii="Calibri" w:hAnsi="Calibri" w:cs="Calibri"/>
                <w:b/>
                <w:sz w:val="22"/>
                <w:szCs w:val="22"/>
              </w:rPr>
              <w:t xml:space="preserve">only </w:t>
            </w:r>
            <w:r w:rsidRPr="00BA636C">
              <w:rPr>
                <w:rFonts w:ascii="Calibri" w:hAnsi="Calibri" w:cs="Calibri"/>
                <w:b/>
                <w:sz w:val="22"/>
                <w:szCs w:val="22"/>
              </w:rPr>
              <w:t>know that two calls were made to a given number</w:t>
            </w:r>
            <w:r w:rsidR="006122CB" w:rsidRPr="00BA636C">
              <w:rPr>
                <w:rFonts w:ascii="Calibri" w:hAnsi="Calibri" w:cs="Calibri"/>
                <w:b/>
                <w:sz w:val="22"/>
                <w:szCs w:val="22"/>
              </w:rPr>
              <w:t>.</w:t>
            </w:r>
          </w:p>
        </w:tc>
      </w:tr>
      <w:tr w:rsidR="0034085B" w:rsidRPr="00907D75" w14:paraId="12663D7E" w14:textId="77777777" w:rsidTr="008649A2">
        <w:trPr>
          <w:trHeight w:val="4795"/>
        </w:trPr>
        <w:tc>
          <w:tcPr>
            <w:tcW w:w="5805" w:type="dxa"/>
            <w:vAlign w:val="center"/>
          </w:tcPr>
          <w:p w14:paraId="67653F66" w14:textId="6BEC9EFD" w:rsidR="0034085B" w:rsidRDefault="000131AC"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How did the court identify </w:t>
            </w:r>
            <w:r w:rsidR="0034085B">
              <w:rPr>
                <w:rFonts w:ascii="Calibri" w:hAnsi="Calibri" w:cs="Calibri"/>
                <w:b/>
                <w:sz w:val="28"/>
                <w:szCs w:val="28"/>
              </w:rPr>
              <w:t xml:space="preserve">class members </w:t>
            </w:r>
            <w:r w:rsidR="00597004">
              <w:rPr>
                <w:rFonts w:ascii="Calibri" w:hAnsi="Calibri" w:cs="Calibri"/>
                <w:b/>
                <w:sz w:val="28"/>
                <w:szCs w:val="28"/>
              </w:rPr>
              <w:t>from</w:t>
            </w:r>
            <w:r w:rsidR="0034085B">
              <w:rPr>
                <w:rFonts w:ascii="Calibri" w:hAnsi="Calibri" w:cs="Calibri"/>
                <w:b/>
                <w:sz w:val="28"/>
                <w:szCs w:val="28"/>
              </w:rPr>
              <w:t xml:space="preserve"> SSN’s records?</w:t>
            </w:r>
          </w:p>
        </w:tc>
        <w:tc>
          <w:tcPr>
            <w:tcW w:w="5805" w:type="dxa"/>
            <w:vAlign w:val="center"/>
          </w:tcPr>
          <w:p w14:paraId="323E12DC" w14:textId="4F6B2A4D" w:rsidR="0034085B" w:rsidRDefault="001D0FF5" w:rsidP="00525419">
            <w:pPr>
              <w:pStyle w:val="O-BodyText"/>
              <w:jc w:val="both"/>
              <w:rPr>
                <w:rFonts w:ascii="Calibri" w:hAnsi="Calibri" w:cs="Calibri"/>
                <w:b/>
                <w:sz w:val="22"/>
                <w:szCs w:val="22"/>
              </w:rPr>
            </w:pPr>
            <w:r>
              <w:rPr>
                <w:rFonts w:ascii="Calibri" w:hAnsi="Calibri" w:cs="Calibri"/>
                <w:b/>
                <w:sz w:val="22"/>
                <w:szCs w:val="22"/>
              </w:rPr>
              <w:t xml:space="preserve">The court identified 11,000 members </w:t>
            </w:r>
            <w:r w:rsidR="00597004">
              <w:rPr>
                <w:rFonts w:ascii="Calibri" w:hAnsi="Calibri" w:cs="Calibri"/>
                <w:b/>
                <w:sz w:val="22"/>
                <w:szCs w:val="22"/>
              </w:rPr>
              <w:t xml:space="preserve">based on </w:t>
            </w:r>
            <w:r>
              <w:rPr>
                <w:rFonts w:ascii="Calibri" w:hAnsi="Calibri" w:cs="Calibri"/>
                <w:b/>
                <w:sz w:val="22"/>
                <w:szCs w:val="22"/>
              </w:rPr>
              <w:t>Krakauer’s records</w:t>
            </w:r>
            <w:r w:rsidR="00597004">
              <w:rPr>
                <w:rFonts w:ascii="Calibri" w:hAnsi="Calibri" w:cs="Calibri"/>
                <w:b/>
                <w:sz w:val="22"/>
                <w:szCs w:val="22"/>
              </w:rPr>
              <w:t>, which</w:t>
            </w:r>
            <w:r>
              <w:rPr>
                <w:rFonts w:ascii="Calibri" w:hAnsi="Calibri" w:cs="Calibri"/>
                <w:b/>
                <w:sz w:val="22"/>
                <w:szCs w:val="22"/>
              </w:rPr>
              <w:t xml:space="preserve"> mentioned their names</w:t>
            </w:r>
            <w:r w:rsidR="006122CB">
              <w:rPr>
                <w:rFonts w:ascii="Calibri" w:hAnsi="Calibri" w:cs="Calibri"/>
                <w:b/>
                <w:sz w:val="22"/>
                <w:szCs w:val="22"/>
              </w:rPr>
              <w:t xml:space="preserve">.  </w:t>
            </w:r>
            <w:r w:rsidR="007D6105">
              <w:rPr>
                <w:rFonts w:ascii="Calibri" w:hAnsi="Calibri" w:cs="Calibri"/>
                <w:b/>
                <w:sz w:val="22"/>
                <w:szCs w:val="22"/>
              </w:rPr>
              <w:t xml:space="preserve">But these records </w:t>
            </w:r>
            <w:r w:rsidR="00597004">
              <w:rPr>
                <w:rFonts w:ascii="Calibri" w:hAnsi="Calibri" w:cs="Calibri"/>
                <w:b/>
                <w:sz w:val="22"/>
                <w:szCs w:val="22"/>
              </w:rPr>
              <w:t>only</w:t>
            </w:r>
            <w:r w:rsidR="007D6105">
              <w:rPr>
                <w:rFonts w:ascii="Calibri" w:hAnsi="Calibri" w:cs="Calibri"/>
                <w:b/>
                <w:sz w:val="22"/>
                <w:szCs w:val="22"/>
              </w:rPr>
              <w:t xml:space="preserve"> showed names of </w:t>
            </w:r>
            <w:r w:rsidR="00597004">
              <w:rPr>
                <w:rFonts w:ascii="Calibri" w:hAnsi="Calibri" w:cs="Calibri"/>
                <w:b/>
                <w:sz w:val="22"/>
                <w:szCs w:val="22"/>
              </w:rPr>
              <w:t>people</w:t>
            </w:r>
            <w:r w:rsidR="007D6105">
              <w:rPr>
                <w:rFonts w:ascii="Calibri" w:hAnsi="Calibri" w:cs="Calibri"/>
                <w:b/>
                <w:sz w:val="22"/>
                <w:szCs w:val="22"/>
              </w:rPr>
              <w:t xml:space="preserve"> “associated with” phone numbers</w:t>
            </w:r>
            <w:r w:rsidR="006122CB">
              <w:rPr>
                <w:rFonts w:ascii="Calibri" w:hAnsi="Calibri" w:cs="Calibri"/>
                <w:b/>
                <w:sz w:val="22"/>
                <w:szCs w:val="22"/>
              </w:rPr>
              <w:t xml:space="preserve">.  </w:t>
            </w:r>
            <w:r w:rsidR="00597004">
              <w:rPr>
                <w:rFonts w:ascii="Calibri" w:hAnsi="Calibri" w:cs="Calibri"/>
                <w:b/>
                <w:sz w:val="22"/>
                <w:szCs w:val="22"/>
              </w:rPr>
              <w:t>T</w:t>
            </w:r>
            <w:r w:rsidR="007D6105">
              <w:rPr>
                <w:rFonts w:ascii="Calibri" w:hAnsi="Calibri" w:cs="Calibri"/>
                <w:b/>
                <w:sz w:val="22"/>
                <w:szCs w:val="22"/>
              </w:rPr>
              <w:t xml:space="preserve">hese </w:t>
            </w:r>
            <w:r w:rsidR="00597004">
              <w:rPr>
                <w:rFonts w:ascii="Calibri" w:hAnsi="Calibri" w:cs="Calibri"/>
                <w:b/>
                <w:sz w:val="22"/>
                <w:szCs w:val="22"/>
              </w:rPr>
              <w:t xml:space="preserve">people never </w:t>
            </w:r>
            <w:r w:rsidR="007D6105">
              <w:rPr>
                <w:rFonts w:ascii="Calibri" w:hAnsi="Calibri" w:cs="Calibri"/>
                <w:b/>
                <w:sz w:val="22"/>
                <w:szCs w:val="22"/>
              </w:rPr>
              <w:t>attest</w:t>
            </w:r>
            <w:r w:rsidR="00597004">
              <w:rPr>
                <w:rFonts w:ascii="Calibri" w:hAnsi="Calibri" w:cs="Calibri"/>
                <w:b/>
                <w:sz w:val="22"/>
                <w:szCs w:val="22"/>
              </w:rPr>
              <w:t>ed</w:t>
            </w:r>
            <w:r w:rsidR="007D6105">
              <w:rPr>
                <w:rFonts w:ascii="Calibri" w:hAnsi="Calibri" w:cs="Calibri"/>
                <w:b/>
                <w:sz w:val="22"/>
                <w:szCs w:val="22"/>
              </w:rPr>
              <w:t xml:space="preserve"> that they were subscriber</w:t>
            </w:r>
            <w:r w:rsidR="00597004">
              <w:rPr>
                <w:rFonts w:ascii="Calibri" w:hAnsi="Calibri" w:cs="Calibri"/>
                <w:b/>
                <w:sz w:val="22"/>
                <w:szCs w:val="22"/>
              </w:rPr>
              <w:t>s</w:t>
            </w:r>
            <w:r w:rsidR="007D6105">
              <w:rPr>
                <w:rFonts w:ascii="Calibri" w:hAnsi="Calibri" w:cs="Calibri"/>
                <w:b/>
                <w:sz w:val="22"/>
                <w:szCs w:val="22"/>
              </w:rPr>
              <w:t xml:space="preserve"> or </w:t>
            </w:r>
            <w:proofErr w:type="gramStart"/>
            <w:r w:rsidR="00597004">
              <w:rPr>
                <w:rFonts w:ascii="Calibri" w:hAnsi="Calibri" w:cs="Calibri"/>
                <w:b/>
                <w:sz w:val="22"/>
                <w:szCs w:val="22"/>
              </w:rPr>
              <w:t xml:space="preserve">actually </w:t>
            </w:r>
            <w:r w:rsidR="007D6105">
              <w:rPr>
                <w:rFonts w:ascii="Calibri" w:hAnsi="Calibri" w:cs="Calibri"/>
                <w:b/>
                <w:sz w:val="22"/>
                <w:szCs w:val="22"/>
              </w:rPr>
              <w:t>received</w:t>
            </w:r>
            <w:proofErr w:type="gramEnd"/>
            <w:r w:rsidR="007D6105">
              <w:rPr>
                <w:rFonts w:ascii="Calibri" w:hAnsi="Calibri" w:cs="Calibri"/>
                <w:b/>
                <w:sz w:val="22"/>
                <w:szCs w:val="22"/>
              </w:rPr>
              <w:t xml:space="preserve"> </w:t>
            </w:r>
            <w:r w:rsidR="00597004">
              <w:rPr>
                <w:rFonts w:ascii="Calibri" w:hAnsi="Calibri" w:cs="Calibri"/>
                <w:b/>
                <w:sz w:val="22"/>
                <w:szCs w:val="22"/>
              </w:rPr>
              <w:t xml:space="preserve">the </w:t>
            </w:r>
            <w:r w:rsidR="007D6105">
              <w:rPr>
                <w:rFonts w:ascii="Calibri" w:hAnsi="Calibri" w:cs="Calibri"/>
                <w:b/>
                <w:sz w:val="22"/>
                <w:szCs w:val="22"/>
              </w:rPr>
              <w:t>calls.</w:t>
            </w:r>
          </w:p>
        </w:tc>
      </w:tr>
      <w:tr w:rsidR="007D6105" w:rsidRPr="00907D75" w14:paraId="6BB77E2D" w14:textId="77777777" w:rsidTr="008649A2">
        <w:trPr>
          <w:trHeight w:val="4795"/>
        </w:trPr>
        <w:tc>
          <w:tcPr>
            <w:tcW w:w="5805" w:type="dxa"/>
            <w:vAlign w:val="center"/>
          </w:tcPr>
          <w:p w14:paraId="63EAE0E3" w14:textId="357F760C" w:rsidR="007D6105" w:rsidRDefault="007D610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Is there any evidence that claimants were incorrectly identified?</w:t>
            </w:r>
          </w:p>
        </w:tc>
        <w:tc>
          <w:tcPr>
            <w:tcW w:w="5805" w:type="dxa"/>
            <w:vAlign w:val="center"/>
          </w:tcPr>
          <w:p w14:paraId="44C24400" w14:textId="152A7D3E" w:rsidR="007D6105" w:rsidRDefault="007D6105" w:rsidP="00525419">
            <w:pPr>
              <w:pStyle w:val="O-BodyText"/>
              <w:jc w:val="both"/>
              <w:rPr>
                <w:rFonts w:ascii="Calibri" w:hAnsi="Calibri" w:cs="Calibri"/>
                <w:b/>
                <w:sz w:val="22"/>
                <w:szCs w:val="22"/>
              </w:rPr>
            </w:pPr>
            <w:r>
              <w:rPr>
                <w:rFonts w:ascii="Calibri" w:hAnsi="Calibri" w:cs="Calibri"/>
                <w:b/>
                <w:sz w:val="22"/>
                <w:szCs w:val="22"/>
              </w:rPr>
              <w:t xml:space="preserve">Yes, </w:t>
            </w:r>
            <w:r w:rsidR="008870C6">
              <w:rPr>
                <w:rFonts w:ascii="Calibri" w:hAnsi="Calibri" w:cs="Calibri"/>
                <w:b/>
                <w:sz w:val="22"/>
                <w:szCs w:val="22"/>
              </w:rPr>
              <w:t>in some cases, the court awarded damages based on Krakauer’s records, but LexisNexis showed different people associated with the same phone number during the class period.</w:t>
            </w:r>
          </w:p>
        </w:tc>
      </w:tr>
      <w:tr w:rsidR="008870C6" w:rsidRPr="00907D75" w14:paraId="6A830E49" w14:textId="77777777" w:rsidTr="008649A2">
        <w:trPr>
          <w:trHeight w:val="4795"/>
        </w:trPr>
        <w:tc>
          <w:tcPr>
            <w:tcW w:w="5805" w:type="dxa"/>
            <w:vAlign w:val="center"/>
          </w:tcPr>
          <w:p w14:paraId="231B9421" w14:textId="5D7AF7FC" w:rsidR="008870C6" w:rsidRDefault="008870C6" w:rsidP="00525419">
            <w:pPr>
              <w:pStyle w:val="O-BodyText"/>
              <w:spacing w:after="120"/>
              <w:ind w:right="200"/>
              <w:jc w:val="both"/>
              <w:rPr>
                <w:rFonts w:ascii="Calibri" w:hAnsi="Calibri" w:cs="Calibri"/>
                <w:b/>
                <w:sz w:val="28"/>
                <w:szCs w:val="28"/>
              </w:rPr>
            </w:pPr>
            <w:r>
              <w:rPr>
                <w:rFonts w:ascii="Calibri" w:hAnsi="Calibri" w:cs="Calibri"/>
                <w:b/>
                <w:sz w:val="28"/>
                <w:szCs w:val="28"/>
              </w:rPr>
              <w:t>Do you know how many people were incorrectly awarded damages</w:t>
            </w:r>
            <w:r w:rsidR="006122CB">
              <w:rPr>
                <w:rFonts w:ascii="Calibri" w:hAnsi="Calibri" w:cs="Calibri"/>
                <w:b/>
                <w:sz w:val="28"/>
                <w:szCs w:val="28"/>
              </w:rPr>
              <w:t xml:space="preserve">?  </w:t>
            </w:r>
            <w:r>
              <w:rPr>
                <w:rFonts w:ascii="Calibri" w:hAnsi="Calibri" w:cs="Calibri"/>
                <w:b/>
                <w:sz w:val="28"/>
                <w:szCs w:val="28"/>
              </w:rPr>
              <w:t>Your brief only cites two examples (</w:t>
            </w:r>
            <w:r w:rsidR="002E67C3">
              <w:rPr>
                <w:rFonts w:ascii="Calibri" w:hAnsi="Calibri" w:cs="Calibri"/>
                <w:b/>
                <w:sz w:val="28"/>
                <w:szCs w:val="28"/>
              </w:rPr>
              <w:t>OB</w:t>
            </w:r>
            <w:r>
              <w:rPr>
                <w:rFonts w:ascii="Calibri" w:hAnsi="Calibri" w:cs="Calibri"/>
                <w:b/>
                <w:sz w:val="28"/>
                <w:szCs w:val="28"/>
              </w:rPr>
              <w:t>36).</w:t>
            </w:r>
          </w:p>
        </w:tc>
        <w:tc>
          <w:tcPr>
            <w:tcW w:w="5805" w:type="dxa"/>
            <w:vAlign w:val="center"/>
          </w:tcPr>
          <w:p w14:paraId="740E7A9F" w14:textId="03DB66A7" w:rsidR="008870C6" w:rsidRDefault="008870C6" w:rsidP="00525419">
            <w:pPr>
              <w:pStyle w:val="O-BodyText"/>
              <w:jc w:val="both"/>
              <w:rPr>
                <w:rFonts w:ascii="Calibri" w:hAnsi="Calibri" w:cs="Calibri"/>
                <w:b/>
                <w:sz w:val="22"/>
                <w:szCs w:val="22"/>
              </w:rPr>
            </w:pPr>
            <w:r>
              <w:rPr>
                <w:rFonts w:ascii="Calibri" w:hAnsi="Calibri" w:cs="Calibri"/>
                <w:b/>
                <w:sz w:val="22"/>
                <w:szCs w:val="22"/>
              </w:rPr>
              <w:t>We’re not sure how many total claimants were incorrectly identified as being associated with a phone number, but the district court refused to consider the conflicting evidence we did put forward.</w:t>
            </w:r>
          </w:p>
        </w:tc>
      </w:tr>
      <w:tr w:rsidR="00051F13" w:rsidRPr="00907D75" w14:paraId="7C313101" w14:textId="77777777" w:rsidTr="008649A2">
        <w:trPr>
          <w:trHeight w:val="4795"/>
        </w:trPr>
        <w:tc>
          <w:tcPr>
            <w:tcW w:w="5805" w:type="dxa"/>
            <w:vAlign w:val="center"/>
          </w:tcPr>
          <w:p w14:paraId="5BE1542B" w14:textId="1C683A5C" w:rsidR="00051F13" w:rsidRDefault="002E67C3" w:rsidP="00525419">
            <w:pPr>
              <w:pStyle w:val="O-BodyText"/>
              <w:spacing w:after="120"/>
              <w:ind w:right="200"/>
              <w:jc w:val="both"/>
              <w:rPr>
                <w:rFonts w:ascii="Calibri" w:hAnsi="Calibri" w:cs="Calibri"/>
                <w:b/>
                <w:sz w:val="28"/>
                <w:szCs w:val="28"/>
              </w:rPr>
            </w:pPr>
            <w:r>
              <w:rPr>
                <w:rFonts w:ascii="Calibri" w:hAnsi="Calibri" w:cs="Calibri"/>
                <w:b/>
                <w:sz w:val="28"/>
                <w:szCs w:val="28"/>
              </w:rPr>
              <w:t>How were the other 7,000</w:t>
            </w:r>
            <w:r w:rsidR="00051F13">
              <w:rPr>
                <w:rFonts w:ascii="Calibri" w:hAnsi="Calibri" w:cs="Calibri"/>
                <w:b/>
                <w:sz w:val="28"/>
                <w:szCs w:val="28"/>
              </w:rPr>
              <w:t xml:space="preserve"> class members</w:t>
            </w:r>
            <w:r>
              <w:rPr>
                <w:rFonts w:ascii="Calibri" w:hAnsi="Calibri" w:cs="Calibri"/>
                <w:b/>
                <w:sz w:val="28"/>
                <w:szCs w:val="28"/>
              </w:rPr>
              <w:t xml:space="preserve"> identified</w:t>
            </w:r>
            <w:r w:rsidR="00051F13">
              <w:rPr>
                <w:rFonts w:ascii="Calibri" w:hAnsi="Calibri" w:cs="Calibri"/>
                <w:b/>
                <w:sz w:val="28"/>
                <w:szCs w:val="28"/>
              </w:rPr>
              <w:t>?</w:t>
            </w:r>
          </w:p>
        </w:tc>
        <w:tc>
          <w:tcPr>
            <w:tcW w:w="5805" w:type="dxa"/>
            <w:vAlign w:val="center"/>
          </w:tcPr>
          <w:p w14:paraId="6E66E377" w14:textId="08FA5682" w:rsidR="00051F13" w:rsidRDefault="0067487E" w:rsidP="00525419">
            <w:pPr>
              <w:pStyle w:val="O-BodyText"/>
              <w:jc w:val="both"/>
              <w:rPr>
                <w:rFonts w:ascii="Calibri" w:hAnsi="Calibri" w:cs="Calibri"/>
                <w:b/>
                <w:sz w:val="22"/>
                <w:szCs w:val="22"/>
              </w:rPr>
            </w:pPr>
            <w:r>
              <w:rPr>
                <w:rFonts w:ascii="Calibri" w:hAnsi="Calibri" w:cs="Calibri"/>
                <w:b/>
                <w:sz w:val="22"/>
                <w:szCs w:val="22"/>
              </w:rPr>
              <w:t xml:space="preserve">For the remaining 7,000 class members, the court </w:t>
            </w:r>
            <w:r w:rsidR="002E67C3">
              <w:rPr>
                <w:rFonts w:ascii="Calibri" w:hAnsi="Calibri" w:cs="Calibri"/>
                <w:b/>
                <w:sz w:val="22"/>
                <w:szCs w:val="22"/>
              </w:rPr>
              <w:t>r</w:t>
            </w:r>
            <w:r>
              <w:rPr>
                <w:rFonts w:ascii="Calibri" w:hAnsi="Calibri" w:cs="Calibri"/>
                <w:b/>
                <w:sz w:val="22"/>
                <w:szCs w:val="22"/>
              </w:rPr>
              <w:t>equire</w:t>
            </w:r>
            <w:r w:rsidR="002E67C3">
              <w:rPr>
                <w:rFonts w:ascii="Calibri" w:hAnsi="Calibri" w:cs="Calibri"/>
                <w:b/>
                <w:sz w:val="22"/>
                <w:szCs w:val="22"/>
              </w:rPr>
              <w:t>d</w:t>
            </w:r>
            <w:r>
              <w:rPr>
                <w:rFonts w:ascii="Calibri" w:hAnsi="Calibri" w:cs="Calibri"/>
                <w:b/>
                <w:sz w:val="22"/>
                <w:szCs w:val="22"/>
              </w:rPr>
              <w:t xml:space="preserve"> a claim form, but the form only asked whether “you or </w:t>
            </w:r>
            <w:r w:rsidRPr="0067487E">
              <w:rPr>
                <w:rFonts w:ascii="Calibri" w:hAnsi="Calibri" w:cs="Calibri"/>
                <w:b/>
                <w:sz w:val="22"/>
                <w:szCs w:val="22"/>
              </w:rPr>
              <w:t>someone in your household ha[d] this telephone number” during the class period</w:t>
            </w:r>
            <w:r w:rsidR="006122CB" w:rsidRPr="0067487E">
              <w:rPr>
                <w:rFonts w:ascii="Calibri" w:hAnsi="Calibri" w:cs="Calibri"/>
                <w:b/>
                <w:sz w:val="22"/>
                <w:szCs w:val="22"/>
              </w:rPr>
              <w:t>.</w:t>
            </w:r>
          </w:p>
        </w:tc>
      </w:tr>
      <w:tr w:rsidR="00F560F8" w:rsidRPr="00907D75" w14:paraId="01131A8B" w14:textId="77777777" w:rsidTr="008649A2">
        <w:trPr>
          <w:trHeight w:val="4795"/>
        </w:trPr>
        <w:tc>
          <w:tcPr>
            <w:tcW w:w="5805" w:type="dxa"/>
            <w:vAlign w:val="center"/>
          </w:tcPr>
          <w:p w14:paraId="2BD0BFA3" w14:textId="6C06E5ED" w:rsidR="00F560F8" w:rsidRDefault="00F560F8"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wrong with the claim form</w:t>
            </w:r>
            <w:r w:rsidR="002E67C3">
              <w:rPr>
                <w:rFonts w:ascii="Calibri" w:hAnsi="Calibri" w:cs="Calibri"/>
                <w:b/>
                <w:sz w:val="28"/>
                <w:szCs w:val="28"/>
              </w:rPr>
              <w:t xml:space="preserve"> used </w:t>
            </w:r>
            <w:r w:rsidR="003D6CA2">
              <w:rPr>
                <w:rFonts w:ascii="Calibri" w:hAnsi="Calibri" w:cs="Calibri"/>
                <w:b/>
                <w:sz w:val="28"/>
                <w:szCs w:val="28"/>
              </w:rPr>
              <w:t xml:space="preserve">to identify </w:t>
            </w:r>
            <w:r w:rsidR="002E67C3">
              <w:rPr>
                <w:rFonts w:ascii="Calibri" w:hAnsi="Calibri" w:cs="Calibri"/>
                <w:b/>
                <w:sz w:val="28"/>
                <w:szCs w:val="28"/>
              </w:rPr>
              <w:t>the 7,000 class members</w:t>
            </w:r>
            <w:r>
              <w:rPr>
                <w:rFonts w:ascii="Calibri" w:hAnsi="Calibri" w:cs="Calibri"/>
                <w:b/>
                <w:sz w:val="28"/>
                <w:szCs w:val="28"/>
              </w:rPr>
              <w:t>?</w:t>
            </w:r>
          </w:p>
        </w:tc>
        <w:tc>
          <w:tcPr>
            <w:tcW w:w="5805" w:type="dxa"/>
            <w:vAlign w:val="center"/>
          </w:tcPr>
          <w:p w14:paraId="02548F89" w14:textId="4A1296C8" w:rsidR="00F560F8" w:rsidRDefault="00F560F8" w:rsidP="00525419">
            <w:pPr>
              <w:pStyle w:val="O-BodyText"/>
              <w:jc w:val="both"/>
              <w:rPr>
                <w:rFonts w:ascii="Calibri" w:hAnsi="Calibri" w:cs="Calibri"/>
                <w:b/>
                <w:sz w:val="22"/>
                <w:szCs w:val="22"/>
              </w:rPr>
            </w:pPr>
            <w:r>
              <w:rPr>
                <w:rFonts w:ascii="Calibri" w:hAnsi="Calibri" w:cs="Calibri"/>
                <w:b/>
                <w:sz w:val="22"/>
                <w:szCs w:val="22"/>
              </w:rPr>
              <w:t>The claim form didn’t</w:t>
            </w:r>
            <w:r w:rsidRPr="00F560F8">
              <w:rPr>
                <w:rFonts w:ascii="Calibri" w:hAnsi="Calibri" w:cs="Calibri"/>
                <w:b/>
                <w:sz w:val="22"/>
                <w:szCs w:val="22"/>
              </w:rPr>
              <w:t xml:space="preserve"> ask the claimant </w:t>
            </w:r>
            <w:r w:rsidR="00E33D72">
              <w:rPr>
                <w:rFonts w:ascii="Calibri" w:hAnsi="Calibri" w:cs="Calibri"/>
                <w:b/>
                <w:sz w:val="22"/>
                <w:szCs w:val="22"/>
              </w:rPr>
              <w:t xml:space="preserve">(1) </w:t>
            </w:r>
            <w:r w:rsidRPr="00F560F8">
              <w:rPr>
                <w:rFonts w:ascii="Calibri" w:hAnsi="Calibri" w:cs="Calibri"/>
                <w:b/>
                <w:sz w:val="22"/>
                <w:szCs w:val="22"/>
              </w:rPr>
              <w:t>who i</w:t>
            </w:r>
            <w:r w:rsidR="00E33D72">
              <w:rPr>
                <w:rFonts w:ascii="Calibri" w:hAnsi="Calibri" w:cs="Calibri"/>
                <w:b/>
                <w:sz w:val="22"/>
                <w:szCs w:val="22"/>
              </w:rPr>
              <w:t xml:space="preserve">n the household had the number, (2) </w:t>
            </w:r>
            <w:r>
              <w:rPr>
                <w:rFonts w:ascii="Calibri" w:hAnsi="Calibri" w:cs="Calibri"/>
                <w:b/>
                <w:sz w:val="22"/>
                <w:szCs w:val="22"/>
              </w:rPr>
              <w:t>who answered any call</w:t>
            </w:r>
            <w:r w:rsidR="00E33D72">
              <w:rPr>
                <w:rFonts w:ascii="Calibri" w:hAnsi="Calibri" w:cs="Calibri"/>
                <w:b/>
                <w:sz w:val="22"/>
                <w:szCs w:val="22"/>
              </w:rPr>
              <w:t>, or (3) whether</w:t>
            </w:r>
            <w:r>
              <w:rPr>
                <w:rFonts w:ascii="Calibri" w:hAnsi="Calibri" w:cs="Calibri"/>
                <w:b/>
                <w:sz w:val="22"/>
                <w:szCs w:val="22"/>
              </w:rPr>
              <w:t xml:space="preserve"> </w:t>
            </w:r>
            <w:r w:rsidR="00E33D72">
              <w:rPr>
                <w:rFonts w:ascii="Calibri" w:hAnsi="Calibri" w:cs="Calibri"/>
                <w:b/>
                <w:sz w:val="22"/>
                <w:szCs w:val="22"/>
              </w:rPr>
              <w:t xml:space="preserve">the </w:t>
            </w:r>
            <w:r w:rsidRPr="00F560F8">
              <w:rPr>
                <w:rFonts w:ascii="Calibri" w:hAnsi="Calibri" w:cs="Calibri"/>
                <w:b/>
                <w:sz w:val="22"/>
                <w:szCs w:val="22"/>
              </w:rPr>
              <w:t xml:space="preserve">household had the number during the </w:t>
            </w:r>
            <w:r w:rsidR="00E33D72">
              <w:rPr>
                <w:rFonts w:ascii="Calibri" w:hAnsi="Calibri" w:cs="Calibri"/>
                <w:b/>
                <w:sz w:val="22"/>
                <w:szCs w:val="22"/>
              </w:rPr>
              <w:t xml:space="preserve">class </w:t>
            </w:r>
            <w:r w:rsidRPr="00F560F8">
              <w:rPr>
                <w:rFonts w:ascii="Calibri" w:hAnsi="Calibri" w:cs="Calibri"/>
                <w:b/>
                <w:sz w:val="22"/>
                <w:szCs w:val="22"/>
              </w:rPr>
              <w:t xml:space="preserve">period or </w:t>
            </w:r>
            <w:r w:rsidR="00E33D72">
              <w:rPr>
                <w:rFonts w:ascii="Calibri" w:hAnsi="Calibri" w:cs="Calibri"/>
                <w:b/>
                <w:sz w:val="22"/>
                <w:szCs w:val="22"/>
              </w:rPr>
              <w:t>when</w:t>
            </w:r>
            <w:r w:rsidRPr="00F560F8">
              <w:rPr>
                <w:rFonts w:ascii="Calibri" w:hAnsi="Calibri" w:cs="Calibri"/>
                <w:b/>
                <w:sz w:val="22"/>
                <w:szCs w:val="22"/>
              </w:rPr>
              <w:t xml:space="preserve"> the calls were made.  </w:t>
            </w:r>
            <w:r w:rsidR="00E33D72">
              <w:rPr>
                <w:rFonts w:ascii="Calibri" w:hAnsi="Calibri" w:cs="Calibri"/>
                <w:b/>
                <w:sz w:val="22"/>
                <w:szCs w:val="22"/>
              </w:rPr>
              <w:t>The claim form</w:t>
            </w:r>
            <w:r w:rsidRPr="00F560F8">
              <w:rPr>
                <w:rFonts w:ascii="Calibri" w:hAnsi="Calibri" w:cs="Calibri"/>
                <w:b/>
                <w:sz w:val="22"/>
                <w:szCs w:val="22"/>
              </w:rPr>
              <w:t xml:space="preserve"> </w:t>
            </w:r>
            <w:r w:rsidR="00B03360">
              <w:rPr>
                <w:rFonts w:ascii="Calibri" w:hAnsi="Calibri" w:cs="Calibri"/>
                <w:b/>
                <w:sz w:val="22"/>
                <w:szCs w:val="22"/>
              </w:rPr>
              <w:t>therefore</w:t>
            </w:r>
            <w:r w:rsidRPr="00F560F8">
              <w:rPr>
                <w:rFonts w:ascii="Calibri" w:hAnsi="Calibri" w:cs="Calibri"/>
                <w:b/>
                <w:sz w:val="22"/>
                <w:szCs w:val="22"/>
              </w:rPr>
              <w:t xml:space="preserve"> allowed a claim from anyone who lived in a household with someone who had the phone number at some point during the class period</w:t>
            </w:r>
            <w:r>
              <w:rPr>
                <w:rFonts w:ascii="Calibri" w:hAnsi="Calibri" w:cs="Calibri"/>
                <w:b/>
                <w:sz w:val="22"/>
                <w:szCs w:val="22"/>
              </w:rPr>
              <w:t>.</w:t>
            </w:r>
          </w:p>
        </w:tc>
      </w:tr>
      <w:tr w:rsidR="00AD43EF" w:rsidRPr="00907D75" w14:paraId="252D419D" w14:textId="77777777" w:rsidTr="008649A2">
        <w:trPr>
          <w:trHeight w:val="4795"/>
        </w:trPr>
        <w:tc>
          <w:tcPr>
            <w:tcW w:w="5805" w:type="dxa"/>
            <w:vAlign w:val="center"/>
          </w:tcPr>
          <w:p w14:paraId="062FFC5A" w14:textId="462F4FF9" w:rsidR="00AD43EF" w:rsidRDefault="00AD43EF" w:rsidP="00525419">
            <w:pPr>
              <w:pStyle w:val="O-BodyText"/>
              <w:spacing w:after="120"/>
              <w:ind w:right="200"/>
              <w:jc w:val="both"/>
              <w:rPr>
                <w:rFonts w:ascii="Calibri" w:hAnsi="Calibri" w:cs="Calibri"/>
                <w:b/>
                <w:sz w:val="28"/>
                <w:szCs w:val="28"/>
              </w:rPr>
            </w:pPr>
            <w:r>
              <w:rPr>
                <w:rFonts w:ascii="Calibri" w:hAnsi="Calibri" w:cs="Calibri"/>
                <w:b/>
                <w:sz w:val="28"/>
                <w:szCs w:val="28"/>
              </w:rPr>
              <w:t>What was the result of the district court’s claim process?</w:t>
            </w:r>
          </w:p>
        </w:tc>
        <w:tc>
          <w:tcPr>
            <w:tcW w:w="5805" w:type="dxa"/>
            <w:vAlign w:val="center"/>
          </w:tcPr>
          <w:p w14:paraId="79F0C7C8" w14:textId="4C72B849" w:rsidR="00AD43EF" w:rsidRDefault="00AD43EF" w:rsidP="00525419">
            <w:pPr>
              <w:pStyle w:val="O-BodyText"/>
              <w:jc w:val="both"/>
              <w:rPr>
                <w:rFonts w:ascii="Calibri" w:hAnsi="Calibri" w:cs="Calibri"/>
                <w:b/>
                <w:sz w:val="22"/>
                <w:szCs w:val="22"/>
              </w:rPr>
            </w:pPr>
            <w:r>
              <w:rPr>
                <w:rFonts w:ascii="Calibri" w:hAnsi="Calibri" w:cs="Calibri"/>
                <w:b/>
                <w:sz w:val="22"/>
                <w:szCs w:val="22"/>
              </w:rPr>
              <w:t>T</w:t>
            </w:r>
            <w:r w:rsidRPr="00AD43EF">
              <w:rPr>
                <w:rFonts w:ascii="Calibri" w:hAnsi="Calibri" w:cs="Calibri"/>
                <w:b/>
                <w:sz w:val="22"/>
                <w:szCs w:val="22"/>
              </w:rPr>
              <w:t xml:space="preserve">he jury </w:t>
            </w:r>
            <w:r>
              <w:rPr>
                <w:rFonts w:ascii="Calibri" w:hAnsi="Calibri" w:cs="Calibri"/>
                <w:b/>
                <w:sz w:val="22"/>
                <w:szCs w:val="22"/>
              </w:rPr>
              <w:t>found</w:t>
            </w:r>
            <w:r w:rsidRPr="00AD43EF">
              <w:rPr>
                <w:rFonts w:ascii="Calibri" w:hAnsi="Calibri" w:cs="Calibri"/>
                <w:b/>
                <w:sz w:val="22"/>
                <w:szCs w:val="22"/>
              </w:rPr>
              <w:t xml:space="preserve"> in favor of over</w:t>
            </w:r>
            <w:r>
              <w:rPr>
                <w:rFonts w:ascii="Calibri" w:hAnsi="Calibri" w:cs="Calibri"/>
                <w:b/>
                <w:sz w:val="22"/>
                <w:szCs w:val="22"/>
              </w:rPr>
              <w:t xml:space="preserve"> </w:t>
            </w:r>
            <w:r w:rsidRPr="00AD43EF">
              <w:rPr>
                <w:rFonts w:ascii="Calibri" w:hAnsi="Calibri" w:cs="Calibri"/>
                <w:b/>
                <w:sz w:val="22"/>
                <w:szCs w:val="22"/>
              </w:rPr>
              <w:t>18,000 claimants—and award</w:t>
            </w:r>
            <w:r>
              <w:rPr>
                <w:rFonts w:ascii="Calibri" w:hAnsi="Calibri" w:cs="Calibri"/>
                <w:b/>
                <w:sz w:val="22"/>
                <w:szCs w:val="22"/>
              </w:rPr>
              <w:t>ed</w:t>
            </w:r>
            <w:r w:rsidRPr="00AD43EF">
              <w:rPr>
                <w:rFonts w:ascii="Calibri" w:hAnsi="Calibri" w:cs="Calibri"/>
                <w:b/>
                <w:sz w:val="22"/>
                <w:szCs w:val="22"/>
              </w:rPr>
              <w:t xml:space="preserve"> tens of millions of dollars—without finding that a single identifiable individual other than Krakauer was a telephone subscriber or had Article III standing.</w:t>
            </w:r>
          </w:p>
        </w:tc>
      </w:tr>
      <w:tr w:rsidR="00100DF3" w14:paraId="7548E7D4" w14:textId="77777777" w:rsidTr="00D712B1">
        <w:trPr>
          <w:trHeight w:val="4795"/>
        </w:trPr>
        <w:tc>
          <w:tcPr>
            <w:tcW w:w="5805" w:type="dxa"/>
            <w:vAlign w:val="center"/>
          </w:tcPr>
          <w:p w14:paraId="0CF4631E" w14:textId="77777777" w:rsidR="00100DF3" w:rsidRDefault="00100DF3"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were the objections of </w:t>
            </w:r>
            <w:proofErr w:type="spellStart"/>
            <w:r>
              <w:rPr>
                <w:rFonts w:ascii="Calibri" w:hAnsi="Calibri" w:cs="Calibri"/>
                <w:b/>
                <w:sz w:val="28"/>
                <w:szCs w:val="28"/>
              </w:rPr>
              <w:t>DISH’s</w:t>
            </w:r>
            <w:proofErr w:type="spellEnd"/>
            <w:r>
              <w:rPr>
                <w:rFonts w:ascii="Calibri" w:hAnsi="Calibri" w:cs="Calibri"/>
                <w:b/>
                <w:sz w:val="28"/>
                <w:szCs w:val="28"/>
              </w:rPr>
              <w:t xml:space="preserve"> expert to the class members identified through plaintiffs’ process?</w:t>
            </w:r>
          </w:p>
        </w:tc>
        <w:tc>
          <w:tcPr>
            <w:tcW w:w="5805" w:type="dxa"/>
            <w:vAlign w:val="center"/>
          </w:tcPr>
          <w:p w14:paraId="168B33A4" w14:textId="77777777" w:rsidR="00100DF3" w:rsidRDefault="00100DF3" w:rsidP="00525419">
            <w:pPr>
              <w:pStyle w:val="O-BodyText"/>
              <w:spacing w:after="120"/>
              <w:ind w:right="65"/>
              <w:jc w:val="both"/>
              <w:rPr>
                <w:rFonts w:ascii="Calibri" w:hAnsi="Calibri" w:cs="Calibri"/>
                <w:b/>
                <w:sz w:val="22"/>
                <w:szCs w:val="22"/>
              </w:rPr>
            </w:pPr>
            <w:proofErr w:type="spellStart"/>
            <w:r>
              <w:rPr>
                <w:rFonts w:ascii="Calibri" w:hAnsi="Calibri" w:cs="Calibri"/>
                <w:b/>
                <w:sz w:val="22"/>
                <w:szCs w:val="22"/>
              </w:rPr>
              <w:t>DISH’s</w:t>
            </w:r>
            <w:proofErr w:type="spellEnd"/>
            <w:r>
              <w:rPr>
                <w:rFonts w:ascii="Calibri" w:hAnsi="Calibri" w:cs="Calibri"/>
                <w:b/>
                <w:sz w:val="22"/>
                <w:szCs w:val="22"/>
              </w:rPr>
              <w:t xml:space="preserve"> expert found 3,644 name inconsistencies within the class of 18,066 members.  She then found that 96% of the people had a name inconsistency.</w:t>
            </w:r>
          </w:p>
        </w:tc>
      </w:tr>
      <w:tr w:rsidR="00100DF3" w14:paraId="6DAFB75D" w14:textId="77777777" w:rsidTr="00D712B1">
        <w:trPr>
          <w:trHeight w:val="4795"/>
        </w:trPr>
        <w:tc>
          <w:tcPr>
            <w:tcW w:w="5805" w:type="dxa"/>
            <w:vAlign w:val="center"/>
          </w:tcPr>
          <w:p w14:paraId="08F29446" w14:textId="77777777" w:rsidR="00100DF3" w:rsidRDefault="00100DF3"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basis for the district court’s statement that DISH was not acting in good faith during the class member identification process?</w:t>
            </w:r>
          </w:p>
        </w:tc>
        <w:tc>
          <w:tcPr>
            <w:tcW w:w="5805" w:type="dxa"/>
            <w:vAlign w:val="center"/>
          </w:tcPr>
          <w:p w14:paraId="5D2EF667" w14:textId="3CDEF628" w:rsidR="00100DF3" w:rsidRPr="002944CA" w:rsidRDefault="002944CA" w:rsidP="00525419">
            <w:pPr>
              <w:pStyle w:val="O-BodyText"/>
              <w:spacing w:after="120"/>
              <w:ind w:right="65"/>
              <w:jc w:val="both"/>
              <w:rPr>
                <w:rFonts w:ascii="Calibri" w:hAnsi="Calibri" w:cs="Calibri"/>
                <w:b/>
                <w:iCs/>
                <w:sz w:val="22"/>
                <w:szCs w:val="22"/>
              </w:rPr>
            </w:pPr>
            <w:r w:rsidRPr="002944CA">
              <w:rPr>
                <w:rFonts w:ascii="Calibri" w:hAnsi="Calibri" w:cs="Calibri"/>
                <w:b/>
                <w:iCs/>
                <w:sz w:val="22"/>
                <w:szCs w:val="22"/>
                <w:highlight w:val="yellow"/>
              </w:rPr>
              <w:t>[</w:t>
            </w:r>
            <w:r>
              <w:rPr>
                <w:rFonts w:ascii="Calibri" w:hAnsi="Calibri" w:cs="Calibri"/>
                <w:b/>
                <w:iCs/>
                <w:sz w:val="22"/>
                <w:szCs w:val="22"/>
                <w:highlight w:val="yellow"/>
              </w:rPr>
              <w:t>E</w:t>
            </w:r>
            <w:r w:rsidRPr="002944CA">
              <w:rPr>
                <w:rFonts w:ascii="Calibri" w:hAnsi="Calibri" w:cs="Calibri"/>
                <w:b/>
                <w:iCs/>
                <w:sz w:val="22"/>
                <w:szCs w:val="22"/>
                <w:highlight w:val="yellow"/>
              </w:rPr>
              <w:t>xplain</w:t>
            </w:r>
            <w:r w:rsidR="0020552B">
              <w:rPr>
                <w:rFonts w:ascii="Calibri" w:hAnsi="Calibri" w:cs="Calibri"/>
                <w:b/>
                <w:iCs/>
                <w:sz w:val="22"/>
                <w:szCs w:val="22"/>
                <w:highlight w:val="yellow"/>
              </w:rPr>
              <w:t>.</w:t>
            </w:r>
            <w:r w:rsidRPr="002944CA">
              <w:rPr>
                <w:rFonts w:ascii="Calibri" w:hAnsi="Calibri" w:cs="Calibri"/>
                <w:b/>
                <w:iCs/>
                <w:sz w:val="22"/>
                <w:szCs w:val="22"/>
                <w:highlight w:val="yellow"/>
              </w:rPr>
              <w:t>]</w:t>
            </w:r>
          </w:p>
        </w:tc>
      </w:tr>
      <w:tr w:rsidR="00100DF3" w14:paraId="6DC74B5A" w14:textId="77777777" w:rsidTr="00D712B1">
        <w:trPr>
          <w:trHeight w:val="4795"/>
        </w:trPr>
        <w:tc>
          <w:tcPr>
            <w:tcW w:w="5805" w:type="dxa"/>
            <w:vAlign w:val="center"/>
          </w:tcPr>
          <w:p w14:paraId="091A64D9" w14:textId="77777777" w:rsidR="00100DF3" w:rsidRDefault="00100DF3"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Is it your position that the special master process was not </w:t>
            </w:r>
            <w:proofErr w:type="gramStart"/>
            <w:r>
              <w:rPr>
                <w:rFonts w:ascii="Calibri" w:hAnsi="Calibri" w:cs="Calibri"/>
                <w:b/>
                <w:sz w:val="28"/>
                <w:szCs w:val="28"/>
              </w:rPr>
              <w:t>sufficient</w:t>
            </w:r>
            <w:proofErr w:type="gramEnd"/>
            <w:r>
              <w:rPr>
                <w:rFonts w:ascii="Calibri" w:hAnsi="Calibri" w:cs="Calibri"/>
                <w:b/>
                <w:sz w:val="28"/>
                <w:szCs w:val="28"/>
              </w:rPr>
              <w:t xml:space="preserve"> to identify class members?</w:t>
            </w:r>
          </w:p>
        </w:tc>
        <w:tc>
          <w:tcPr>
            <w:tcW w:w="5805" w:type="dxa"/>
            <w:vAlign w:val="center"/>
          </w:tcPr>
          <w:p w14:paraId="549B8843" w14:textId="5B38A6FB" w:rsidR="00100DF3" w:rsidRDefault="00100DF3" w:rsidP="00525419">
            <w:pPr>
              <w:pStyle w:val="O-BodyText"/>
              <w:spacing w:after="120"/>
              <w:ind w:right="65"/>
              <w:jc w:val="both"/>
              <w:rPr>
                <w:rFonts w:ascii="Calibri" w:hAnsi="Calibri" w:cs="Calibri"/>
                <w:b/>
                <w:sz w:val="22"/>
                <w:szCs w:val="22"/>
              </w:rPr>
            </w:pPr>
            <w:r w:rsidRPr="008A0E35">
              <w:rPr>
                <w:rFonts w:ascii="Calibri" w:hAnsi="Calibri" w:cs="Calibri"/>
                <w:b/>
                <w:sz w:val="22"/>
                <w:szCs w:val="22"/>
                <w:highlight w:val="yellow"/>
              </w:rPr>
              <w:t>DISH only objected to 350 individual claims of those who submitted claim forms.  AB24.  Of the 7,000 claimants who needed to confirm their status as class members by submitting a claims form, 2,021 submitted claim forms, and Dish did not object to the validity of over 80% (1,645 claims in all).  AB23.</w:t>
            </w:r>
          </w:p>
        </w:tc>
      </w:tr>
      <w:tr w:rsidR="00100DF3" w14:paraId="7C3B1623" w14:textId="77777777" w:rsidTr="00D712B1">
        <w:trPr>
          <w:trHeight w:val="4795"/>
        </w:trPr>
        <w:tc>
          <w:tcPr>
            <w:tcW w:w="5805" w:type="dxa"/>
            <w:vAlign w:val="center"/>
          </w:tcPr>
          <w:p w14:paraId="11A2B3CF" w14:textId="77777777" w:rsidR="00100DF3" w:rsidRDefault="00100DF3"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standard of review for class certification?</w:t>
            </w:r>
          </w:p>
        </w:tc>
        <w:tc>
          <w:tcPr>
            <w:tcW w:w="5805" w:type="dxa"/>
            <w:vAlign w:val="center"/>
          </w:tcPr>
          <w:p w14:paraId="29D8C645" w14:textId="4D2211A0" w:rsidR="00100DF3" w:rsidRDefault="00100DF3" w:rsidP="00525419">
            <w:pPr>
              <w:pStyle w:val="O-BodyText"/>
              <w:spacing w:after="120"/>
              <w:ind w:right="65"/>
              <w:jc w:val="both"/>
              <w:rPr>
                <w:rFonts w:ascii="Calibri" w:hAnsi="Calibri" w:cs="Calibri"/>
                <w:b/>
                <w:sz w:val="22"/>
                <w:szCs w:val="22"/>
              </w:rPr>
            </w:pPr>
            <w:r w:rsidRPr="008A0E35">
              <w:rPr>
                <w:rFonts w:ascii="Calibri" w:hAnsi="Calibri" w:cs="Calibri"/>
                <w:b/>
                <w:sz w:val="22"/>
                <w:szCs w:val="22"/>
                <w:highlight w:val="yellow"/>
              </w:rPr>
              <w:t xml:space="preserve">Abuse of discretion.  </w:t>
            </w:r>
            <w:r w:rsidRPr="008A0E35">
              <w:rPr>
                <w:rFonts w:ascii="Calibri" w:hAnsi="Calibri" w:cs="Calibri"/>
                <w:b/>
                <w:i/>
                <w:sz w:val="22"/>
                <w:szCs w:val="22"/>
                <w:highlight w:val="yellow"/>
              </w:rPr>
              <w:t>Brown v. Nucor Corp.</w:t>
            </w:r>
            <w:r w:rsidRPr="008A0E35">
              <w:rPr>
                <w:rFonts w:ascii="Calibri" w:hAnsi="Calibri" w:cs="Calibri"/>
                <w:b/>
                <w:sz w:val="22"/>
                <w:szCs w:val="22"/>
                <w:highlight w:val="yellow"/>
              </w:rPr>
              <w:t xml:space="preserve"> (4th Cir. 2015).  AB25.</w:t>
            </w:r>
          </w:p>
        </w:tc>
      </w:tr>
      <w:tr w:rsidR="001D6AC1" w14:paraId="05012C72" w14:textId="77777777" w:rsidTr="00D712B1">
        <w:trPr>
          <w:trHeight w:val="4795"/>
        </w:trPr>
        <w:tc>
          <w:tcPr>
            <w:tcW w:w="5805" w:type="dxa"/>
            <w:vAlign w:val="center"/>
          </w:tcPr>
          <w:p w14:paraId="77A39B7C"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Where in the text of the TCPA does it say that only a “subscriber” can bring suit?</w:t>
            </w:r>
          </w:p>
        </w:tc>
        <w:tc>
          <w:tcPr>
            <w:tcW w:w="5805" w:type="dxa"/>
            <w:vAlign w:val="center"/>
          </w:tcPr>
          <w:p w14:paraId="5A90EDD7" w14:textId="77777777" w:rsidR="001D6AC1"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Section </w:t>
            </w:r>
            <w:r w:rsidRPr="0043029C">
              <w:rPr>
                <w:rFonts w:ascii="Calibri" w:hAnsi="Calibri" w:cs="Calibri"/>
                <w:b/>
                <w:sz w:val="22"/>
                <w:szCs w:val="22"/>
              </w:rPr>
              <w:t xml:space="preserve">227(c)(5) authorizes a lawsuit only to enforce “violation[s] of the regulations prescribed </w:t>
            </w:r>
            <w:r w:rsidRPr="0043029C">
              <w:rPr>
                <w:rFonts w:ascii="Calibri" w:hAnsi="Calibri" w:cs="Calibri"/>
                <w:b/>
                <w:i/>
                <w:sz w:val="22"/>
                <w:szCs w:val="22"/>
              </w:rPr>
              <w:t>under this</w:t>
            </w:r>
            <w:r w:rsidRPr="0043029C">
              <w:rPr>
                <w:rFonts w:ascii="Calibri" w:hAnsi="Calibri" w:cs="Calibri"/>
                <w:b/>
                <w:sz w:val="22"/>
                <w:szCs w:val="22"/>
              </w:rPr>
              <w:t xml:space="preserve"> </w:t>
            </w:r>
            <w:r w:rsidRPr="0043029C">
              <w:rPr>
                <w:rFonts w:ascii="Calibri" w:hAnsi="Calibri" w:cs="Calibri"/>
                <w:b/>
                <w:i/>
                <w:sz w:val="22"/>
                <w:szCs w:val="22"/>
              </w:rPr>
              <w:t>subsection</w:t>
            </w:r>
            <w:r w:rsidRPr="0043029C">
              <w:rPr>
                <w:rFonts w:ascii="Calibri" w:hAnsi="Calibri" w:cs="Calibri"/>
                <w:b/>
                <w:sz w:val="22"/>
                <w:szCs w:val="22"/>
              </w:rPr>
              <w:t>”—that is, under § 227(c).  And Krakauer admits (AB32) that the “violation” those regulations define is for “</w:t>
            </w:r>
            <w:proofErr w:type="spellStart"/>
            <w:r w:rsidRPr="0043029C">
              <w:rPr>
                <w:rFonts w:ascii="Calibri" w:hAnsi="Calibri" w:cs="Calibri"/>
                <w:b/>
                <w:sz w:val="22"/>
                <w:szCs w:val="22"/>
              </w:rPr>
              <w:t>initiat</w:t>
            </w:r>
            <w:proofErr w:type="spellEnd"/>
            <w:r w:rsidRPr="0043029C">
              <w:rPr>
                <w:rFonts w:ascii="Calibri" w:hAnsi="Calibri" w:cs="Calibri"/>
                <w:b/>
                <w:sz w:val="22"/>
                <w:szCs w:val="22"/>
              </w:rPr>
              <w:t>[</w:t>
            </w:r>
            <w:proofErr w:type="spellStart"/>
            <w:r w:rsidRPr="0043029C">
              <w:rPr>
                <w:rFonts w:ascii="Calibri" w:hAnsi="Calibri" w:cs="Calibri"/>
                <w:b/>
                <w:sz w:val="22"/>
                <w:szCs w:val="22"/>
              </w:rPr>
              <w:t>ing</w:t>
            </w:r>
            <w:proofErr w:type="spellEnd"/>
            <w:r w:rsidRPr="0043029C">
              <w:rPr>
                <w:rFonts w:ascii="Calibri" w:hAnsi="Calibri" w:cs="Calibri"/>
                <w:b/>
                <w:sz w:val="22"/>
                <w:szCs w:val="22"/>
              </w:rPr>
              <w:t xml:space="preserve">] any telephone solicitation” to a “residential telephone </w:t>
            </w:r>
            <w:r w:rsidRPr="0043029C">
              <w:rPr>
                <w:rFonts w:ascii="Calibri" w:hAnsi="Calibri" w:cs="Calibri"/>
                <w:b/>
                <w:i/>
                <w:sz w:val="22"/>
                <w:szCs w:val="22"/>
              </w:rPr>
              <w:t>subscriber</w:t>
            </w:r>
            <w:r w:rsidRPr="0043029C">
              <w:rPr>
                <w:rFonts w:ascii="Calibri" w:hAnsi="Calibri" w:cs="Calibri"/>
                <w:b/>
                <w:sz w:val="22"/>
                <w:szCs w:val="22"/>
              </w:rPr>
              <w:t xml:space="preserve"> who has registered his or her nu</w:t>
            </w:r>
            <w:r>
              <w:rPr>
                <w:rFonts w:ascii="Calibri" w:hAnsi="Calibri" w:cs="Calibri"/>
                <w:b/>
                <w:sz w:val="22"/>
                <w:szCs w:val="22"/>
              </w:rPr>
              <w:t>mber.”  47 C.F.R. § 64.1200(c)</w:t>
            </w:r>
            <w:proofErr w:type="gramStart"/>
            <w:r>
              <w:rPr>
                <w:rFonts w:ascii="Calibri" w:hAnsi="Calibri" w:cs="Calibri"/>
                <w:b/>
                <w:sz w:val="22"/>
                <w:szCs w:val="22"/>
              </w:rPr>
              <w:t>.</w:t>
            </w:r>
            <w:r w:rsidRPr="0043029C">
              <w:rPr>
                <w:rFonts w:ascii="Calibri" w:hAnsi="Calibri" w:cs="Calibri"/>
                <w:b/>
                <w:sz w:val="22"/>
                <w:szCs w:val="22"/>
              </w:rPr>
              <w:t xml:space="preserve"> </w:t>
            </w:r>
            <w:proofErr w:type="gramEnd"/>
          </w:p>
        </w:tc>
      </w:tr>
      <w:tr w:rsidR="001D6AC1" w14:paraId="582C6662" w14:textId="77777777" w:rsidTr="00D712B1">
        <w:trPr>
          <w:trHeight w:val="4795"/>
        </w:trPr>
        <w:tc>
          <w:tcPr>
            <w:tcW w:w="5805" w:type="dxa"/>
            <w:vAlign w:val="center"/>
          </w:tcPr>
          <w:p w14:paraId="1912D501"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Why did Congress pass the TCPA?</w:t>
            </w:r>
          </w:p>
        </w:tc>
        <w:tc>
          <w:tcPr>
            <w:tcW w:w="5805" w:type="dxa"/>
            <w:vAlign w:val="center"/>
          </w:tcPr>
          <w:p w14:paraId="028234B3" w14:textId="77777777" w:rsidR="001D6AC1" w:rsidRDefault="001D6AC1" w:rsidP="00525419">
            <w:pPr>
              <w:pStyle w:val="O-BodyText"/>
              <w:spacing w:after="120"/>
              <w:ind w:left="290" w:right="65"/>
              <w:jc w:val="both"/>
              <w:rPr>
                <w:rFonts w:ascii="Calibri" w:hAnsi="Calibri" w:cs="Calibri"/>
                <w:b/>
                <w:sz w:val="22"/>
                <w:szCs w:val="22"/>
              </w:rPr>
            </w:pPr>
            <w:r w:rsidRPr="00CC42CD">
              <w:rPr>
                <w:rFonts w:ascii="Calibri" w:hAnsi="Calibri" w:cs="Calibri"/>
                <w:b/>
                <w:sz w:val="22"/>
                <w:szCs w:val="22"/>
              </w:rPr>
              <w:t>“Voluminous consumer complaints about abuses of telephone technology”— particularly unsolicited telemarketing calls to their homes</w:t>
            </w:r>
            <w:proofErr w:type="gramStart"/>
            <w:r w:rsidRPr="00CC42CD">
              <w:rPr>
                <w:rFonts w:ascii="Calibri" w:hAnsi="Calibri" w:cs="Calibri"/>
                <w:b/>
                <w:sz w:val="22"/>
                <w:szCs w:val="22"/>
              </w:rPr>
              <w:t>—“</w:t>
            </w:r>
            <w:proofErr w:type="gramEnd"/>
            <w:r w:rsidRPr="00CC42CD">
              <w:rPr>
                <w:rFonts w:ascii="Calibri" w:hAnsi="Calibri" w:cs="Calibri"/>
                <w:b/>
                <w:sz w:val="22"/>
                <w:szCs w:val="22"/>
              </w:rPr>
              <w:t xml:space="preserve">prompted Congress to pass the TCPA” in 1991. </w:t>
            </w:r>
            <w:r w:rsidRPr="00CC42CD">
              <w:rPr>
                <w:rFonts w:ascii="Calibri" w:hAnsi="Calibri" w:cs="Calibri"/>
                <w:b/>
                <w:i/>
                <w:sz w:val="22"/>
                <w:szCs w:val="22"/>
              </w:rPr>
              <w:t>Mims v. Arrow Fin. Servs., LLC</w:t>
            </w:r>
            <w:r w:rsidRPr="00CC42CD">
              <w:rPr>
                <w:rFonts w:ascii="Calibri" w:hAnsi="Calibri" w:cs="Calibri"/>
                <w:b/>
                <w:sz w:val="22"/>
                <w:szCs w:val="22"/>
              </w:rPr>
              <w:t>, (</w:t>
            </w:r>
            <w:r>
              <w:rPr>
                <w:rFonts w:ascii="Calibri" w:hAnsi="Calibri" w:cs="Calibri"/>
                <w:b/>
                <w:sz w:val="22"/>
                <w:szCs w:val="22"/>
              </w:rPr>
              <w:t xml:space="preserve">S. Ct. </w:t>
            </w:r>
            <w:r w:rsidRPr="00CC42CD">
              <w:rPr>
                <w:rFonts w:ascii="Calibri" w:hAnsi="Calibri" w:cs="Calibri"/>
                <w:b/>
                <w:sz w:val="22"/>
                <w:szCs w:val="22"/>
              </w:rPr>
              <w:t>2012).</w:t>
            </w:r>
          </w:p>
        </w:tc>
      </w:tr>
      <w:tr w:rsidR="001D6AC1" w:rsidRPr="00CC42CD" w14:paraId="64A05543" w14:textId="77777777" w:rsidTr="00D712B1">
        <w:trPr>
          <w:trHeight w:val="4795"/>
        </w:trPr>
        <w:tc>
          <w:tcPr>
            <w:tcW w:w="5805" w:type="dxa"/>
            <w:vAlign w:val="center"/>
          </w:tcPr>
          <w:p w14:paraId="3A608FA7"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National Do Not Call Registry?</w:t>
            </w:r>
          </w:p>
        </w:tc>
        <w:tc>
          <w:tcPr>
            <w:tcW w:w="5805" w:type="dxa"/>
            <w:vAlign w:val="center"/>
          </w:tcPr>
          <w:p w14:paraId="2573C02D" w14:textId="77777777" w:rsidR="001D6AC1" w:rsidRPr="00CC42CD" w:rsidRDefault="001D6AC1" w:rsidP="00525419">
            <w:pPr>
              <w:pStyle w:val="O-BodyText"/>
              <w:spacing w:after="120"/>
              <w:ind w:left="290" w:right="65"/>
              <w:jc w:val="both"/>
              <w:rPr>
                <w:rFonts w:ascii="Calibri" w:hAnsi="Calibri" w:cs="Calibri"/>
                <w:b/>
                <w:sz w:val="22"/>
                <w:szCs w:val="22"/>
              </w:rPr>
            </w:pPr>
            <w:r w:rsidRPr="00BB61C4">
              <w:rPr>
                <w:rFonts w:ascii="Calibri" w:hAnsi="Calibri" w:cs="Calibri"/>
                <w:b/>
                <w:sz w:val="22"/>
                <w:szCs w:val="22"/>
              </w:rPr>
              <w:t xml:space="preserve">The TCPA authorizes a national database of phone numbers that are excluded from telemarketing calls, </w:t>
            </w:r>
            <w:r>
              <w:rPr>
                <w:rFonts w:ascii="Calibri" w:hAnsi="Calibri" w:cs="Calibri"/>
                <w:b/>
                <w:sz w:val="22"/>
                <w:szCs w:val="22"/>
              </w:rPr>
              <w:t xml:space="preserve">which is </w:t>
            </w:r>
            <w:r w:rsidRPr="00BB61C4">
              <w:rPr>
                <w:rFonts w:ascii="Calibri" w:hAnsi="Calibri" w:cs="Calibri"/>
                <w:b/>
                <w:sz w:val="22"/>
                <w:szCs w:val="22"/>
              </w:rPr>
              <w:t>named the National Do Not Call Registry.</w:t>
            </w:r>
          </w:p>
        </w:tc>
      </w:tr>
      <w:tr w:rsidR="001D6AC1" w:rsidRPr="00BB61C4" w14:paraId="01243CC9" w14:textId="77777777" w:rsidTr="00D712B1">
        <w:trPr>
          <w:trHeight w:val="4795"/>
        </w:trPr>
        <w:tc>
          <w:tcPr>
            <w:tcW w:w="5805" w:type="dxa"/>
            <w:vAlign w:val="center"/>
          </w:tcPr>
          <w:p w14:paraId="75F3E026"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Who is liable for calls made to numbers on the National Do Not Call Registry?</w:t>
            </w:r>
          </w:p>
        </w:tc>
        <w:tc>
          <w:tcPr>
            <w:tcW w:w="5805" w:type="dxa"/>
            <w:vAlign w:val="center"/>
          </w:tcPr>
          <w:p w14:paraId="27EB18D4" w14:textId="77777777" w:rsidR="001D6AC1" w:rsidRPr="00BB61C4"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BB61C4">
              <w:rPr>
                <w:rFonts w:ascii="Calibri" w:hAnsi="Calibri" w:cs="Calibri"/>
                <w:b/>
                <w:sz w:val="22"/>
                <w:szCs w:val="22"/>
              </w:rPr>
              <w:t>he “person or entity making telephone solicitations (or on whose behalf telep</w:t>
            </w:r>
            <w:r>
              <w:rPr>
                <w:rFonts w:ascii="Calibri" w:hAnsi="Calibri" w:cs="Calibri"/>
                <w:b/>
                <w:sz w:val="22"/>
                <w:szCs w:val="22"/>
              </w:rPr>
              <w:t>hone solicitations are made)” may be</w:t>
            </w:r>
            <w:r w:rsidRPr="00BB61C4">
              <w:rPr>
                <w:rFonts w:ascii="Calibri" w:hAnsi="Calibri" w:cs="Calibri"/>
                <w:b/>
                <w:sz w:val="22"/>
                <w:szCs w:val="22"/>
              </w:rPr>
              <w:t xml:space="preserve"> liable for do-n</w:t>
            </w:r>
            <w:r>
              <w:rPr>
                <w:rFonts w:ascii="Calibri" w:hAnsi="Calibri" w:cs="Calibri"/>
                <w:b/>
                <w:sz w:val="22"/>
                <w:szCs w:val="22"/>
              </w:rPr>
              <w:t>ot-call violations</w:t>
            </w:r>
            <w:proofErr w:type="gramStart"/>
            <w:r>
              <w:rPr>
                <w:rFonts w:ascii="Calibri" w:hAnsi="Calibri" w:cs="Calibri"/>
                <w:b/>
                <w:sz w:val="22"/>
                <w:szCs w:val="22"/>
              </w:rPr>
              <w:t xml:space="preserve">. </w:t>
            </w:r>
            <w:proofErr w:type="gramEnd"/>
            <w:r>
              <w:rPr>
                <w:rFonts w:ascii="Calibri" w:hAnsi="Calibri" w:cs="Calibri"/>
                <w:b/>
                <w:sz w:val="22"/>
                <w:szCs w:val="22"/>
              </w:rPr>
              <w:t>47 C.F.R. § </w:t>
            </w:r>
            <w:r w:rsidRPr="00BB61C4">
              <w:rPr>
                <w:rFonts w:ascii="Calibri" w:hAnsi="Calibri" w:cs="Calibri"/>
                <w:b/>
                <w:sz w:val="22"/>
                <w:szCs w:val="22"/>
              </w:rPr>
              <w:t>64.1200(c)(2).</w:t>
            </w:r>
          </w:p>
        </w:tc>
      </w:tr>
      <w:tr w:rsidR="001D6AC1" w14:paraId="1E820AC8" w14:textId="77777777" w:rsidTr="00D712B1">
        <w:trPr>
          <w:trHeight w:val="4795"/>
        </w:trPr>
        <w:tc>
          <w:tcPr>
            <w:tcW w:w="5805" w:type="dxa"/>
            <w:vAlign w:val="center"/>
          </w:tcPr>
          <w:p w14:paraId="663C8E3C"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Plaintiffs argue that the text of the TCPA allows suit by any “person who has received” multiple unlawful calls.  Why do you argue that “person” must mean “subscriber”?</w:t>
            </w:r>
          </w:p>
        </w:tc>
        <w:tc>
          <w:tcPr>
            <w:tcW w:w="5805" w:type="dxa"/>
            <w:vAlign w:val="center"/>
          </w:tcPr>
          <w:p w14:paraId="3C297BE0" w14:textId="77777777" w:rsidR="001D6AC1" w:rsidRDefault="001D6AC1" w:rsidP="00525419">
            <w:pPr>
              <w:pStyle w:val="O-BodyText"/>
              <w:spacing w:after="120"/>
              <w:ind w:left="290" w:right="65"/>
              <w:jc w:val="both"/>
              <w:rPr>
                <w:rFonts w:ascii="Calibri" w:hAnsi="Calibri" w:cs="Calibri"/>
                <w:b/>
                <w:sz w:val="22"/>
                <w:szCs w:val="22"/>
              </w:rPr>
            </w:pPr>
            <w:r w:rsidRPr="009306B9">
              <w:rPr>
                <w:rFonts w:ascii="Calibri" w:hAnsi="Calibri" w:cs="Calibri"/>
                <w:b/>
                <w:sz w:val="22"/>
                <w:szCs w:val="22"/>
              </w:rPr>
              <w:t xml:space="preserve">Congress </w:t>
            </w:r>
            <w:r>
              <w:rPr>
                <w:rFonts w:ascii="Calibri" w:hAnsi="Calibri" w:cs="Calibri"/>
                <w:b/>
                <w:sz w:val="22"/>
                <w:szCs w:val="22"/>
              </w:rPr>
              <w:t>did not mean</w:t>
            </w:r>
            <w:r w:rsidRPr="009306B9">
              <w:rPr>
                <w:rFonts w:ascii="Calibri" w:hAnsi="Calibri" w:cs="Calibri"/>
                <w:b/>
                <w:sz w:val="22"/>
                <w:szCs w:val="22"/>
              </w:rPr>
              <w:t xml:space="preserve"> any “person.”  Congress </w:t>
            </w:r>
            <w:r>
              <w:rPr>
                <w:rFonts w:ascii="Calibri" w:hAnsi="Calibri" w:cs="Calibri"/>
                <w:b/>
                <w:sz w:val="22"/>
                <w:szCs w:val="22"/>
              </w:rPr>
              <w:t xml:space="preserve">intended a subset of “persons.” Section 227(c) and its regulations protect subscribers.  As </w:t>
            </w:r>
            <w:r w:rsidRPr="00994BB1">
              <w:rPr>
                <w:rFonts w:ascii="Calibri" w:hAnsi="Calibri" w:cs="Calibri"/>
                <w:b/>
                <w:i/>
                <w:sz w:val="22"/>
                <w:szCs w:val="22"/>
              </w:rPr>
              <w:t xml:space="preserve">Lexmark Int’l v. Static Control </w:t>
            </w:r>
            <w:r w:rsidRPr="00994BB1">
              <w:rPr>
                <w:rFonts w:ascii="Calibri" w:hAnsi="Calibri" w:cs="Calibri"/>
                <w:b/>
                <w:sz w:val="22"/>
                <w:szCs w:val="22"/>
              </w:rPr>
              <w:t>Components</w:t>
            </w:r>
            <w:r>
              <w:rPr>
                <w:rFonts w:ascii="Calibri" w:hAnsi="Calibri" w:cs="Calibri"/>
                <w:b/>
                <w:sz w:val="22"/>
                <w:szCs w:val="22"/>
              </w:rPr>
              <w:t xml:space="preserve"> (S. Ct. 2014) </w:t>
            </w:r>
            <w:r w:rsidRPr="00994BB1">
              <w:rPr>
                <w:rFonts w:ascii="Calibri" w:hAnsi="Calibri" w:cs="Calibri"/>
                <w:b/>
                <w:sz w:val="22"/>
                <w:szCs w:val="22"/>
              </w:rPr>
              <w:t>teaches</w:t>
            </w:r>
            <w:r>
              <w:rPr>
                <w:rFonts w:ascii="Calibri" w:hAnsi="Calibri" w:cs="Calibri"/>
                <w:b/>
                <w:sz w:val="22"/>
                <w:szCs w:val="22"/>
              </w:rPr>
              <w:t>, a</w:t>
            </w:r>
            <w:r w:rsidRPr="003E128C">
              <w:rPr>
                <w:rFonts w:ascii="Calibri" w:hAnsi="Calibri" w:cs="Calibri"/>
                <w:b/>
                <w:sz w:val="22"/>
                <w:szCs w:val="22"/>
              </w:rPr>
              <w:t xml:space="preserve"> statute’s use of the word “person” is not dispositiv</w:t>
            </w:r>
            <w:r>
              <w:rPr>
                <w:rFonts w:ascii="Calibri" w:hAnsi="Calibri" w:cs="Calibri"/>
                <w:b/>
                <w:sz w:val="22"/>
                <w:szCs w:val="22"/>
              </w:rPr>
              <w:t>e.</w:t>
            </w:r>
          </w:p>
        </w:tc>
      </w:tr>
      <w:tr w:rsidR="001D6AC1" w:rsidRPr="009306B9" w14:paraId="1B1F2CFB" w14:textId="77777777" w:rsidTr="00D712B1">
        <w:trPr>
          <w:trHeight w:val="4795"/>
        </w:trPr>
        <w:tc>
          <w:tcPr>
            <w:tcW w:w="5805" w:type="dxa"/>
            <w:vAlign w:val="center"/>
          </w:tcPr>
          <w:p w14:paraId="7DE45C4A"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What does the text of Section 227(c)(5) say?</w:t>
            </w:r>
          </w:p>
        </w:tc>
        <w:tc>
          <w:tcPr>
            <w:tcW w:w="5805" w:type="dxa"/>
            <w:vAlign w:val="center"/>
          </w:tcPr>
          <w:p w14:paraId="3CB58795" w14:textId="77777777" w:rsidR="001D6AC1" w:rsidRPr="009306B9" w:rsidRDefault="001D6AC1" w:rsidP="00525419">
            <w:pPr>
              <w:pStyle w:val="O-BodyText"/>
              <w:spacing w:after="120"/>
              <w:ind w:left="290" w:right="65"/>
              <w:jc w:val="both"/>
              <w:rPr>
                <w:rFonts w:ascii="Calibri" w:hAnsi="Calibri" w:cs="Calibri"/>
                <w:b/>
                <w:sz w:val="22"/>
                <w:szCs w:val="22"/>
              </w:rPr>
            </w:pPr>
            <w:r w:rsidRPr="00273889">
              <w:rPr>
                <w:rFonts w:ascii="Calibri" w:hAnsi="Calibri" w:cs="Calibri"/>
                <w:b/>
                <w:sz w:val="22"/>
                <w:szCs w:val="22"/>
              </w:rPr>
              <w:t>“A person who has received more than one telephone call within any 12-month period by or on behalf of the same entity in violation of the regulations prescribed under this subsection may” sue “to receive up to $500 in damages for each such violation.” 47 U.S.C. § 227(c)(5).</w:t>
            </w:r>
          </w:p>
        </w:tc>
      </w:tr>
      <w:tr w:rsidR="001D6AC1" w:rsidRPr="009306B9" w14:paraId="0B36FE21" w14:textId="77777777" w:rsidTr="00D712B1">
        <w:trPr>
          <w:trHeight w:val="4795"/>
        </w:trPr>
        <w:tc>
          <w:tcPr>
            <w:tcW w:w="5805" w:type="dxa"/>
            <w:vAlign w:val="center"/>
          </w:tcPr>
          <w:p w14:paraId="160D6876"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Plaintiffs argue that the word “subscriber” is nowhere to be found in the statute.  AB32.  Are they correct?</w:t>
            </w:r>
          </w:p>
        </w:tc>
        <w:tc>
          <w:tcPr>
            <w:tcW w:w="5805" w:type="dxa"/>
            <w:vAlign w:val="center"/>
          </w:tcPr>
          <w:p w14:paraId="1B6D3117" w14:textId="77777777" w:rsidR="001D6AC1" w:rsidRPr="00912F02"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The word “subscriber” is </w:t>
            </w:r>
            <w:r w:rsidRPr="00912F02">
              <w:rPr>
                <w:rFonts w:ascii="Calibri" w:hAnsi="Calibri" w:cs="Calibri"/>
                <w:b/>
                <w:sz w:val="22"/>
                <w:szCs w:val="22"/>
              </w:rPr>
              <w:t>in the title of § 227(c), which establishes a regime to “</w:t>
            </w:r>
            <w:proofErr w:type="gramStart"/>
            <w:r w:rsidRPr="00912F02">
              <w:rPr>
                <w:rFonts w:ascii="Calibri" w:hAnsi="Calibri" w:cs="Calibri"/>
                <w:b/>
                <w:sz w:val="22"/>
                <w:szCs w:val="22"/>
              </w:rPr>
              <w:t>Protect[</w:t>
            </w:r>
            <w:proofErr w:type="gramEnd"/>
            <w:r w:rsidRPr="00912F02">
              <w:rPr>
                <w:rFonts w:ascii="Calibri" w:hAnsi="Calibri" w:cs="Calibri"/>
                <w:b/>
                <w:sz w:val="22"/>
                <w:szCs w:val="22"/>
              </w:rPr>
              <w:t xml:space="preserve">] </w:t>
            </w:r>
            <w:r w:rsidRPr="00912F02">
              <w:rPr>
                <w:rFonts w:ascii="Calibri" w:hAnsi="Calibri" w:cs="Calibri"/>
                <w:b/>
                <w:i/>
                <w:sz w:val="22"/>
                <w:szCs w:val="22"/>
              </w:rPr>
              <w:t>Subscriber</w:t>
            </w:r>
            <w:r w:rsidRPr="00912F02">
              <w:rPr>
                <w:rFonts w:ascii="Calibri" w:hAnsi="Calibri" w:cs="Calibri"/>
                <w:b/>
                <w:sz w:val="22"/>
                <w:szCs w:val="22"/>
              </w:rPr>
              <w:t xml:space="preserve"> Privacy Rights.”  And it’s in the substantive provisions defining the “violation” that § 227(c)(5) enforces. </w:t>
            </w:r>
            <w:r>
              <w:rPr>
                <w:rFonts w:ascii="Calibri" w:hAnsi="Calibri" w:cs="Calibri"/>
                <w:b/>
                <w:sz w:val="22"/>
                <w:szCs w:val="22"/>
              </w:rPr>
              <w:t xml:space="preserve"> </w:t>
            </w:r>
            <w:r w:rsidRPr="00912F02">
              <w:rPr>
                <w:rFonts w:ascii="Calibri" w:hAnsi="Calibri" w:cs="Calibri"/>
                <w:b/>
                <w:sz w:val="22"/>
                <w:szCs w:val="22"/>
              </w:rPr>
              <w:t xml:space="preserve">The word “subscriber” </w:t>
            </w:r>
            <w:r>
              <w:rPr>
                <w:rFonts w:ascii="Calibri" w:hAnsi="Calibri" w:cs="Calibri"/>
                <w:b/>
                <w:sz w:val="22"/>
                <w:szCs w:val="22"/>
              </w:rPr>
              <w:t xml:space="preserve">was also used </w:t>
            </w:r>
            <w:r w:rsidRPr="00912F02">
              <w:rPr>
                <w:rFonts w:ascii="Calibri" w:hAnsi="Calibri" w:cs="Calibri"/>
                <w:b/>
                <w:sz w:val="22"/>
                <w:szCs w:val="22"/>
              </w:rPr>
              <w:t xml:space="preserve">in Congress’s </w:t>
            </w:r>
            <w:r>
              <w:rPr>
                <w:rFonts w:ascii="Calibri" w:hAnsi="Calibri" w:cs="Calibri"/>
                <w:b/>
                <w:sz w:val="22"/>
                <w:szCs w:val="22"/>
              </w:rPr>
              <w:t>description</w:t>
            </w:r>
            <w:r w:rsidRPr="00912F02">
              <w:rPr>
                <w:rFonts w:ascii="Calibri" w:hAnsi="Calibri" w:cs="Calibri"/>
                <w:b/>
                <w:sz w:val="22"/>
                <w:szCs w:val="22"/>
              </w:rPr>
              <w:t xml:space="preserve"> of the problem: “the need to protect residential telephone </w:t>
            </w:r>
            <w:r w:rsidRPr="00912F02">
              <w:rPr>
                <w:rFonts w:ascii="Calibri" w:hAnsi="Calibri" w:cs="Calibri"/>
                <w:b/>
                <w:i/>
                <w:sz w:val="22"/>
                <w:szCs w:val="22"/>
              </w:rPr>
              <w:t>subscribers’</w:t>
            </w:r>
            <w:r w:rsidRPr="00912F02">
              <w:rPr>
                <w:rFonts w:ascii="Calibri" w:hAnsi="Calibri" w:cs="Calibri"/>
                <w:b/>
                <w:sz w:val="22"/>
                <w:szCs w:val="22"/>
              </w:rPr>
              <w:t xml:space="preserve"> privacy rights.”  § 227(c)(1); </w:t>
            </w:r>
            <w:r w:rsidRPr="00912F02">
              <w:rPr>
                <w:rFonts w:ascii="Calibri" w:hAnsi="Calibri" w:cs="Calibri"/>
                <w:b/>
                <w:i/>
                <w:sz w:val="22"/>
                <w:szCs w:val="22"/>
              </w:rPr>
              <w:t>accord</w:t>
            </w:r>
            <w:r w:rsidRPr="00912F02">
              <w:rPr>
                <w:rFonts w:ascii="Calibri" w:hAnsi="Calibri" w:cs="Calibri"/>
                <w:b/>
                <w:sz w:val="22"/>
                <w:szCs w:val="22"/>
              </w:rPr>
              <w:t xml:space="preserve"> § 227(c)(3).</w:t>
            </w:r>
          </w:p>
          <w:p w14:paraId="4700F800" w14:textId="77777777" w:rsidR="001D6AC1" w:rsidRPr="009306B9" w:rsidRDefault="001D6AC1" w:rsidP="00525419">
            <w:pPr>
              <w:pStyle w:val="O-BodyText"/>
              <w:spacing w:after="120"/>
              <w:ind w:left="290" w:right="65"/>
              <w:jc w:val="both"/>
              <w:rPr>
                <w:rFonts w:ascii="Calibri" w:hAnsi="Calibri" w:cs="Calibri"/>
                <w:b/>
                <w:sz w:val="22"/>
                <w:szCs w:val="22"/>
              </w:rPr>
            </w:pPr>
          </w:p>
        </w:tc>
      </w:tr>
      <w:tr w:rsidR="001D6AC1" w14:paraId="00484E0F" w14:textId="77777777" w:rsidTr="00D712B1">
        <w:trPr>
          <w:trHeight w:val="4795"/>
        </w:trPr>
        <w:tc>
          <w:tcPr>
            <w:tcW w:w="5805" w:type="dxa"/>
            <w:vAlign w:val="center"/>
          </w:tcPr>
          <w:p w14:paraId="57C00191"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Wouldn’t Congress have used “subscriber” in Section 227(c)(5) if it intended it only to apply to subscribers?  AB28.</w:t>
            </w:r>
          </w:p>
        </w:tc>
        <w:tc>
          <w:tcPr>
            <w:tcW w:w="5805" w:type="dxa"/>
            <w:vAlign w:val="center"/>
          </w:tcPr>
          <w:p w14:paraId="7C08FFBF" w14:textId="28970CF6" w:rsidR="001D6AC1" w:rsidRDefault="001D6AC1" w:rsidP="00525419">
            <w:pPr>
              <w:pStyle w:val="O-BodyText"/>
              <w:spacing w:after="120"/>
              <w:ind w:left="290" w:right="65"/>
              <w:jc w:val="both"/>
              <w:rPr>
                <w:rFonts w:ascii="Calibri" w:hAnsi="Calibri" w:cs="Calibri"/>
                <w:b/>
                <w:sz w:val="22"/>
                <w:szCs w:val="22"/>
              </w:rPr>
            </w:pPr>
            <w:r w:rsidRPr="00223BAC">
              <w:rPr>
                <w:rFonts w:ascii="Calibri" w:hAnsi="Calibri" w:cs="Calibri"/>
                <w:b/>
                <w:sz w:val="22"/>
                <w:szCs w:val="22"/>
                <w:highlight w:val="yellow"/>
              </w:rPr>
              <w:t xml:space="preserve">Address the rule that, when a statute “has used one term in one place, and a materially different term in another, the presumption is that the different term denotes a different idea.” Scalia &amp; Garner, </w:t>
            </w:r>
            <w:r w:rsidRPr="00223BAC">
              <w:rPr>
                <w:rFonts w:ascii="Calibri" w:hAnsi="Calibri" w:cs="Calibri"/>
                <w:b/>
                <w:i/>
                <w:sz w:val="22"/>
                <w:szCs w:val="22"/>
                <w:highlight w:val="yellow"/>
              </w:rPr>
              <w:t xml:space="preserve">Reading Law: The Interpretation of Legal Texts </w:t>
            </w:r>
            <w:r w:rsidRPr="00223BAC">
              <w:rPr>
                <w:rFonts w:ascii="Calibri" w:hAnsi="Calibri" w:cs="Calibri"/>
                <w:b/>
                <w:sz w:val="22"/>
                <w:szCs w:val="22"/>
                <w:highlight w:val="yellow"/>
              </w:rPr>
              <w:t xml:space="preserve">170 (2012); </w:t>
            </w:r>
            <w:r w:rsidRPr="00223BAC">
              <w:rPr>
                <w:rFonts w:ascii="Calibri" w:hAnsi="Calibri" w:cs="Calibri"/>
                <w:b/>
                <w:i/>
                <w:sz w:val="22"/>
                <w:szCs w:val="22"/>
                <w:highlight w:val="yellow"/>
              </w:rPr>
              <w:t>see, e.g.</w:t>
            </w:r>
            <w:r w:rsidRPr="00223BAC">
              <w:rPr>
                <w:rFonts w:ascii="Calibri" w:hAnsi="Calibri" w:cs="Calibri"/>
                <w:b/>
                <w:sz w:val="22"/>
                <w:szCs w:val="22"/>
                <w:highlight w:val="yellow"/>
              </w:rPr>
              <w:t xml:space="preserve">, </w:t>
            </w:r>
            <w:r w:rsidRPr="00223BAC">
              <w:rPr>
                <w:rFonts w:ascii="Calibri" w:hAnsi="Calibri" w:cs="Calibri"/>
                <w:b/>
                <w:i/>
                <w:sz w:val="22"/>
                <w:szCs w:val="22"/>
                <w:highlight w:val="yellow"/>
              </w:rPr>
              <w:t>Henson v. Santander Consumer USA Inc.</w:t>
            </w:r>
            <w:r w:rsidRPr="00223BAC">
              <w:rPr>
                <w:rFonts w:ascii="Calibri" w:hAnsi="Calibri" w:cs="Calibri"/>
                <w:b/>
                <w:sz w:val="22"/>
                <w:szCs w:val="22"/>
                <w:highlight w:val="yellow"/>
              </w:rPr>
              <w:t>, 137 S. Ct. 1718, 1723 (2017) (“[U]</w:t>
            </w:r>
            <w:proofErr w:type="spellStart"/>
            <w:r w:rsidRPr="00223BAC">
              <w:rPr>
                <w:rFonts w:ascii="Calibri" w:hAnsi="Calibri" w:cs="Calibri"/>
                <w:b/>
                <w:sz w:val="22"/>
                <w:szCs w:val="22"/>
                <w:highlight w:val="yellow"/>
              </w:rPr>
              <w:t>sually</w:t>
            </w:r>
            <w:proofErr w:type="spellEnd"/>
            <w:r w:rsidRPr="00223BAC">
              <w:rPr>
                <w:rFonts w:ascii="Calibri" w:hAnsi="Calibri" w:cs="Calibri"/>
                <w:b/>
                <w:sz w:val="22"/>
                <w:szCs w:val="22"/>
                <w:highlight w:val="yellow"/>
              </w:rPr>
              <w:t xml:space="preserve"> at least, when we’re engaged in the business of interpreting statutes we presume differences in lang</w:t>
            </w:r>
            <w:r w:rsidRPr="002944CA">
              <w:rPr>
                <w:rFonts w:ascii="Calibri" w:hAnsi="Calibri" w:cs="Calibri"/>
                <w:b/>
                <w:sz w:val="22"/>
                <w:szCs w:val="22"/>
                <w:highlight w:val="yellow"/>
              </w:rPr>
              <w:t>uage like this convey differences in meaning.”)</w:t>
            </w:r>
            <w:r w:rsidR="002944CA" w:rsidRPr="002944CA">
              <w:rPr>
                <w:rFonts w:ascii="Calibri" w:hAnsi="Calibri" w:cs="Calibri"/>
                <w:b/>
                <w:sz w:val="22"/>
                <w:szCs w:val="22"/>
                <w:highlight w:val="yellow"/>
              </w:rPr>
              <w:t>.  AB28.</w:t>
            </w:r>
          </w:p>
        </w:tc>
      </w:tr>
      <w:tr w:rsidR="001D6AC1" w14:paraId="3AAD7DF6" w14:textId="77777777" w:rsidTr="00D712B1">
        <w:trPr>
          <w:trHeight w:val="4795"/>
        </w:trPr>
        <w:tc>
          <w:tcPr>
            <w:tcW w:w="5805" w:type="dxa"/>
            <w:vAlign w:val="center"/>
          </w:tcPr>
          <w:p w14:paraId="70E738BD"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is </w:t>
            </w:r>
            <w:r w:rsidRPr="00223BAC">
              <w:rPr>
                <w:rFonts w:ascii="Calibri" w:hAnsi="Calibri" w:cs="Calibri"/>
                <w:b/>
                <w:i/>
                <w:sz w:val="28"/>
                <w:szCs w:val="28"/>
              </w:rPr>
              <w:t>Lexmark</w:t>
            </w:r>
            <w:r>
              <w:rPr>
                <w:rFonts w:ascii="Calibri" w:hAnsi="Calibri" w:cs="Calibri"/>
                <w:b/>
                <w:sz w:val="28"/>
                <w:szCs w:val="28"/>
              </w:rPr>
              <w:t>’s “zone of interests” test?</w:t>
            </w:r>
          </w:p>
        </w:tc>
        <w:tc>
          <w:tcPr>
            <w:tcW w:w="5805" w:type="dxa"/>
            <w:vAlign w:val="center"/>
          </w:tcPr>
          <w:p w14:paraId="717899B4" w14:textId="77777777" w:rsidR="001D6AC1"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400776">
              <w:rPr>
                <w:rFonts w:ascii="Calibri" w:hAnsi="Calibri" w:cs="Calibri"/>
                <w:b/>
                <w:i/>
                <w:sz w:val="22"/>
                <w:szCs w:val="22"/>
              </w:rPr>
              <w:t>Lexmark Int’l v. Static Control Components, Inc.</w:t>
            </w:r>
            <w:r>
              <w:rPr>
                <w:rFonts w:ascii="Calibri" w:hAnsi="Calibri" w:cs="Calibri"/>
                <w:b/>
                <w:sz w:val="22"/>
                <w:szCs w:val="22"/>
              </w:rPr>
              <w:t xml:space="preserve"> (S. Ct. 2014), the Supreme Court explained that </w:t>
            </w:r>
            <w:r w:rsidRPr="00400776">
              <w:rPr>
                <w:rFonts w:ascii="Calibri" w:hAnsi="Calibri" w:cs="Calibri"/>
                <w:b/>
                <w:sz w:val="22"/>
                <w:szCs w:val="22"/>
              </w:rPr>
              <w:t>“[w]</w:t>
            </w:r>
            <w:proofErr w:type="spellStart"/>
            <w:r w:rsidRPr="00400776">
              <w:rPr>
                <w:rFonts w:ascii="Calibri" w:hAnsi="Calibri" w:cs="Calibri"/>
                <w:b/>
                <w:sz w:val="22"/>
                <w:szCs w:val="22"/>
              </w:rPr>
              <w:t>hether</w:t>
            </w:r>
            <w:proofErr w:type="spellEnd"/>
            <w:r w:rsidRPr="00400776">
              <w:rPr>
                <w:rFonts w:ascii="Calibri" w:hAnsi="Calibri" w:cs="Calibri"/>
                <w:b/>
                <w:sz w:val="22"/>
                <w:szCs w:val="22"/>
              </w:rPr>
              <w:t xml:space="preserve"> a plaintiff comes within the ‘zone of interests’ is an issue that requires [courts] to determine, using traditional tools of statutory interpretation, whether a legislatively conferred cause of action encompasses a</w:t>
            </w:r>
            <w:r>
              <w:rPr>
                <w:rFonts w:ascii="Calibri" w:hAnsi="Calibri" w:cs="Calibri"/>
                <w:b/>
                <w:sz w:val="22"/>
                <w:szCs w:val="22"/>
              </w:rPr>
              <w:t xml:space="preserve"> particular plaintiff’s claim.”</w:t>
            </w:r>
          </w:p>
        </w:tc>
      </w:tr>
      <w:tr w:rsidR="001D6AC1" w14:paraId="4C58A172" w14:textId="77777777" w:rsidTr="00D712B1">
        <w:trPr>
          <w:trHeight w:val="4795"/>
        </w:trPr>
        <w:tc>
          <w:tcPr>
            <w:tcW w:w="5805" w:type="dxa"/>
            <w:vAlign w:val="center"/>
          </w:tcPr>
          <w:p w14:paraId="2CC60BAD"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You rely on the context of the TCPA, which refers to “subscribers” several times.  But doesn’t the plain text of Section 227(c)(5) refer to persons, not subscribers?</w:t>
            </w:r>
          </w:p>
        </w:tc>
        <w:tc>
          <w:tcPr>
            <w:tcW w:w="5805" w:type="dxa"/>
            <w:vAlign w:val="center"/>
          </w:tcPr>
          <w:p w14:paraId="44BAC65C" w14:textId="77777777" w:rsidR="001D6AC1" w:rsidRDefault="001D6AC1" w:rsidP="00525419">
            <w:pPr>
              <w:pStyle w:val="O-BodyText"/>
              <w:spacing w:after="120"/>
              <w:ind w:left="290" w:right="65"/>
              <w:jc w:val="both"/>
              <w:rPr>
                <w:rFonts w:ascii="Calibri" w:hAnsi="Calibri" w:cs="Calibri"/>
                <w:b/>
                <w:sz w:val="22"/>
                <w:szCs w:val="22"/>
              </w:rPr>
            </w:pPr>
            <w:r w:rsidRPr="004A60BE">
              <w:rPr>
                <w:rFonts w:ascii="Calibri" w:hAnsi="Calibri" w:cs="Calibri"/>
                <w:b/>
                <w:sz w:val="22"/>
                <w:szCs w:val="22"/>
              </w:rPr>
              <w:t>Congress tied the cause of action to subscribers.  A claim under § 227(c)(5) requires an underlying “violation of the regulations prescribed under this subsection.”  And the relevant regulation concerns subscribers; it is subscribers who can place their numbers on the Registry, and the regulation prohibits calls to a “residential telephone subscriber who has registered his or her telephone number” on the Registry.  47 C.F.R. § 64.1200(c)(2).</w:t>
            </w:r>
          </w:p>
        </w:tc>
      </w:tr>
      <w:tr w:rsidR="001D6AC1" w14:paraId="2C0115C8" w14:textId="77777777" w:rsidTr="00D712B1">
        <w:trPr>
          <w:trHeight w:val="4795"/>
        </w:trPr>
        <w:tc>
          <w:tcPr>
            <w:tcW w:w="5805" w:type="dxa"/>
            <w:vAlign w:val="center"/>
          </w:tcPr>
          <w:p w14:paraId="7F366D13" w14:textId="77777777" w:rsidR="001D6AC1" w:rsidRPr="005E43FF" w:rsidRDefault="001D6AC1" w:rsidP="00525419">
            <w:pPr>
              <w:pStyle w:val="O-BodyText"/>
              <w:spacing w:after="120"/>
              <w:ind w:right="200"/>
              <w:jc w:val="both"/>
              <w:rPr>
                <w:rFonts w:ascii="Calibri" w:hAnsi="Calibri" w:cs="Calibri"/>
                <w:b/>
                <w:i/>
                <w:sz w:val="28"/>
                <w:szCs w:val="28"/>
              </w:rPr>
            </w:pPr>
            <w:r>
              <w:rPr>
                <w:rFonts w:ascii="Calibri" w:hAnsi="Calibri" w:cs="Calibri"/>
                <w:b/>
                <w:sz w:val="28"/>
                <w:szCs w:val="28"/>
              </w:rPr>
              <w:t xml:space="preserve">What did this Court say about statutory interpretation in </w:t>
            </w:r>
            <w:proofErr w:type="spellStart"/>
            <w:r w:rsidRPr="005E43FF">
              <w:rPr>
                <w:rFonts w:ascii="Calibri" w:hAnsi="Calibri" w:cs="Calibri"/>
                <w:b/>
                <w:i/>
                <w:sz w:val="28"/>
                <w:szCs w:val="28"/>
              </w:rPr>
              <w:t>Belmora</w:t>
            </w:r>
            <w:proofErr w:type="spellEnd"/>
            <w:r w:rsidRPr="005E43FF">
              <w:rPr>
                <w:rFonts w:ascii="Calibri" w:hAnsi="Calibri" w:cs="Calibri"/>
                <w:b/>
                <w:i/>
                <w:sz w:val="28"/>
                <w:szCs w:val="28"/>
              </w:rPr>
              <w:t xml:space="preserve"> v. Bayer Consumer Care </w:t>
            </w:r>
            <w:r w:rsidRPr="005E43FF">
              <w:rPr>
                <w:rFonts w:ascii="Calibri" w:hAnsi="Calibri" w:cs="Calibri"/>
                <w:b/>
                <w:sz w:val="28"/>
                <w:szCs w:val="28"/>
              </w:rPr>
              <w:t>(4th Cir. 2016)?</w:t>
            </w:r>
          </w:p>
        </w:tc>
        <w:tc>
          <w:tcPr>
            <w:tcW w:w="5805" w:type="dxa"/>
            <w:vAlign w:val="center"/>
          </w:tcPr>
          <w:p w14:paraId="660369DC" w14:textId="50961F4B" w:rsidR="001D6AC1" w:rsidRDefault="002944CA" w:rsidP="00525419">
            <w:pPr>
              <w:pStyle w:val="O-BodyText"/>
              <w:spacing w:after="120"/>
              <w:ind w:left="290" w:right="65"/>
              <w:jc w:val="both"/>
              <w:rPr>
                <w:rFonts w:ascii="Calibri" w:hAnsi="Calibri" w:cs="Calibri"/>
                <w:b/>
                <w:sz w:val="22"/>
                <w:szCs w:val="22"/>
              </w:rPr>
            </w:pPr>
            <w:r w:rsidRPr="002944CA">
              <w:rPr>
                <w:rFonts w:ascii="Calibri" w:hAnsi="Calibri" w:cs="Calibri"/>
                <w:b/>
                <w:sz w:val="22"/>
                <w:szCs w:val="22"/>
                <w:highlight w:val="yellow"/>
              </w:rPr>
              <w:t>[Explain</w:t>
            </w:r>
            <w:r w:rsidR="0020552B">
              <w:rPr>
                <w:rFonts w:ascii="Calibri" w:hAnsi="Calibri" w:cs="Calibri"/>
                <w:b/>
                <w:sz w:val="22"/>
                <w:szCs w:val="22"/>
                <w:highlight w:val="yellow"/>
              </w:rPr>
              <w:t>.</w:t>
            </w:r>
            <w:r w:rsidRPr="002944CA">
              <w:rPr>
                <w:rFonts w:ascii="Calibri" w:hAnsi="Calibri" w:cs="Calibri"/>
                <w:b/>
                <w:sz w:val="22"/>
                <w:szCs w:val="22"/>
                <w:highlight w:val="yellow"/>
              </w:rPr>
              <w:t>]</w:t>
            </w:r>
          </w:p>
        </w:tc>
      </w:tr>
      <w:tr w:rsidR="001D6AC1" w:rsidRPr="00AC1157" w14:paraId="4F1D195A" w14:textId="77777777" w:rsidTr="00D712B1">
        <w:trPr>
          <w:trHeight w:val="4795"/>
        </w:trPr>
        <w:tc>
          <w:tcPr>
            <w:tcW w:w="5805" w:type="dxa"/>
            <w:vAlign w:val="center"/>
          </w:tcPr>
          <w:p w14:paraId="40AD72F9"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Even if we accepted your “zone of interests” argument, why would only subscribers fall within that zone?</w:t>
            </w:r>
          </w:p>
        </w:tc>
        <w:tc>
          <w:tcPr>
            <w:tcW w:w="5805" w:type="dxa"/>
            <w:vAlign w:val="center"/>
          </w:tcPr>
          <w:p w14:paraId="592081B6" w14:textId="2E4AC8E9" w:rsidR="001D6AC1" w:rsidRPr="00AC1157" w:rsidRDefault="001D6AC1" w:rsidP="00525419">
            <w:pPr>
              <w:pStyle w:val="O-BodyText"/>
              <w:spacing w:after="120"/>
              <w:ind w:left="290" w:right="65"/>
              <w:jc w:val="both"/>
              <w:rPr>
                <w:rFonts w:ascii="Calibri" w:hAnsi="Calibri" w:cs="Calibri"/>
                <w:b/>
                <w:sz w:val="22"/>
                <w:szCs w:val="22"/>
                <w:highlight w:val="yellow"/>
              </w:rPr>
            </w:pPr>
            <w:r w:rsidRPr="004A60BE">
              <w:rPr>
                <w:rFonts w:ascii="Calibri" w:hAnsi="Calibri" w:cs="Calibri"/>
                <w:b/>
                <w:sz w:val="22"/>
                <w:szCs w:val="22"/>
              </w:rPr>
              <w:t xml:space="preserve">In </w:t>
            </w:r>
            <w:r w:rsidRPr="00886D02">
              <w:rPr>
                <w:rFonts w:ascii="Calibri" w:hAnsi="Calibri" w:cs="Calibri"/>
                <w:b/>
                <w:i/>
                <w:sz w:val="22"/>
                <w:szCs w:val="22"/>
              </w:rPr>
              <w:t>Lexmark Int’l v. Static Control Components, Inc.</w:t>
            </w:r>
            <w:r>
              <w:rPr>
                <w:rFonts w:ascii="Calibri" w:hAnsi="Calibri" w:cs="Calibri"/>
                <w:b/>
                <w:i/>
                <w:sz w:val="22"/>
                <w:szCs w:val="22"/>
              </w:rPr>
              <w:t xml:space="preserve"> </w:t>
            </w:r>
            <w:r w:rsidRPr="004A60BE">
              <w:rPr>
                <w:rFonts w:ascii="Calibri" w:hAnsi="Calibri" w:cs="Calibri"/>
                <w:b/>
                <w:sz w:val="22"/>
                <w:szCs w:val="22"/>
              </w:rPr>
              <w:t>(S. Ct. 2014), the Court explained that claims are available only to those Congress intended to protect.</w:t>
            </w:r>
          </w:p>
        </w:tc>
      </w:tr>
      <w:tr w:rsidR="001D6AC1" w:rsidRPr="009C2FC3" w14:paraId="6347513B" w14:textId="77777777" w:rsidTr="00D712B1">
        <w:trPr>
          <w:trHeight w:val="4795"/>
        </w:trPr>
        <w:tc>
          <w:tcPr>
            <w:tcW w:w="5805" w:type="dxa"/>
            <w:vAlign w:val="center"/>
          </w:tcPr>
          <w:p w14:paraId="2A6283AA"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Why aren’t recipients of unwanted telemarking calls </w:t>
            </w:r>
            <w:r w:rsidRPr="009C2FC3">
              <w:rPr>
                <w:rFonts w:ascii="Calibri" w:hAnsi="Calibri" w:cs="Calibri"/>
                <w:b/>
                <w:i/>
                <w:sz w:val="28"/>
                <w:szCs w:val="28"/>
              </w:rPr>
              <w:t>arguably</w:t>
            </w:r>
            <w:r>
              <w:rPr>
                <w:rFonts w:ascii="Calibri" w:hAnsi="Calibri" w:cs="Calibri"/>
                <w:b/>
                <w:sz w:val="28"/>
                <w:szCs w:val="28"/>
              </w:rPr>
              <w:t xml:space="preserve"> within the zone of interests that Congress was trying to protect?</w:t>
            </w:r>
          </w:p>
        </w:tc>
        <w:tc>
          <w:tcPr>
            <w:tcW w:w="5805" w:type="dxa"/>
            <w:vAlign w:val="center"/>
          </w:tcPr>
          <w:p w14:paraId="2061CECD" w14:textId="77777777" w:rsidR="001D6AC1" w:rsidRPr="009C2FC3" w:rsidRDefault="001D6AC1" w:rsidP="00525419">
            <w:pPr>
              <w:pStyle w:val="O-BodyText"/>
              <w:jc w:val="both"/>
              <w:rPr>
                <w:rFonts w:ascii="Calibri" w:hAnsi="Calibri" w:cs="Calibri"/>
                <w:b/>
                <w:sz w:val="22"/>
                <w:szCs w:val="22"/>
              </w:rPr>
            </w:pPr>
            <w:r w:rsidRPr="00947DDD">
              <w:rPr>
                <w:rFonts w:ascii="Calibri" w:hAnsi="Calibri" w:cs="Calibri"/>
                <w:b/>
                <w:sz w:val="22"/>
                <w:szCs w:val="22"/>
              </w:rPr>
              <w:t xml:space="preserve">Under </w:t>
            </w:r>
            <w:r w:rsidRPr="00947DDD">
              <w:rPr>
                <w:rFonts w:ascii="Calibri" w:hAnsi="Calibri" w:cs="Calibri"/>
                <w:b/>
                <w:i/>
                <w:sz w:val="22"/>
                <w:szCs w:val="22"/>
              </w:rPr>
              <w:t xml:space="preserve">Lexmark Int’l </w:t>
            </w:r>
            <w:r w:rsidRPr="00947DDD">
              <w:rPr>
                <w:rFonts w:ascii="Calibri" w:hAnsi="Calibri" w:cs="Calibri"/>
                <w:b/>
                <w:sz w:val="22"/>
                <w:szCs w:val="22"/>
              </w:rPr>
              <w:t xml:space="preserve">(S. Ct. 2014), the proper inquiry is what </w:t>
            </w:r>
            <w:proofErr w:type="gramStart"/>
            <w:r w:rsidRPr="00947DDD">
              <w:rPr>
                <w:rFonts w:ascii="Calibri" w:hAnsi="Calibri" w:cs="Calibri"/>
                <w:b/>
                <w:sz w:val="22"/>
                <w:szCs w:val="22"/>
              </w:rPr>
              <w:t xml:space="preserve">interests </w:t>
            </w:r>
            <w:r w:rsidRPr="00947DDD">
              <w:rPr>
                <w:rFonts w:ascii="Calibri" w:hAnsi="Calibri" w:cs="Calibri"/>
                <w:b/>
                <w:i/>
                <w:sz w:val="22"/>
                <w:szCs w:val="22"/>
              </w:rPr>
              <w:t>actually</w:t>
            </w:r>
            <w:proofErr w:type="gramEnd"/>
            <w:r w:rsidRPr="00947DDD">
              <w:rPr>
                <w:rFonts w:ascii="Calibri" w:hAnsi="Calibri" w:cs="Calibri"/>
                <w:b/>
                <w:sz w:val="22"/>
                <w:szCs w:val="22"/>
              </w:rPr>
              <w:t xml:space="preserve"> (not arguably) are </w:t>
            </w:r>
            <w:r>
              <w:rPr>
                <w:rFonts w:ascii="Calibri" w:hAnsi="Calibri" w:cs="Calibri"/>
                <w:b/>
                <w:sz w:val="22"/>
                <w:szCs w:val="22"/>
              </w:rPr>
              <w:t>protected by</w:t>
            </w:r>
            <w:r w:rsidRPr="00947DDD">
              <w:rPr>
                <w:rFonts w:ascii="Calibri" w:hAnsi="Calibri" w:cs="Calibri"/>
                <w:b/>
                <w:sz w:val="22"/>
                <w:szCs w:val="22"/>
              </w:rPr>
              <w:t xml:space="preserve"> </w:t>
            </w:r>
            <w:r>
              <w:rPr>
                <w:rFonts w:ascii="Calibri" w:hAnsi="Calibri" w:cs="Calibri"/>
                <w:b/>
                <w:sz w:val="22"/>
                <w:szCs w:val="22"/>
              </w:rPr>
              <w:t>Section</w:t>
            </w:r>
            <w:r w:rsidRPr="00947DDD">
              <w:rPr>
                <w:rFonts w:ascii="Calibri" w:hAnsi="Calibri" w:cs="Calibri"/>
                <w:b/>
                <w:sz w:val="22"/>
                <w:szCs w:val="22"/>
              </w:rPr>
              <w:t> 227(c),</w:t>
            </w:r>
            <w:r w:rsidRPr="00947DDD" w:rsidDel="00D50B53">
              <w:rPr>
                <w:rFonts w:ascii="Calibri" w:hAnsi="Calibri" w:cs="Calibri"/>
                <w:b/>
                <w:sz w:val="22"/>
                <w:szCs w:val="22"/>
              </w:rPr>
              <w:t xml:space="preserve"> </w:t>
            </w:r>
            <w:r w:rsidRPr="00947DDD">
              <w:rPr>
                <w:rFonts w:ascii="Calibri" w:hAnsi="Calibri" w:cs="Calibri"/>
                <w:b/>
                <w:sz w:val="22"/>
                <w:szCs w:val="22"/>
              </w:rPr>
              <w:t>and whether non-subscribers come within that zone of interests</w:t>
            </w:r>
            <w:r>
              <w:rPr>
                <w:rFonts w:ascii="Calibri" w:hAnsi="Calibri" w:cs="Calibri"/>
                <w:b/>
                <w:sz w:val="22"/>
                <w:szCs w:val="22"/>
              </w:rPr>
              <w:t xml:space="preserve">. </w:t>
            </w:r>
          </w:p>
        </w:tc>
      </w:tr>
      <w:tr w:rsidR="001D6AC1" w:rsidRPr="00E87C0D" w14:paraId="523046B6" w14:textId="77777777" w:rsidTr="00D712B1">
        <w:trPr>
          <w:trHeight w:val="4795"/>
        </w:trPr>
        <w:tc>
          <w:tcPr>
            <w:tcW w:w="5805" w:type="dxa"/>
            <w:vAlign w:val="center"/>
          </w:tcPr>
          <w:p w14:paraId="42043E91"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Plaintiffs cite a several cases stating that the “zone of interests” test is not </w:t>
            </w:r>
            <w:r w:rsidRPr="00E87C0D">
              <w:rPr>
                <w:rFonts w:ascii="Calibri" w:hAnsi="Calibri" w:cs="Calibri"/>
                <w:b/>
                <w:sz w:val="28"/>
                <w:szCs w:val="28"/>
              </w:rPr>
              <w:t>m</w:t>
            </w:r>
            <w:r>
              <w:rPr>
                <w:rFonts w:ascii="Calibri" w:hAnsi="Calibri" w:cs="Calibri"/>
                <w:b/>
                <w:sz w:val="28"/>
                <w:szCs w:val="28"/>
              </w:rPr>
              <w:t xml:space="preserve">eant to be especially demanding, and that plaintiffs only need to </w:t>
            </w:r>
            <w:r w:rsidRPr="00E87C0D">
              <w:rPr>
                <w:rFonts w:ascii="Calibri" w:hAnsi="Calibri" w:cs="Calibri"/>
                <w:b/>
                <w:sz w:val="28"/>
                <w:szCs w:val="28"/>
              </w:rPr>
              <w:t>show that the intere</w:t>
            </w:r>
            <w:r>
              <w:rPr>
                <w:rFonts w:ascii="Calibri" w:hAnsi="Calibri" w:cs="Calibri"/>
                <w:b/>
                <w:sz w:val="28"/>
                <w:szCs w:val="28"/>
              </w:rPr>
              <w:t xml:space="preserve">sts they seek to vindicate are </w:t>
            </w:r>
            <w:r w:rsidRPr="00E87C0D">
              <w:rPr>
                <w:rFonts w:ascii="Calibri" w:hAnsi="Calibri" w:cs="Calibri"/>
                <w:b/>
                <w:i/>
                <w:sz w:val="28"/>
                <w:szCs w:val="28"/>
              </w:rPr>
              <w:t xml:space="preserve">arguably </w:t>
            </w:r>
            <w:r w:rsidRPr="00E87C0D">
              <w:rPr>
                <w:rFonts w:ascii="Calibri" w:hAnsi="Calibri" w:cs="Calibri"/>
                <w:b/>
                <w:sz w:val="28"/>
                <w:szCs w:val="28"/>
              </w:rPr>
              <w:t>within the zone of interests</w:t>
            </w:r>
            <w:r>
              <w:rPr>
                <w:rFonts w:ascii="Calibri" w:hAnsi="Calibri" w:cs="Calibri"/>
                <w:b/>
                <w:sz w:val="28"/>
                <w:szCs w:val="28"/>
              </w:rPr>
              <w:t xml:space="preserve"> that </w:t>
            </w:r>
            <w:r w:rsidRPr="00E87C0D">
              <w:rPr>
                <w:rFonts w:ascii="Calibri" w:hAnsi="Calibri" w:cs="Calibri"/>
                <w:b/>
                <w:sz w:val="28"/>
                <w:szCs w:val="28"/>
              </w:rPr>
              <w:t>the statute protects</w:t>
            </w:r>
            <w:r>
              <w:rPr>
                <w:rFonts w:ascii="Calibri" w:hAnsi="Calibri" w:cs="Calibri"/>
                <w:b/>
                <w:sz w:val="28"/>
                <w:szCs w:val="28"/>
              </w:rPr>
              <w:t xml:space="preserve">.  </w:t>
            </w:r>
            <w:r>
              <w:rPr>
                <w:rFonts w:ascii="Calibri" w:hAnsi="Calibri" w:cs="Calibri"/>
                <w:b/>
                <w:i/>
                <w:sz w:val="28"/>
                <w:szCs w:val="28"/>
              </w:rPr>
              <w:t xml:space="preserve">See </w:t>
            </w:r>
            <w:r w:rsidRPr="00E87C0D">
              <w:rPr>
                <w:rFonts w:ascii="Calibri" w:hAnsi="Calibri" w:cs="Calibri"/>
                <w:b/>
                <w:i/>
                <w:sz w:val="28"/>
                <w:szCs w:val="28"/>
              </w:rPr>
              <w:t xml:space="preserve">Match-E-Be-Nash-She-Wish Band of Pottawatomi Indians v. </w:t>
            </w:r>
            <w:proofErr w:type="spellStart"/>
            <w:r w:rsidRPr="00E87C0D">
              <w:rPr>
                <w:rFonts w:ascii="Calibri" w:hAnsi="Calibri" w:cs="Calibri"/>
                <w:b/>
                <w:i/>
                <w:sz w:val="28"/>
                <w:szCs w:val="28"/>
              </w:rPr>
              <w:t>Patchak</w:t>
            </w:r>
            <w:proofErr w:type="spellEnd"/>
            <w:r w:rsidRPr="00E87C0D">
              <w:rPr>
                <w:rFonts w:ascii="Calibri" w:hAnsi="Calibri" w:cs="Calibri"/>
                <w:b/>
                <w:sz w:val="28"/>
                <w:szCs w:val="28"/>
              </w:rPr>
              <w:t xml:space="preserve"> (S. Ct. 2012)</w:t>
            </w:r>
            <w:r>
              <w:rPr>
                <w:rFonts w:ascii="Calibri" w:hAnsi="Calibri" w:cs="Calibri"/>
                <w:b/>
                <w:sz w:val="28"/>
                <w:szCs w:val="28"/>
              </w:rPr>
              <w:t xml:space="preserve">; </w:t>
            </w:r>
            <w:r w:rsidRPr="00E87C0D">
              <w:rPr>
                <w:rFonts w:ascii="Calibri" w:hAnsi="Calibri" w:cs="Calibri"/>
                <w:b/>
                <w:i/>
                <w:sz w:val="28"/>
                <w:szCs w:val="28"/>
              </w:rPr>
              <w:t>Bank of Am. Corp. v. City of Miami</w:t>
            </w:r>
            <w:r>
              <w:rPr>
                <w:rFonts w:ascii="Calibri" w:hAnsi="Calibri" w:cs="Calibri"/>
                <w:b/>
                <w:sz w:val="28"/>
                <w:szCs w:val="28"/>
              </w:rPr>
              <w:t xml:space="preserve"> </w:t>
            </w:r>
            <w:r w:rsidRPr="00E87C0D">
              <w:rPr>
                <w:rFonts w:ascii="Calibri" w:hAnsi="Calibri" w:cs="Calibri"/>
                <w:b/>
                <w:sz w:val="28"/>
                <w:szCs w:val="28"/>
              </w:rPr>
              <w:t>(</w:t>
            </w:r>
            <w:r>
              <w:rPr>
                <w:rFonts w:ascii="Calibri" w:hAnsi="Calibri" w:cs="Calibri"/>
                <w:b/>
                <w:sz w:val="28"/>
                <w:szCs w:val="28"/>
              </w:rPr>
              <w:t xml:space="preserve">S. Ct. </w:t>
            </w:r>
            <w:r w:rsidRPr="00E87C0D">
              <w:rPr>
                <w:rFonts w:ascii="Calibri" w:hAnsi="Calibri" w:cs="Calibri"/>
                <w:b/>
                <w:sz w:val="28"/>
                <w:szCs w:val="28"/>
              </w:rPr>
              <w:t>2017).</w:t>
            </w:r>
          </w:p>
        </w:tc>
        <w:tc>
          <w:tcPr>
            <w:tcW w:w="5805" w:type="dxa"/>
            <w:vAlign w:val="center"/>
          </w:tcPr>
          <w:p w14:paraId="37E11D5D" w14:textId="77777777" w:rsidR="001D6AC1" w:rsidRPr="00E87C0D"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The cases cited by plaintiffs show that this more</w:t>
            </w:r>
            <w:r w:rsidRPr="00E87C0D">
              <w:rPr>
                <w:rFonts w:ascii="Calibri" w:hAnsi="Calibri" w:cs="Calibri"/>
                <w:b/>
                <w:sz w:val="22"/>
                <w:szCs w:val="22"/>
              </w:rPr>
              <w:t xml:space="preserve"> “lenient approach” applies only to Administrative Procedure Act suits—because of that statute’s uniquely strong presumption of judicial review—and to statutes incorporating the APA’s “aggrieved person” language.</w:t>
            </w:r>
          </w:p>
        </w:tc>
      </w:tr>
      <w:tr w:rsidR="001D6AC1" w:rsidRPr="00E469CE" w14:paraId="3F26087C" w14:textId="77777777" w:rsidTr="00D712B1">
        <w:trPr>
          <w:trHeight w:val="4795"/>
        </w:trPr>
        <w:tc>
          <w:tcPr>
            <w:tcW w:w="5805" w:type="dxa"/>
            <w:vAlign w:val="center"/>
          </w:tcPr>
          <w:p w14:paraId="21158A5D"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Didn’t </w:t>
            </w:r>
            <w:r w:rsidRPr="000D5E8F">
              <w:rPr>
                <w:rFonts w:ascii="Calibri" w:hAnsi="Calibri" w:cs="Calibri"/>
                <w:b/>
                <w:sz w:val="28"/>
                <w:szCs w:val="28"/>
              </w:rPr>
              <w:t>Congress pass</w:t>
            </w:r>
            <w:r>
              <w:rPr>
                <w:rFonts w:ascii="Calibri" w:hAnsi="Calibri" w:cs="Calibri"/>
                <w:b/>
                <w:sz w:val="28"/>
                <w:szCs w:val="28"/>
              </w:rPr>
              <w:t xml:space="preserve"> </w:t>
            </w:r>
            <w:r w:rsidRPr="000D5E8F">
              <w:rPr>
                <w:rFonts w:ascii="Calibri" w:hAnsi="Calibri" w:cs="Calibri"/>
                <w:b/>
                <w:sz w:val="28"/>
                <w:szCs w:val="28"/>
              </w:rPr>
              <w:t xml:space="preserve">the TCPA because of public </w:t>
            </w:r>
            <w:r>
              <w:rPr>
                <w:rFonts w:ascii="Calibri" w:hAnsi="Calibri" w:cs="Calibri"/>
                <w:b/>
                <w:sz w:val="28"/>
                <w:szCs w:val="28"/>
              </w:rPr>
              <w:t>outrage over</w:t>
            </w:r>
            <w:r w:rsidRPr="000D5E8F">
              <w:rPr>
                <w:rFonts w:ascii="Calibri" w:hAnsi="Calibri" w:cs="Calibri"/>
                <w:b/>
                <w:sz w:val="28"/>
                <w:szCs w:val="28"/>
              </w:rPr>
              <w:t xml:space="preserve"> intrusive, nuisance calls to </w:t>
            </w:r>
            <w:r>
              <w:rPr>
                <w:rFonts w:ascii="Calibri" w:hAnsi="Calibri" w:cs="Calibri"/>
                <w:b/>
                <w:sz w:val="28"/>
                <w:szCs w:val="28"/>
              </w:rPr>
              <w:t xml:space="preserve">their homes from telemarketers? </w:t>
            </w:r>
            <w:r w:rsidRPr="000D5E8F">
              <w:rPr>
                <w:rFonts w:ascii="Calibri" w:hAnsi="Calibri" w:cs="Calibri"/>
                <w:b/>
                <w:sz w:val="28"/>
                <w:szCs w:val="28"/>
              </w:rPr>
              <w:t xml:space="preserve"> </w:t>
            </w:r>
            <w:r>
              <w:rPr>
                <w:rFonts w:ascii="Calibri" w:hAnsi="Calibri" w:cs="Calibri"/>
                <w:b/>
                <w:sz w:val="28"/>
                <w:szCs w:val="28"/>
              </w:rPr>
              <w:t xml:space="preserve">And didn’t Congress </w:t>
            </w:r>
            <w:r w:rsidRPr="000D5E8F">
              <w:rPr>
                <w:rFonts w:ascii="Calibri" w:hAnsi="Calibri" w:cs="Calibri"/>
                <w:b/>
                <w:sz w:val="28"/>
                <w:szCs w:val="28"/>
              </w:rPr>
              <w:t>describ</w:t>
            </w:r>
            <w:r>
              <w:rPr>
                <w:rFonts w:ascii="Calibri" w:hAnsi="Calibri" w:cs="Calibri"/>
                <w:b/>
                <w:sz w:val="28"/>
                <w:szCs w:val="28"/>
              </w:rPr>
              <w:t>e t</w:t>
            </w:r>
            <w:r w:rsidRPr="000D5E8F">
              <w:rPr>
                <w:rFonts w:ascii="Calibri" w:hAnsi="Calibri" w:cs="Calibri"/>
                <w:b/>
                <w:sz w:val="28"/>
                <w:szCs w:val="28"/>
              </w:rPr>
              <w:t>he people harmed by such calls</w:t>
            </w:r>
            <w:r>
              <w:rPr>
                <w:rFonts w:ascii="Calibri" w:hAnsi="Calibri" w:cs="Calibri"/>
                <w:b/>
                <w:sz w:val="28"/>
                <w:szCs w:val="28"/>
              </w:rPr>
              <w:t xml:space="preserve"> as</w:t>
            </w:r>
            <w:r w:rsidRPr="000D5E8F">
              <w:rPr>
                <w:rFonts w:ascii="Calibri" w:hAnsi="Calibri" w:cs="Calibri"/>
                <w:b/>
                <w:sz w:val="28"/>
                <w:szCs w:val="28"/>
              </w:rPr>
              <w:t xml:space="preserve"> </w:t>
            </w:r>
            <w:r>
              <w:rPr>
                <w:rFonts w:ascii="Calibri" w:hAnsi="Calibri" w:cs="Calibri"/>
                <w:b/>
                <w:sz w:val="28"/>
                <w:szCs w:val="28"/>
              </w:rPr>
              <w:t xml:space="preserve">receiving parties, consumers, </w:t>
            </w:r>
            <w:r w:rsidRPr="000D5E8F">
              <w:rPr>
                <w:rFonts w:ascii="Calibri" w:hAnsi="Calibri" w:cs="Calibri"/>
                <w:b/>
                <w:sz w:val="28"/>
                <w:szCs w:val="28"/>
              </w:rPr>
              <w:t xml:space="preserve">and </w:t>
            </w:r>
            <w:r>
              <w:rPr>
                <w:rFonts w:ascii="Calibri" w:hAnsi="Calibri" w:cs="Calibri"/>
                <w:b/>
                <w:sz w:val="28"/>
                <w:szCs w:val="28"/>
              </w:rPr>
              <w:t>in</w:t>
            </w:r>
            <w:r w:rsidRPr="000D5E8F">
              <w:rPr>
                <w:rFonts w:ascii="Calibri" w:hAnsi="Calibri" w:cs="Calibri"/>
                <w:b/>
                <w:sz w:val="28"/>
                <w:szCs w:val="28"/>
              </w:rPr>
              <w:t>dividuals</w:t>
            </w:r>
            <w:r>
              <w:rPr>
                <w:rFonts w:ascii="Calibri" w:hAnsi="Calibri" w:cs="Calibri"/>
                <w:b/>
                <w:sz w:val="28"/>
                <w:szCs w:val="28"/>
              </w:rPr>
              <w:t>?  AB31.</w:t>
            </w:r>
          </w:p>
        </w:tc>
        <w:tc>
          <w:tcPr>
            <w:tcW w:w="5805" w:type="dxa"/>
            <w:vAlign w:val="center"/>
          </w:tcPr>
          <w:p w14:paraId="5269C7E2" w14:textId="31F56173" w:rsidR="001D6AC1" w:rsidRPr="00E469CE" w:rsidRDefault="001D6AC1" w:rsidP="00525419">
            <w:pPr>
              <w:pStyle w:val="O-BodyText"/>
              <w:spacing w:after="120"/>
              <w:ind w:left="290" w:right="65"/>
              <w:jc w:val="both"/>
              <w:rPr>
                <w:rFonts w:ascii="Calibri" w:hAnsi="Calibri" w:cs="Calibri"/>
                <w:b/>
                <w:sz w:val="22"/>
                <w:szCs w:val="22"/>
              </w:rPr>
            </w:pPr>
            <w:r w:rsidRPr="008A1F8C">
              <w:rPr>
                <w:rFonts w:ascii="Calibri" w:hAnsi="Calibri" w:cs="Calibri"/>
                <w:b/>
                <w:sz w:val="22"/>
                <w:szCs w:val="22"/>
                <w:highlight w:val="yellow"/>
              </w:rPr>
              <w:t xml:space="preserve">Yes, the TCPA was passed because of intrusive calls to people’s homes from telemarketers.  </w:t>
            </w:r>
            <w:proofErr w:type="gramStart"/>
            <w:r w:rsidRPr="008A1F8C">
              <w:rPr>
                <w:rFonts w:ascii="Calibri" w:hAnsi="Calibri" w:cs="Calibri"/>
                <w:b/>
                <w:sz w:val="22"/>
                <w:szCs w:val="22"/>
                <w:highlight w:val="yellow"/>
              </w:rPr>
              <w:t>But,</w:t>
            </w:r>
            <w:proofErr w:type="gramEnd"/>
            <w:r w:rsidRPr="008A1F8C">
              <w:rPr>
                <w:rFonts w:ascii="Calibri" w:hAnsi="Calibri" w:cs="Calibri"/>
                <w:b/>
                <w:sz w:val="22"/>
                <w:szCs w:val="22"/>
                <w:highlight w:val="yellow"/>
              </w:rPr>
              <w:t xml:space="preserve"> that doesn’t mean that Congress intended for anyone receiving such calls to have a private right of action</w:t>
            </w:r>
            <w:r w:rsidR="002944CA">
              <w:rPr>
                <w:rFonts w:ascii="Calibri" w:hAnsi="Calibri" w:cs="Calibri"/>
                <w:b/>
                <w:sz w:val="22"/>
                <w:szCs w:val="22"/>
                <w:highlight w:val="yellow"/>
              </w:rPr>
              <w:t>.  AB31</w:t>
            </w:r>
            <w:r w:rsidRPr="008A1F8C">
              <w:rPr>
                <w:rFonts w:ascii="Calibri" w:hAnsi="Calibri" w:cs="Calibri"/>
                <w:b/>
                <w:sz w:val="22"/>
                <w:szCs w:val="22"/>
                <w:highlight w:val="yellow"/>
              </w:rPr>
              <w:t>.</w:t>
            </w:r>
          </w:p>
        </w:tc>
      </w:tr>
      <w:tr w:rsidR="001D6AC1" w14:paraId="70E9C14F" w14:textId="77777777" w:rsidTr="00D712B1">
        <w:trPr>
          <w:trHeight w:val="4795"/>
        </w:trPr>
        <w:tc>
          <w:tcPr>
            <w:tcW w:w="5805" w:type="dxa"/>
            <w:vAlign w:val="center"/>
          </w:tcPr>
          <w:p w14:paraId="31205FA7"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Wouldn’t any recipients s</w:t>
            </w:r>
            <w:r w:rsidRPr="00847C4E">
              <w:rPr>
                <w:rFonts w:ascii="Calibri" w:hAnsi="Calibri" w:cs="Calibri"/>
                <w:b/>
                <w:sz w:val="28"/>
                <w:szCs w:val="28"/>
              </w:rPr>
              <w:t xml:space="preserve">uffer </w:t>
            </w:r>
            <w:r>
              <w:rPr>
                <w:rFonts w:ascii="Calibri" w:hAnsi="Calibri" w:cs="Calibri"/>
                <w:b/>
                <w:sz w:val="28"/>
                <w:szCs w:val="28"/>
              </w:rPr>
              <w:t xml:space="preserve">the </w:t>
            </w:r>
            <w:r w:rsidRPr="00847C4E">
              <w:rPr>
                <w:rFonts w:ascii="Calibri" w:hAnsi="Calibri" w:cs="Calibri"/>
                <w:b/>
                <w:sz w:val="28"/>
                <w:szCs w:val="28"/>
              </w:rPr>
              <w:t xml:space="preserve">harms </w:t>
            </w:r>
            <w:r>
              <w:rPr>
                <w:rFonts w:ascii="Calibri" w:hAnsi="Calibri" w:cs="Calibri"/>
                <w:b/>
                <w:sz w:val="28"/>
                <w:szCs w:val="28"/>
              </w:rPr>
              <w:t>of intrusive telemarketing calls just as much as subscribers?</w:t>
            </w:r>
          </w:p>
        </w:tc>
        <w:tc>
          <w:tcPr>
            <w:tcW w:w="5805" w:type="dxa"/>
            <w:vAlign w:val="center"/>
          </w:tcPr>
          <w:p w14:paraId="42026501" w14:textId="2E3B6840" w:rsidR="001D6AC1"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Perhaps.  </w:t>
            </w:r>
            <w:r w:rsidR="002944CA">
              <w:rPr>
                <w:rFonts w:ascii="Calibri" w:hAnsi="Calibri" w:cs="Calibri"/>
                <w:b/>
                <w:sz w:val="22"/>
                <w:szCs w:val="22"/>
              </w:rPr>
              <w:t>T</w:t>
            </w:r>
            <w:r w:rsidRPr="00BD0EA6">
              <w:rPr>
                <w:rFonts w:ascii="Calibri" w:hAnsi="Calibri" w:cs="Calibri"/>
                <w:b/>
                <w:sz w:val="22"/>
                <w:szCs w:val="22"/>
              </w:rPr>
              <w:t>he</w:t>
            </w:r>
            <w:r w:rsidRPr="00BD0EA6">
              <w:rPr>
                <w:rFonts w:ascii="Century Schoolbook" w:hAnsi="Century Schoolbook" w:cs="Times New Roman"/>
                <w:sz w:val="28"/>
                <w:szCs w:val="24"/>
              </w:rPr>
              <w:t xml:space="preserve"> </w:t>
            </w:r>
            <w:r w:rsidRPr="00BD0EA6">
              <w:rPr>
                <w:rFonts w:ascii="Calibri" w:hAnsi="Calibri" w:cs="Calibri"/>
                <w:b/>
                <w:sz w:val="22"/>
                <w:szCs w:val="22"/>
              </w:rPr>
              <w:t>Do Not Call provisions protect those who affirmatively t</w:t>
            </w:r>
            <w:r>
              <w:rPr>
                <w:rFonts w:ascii="Calibri" w:hAnsi="Calibri" w:cs="Calibri"/>
                <w:b/>
                <w:sz w:val="22"/>
                <w:szCs w:val="22"/>
              </w:rPr>
              <w:t>a</w:t>
            </w:r>
            <w:r w:rsidRPr="00BD0EA6">
              <w:rPr>
                <w:rFonts w:ascii="Calibri" w:hAnsi="Calibri" w:cs="Calibri"/>
                <w:b/>
                <w:sz w:val="22"/>
                <w:szCs w:val="22"/>
              </w:rPr>
              <w:t>k</w:t>
            </w:r>
            <w:r>
              <w:rPr>
                <w:rFonts w:ascii="Calibri" w:hAnsi="Calibri" w:cs="Calibri"/>
                <w:b/>
                <w:sz w:val="22"/>
                <w:szCs w:val="22"/>
              </w:rPr>
              <w:t>e</w:t>
            </w:r>
            <w:r w:rsidRPr="00BD0EA6">
              <w:rPr>
                <w:rFonts w:ascii="Calibri" w:hAnsi="Calibri" w:cs="Calibri"/>
                <w:b/>
                <w:sz w:val="22"/>
                <w:szCs w:val="22"/>
              </w:rPr>
              <w:t xml:space="preserve"> action to prevent calls, which </w:t>
            </w:r>
            <w:r>
              <w:rPr>
                <w:rFonts w:ascii="Calibri" w:hAnsi="Calibri" w:cs="Calibri"/>
                <w:b/>
                <w:sz w:val="22"/>
                <w:szCs w:val="22"/>
              </w:rPr>
              <w:t>must be</w:t>
            </w:r>
            <w:r w:rsidRPr="00BD0EA6">
              <w:rPr>
                <w:rFonts w:ascii="Calibri" w:hAnsi="Calibri" w:cs="Calibri"/>
                <w:b/>
                <w:sz w:val="22"/>
                <w:szCs w:val="22"/>
              </w:rPr>
              <w:t xml:space="preserve"> subscribers.</w:t>
            </w:r>
          </w:p>
        </w:tc>
      </w:tr>
      <w:tr w:rsidR="001D6AC1" w14:paraId="60248D14" w14:textId="77777777" w:rsidTr="00D712B1">
        <w:trPr>
          <w:trHeight w:val="4795"/>
        </w:trPr>
        <w:tc>
          <w:tcPr>
            <w:tcW w:w="5805" w:type="dxa"/>
            <w:vAlign w:val="center"/>
          </w:tcPr>
          <w:p w14:paraId="52A9EDC2"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Aren’t you asking us to read an </w:t>
            </w:r>
            <w:proofErr w:type="spellStart"/>
            <w:r>
              <w:rPr>
                <w:rFonts w:ascii="Calibri" w:hAnsi="Calibri" w:cs="Calibri"/>
                <w:b/>
                <w:sz w:val="28"/>
                <w:szCs w:val="28"/>
              </w:rPr>
              <w:t>atextual</w:t>
            </w:r>
            <w:proofErr w:type="spellEnd"/>
            <w:r>
              <w:rPr>
                <w:rFonts w:ascii="Calibri" w:hAnsi="Calibri" w:cs="Calibri"/>
                <w:b/>
                <w:sz w:val="28"/>
                <w:szCs w:val="28"/>
              </w:rPr>
              <w:t xml:space="preserve"> subscribers-only restriction into Section 227(c)(5)?  That section says “person” not “subscriber.”</w:t>
            </w:r>
          </w:p>
        </w:tc>
        <w:tc>
          <w:tcPr>
            <w:tcW w:w="5805" w:type="dxa"/>
            <w:vAlign w:val="center"/>
          </w:tcPr>
          <w:p w14:paraId="5C130145" w14:textId="77777777" w:rsidR="001D6AC1"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Pr="00B87F91">
              <w:rPr>
                <w:rFonts w:ascii="Calibri" w:hAnsi="Calibri" w:cs="Calibri"/>
                <w:b/>
                <w:sz w:val="22"/>
                <w:szCs w:val="22"/>
              </w:rPr>
              <w:t xml:space="preserve">regulations </w:t>
            </w:r>
            <w:r>
              <w:rPr>
                <w:rFonts w:ascii="Calibri" w:hAnsi="Calibri" w:cs="Calibri"/>
                <w:b/>
                <w:sz w:val="22"/>
                <w:szCs w:val="22"/>
              </w:rPr>
              <w:t xml:space="preserve">implementing the statute </w:t>
            </w:r>
            <w:r w:rsidRPr="00B87F91">
              <w:rPr>
                <w:rFonts w:ascii="Calibri" w:hAnsi="Calibri" w:cs="Calibri"/>
                <w:b/>
                <w:sz w:val="22"/>
                <w:szCs w:val="22"/>
              </w:rPr>
              <w:t xml:space="preserve">are directly relevant, because </w:t>
            </w:r>
            <w:r>
              <w:rPr>
                <w:rFonts w:ascii="Calibri" w:hAnsi="Calibri" w:cs="Calibri"/>
                <w:b/>
                <w:sz w:val="22"/>
                <w:szCs w:val="22"/>
              </w:rPr>
              <w:t>Section</w:t>
            </w:r>
            <w:r w:rsidRPr="00B87F91">
              <w:rPr>
                <w:rFonts w:ascii="Calibri" w:hAnsi="Calibri" w:cs="Calibri"/>
                <w:b/>
                <w:sz w:val="22"/>
                <w:szCs w:val="22"/>
              </w:rPr>
              <w:t xml:space="preserve"> 227(c)(5) authorizes a lawsuit only to enforce “violation[s] of the regulations prescribed </w:t>
            </w:r>
            <w:r w:rsidRPr="00B87F91">
              <w:rPr>
                <w:rFonts w:ascii="Calibri" w:hAnsi="Calibri" w:cs="Calibri"/>
                <w:b/>
                <w:i/>
                <w:sz w:val="22"/>
                <w:szCs w:val="22"/>
              </w:rPr>
              <w:t>under this</w:t>
            </w:r>
            <w:r w:rsidRPr="00B87F91">
              <w:rPr>
                <w:rFonts w:ascii="Calibri" w:hAnsi="Calibri" w:cs="Calibri"/>
                <w:b/>
                <w:sz w:val="22"/>
                <w:szCs w:val="22"/>
              </w:rPr>
              <w:t xml:space="preserve"> </w:t>
            </w:r>
            <w:r w:rsidRPr="00B87F91">
              <w:rPr>
                <w:rFonts w:ascii="Calibri" w:hAnsi="Calibri" w:cs="Calibri"/>
                <w:b/>
                <w:i/>
                <w:sz w:val="22"/>
                <w:szCs w:val="22"/>
              </w:rPr>
              <w:t>subsection</w:t>
            </w:r>
            <w:r w:rsidRPr="00B87F91">
              <w:rPr>
                <w:rFonts w:ascii="Calibri" w:hAnsi="Calibri" w:cs="Calibri"/>
                <w:b/>
                <w:sz w:val="22"/>
                <w:szCs w:val="22"/>
              </w:rPr>
              <w:t>”—that is, under § 227(c).  And the “violation” those regulations define is for “</w:t>
            </w:r>
            <w:proofErr w:type="spellStart"/>
            <w:r w:rsidRPr="00B87F91">
              <w:rPr>
                <w:rFonts w:ascii="Calibri" w:hAnsi="Calibri" w:cs="Calibri"/>
                <w:b/>
                <w:sz w:val="22"/>
                <w:szCs w:val="22"/>
              </w:rPr>
              <w:t>initiat</w:t>
            </w:r>
            <w:proofErr w:type="spellEnd"/>
            <w:r w:rsidRPr="00B87F91">
              <w:rPr>
                <w:rFonts w:ascii="Calibri" w:hAnsi="Calibri" w:cs="Calibri"/>
                <w:b/>
                <w:sz w:val="22"/>
                <w:szCs w:val="22"/>
              </w:rPr>
              <w:t>[</w:t>
            </w:r>
            <w:proofErr w:type="spellStart"/>
            <w:r w:rsidRPr="00B87F91">
              <w:rPr>
                <w:rFonts w:ascii="Calibri" w:hAnsi="Calibri" w:cs="Calibri"/>
                <w:b/>
                <w:sz w:val="22"/>
                <w:szCs w:val="22"/>
              </w:rPr>
              <w:t>ing</w:t>
            </w:r>
            <w:proofErr w:type="spellEnd"/>
            <w:r w:rsidRPr="00B87F91">
              <w:rPr>
                <w:rFonts w:ascii="Calibri" w:hAnsi="Calibri" w:cs="Calibri"/>
                <w:b/>
                <w:sz w:val="22"/>
                <w:szCs w:val="22"/>
              </w:rPr>
              <w:t xml:space="preserve">] any telephone solicitation” to a “residential telephone </w:t>
            </w:r>
            <w:r w:rsidRPr="00B87F91">
              <w:rPr>
                <w:rFonts w:ascii="Calibri" w:hAnsi="Calibri" w:cs="Calibri"/>
                <w:b/>
                <w:i/>
                <w:sz w:val="22"/>
                <w:szCs w:val="22"/>
              </w:rPr>
              <w:t>subscriber</w:t>
            </w:r>
            <w:r w:rsidRPr="00B87F91">
              <w:rPr>
                <w:rFonts w:ascii="Calibri" w:hAnsi="Calibri" w:cs="Calibri"/>
                <w:b/>
                <w:sz w:val="22"/>
                <w:szCs w:val="22"/>
              </w:rPr>
              <w:t xml:space="preserve"> who has registered his or her number.”  47 C.F.R. § 64.1200(c).  </w:t>
            </w:r>
            <w:r>
              <w:rPr>
                <w:rFonts w:ascii="Calibri" w:hAnsi="Calibri" w:cs="Calibri"/>
                <w:b/>
                <w:sz w:val="22"/>
                <w:szCs w:val="22"/>
              </w:rPr>
              <w:t>I</w:t>
            </w:r>
            <w:r w:rsidRPr="00B87F91">
              <w:rPr>
                <w:rFonts w:ascii="Calibri" w:hAnsi="Calibri" w:cs="Calibri"/>
                <w:b/>
                <w:sz w:val="22"/>
                <w:szCs w:val="22"/>
              </w:rPr>
              <w:t xml:space="preserve">t is the </w:t>
            </w:r>
            <w:r w:rsidRPr="00B87F91">
              <w:rPr>
                <w:rFonts w:ascii="Calibri" w:hAnsi="Calibri" w:cs="Calibri"/>
                <w:b/>
                <w:i/>
                <w:sz w:val="22"/>
                <w:szCs w:val="22"/>
              </w:rPr>
              <w:t>subscriber’s</w:t>
            </w:r>
            <w:r w:rsidRPr="00B87F91">
              <w:rPr>
                <w:rFonts w:ascii="Calibri" w:hAnsi="Calibri" w:cs="Calibri"/>
                <w:b/>
                <w:sz w:val="22"/>
                <w:szCs w:val="22"/>
              </w:rPr>
              <w:t xml:space="preserve"> expressed interest in avoiding calls that Congress cared about, and thus the subscriber who may sue</w:t>
            </w:r>
            <w:r>
              <w:rPr>
                <w:rFonts w:ascii="Calibri" w:hAnsi="Calibri" w:cs="Calibri"/>
                <w:b/>
                <w:sz w:val="22"/>
                <w:szCs w:val="22"/>
              </w:rPr>
              <w:t>.</w:t>
            </w:r>
          </w:p>
        </w:tc>
      </w:tr>
      <w:tr w:rsidR="001D6AC1" w14:paraId="7B60FFDC" w14:textId="77777777" w:rsidTr="00D712B1">
        <w:trPr>
          <w:trHeight w:val="4795"/>
        </w:trPr>
        <w:tc>
          <w:tcPr>
            <w:tcW w:w="5805" w:type="dxa"/>
            <w:vAlign w:val="center"/>
          </w:tcPr>
          <w:p w14:paraId="7545305F"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Didn’t the Third Circuit in </w:t>
            </w:r>
            <w:proofErr w:type="spellStart"/>
            <w:r w:rsidRPr="00BF224F">
              <w:rPr>
                <w:rFonts w:ascii="Calibri" w:hAnsi="Calibri" w:cs="Calibri"/>
                <w:b/>
                <w:i/>
                <w:sz w:val="28"/>
                <w:szCs w:val="28"/>
              </w:rPr>
              <w:t>Leyse</w:t>
            </w:r>
            <w:proofErr w:type="spellEnd"/>
            <w:r w:rsidRPr="00BF224F">
              <w:rPr>
                <w:rFonts w:ascii="Calibri" w:hAnsi="Calibri" w:cs="Calibri"/>
                <w:b/>
                <w:i/>
                <w:sz w:val="28"/>
                <w:szCs w:val="28"/>
              </w:rPr>
              <w:t xml:space="preserve"> v. Bank of Am. Nat’l </w:t>
            </w:r>
            <w:proofErr w:type="spellStart"/>
            <w:r w:rsidRPr="00BF224F">
              <w:rPr>
                <w:rFonts w:ascii="Calibri" w:hAnsi="Calibri" w:cs="Calibri"/>
                <w:b/>
                <w:i/>
                <w:sz w:val="28"/>
                <w:szCs w:val="28"/>
              </w:rPr>
              <w:t>Ass’n</w:t>
            </w:r>
            <w:proofErr w:type="spellEnd"/>
            <w:r w:rsidRPr="00BF224F">
              <w:rPr>
                <w:rFonts w:ascii="Calibri" w:hAnsi="Calibri" w:cs="Calibri"/>
                <w:b/>
                <w:sz w:val="28"/>
                <w:szCs w:val="28"/>
              </w:rPr>
              <w:t xml:space="preserve"> (3d Cir. 2015)</w:t>
            </w:r>
            <w:r>
              <w:rPr>
                <w:rFonts w:ascii="Calibri" w:hAnsi="Calibri" w:cs="Calibri"/>
                <w:b/>
                <w:sz w:val="28"/>
                <w:szCs w:val="28"/>
              </w:rPr>
              <w:t xml:space="preserve"> hold that the TCPA’s zone of interests encompass the actual recipients of the calls even if they were not subscribers or the intended recipients?</w:t>
            </w:r>
          </w:p>
        </w:tc>
        <w:tc>
          <w:tcPr>
            <w:tcW w:w="5805" w:type="dxa"/>
            <w:vAlign w:val="center"/>
          </w:tcPr>
          <w:p w14:paraId="7A5DB33B" w14:textId="77777777" w:rsidR="001D6AC1" w:rsidRPr="009C1FFD"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First, </w:t>
            </w:r>
            <w:proofErr w:type="spellStart"/>
            <w:r w:rsidRPr="006B7633">
              <w:rPr>
                <w:rFonts w:ascii="Calibri" w:hAnsi="Calibri" w:cs="Calibri"/>
                <w:b/>
                <w:i/>
                <w:sz w:val="22"/>
                <w:szCs w:val="22"/>
              </w:rPr>
              <w:t>Leyse</w:t>
            </w:r>
            <w:proofErr w:type="spellEnd"/>
            <w:r w:rsidRPr="006B7633">
              <w:rPr>
                <w:rFonts w:ascii="Calibri" w:hAnsi="Calibri" w:cs="Calibri"/>
                <w:b/>
                <w:i/>
                <w:sz w:val="22"/>
                <w:szCs w:val="22"/>
              </w:rPr>
              <w:t xml:space="preserve"> v. Bank of Am. Nat’l </w:t>
            </w:r>
            <w:proofErr w:type="spellStart"/>
            <w:r w:rsidRPr="006B7633">
              <w:rPr>
                <w:rFonts w:ascii="Calibri" w:hAnsi="Calibri" w:cs="Calibri"/>
                <w:b/>
                <w:i/>
                <w:sz w:val="22"/>
                <w:szCs w:val="22"/>
              </w:rPr>
              <w:t>Ass’n</w:t>
            </w:r>
            <w:proofErr w:type="spellEnd"/>
            <w:r w:rsidRPr="006B7633">
              <w:rPr>
                <w:rFonts w:ascii="Calibri" w:hAnsi="Calibri" w:cs="Calibri"/>
                <w:b/>
                <w:i/>
                <w:sz w:val="22"/>
                <w:szCs w:val="22"/>
              </w:rPr>
              <w:t xml:space="preserve"> </w:t>
            </w:r>
            <w:r>
              <w:rPr>
                <w:rFonts w:ascii="Calibri" w:hAnsi="Calibri" w:cs="Calibri"/>
                <w:b/>
                <w:sz w:val="22"/>
                <w:szCs w:val="22"/>
              </w:rPr>
              <w:t xml:space="preserve">(3d Cir. 2015) was a robocalling case about Section 227(b), not a telemarketing case under Section 227(c).  Moreover, the court in </w:t>
            </w:r>
            <w:proofErr w:type="spellStart"/>
            <w:r w:rsidRPr="00B33E9C">
              <w:rPr>
                <w:rFonts w:ascii="Calibri" w:hAnsi="Calibri" w:cs="Calibri"/>
                <w:b/>
                <w:i/>
                <w:sz w:val="22"/>
                <w:szCs w:val="22"/>
              </w:rPr>
              <w:t>Leyse</w:t>
            </w:r>
            <w:proofErr w:type="spellEnd"/>
            <w:r>
              <w:rPr>
                <w:rFonts w:ascii="Calibri" w:hAnsi="Calibri" w:cs="Calibri"/>
                <w:b/>
                <w:sz w:val="22"/>
                <w:szCs w:val="22"/>
              </w:rPr>
              <w:t xml:space="preserve"> explained that </w:t>
            </w:r>
            <w:r w:rsidRPr="009C1FFD">
              <w:rPr>
                <w:rFonts w:ascii="Calibri" w:hAnsi="Calibri" w:cs="Calibri"/>
                <w:b/>
                <w:sz w:val="22"/>
                <w:szCs w:val="22"/>
              </w:rPr>
              <w:t xml:space="preserve">to </w:t>
            </w:r>
            <w:r>
              <w:rPr>
                <w:rFonts w:ascii="Calibri" w:hAnsi="Calibri" w:cs="Calibri"/>
                <w:b/>
                <w:sz w:val="22"/>
                <w:szCs w:val="22"/>
              </w:rPr>
              <w:t>define</w:t>
            </w:r>
            <w:r w:rsidRPr="009C1FFD">
              <w:rPr>
                <w:rFonts w:ascii="Calibri" w:hAnsi="Calibri" w:cs="Calibri"/>
                <w:b/>
                <w:sz w:val="22"/>
                <w:szCs w:val="22"/>
              </w:rPr>
              <w:t xml:space="preserve"> the zone of interests protected by the </w:t>
            </w:r>
            <w:r>
              <w:rPr>
                <w:rFonts w:ascii="Calibri" w:hAnsi="Calibri" w:cs="Calibri"/>
                <w:b/>
                <w:sz w:val="22"/>
                <w:szCs w:val="22"/>
              </w:rPr>
              <w:t>TCPA</w:t>
            </w:r>
            <w:r w:rsidRPr="009C1FFD">
              <w:rPr>
                <w:rFonts w:ascii="Calibri" w:hAnsi="Calibri" w:cs="Calibri"/>
                <w:b/>
                <w:sz w:val="22"/>
                <w:szCs w:val="22"/>
              </w:rPr>
              <w:t xml:space="preserve">, it makes sense to </w:t>
            </w:r>
            <w:r>
              <w:rPr>
                <w:rFonts w:ascii="Calibri" w:hAnsi="Calibri" w:cs="Calibri"/>
                <w:b/>
                <w:sz w:val="22"/>
                <w:szCs w:val="22"/>
              </w:rPr>
              <w:t>look at</w:t>
            </w:r>
            <w:r w:rsidRPr="009C1FFD">
              <w:rPr>
                <w:rFonts w:ascii="Calibri" w:hAnsi="Calibri" w:cs="Calibri"/>
                <w:b/>
                <w:sz w:val="22"/>
                <w:szCs w:val="22"/>
              </w:rPr>
              <w:t xml:space="preserve"> </w:t>
            </w:r>
            <w:r>
              <w:rPr>
                <w:rFonts w:ascii="Calibri" w:hAnsi="Calibri" w:cs="Calibri"/>
                <w:b/>
                <w:sz w:val="22"/>
                <w:szCs w:val="22"/>
              </w:rPr>
              <w:t>what</w:t>
            </w:r>
            <w:r w:rsidRPr="009C1FFD">
              <w:rPr>
                <w:rFonts w:ascii="Calibri" w:hAnsi="Calibri" w:cs="Calibri"/>
                <w:b/>
                <w:sz w:val="22"/>
                <w:szCs w:val="22"/>
              </w:rPr>
              <w:t xml:space="preserve"> prohibitions the private action is intended to enforce.</w:t>
            </w:r>
            <w:r>
              <w:rPr>
                <w:rFonts w:ascii="Calibri" w:hAnsi="Calibri" w:cs="Calibri"/>
                <w:b/>
                <w:sz w:val="22"/>
                <w:szCs w:val="22"/>
              </w:rPr>
              <w:t xml:space="preserve"> </w:t>
            </w:r>
            <w:r w:rsidRPr="009C1FFD">
              <w:rPr>
                <w:rFonts w:ascii="Calibri" w:hAnsi="Calibri" w:cs="Calibri"/>
                <w:b/>
                <w:sz w:val="22"/>
                <w:szCs w:val="22"/>
              </w:rPr>
              <w:t xml:space="preserve"> </w:t>
            </w:r>
            <w:r>
              <w:rPr>
                <w:rFonts w:ascii="Calibri" w:hAnsi="Calibri" w:cs="Calibri"/>
                <w:b/>
                <w:sz w:val="22"/>
                <w:szCs w:val="22"/>
              </w:rPr>
              <w:t xml:space="preserve">Under Section 227(c), those </w:t>
            </w:r>
            <w:r w:rsidRPr="009C1FFD">
              <w:rPr>
                <w:rFonts w:ascii="Calibri" w:hAnsi="Calibri" w:cs="Calibri"/>
                <w:b/>
                <w:sz w:val="22"/>
                <w:szCs w:val="22"/>
              </w:rPr>
              <w:t xml:space="preserve">prohibitions are all about subscribers.  </w:t>
            </w:r>
          </w:p>
          <w:p w14:paraId="77B1CF0C" w14:textId="77777777" w:rsidR="001D6AC1" w:rsidRDefault="001D6AC1" w:rsidP="00525419">
            <w:pPr>
              <w:pStyle w:val="O-BodyText"/>
              <w:spacing w:after="120"/>
              <w:ind w:left="290" w:right="65"/>
              <w:jc w:val="both"/>
              <w:rPr>
                <w:rFonts w:ascii="Calibri" w:hAnsi="Calibri" w:cs="Calibri"/>
                <w:b/>
                <w:sz w:val="22"/>
                <w:szCs w:val="22"/>
              </w:rPr>
            </w:pPr>
          </w:p>
        </w:tc>
      </w:tr>
      <w:tr w:rsidR="001D6AC1" w14:paraId="65E543FC" w14:textId="77777777" w:rsidTr="00D712B1">
        <w:trPr>
          <w:trHeight w:val="4795"/>
        </w:trPr>
        <w:tc>
          <w:tcPr>
            <w:tcW w:w="5805" w:type="dxa"/>
            <w:vAlign w:val="center"/>
          </w:tcPr>
          <w:p w14:paraId="5344888B"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Why didn’t you discuss </w:t>
            </w:r>
            <w:proofErr w:type="spellStart"/>
            <w:r w:rsidRPr="00BF224F">
              <w:rPr>
                <w:rFonts w:ascii="Calibri" w:hAnsi="Calibri" w:cs="Calibri"/>
                <w:b/>
                <w:i/>
                <w:sz w:val="28"/>
                <w:szCs w:val="28"/>
              </w:rPr>
              <w:t>Leyse</w:t>
            </w:r>
            <w:proofErr w:type="spellEnd"/>
            <w:r w:rsidRPr="00BF224F">
              <w:rPr>
                <w:rFonts w:ascii="Calibri" w:hAnsi="Calibri" w:cs="Calibri"/>
                <w:b/>
                <w:i/>
                <w:sz w:val="28"/>
                <w:szCs w:val="28"/>
              </w:rPr>
              <w:t xml:space="preserve"> v. Bank of Am. Nat’l </w:t>
            </w:r>
            <w:proofErr w:type="spellStart"/>
            <w:r w:rsidRPr="00BF224F">
              <w:rPr>
                <w:rFonts w:ascii="Calibri" w:hAnsi="Calibri" w:cs="Calibri"/>
                <w:b/>
                <w:i/>
                <w:sz w:val="28"/>
                <w:szCs w:val="28"/>
              </w:rPr>
              <w:t>Ass’n</w:t>
            </w:r>
            <w:proofErr w:type="spellEnd"/>
            <w:r w:rsidRPr="00BF224F">
              <w:rPr>
                <w:rFonts w:ascii="Calibri" w:hAnsi="Calibri" w:cs="Calibri"/>
                <w:b/>
                <w:sz w:val="28"/>
                <w:szCs w:val="28"/>
              </w:rPr>
              <w:t xml:space="preserve"> (3d Cir. 2015)</w:t>
            </w:r>
            <w:r>
              <w:rPr>
                <w:rFonts w:ascii="Calibri" w:hAnsi="Calibri" w:cs="Calibri"/>
                <w:b/>
                <w:sz w:val="28"/>
                <w:szCs w:val="28"/>
              </w:rPr>
              <w:t xml:space="preserve"> in your opening brief?  Wasn’t it </w:t>
            </w:r>
            <w:r w:rsidRPr="00442998">
              <w:rPr>
                <w:rFonts w:ascii="Calibri" w:hAnsi="Calibri" w:cs="Calibri"/>
                <w:b/>
                <w:sz w:val="28"/>
                <w:szCs w:val="28"/>
              </w:rPr>
              <w:t xml:space="preserve">the only appellate decision analyzing the TCPA’s zone of interests under </w:t>
            </w:r>
            <w:r w:rsidRPr="00442998">
              <w:rPr>
                <w:rFonts w:ascii="Calibri" w:hAnsi="Calibri" w:cs="Calibri"/>
                <w:b/>
                <w:i/>
                <w:sz w:val="28"/>
                <w:szCs w:val="28"/>
              </w:rPr>
              <w:t>Lexmark</w:t>
            </w:r>
            <w:r>
              <w:rPr>
                <w:rFonts w:ascii="Calibri" w:hAnsi="Calibri" w:cs="Calibri"/>
                <w:b/>
                <w:sz w:val="28"/>
                <w:szCs w:val="28"/>
              </w:rPr>
              <w:t>?</w:t>
            </w:r>
          </w:p>
        </w:tc>
        <w:tc>
          <w:tcPr>
            <w:tcW w:w="5805" w:type="dxa"/>
            <w:vAlign w:val="center"/>
          </w:tcPr>
          <w:p w14:paraId="07370C73" w14:textId="77777777" w:rsidR="001D6AC1" w:rsidRDefault="001D6AC1" w:rsidP="00525419">
            <w:pPr>
              <w:pStyle w:val="O-BodyText"/>
              <w:spacing w:after="120"/>
              <w:ind w:left="290" w:right="65"/>
              <w:jc w:val="both"/>
              <w:rPr>
                <w:rFonts w:ascii="Calibri" w:hAnsi="Calibri" w:cs="Calibri"/>
                <w:b/>
                <w:sz w:val="22"/>
                <w:szCs w:val="22"/>
              </w:rPr>
            </w:pPr>
            <w:proofErr w:type="spellStart"/>
            <w:r w:rsidRPr="001B6111">
              <w:rPr>
                <w:rFonts w:ascii="Calibri" w:hAnsi="Calibri" w:cs="Calibri"/>
                <w:b/>
                <w:i/>
                <w:sz w:val="22"/>
                <w:szCs w:val="22"/>
              </w:rPr>
              <w:t>Leyse</w:t>
            </w:r>
            <w:proofErr w:type="spellEnd"/>
            <w:r>
              <w:rPr>
                <w:rFonts w:ascii="Calibri" w:hAnsi="Calibri" w:cs="Calibri"/>
                <w:b/>
                <w:sz w:val="22"/>
                <w:szCs w:val="22"/>
              </w:rPr>
              <w:t xml:space="preserve"> is a robocalling case about Section</w:t>
            </w:r>
            <w:r w:rsidRPr="001B6111">
              <w:rPr>
                <w:rFonts w:ascii="Calibri" w:hAnsi="Calibri" w:cs="Calibri"/>
                <w:b/>
                <w:sz w:val="22"/>
                <w:szCs w:val="22"/>
              </w:rPr>
              <w:t xml:space="preserve"> 227(b)—where, unlike </w:t>
            </w:r>
            <w:r>
              <w:rPr>
                <w:rFonts w:ascii="Calibri" w:hAnsi="Calibri" w:cs="Calibri"/>
                <w:b/>
                <w:sz w:val="22"/>
                <w:szCs w:val="22"/>
              </w:rPr>
              <w:t xml:space="preserve">in Section </w:t>
            </w:r>
            <w:r w:rsidRPr="001B6111">
              <w:rPr>
                <w:rFonts w:ascii="Calibri" w:hAnsi="Calibri" w:cs="Calibri"/>
                <w:b/>
                <w:sz w:val="22"/>
                <w:szCs w:val="22"/>
              </w:rPr>
              <w:t>227(c), the word “subscriber” is nowhere to be found.</w:t>
            </w:r>
          </w:p>
        </w:tc>
      </w:tr>
      <w:tr w:rsidR="001D6AC1" w14:paraId="491B1833" w14:textId="77777777" w:rsidTr="00D712B1">
        <w:trPr>
          <w:trHeight w:val="4795"/>
        </w:trPr>
        <w:tc>
          <w:tcPr>
            <w:tcW w:w="5805" w:type="dxa"/>
            <w:vAlign w:val="center"/>
          </w:tcPr>
          <w:p w14:paraId="276DFAD5" w14:textId="77777777" w:rsidR="001D6AC1" w:rsidRDefault="001D6AC1" w:rsidP="00525419">
            <w:pPr>
              <w:pStyle w:val="O-BodyText"/>
              <w:spacing w:after="120"/>
              <w:ind w:right="200"/>
              <w:jc w:val="both"/>
              <w:rPr>
                <w:rFonts w:ascii="Calibri" w:hAnsi="Calibri" w:cs="Calibri"/>
                <w:b/>
                <w:sz w:val="28"/>
                <w:szCs w:val="28"/>
              </w:rPr>
            </w:pPr>
            <w:r w:rsidRPr="001B1E62">
              <w:rPr>
                <w:rFonts w:ascii="Calibri" w:hAnsi="Calibri" w:cs="Calibri"/>
                <w:b/>
                <w:sz w:val="28"/>
                <w:szCs w:val="28"/>
              </w:rPr>
              <w:t xml:space="preserve">Is </w:t>
            </w:r>
            <w:r>
              <w:rPr>
                <w:rFonts w:ascii="Calibri" w:hAnsi="Calibri" w:cs="Calibri"/>
                <w:b/>
                <w:sz w:val="28"/>
                <w:szCs w:val="28"/>
              </w:rPr>
              <w:t>DISH</w:t>
            </w:r>
            <w:r w:rsidRPr="001B1E62">
              <w:rPr>
                <w:rFonts w:ascii="Calibri" w:hAnsi="Calibri" w:cs="Calibri"/>
                <w:b/>
                <w:sz w:val="28"/>
                <w:szCs w:val="28"/>
              </w:rPr>
              <w:t xml:space="preserve"> arguing that only the </w:t>
            </w:r>
            <w:r w:rsidRPr="001B1E62">
              <w:rPr>
                <w:rFonts w:ascii="Calibri" w:hAnsi="Calibri" w:cs="Calibri"/>
                <w:b/>
                <w:i/>
                <w:sz w:val="28"/>
                <w:szCs w:val="28"/>
              </w:rPr>
              <w:t xml:space="preserve">intended </w:t>
            </w:r>
            <w:r w:rsidRPr="001B1E62">
              <w:rPr>
                <w:rFonts w:ascii="Calibri" w:hAnsi="Calibri" w:cs="Calibri"/>
                <w:b/>
                <w:sz w:val="28"/>
                <w:szCs w:val="28"/>
              </w:rPr>
              <w:t>recipient of the call is within the TCPA’s zone of interests, not the actual recipient?</w:t>
            </w:r>
            <w:r>
              <w:rPr>
                <w:rFonts w:ascii="Calibri" w:hAnsi="Calibri" w:cs="Calibri"/>
                <w:b/>
                <w:sz w:val="28"/>
                <w:szCs w:val="28"/>
              </w:rPr>
              <w:t xml:space="preserve">  AB32.</w:t>
            </w:r>
          </w:p>
        </w:tc>
        <w:tc>
          <w:tcPr>
            <w:tcW w:w="5805" w:type="dxa"/>
            <w:vAlign w:val="center"/>
          </w:tcPr>
          <w:p w14:paraId="413C8084" w14:textId="4B3C9B11" w:rsidR="001D6AC1" w:rsidRDefault="001D6AC1" w:rsidP="00525419">
            <w:pPr>
              <w:pStyle w:val="O-BodyText"/>
              <w:spacing w:after="120"/>
              <w:ind w:left="290" w:right="65"/>
              <w:jc w:val="both"/>
              <w:rPr>
                <w:rFonts w:ascii="Calibri" w:hAnsi="Calibri" w:cs="Calibri"/>
                <w:b/>
                <w:sz w:val="22"/>
                <w:szCs w:val="22"/>
              </w:rPr>
            </w:pPr>
            <w:r w:rsidRPr="00750913">
              <w:rPr>
                <w:rFonts w:ascii="Calibri" w:hAnsi="Calibri" w:cs="Calibri"/>
                <w:b/>
                <w:sz w:val="22"/>
                <w:szCs w:val="22"/>
                <w:highlight w:val="yellow"/>
              </w:rPr>
              <w:t xml:space="preserve">No. </w:t>
            </w:r>
            <w:r>
              <w:rPr>
                <w:rFonts w:ascii="Calibri" w:hAnsi="Calibri" w:cs="Calibri"/>
                <w:b/>
                <w:sz w:val="22"/>
                <w:szCs w:val="22"/>
                <w:highlight w:val="yellow"/>
              </w:rPr>
              <w:t xml:space="preserve"> </w:t>
            </w:r>
            <w:r w:rsidRPr="00750913">
              <w:rPr>
                <w:rFonts w:ascii="Calibri" w:hAnsi="Calibri" w:cs="Calibri"/>
                <w:b/>
                <w:sz w:val="22"/>
                <w:szCs w:val="22"/>
                <w:highlight w:val="yellow"/>
              </w:rPr>
              <w:t xml:space="preserve">DISH is arguing that only </w:t>
            </w:r>
            <w:r w:rsidRPr="00750913">
              <w:rPr>
                <w:rFonts w:ascii="Calibri" w:hAnsi="Calibri" w:cs="Calibri"/>
                <w:b/>
                <w:i/>
                <w:sz w:val="22"/>
                <w:szCs w:val="22"/>
                <w:highlight w:val="yellow"/>
              </w:rPr>
              <w:t>subscribers</w:t>
            </w:r>
            <w:r w:rsidRPr="00750913">
              <w:rPr>
                <w:rFonts w:ascii="Calibri" w:hAnsi="Calibri" w:cs="Calibri"/>
                <w:b/>
                <w:sz w:val="22"/>
                <w:szCs w:val="22"/>
                <w:highlight w:val="yellow"/>
              </w:rPr>
              <w:t xml:space="preserve"> are within Section 227(c)’s zone of interests, and only subscribers </w:t>
            </w:r>
            <w:r>
              <w:rPr>
                <w:rFonts w:ascii="Calibri" w:hAnsi="Calibri" w:cs="Calibri"/>
                <w:b/>
                <w:sz w:val="22"/>
                <w:szCs w:val="22"/>
                <w:highlight w:val="yellow"/>
              </w:rPr>
              <w:t xml:space="preserve">with numbers </w:t>
            </w:r>
            <w:r w:rsidRPr="00750913">
              <w:rPr>
                <w:rFonts w:ascii="Calibri" w:hAnsi="Calibri" w:cs="Calibri"/>
                <w:b/>
                <w:sz w:val="22"/>
                <w:szCs w:val="22"/>
                <w:highlight w:val="yellow"/>
              </w:rPr>
              <w:t>on the Do Not Call Registry who actually receive calls can bring suit under Section 227(c)</w:t>
            </w:r>
            <w:r w:rsidR="002944CA">
              <w:rPr>
                <w:rFonts w:ascii="Calibri" w:hAnsi="Calibri" w:cs="Calibri"/>
                <w:b/>
                <w:sz w:val="22"/>
                <w:szCs w:val="22"/>
                <w:highlight w:val="yellow"/>
              </w:rPr>
              <w:t>.  AB32</w:t>
            </w:r>
            <w:r w:rsidRPr="00750913">
              <w:rPr>
                <w:rFonts w:ascii="Calibri" w:hAnsi="Calibri" w:cs="Calibri"/>
                <w:b/>
                <w:sz w:val="22"/>
                <w:szCs w:val="22"/>
                <w:highlight w:val="yellow"/>
              </w:rPr>
              <w:t>.</w:t>
            </w:r>
          </w:p>
        </w:tc>
      </w:tr>
      <w:tr w:rsidR="001D6AC1" w14:paraId="2E44629D" w14:textId="77777777" w:rsidTr="00D712B1">
        <w:trPr>
          <w:trHeight w:val="4795"/>
        </w:trPr>
        <w:tc>
          <w:tcPr>
            <w:tcW w:w="5805" w:type="dxa"/>
            <w:vAlign w:val="center"/>
          </w:tcPr>
          <w:p w14:paraId="2F7C4AF9" w14:textId="77777777" w:rsidR="001D6AC1" w:rsidRPr="001B1E62"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Didn’t the Third Circuit in </w:t>
            </w:r>
            <w:proofErr w:type="spellStart"/>
            <w:r w:rsidRPr="00BF224F">
              <w:rPr>
                <w:rFonts w:ascii="Calibri" w:hAnsi="Calibri" w:cs="Calibri"/>
                <w:b/>
                <w:i/>
                <w:sz w:val="28"/>
                <w:szCs w:val="28"/>
              </w:rPr>
              <w:t>Leyse</w:t>
            </w:r>
            <w:proofErr w:type="spellEnd"/>
            <w:r w:rsidRPr="00BF224F">
              <w:rPr>
                <w:rFonts w:ascii="Calibri" w:hAnsi="Calibri" w:cs="Calibri"/>
                <w:b/>
                <w:i/>
                <w:sz w:val="28"/>
                <w:szCs w:val="28"/>
              </w:rPr>
              <w:t xml:space="preserve"> v. Bank of Am. Nat’l </w:t>
            </w:r>
            <w:proofErr w:type="spellStart"/>
            <w:r w:rsidRPr="00BF224F">
              <w:rPr>
                <w:rFonts w:ascii="Calibri" w:hAnsi="Calibri" w:cs="Calibri"/>
                <w:b/>
                <w:i/>
                <w:sz w:val="28"/>
                <w:szCs w:val="28"/>
              </w:rPr>
              <w:t>Ass’n</w:t>
            </w:r>
            <w:proofErr w:type="spellEnd"/>
            <w:r w:rsidRPr="00BF224F">
              <w:rPr>
                <w:rFonts w:ascii="Calibri" w:hAnsi="Calibri" w:cs="Calibri"/>
                <w:b/>
                <w:sz w:val="28"/>
                <w:szCs w:val="28"/>
              </w:rPr>
              <w:t xml:space="preserve"> (3d Cir. 2015)</w:t>
            </w:r>
            <w:r>
              <w:rPr>
                <w:rFonts w:ascii="Calibri" w:hAnsi="Calibri" w:cs="Calibri"/>
                <w:b/>
                <w:sz w:val="28"/>
                <w:szCs w:val="28"/>
              </w:rPr>
              <w:t xml:space="preserve"> reject the idea that only intended recipients are within the TCPA’s zone of interests?</w:t>
            </w:r>
          </w:p>
        </w:tc>
        <w:tc>
          <w:tcPr>
            <w:tcW w:w="5805" w:type="dxa"/>
            <w:vAlign w:val="center"/>
          </w:tcPr>
          <w:p w14:paraId="4E550241" w14:textId="77777777" w:rsidR="001D6AC1" w:rsidRDefault="001D6AC1" w:rsidP="00525419">
            <w:pPr>
              <w:pStyle w:val="O-BodyText"/>
              <w:spacing w:after="120"/>
              <w:ind w:left="290" w:right="65"/>
              <w:jc w:val="both"/>
              <w:rPr>
                <w:rFonts w:ascii="Calibri" w:hAnsi="Calibri" w:cs="Calibri"/>
                <w:b/>
                <w:sz w:val="22"/>
                <w:szCs w:val="22"/>
              </w:rPr>
            </w:pPr>
            <w:proofErr w:type="spellStart"/>
            <w:r w:rsidRPr="00EB0F50">
              <w:rPr>
                <w:rFonts w:ascii="Calibri" w:hAnsi="Calibri" w:cs="Calibri"/>
                <w:b/>
                <w:i/>
                <w:sz w:val="22"/>
                <w:szCs w:val="22"/>
              </w:rPr>
              <w:t>Leyse</w:t>
            </w:r>
            <w:proofErr w:type="spellEnd"/>
            <w:r>
              <w:rPr>
                <w:rFonts w:ascii="Calibri" w:hAnsi="Calibri" w:cs="Calibri"/>
                <w:b/>
                <w:sz w:val="22"/>
                <w:szCs w:val="22"/>
              </w:rPr>
              <w:t xml:space="preserve"> is distinguishable because it dealt with robocalls.  </w:t>
            </w:r>
            <w:r w:rsidRPr="00533136">
              <w:rPr>
                <w:rFonts w:ascii="Calibri" w:hAnsi="Calibri" w:cs="Calibri"/>
                <w:b/>
                <w:sz w:val="22"/>
                <w:szCs w:val="22"/>
              </w:rPr>
              <w:t xml:space="preserve">Section 227(b) bans </w:t>
            </w:r>
            <w:r w:rsidRPr="00533136">
              <w:rPr>
                <w:rFonts w:ascii="Calibri" w:hAnsi="Calibri" w:cs="Calibri"/>
                <w:b/>
                <w:i/>
                <w:sz w:val="22"/>
                <w:szCs w:val="22"/>
              </w:rPr>
              <w:t xml:space="preserve">all </w:t>
            </w:r>
            <w:r w:rsidRPr="00533136">
              <w:rPr>
                <w:rFonts w:ascii="Calibri" w:hAnsi="Calibri" w:cs="Calibri"/>
                <w:b/>
                <w:sz w:val="22"/>
                <w:szCs w:val="22"/>
              </w:rPr>
              <w:t xml:space="preserve">robocalls to </w:t>
            </w:r>
            <w:r>
              <w:rPr>
                <w:rFonts w:ascii="Calibri" w:hAnsi="Calibri" w:cs="Calibri"/>
                <w:b/>
                <w:sz w:val="22"/>
                <w:szCs w:val="22"/>
              </w:rPr>
              <w:t>residential phone lines, t</w:t>
            </w:r>
            <w:r w:rsidRPr="00533136">
              <w:rPr>
                <w:rFonts w:ascii="Calibri" w:hAnsi="Calibri" w:cs="Calibri"/>
                <w:b/>
                <w:sz w:val="22"/>
                <w:szCs w:val="22"/>
              </w:rPr>
              <w:t xml:space="preserve">hus creating </w:t>
            </w:r>
            <w:r>
              <w:rPr>
                <w:rFonts w:ascii="Calibri" w:hAnsi="Calibri" w:cs="Calibri"/>
                <w:b/>
                <w:sz w:val="22"/>
                <w:szCs w:val="22"/>
              </w:rPr>
              <w:t>a broad l</w:t>
            </w:r>
            <w:r w:rsidRPr="00533136">
              <w:rPr>
                <w:rFonts w:ascii="Calibri" w:hAnsi="Calibri" w:cs="Calibri"/>
                <w:b/>
                <w:sz w:val="22"/>
                <w:szCs w:val="22"/>
              </w:rPr>
              <w:t xml:space="preserve">egally protected interest in avoiding robocalls.  </w:t>
            </w:r>
            <w:r>
              <w:rPr>
                <w:rFonts w:ascii="Calibri" w:hAnsi="Calibri" w:cs="Calibri"/>
                <w:b/>
                <w:sz w:val="22"/>
                <w:szCs w:val="22"/>
              </w:rPr>
              <w:t>Section 227(c), on the other hand, prohibits live telemarketing calls only after a subscriber has placed her number on the Do Not Call Registry.</w:t>
            </w:r>
          </w:p>
        </w:tc>
      </w:tr>
      <w:tr w:rsidR="001D6AC1" w14:paraId="2305314D" w14:textId="77777777" w:rsidTr="00D712B1">
        <w:trPr>
          <w:trHeight w:val="4795"/>
        </w:trPr>
        <w:tc>
          <w:tcPr>
            <w:tcW w:w="5805" w:type="dxa"/>
            <w:vAlign w:val="center"/>
          </w:tcPr>
          <w:p w14:paraId="1087E333"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You point out the differences between the TCPA’s robocalling prohibition in Section 227(b) and the telemarketing prohibition in Section 227(c).  Please explain.</w:t>
            </w:r>
          </w:p>
        </w:tc>
        <w:tc>
          <w:tcPr>
            <w:tcW w:w="5805" w:type="dxa"/>
            <w:vAlign w:val="center"/>
          </w:tcPr>
          <w:p w14:paraId="4823DDEA" w14:textId="77777777" w:rsidR="001D6AC1"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Sections</w:t>
            </w:r>
            <w:r w:rsidRPr="004A3BD5">
              <w:rPr>
                <w:rFonts w:ascii="Calibri" w:hAnsi="Calibri" w:cs="Calibri"/>
                <w:b/>
                <w:sz w:val="22"/>
                <w:szCs w:val="22"/>
              </w:rPr>
              <w:t xml:space="preserve"> 227(b) and 227(c) are fundamentally different, and so are their zones of interests.  Section 227(b) bans </w:t>
            </w:r>
            <w:r w:rsidRPr="004A3BD5">
              <w:rPr>
                <w:rFonts w:ascii="Calibri" w:hAnsi="Calibri" w:cs="Calibri"/>
                <w:b/>
                <w:i/>
                <w:sz w:val="22"/>
                <w:szCs w:val="22"/>
              </w:rPr>
              <w:t>all</w:t>
            </w:r>
            <w:r w:rsidRPr="00C9276A">
              <w:rPr>
                <w:rFonts w:ascii="Calibri" w:hAnsi="Calibri" w:cs="Calibri"/>
                <w:b/>
                <w:i/>
                <w:sz w:val="22"/>
                <w:szCs w:val="22"/>
              </w:rPr>
              <w:t xml:space="preserve"> robocalls</w:t>
            </w:r>
            <w:r w:rsidRPr="004A3BD5">
              <w:rPr>
                <w:rFonts w:ascii="Calibri" w:hAnsi="Calibri" w:cs="Calibri"/>
                <w:b/>
                <w:sz w:val="22"/>
                <w:szCs w:val="22"/>
              </w:rPr>
              <w:t xml:space="preserve"> to residential phone lines</w:t>
            </w:r>
            <w:r>
              <w:rPr>
                <w:rFonts w:ascii="Calibri" w:hAnsi="Calibri" w:cs="Calibri"/>
                <w:b/>
                <w:sz w:val="22"/>
                <w:szCs w:val="22"/>
              </w:rPr>
              <w:t>, which creates a broad</w:t>
            </w:r>
            <w:r w:rsidRPr="004A3BD5">
              <w:rPr>
                <w:rFonts w:ascii="Calibri" w:hAnsi="Calibri" w:cs="Calibri"/>
                <w:b/>
                <w:sz w:val="22"/>
                <w:szCs w:val="22"/>
              </w:rPr>
              <w:t xml:space="preserve"> legally protected interest in avoiding robocalls.  But </w:t>
            </w:r>
            <w:proofErr w:type="spellStart"/>
            <w:r w:rsidRPr="004A3BD5">
              <w:rPr>
                <w:rFonts w:ascii="Calibri" w:hAnsi="Calibri" w:cs="Calibri"/>
                <w:b/>
                <w:sz w:val="22"/>
                <w:szCs w:val="22"/>
              </w:rPr>
              <w:t>the</w:t>
            </w:r>
            <w:proofErr w:type="spellEnd"/>
            <w:r w:rsidRPr="004A3BD5">
              <w:rPr>
                <w:rFonts w:ascii="Calibri" w:hAnsi="Calibri" w:cs="Calibri"/>
                <w:b/>
                <w:sz w:val="22"/>
                <w:szCs w:val="22"/>
              </w:rPr>
              <w:t xml:space="preserve"> Do Not Call provisions </w:t>
            </w:r>
            <w:r>
              <w:rPr>
                <w:rFonts w:ascii="Calibri" w:hAnsi="Calibri" w:cs="Calibri"/>
                <w:b/>
                <w:sz w:val="22"/>
                <w:szCs w:val="22"/>
              </w:rPr>
              <w:t>prohibit</w:t>
            </w:r>
            <w:r w:rsidRPr="004A3BD5">
              <w:rPr>
                <w:rFonts w:ascii="Calibri" w:hAnsi="Calibri" w:cs="Calibri"/>
                <w:b/>
                <w:sz w:val="22"/>
                <w:szCs w:val="22"/>
              </w:rPr>
              <w:t xml:space="preserve"> </w:t>
            </w:r>
            <w:r w:rsidRPr="00C9276A">
              <w:rPr>
                <w:rFonts w:ascii="Calibri" w:hAnsi="Calibri" w:cs="Calibri"/>
                <w:b/>
                <w:i/>
                <w:sz w:val="22"/>
                <w:szCs w:val="22"/>
              </w:rPr>
              <w:t>live</w:t>
            </w:r>
            <w:r w:rsidRPr="004A3BD5">
              <w:rPr>
                <w:rFonts w:ascii="Calibri" w:hAnsi="Calibri" w:cs="Calibri"/>
                <w:b/>
                <w:sz w:val="22"/>
                <w:szCs w:val="22"/>
              </w:rPr>
              <w:t xml:space="preserve"> calls only after</w:t>
            </w:r>
            <w:r>
              <w:rPr>
                <w:rFonts w:ascii="Calibri" w:hAnsi="Calibri" w:cs="Calibri"/>
                <w:b/>
                <w:sz w:val="22"/>
                <w:szCs w:val="22"/>
              </w:rPr>
              <w:t xml:space="preserve"> a </w:t>
            </w:r>
            <w:r w:rsidRPr="00EB0F50">
              <w:rPr>
                <w:rFonts w:ascii="Calibri" w:hAnsi="Calibri" w:cs="Calibri"/>
                <w:b/>
                <w:i/>
                <w:sz w:val="22"/>
                <w:szCs w:val="22"/>
              </w:rPr>
              <w:t>subscriber</w:t>
            </w:r>
            <w:r w:rsidRPr="004A3BD5">
              <w:rPr>
                <w:rFonts w:ascii="Calibri" w:hAnsi="Calibri" w:cs="Calibri"/>
                <w:b/>
                <w:sz w:val="22"/>
                <w:szCs w:val="22"/>
              </w:rPr>
              <w:t xml:space="preserve"> has placed her number on the Registry, thereby creating a legally protected interest only for subscribers who affirmatively object to live telemarketing calls.</w:t>
            </w:r>
          </w:p>
        </w:tc>
      </w:tr>
      <w:tr w:rsidR="001D6AC1" w14:paraId="0D811FF3" w14:textId="77777777" w:rsidTr="00D712B1">
        <w:trPr>
          <w:trHeight w:val="4795"/>
        </w:trPr>
        <w:tc>
          <w:tcPr>
            <w:tcW w:w="5805" w:type="dxa"/>
            <w:vAlign w:val="center"/>
          </w:tcPr>
          <w:p w14:paraId="194121E7"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Didn’t the FCC reject the idea that only intended recipients are within the TCPA’s zone of interests?</w:t>
            </w:r>
          </w:p>
        </w:tc>
        <w:tc>
          <w:tcPr>
            <w:tcW w:w="5805" w:type="dxa"/>
            <w:vAlign w:val="center"/>
          </w:tcPr>
          <w:p w14:paraId="72BE66F8" w14:textId="77777777" w:rsidR="001D6AC1"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FCC decision that Krakauer cites </w:t>
            </w:r>
            <w:r w:rsidRPr="005231CC">
              <w:rPr>
                <w:rFonts w:ascii="Calibri" w:hAnsi="Calibri" w:cs="Calibri"/>
                <w:b/>
                <w:sz w:val="22"/>
                <w:szCs w:val="22"/>
              </w:rPr>
              <w:t xml:space="preserve">concerns consumers’ rights to stop unwanted </w:t>
            </w:r>
            <w:r w:rsidRPr="005231CC">
              <w:rPr>
                <w:rFonts w:ascii="Calibri" w:hAnsi="Calibri" w:cs="Calibri"/>
                <w:b/>
                <w:i/>
                <w:sz w:val="22"/>
                <w:szCs w:val="22"/>
              </w:rPr>
              <w:t>robocalls</w:t>
            </w:r>
            <w:r>
              <w:rPr>
                <w:rFonts w:ascii="Calibri" w:hAnsi="Calibri" w:cs="Calibri"/>
                <w:b/>
                <w:sz w:val="22"/>
                <w:szCs w:val="22"/>
              </w:rPr>
              <w:t xml:space="preserve"> under Section 227(b), not live telemarketing calls under Section 227(c)</w:t>
            </w:r>
            <w:r w:rsidRPr="005231CC">
              <w:rPr>
                <w:rFonts w:ascii="Calibri" w:hAnsi="Calibri" w:cs="Calibri"/>
                <w:b/>
                <w:sz w:val="22"/>
                <w:szCs w:val="22"/>
              </w:rPr>
              <w:t>.</w:t>
            </w:r>
            <w:r>
              <w:rPr>
                <w:rFonts w:ascii="Calibri" w:hAnsi="Calibri" w:cs="Calibri"/>
                <w:b/>
                <w:sz w:val="22"/>
                <w:szCs w:val="22"/>
              </w:rPr>
              <w:t xml:space="preserve">  </w:t>
            </w:r>
            <w:r w:rsidRPr="001B1E62">
              <w:rPr>
                <w:rFonts w:ascii="Calibri" w:hAnsi="Calibri" w:cs="Calibri"/>
                <w:b/>
                <w:i/>
                <w:sz w:val="22"/>
                <w:szCs w:val="22"/>
              </w:rPr>
              <w:t xml:space="preserve">In the Matter of Rules and Regulations Implementing the </w:t>
            </w:r>
            <w:r>
              <w:rPr>
                <w:rFonts w:ascii="Calibri" w:hAnsi="Calibri" w:cs="Calibri"/>
                <w:b/>
                <w:i/>
                <w:sz w:val="22"/>
                <w:szCs w:val="22"/>
              </w:rPr>
              <w:t>TCPA</w:t>
            </w:r>
            <w:r w:rsidRPr="001B1E62">
              <w:rPr>
                <w:rFonts w:ascii="Calibri" w:hAnsi="Calibri" w:cs="Calibri"/>
                <w:b/>
                <w:sz w:val="22"/>
                <w:szCs w:val="22"/>
              </w:rPr>
              <w:t xml:space="preserve">, 30 FCC </w:t>
            </w:r>
            <w:proofErr w:type="spellStart"/>
            <w:r w:rsidRPr="001B1E62">
              <w:rPr>
                <w:rFonts w:ascii="Calibri" w:hAnsi="Calibri" w:cs="Calibri"/>
                <w:b/>
                <w:sz w:val="22"/>
                <w:szCs w:val="22"/>
              </w:rPr>
              <w:t>Rcd</w:t>
            </w:r>
            <w:proofErr w:type="spellEnd"/>
            <w:proofErr w:type="gramStart"/>
            <w:r w:rsidRPr="001B1E62">
              <w:rPr>
                <w:rFonts w:ascii="Calibri" w:hAnsi="Calibri" w:cs="Calibri"/>
                <w:b/>
                <w:sz w:val="22"/>
                <w:szCs w:val="22"/>
              </w:rPr>
              <w:t xml:space="preserve">. </w:t>
            </w:r>
            <w:proofErr w:type="gramEnd"/>
            <w:r w:rsidRPr="001B1E62">
              <w:rPr>
                <w:rFonts w:ascii="Calibri" w:hAnsi="Calibri" w:cs="Calibri"/>
                <w:b/>
                <w:sz w:val="22"/>
                <w:szCs w:val="22"/>
              </w:rPr>
              <w:t>7961</w:t>
            </w:r>
            <w:r>
              <w:rPr>
                <w:rFonts w:ascii="Calibri" w:hAnsi="Calibri" w:cs="Calibri"/>
                <w:b/>
                <w:sz w:val="22"/>
                <w:szCs w:val="22"/>
              </w:rPr>
              <w:t>, 7964 (2015).</w:t>
            </w:r>
          </w:p>
        </w:tc>
      </w:tr>
      <w:tr w:rsidR="001D6AC1" w:rsidRPr="00AC1967" w14:paraId="30FDB6F8" w14:textId="77777777" w:rsidTr="00D712B1">
        <w:trPr>
          <w:trHeight w:val="4795"/>
        </w:trPr>
        <w:tc>
          <w:tcPr>
            <w:tcW w:w="5805" w:type="dxa"/>
            <w:vAlign w:val="center"/>
          </w:tcPr>
          <w:p w14:paraId="2DB35777"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Wasn’t </w:t>
            </w:r>
            <w:r w:rsidRPr="00E3189E">
              <w:rPr>
                <w:rFonts w:ascii="Calibri" w:hAnsi="Calibri" w:cs="Calibri"/>
                <w:b/>
                <w:i/>
                <w:sz w:val="28"/>
                <w:szCs w:val="28"/>
              </w:rPr>
              <w:t xml:space="preserve">Lexmark Int’l </w:t>
            </w:r>
            <w:r w:rsidRPr="00E3189E">
              <w:rPr>
                <w:rFonts w:ascii="Calibri" w:hAnsi="Calibri" w:cs="Calibri"/>
                <w:b/>
                <w:sz w:val="28"/>
                <w:szCs w:val="28"/>
              </w:rPr>
              <w:t xml:space="preserve">(S. Ct. </w:t>
            </w:r>
            <w:r>
              <w:rPr>
                <w:rFonts w:ascii="Calibri" w:hAnsi="Calibri" w:cs="Calibri"/>
                <w:b/>
                <w:sz w:val="28"/>
                <w:szCs w:val="28"/>
              </w:rPr>
              <w:t xml:space="preserve">2014) about </w:t>
            </w:r>
            <w:r w:rsidRPr="001E10B1">
              <w:rPr>
                <w:rFonts w:ascii="Calibri" w:hAnsi="Calibri" w:cs="Calibri"/>
                <w:b/>
                <w:i/>
                <w:sz w:val="28"/>
                <w:szCs w:val="28"/>
              </w:rPr>
              <w:t xml:space="preserve">what kind of injury </w:t>
            </w:r>
            <w:r w:rsidRPr="001E10B1">
              <w:rPr>
                <w:rFonts w:ascii="Calibri" w:hAnsi="Calibri" w:cs="Calibri"/>
                <w:b/>
                <w:sz w:val="28"/>
                <w:szCs w:val="28"/>
              </w:rPr>
              <w:t>can support the suit</w:t>
            </w:r>
            <w:r>
              <w:rPr>
                <w:rFonts w:ascii="Calibri" w:hAnsi="Calibri" w:cs="Calibri"/>
                <w:b/>
                <w:sz w:val="28"/>
                <w:szCs w:val="28"/>
              </w:rPr>
              <w:t>?  AB34.</w:t>
            </w:r>
          </w:p>
        </w:tc>
        <w:tc>
          <w:tcPr>
            <w:tcW w:w="5805" w:type="dxa"/>
            <w:vAlign w:val="center"/>
          </w:tcPr>
          <w:p w14:paraId="542F2DD2" w14:textId="6C135533" w:rsidR="001D6AC1" w:rsidRPr="00AC1967" w:rsidRDefault="001D6AC1" w:rsidP="00525419">
            <w:pPr>
              <w:pStyle w:val="O-BodyText"/>
              <w:spacing w:after="120"/>
              <w:ind w:left="290" w:right="65"/>
              <w:jc w:val="both"/>
              <w:rPr>
                <w:rFonts w:ascii="Calibri" w:hAnsi="Calibri" w:cs="Calibri"/>
                <w:b/>
                <w:sz w:val="22"/>
                <w:szCs w:val="22"/>
              </w:rPr>
            </w:pPr>
            <w:r w:rsidRPr="00E3189E">
              <w:rPr>
                <w:rFonts w:ascii="Calibri" w:hAnsi="Calibri" w:cs="Calibri"/>
                <w:b/>
                <w:i/>
                <w:sz w:val="22"/>
                <w:szCs w:val="22"/>
                <w:highlight w:val="yellow"/>
              </w:rPr>
              <w:t xml:space="preserve">Lexmark Int’l </w:t>
            </w:r>
            <w:r w:rsidRPr="00E3189E">
              <w:rPr>
                <w:rFonts w:ascii="Calibri" w:hAnsi="Calibri" w:cs="Calibri"/>
                <w:b/>
                <w:sz w:val="22"/>
                <w:szCs w:val="22"/>
                <w:highlight w:val="yellow"/>
              </w:rPr>
              <w:t xml:space="preserve">(S. Ct. 2014) concerned a statutory provision in the Lanham Act, which authorizes suit by “any person who believes that he or she is likely to be damaged.” No </w:t>
            </w:r>
            <w:proofErr w:type="gramStart"/>
            <w:r w:rsidRPr="00E3189E">
              <w:rPr>
                <w:rFonts w:ascii="Calibri" w:hAnsi="Calibri" w:cs="Calibri"/>
                <w:b/>
                <w:sz w:val="22"/>
                <w:szCs w:val="22"/>
                <w:highlight w:val="yellow"/>
              </w:rPr>
              <w:t>particular kind</w:t>
            </w:r>
            <w:proofErr w:type="gramEnd"/>
            <w:r w:rsidRPr="00E3189E">
              <w:rPr>
                <w:rFonts w:ascii="Calibri" w:hAnsi="Calibri" w:cs="Calibri"/>
                <w:b/>
                <w:sz w:val="22"/>
                <w:szCs w:val="22"/>
                <w:highlight w:val="yellow"/>
              </w:rPr>
              <w:t xml:space="preserve"> of harm was specified in the text. The Supreme Court held that the statute protects only commercial harm, not all harm imaginable</w:t>
            </w:r>
            <w:r w:rsidR="002944CA">
              <w:rPr>
                <w:rFonts w:ascii="Calibri" w:hAnsi="Calibri" w:cs="Calibri"/>
                <w:b/>
                <w:sz w:val="22"/>
                <w:szCs w:val="22"/>
                <w:highlight w:val="yellow"/>
              </w:rPr>
              <w:t>.  AB34</w:t>
            </w:r>
            <w:r w:rsidRPr="00E3189E">
              <w:rPr>
                <w:rFonts w:ascii="Calibri" w:hAnsi="Calibri" w:cs="Calibri"/>
                <w:b/>
                <w:sz w:val="22"/>
                <w:szCs w:val="22"/>
                <w:highlight w:val="yellow"/>
              </w:rPr>
              <w:t>.</w:t>
            </w:r>
          </w:p>
        </w:tc>
      </w:tr>
      <w:tr w:rsidR="001D6AC1" w:rsidRPr="00AC1967" w14:paraId="1A1FDB49" w14:textId="77777777" w:rsidTr="00D712B1">
        <w:trPr>
          <w:trHeight w:val="4795"/>
        </w:trPr>
        <w:tc>
          <w:tcPr>
            <w:tcW w:w="5805" w:type="dxa"/>
            <w:vAlign w:val="center"/>
          </w:tcPr>
          <w:p w14:paraId="10610E3B"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Isn’t the TCPA much clearer about the kind of harm required (more than one call) than the Lanham Act (which didn’t specify the harm at all)?</w:t>
            </w:r>
          </w:p>
        </w:tc>
        <w:tc>
          <w:tcPr>
            <w:tcW w:w="5805" w:type="dxa"/>
            <w:vAlign w:val="center"/>
          </w:tcPr>
          <w:p w14:paraId="766BA181" w14:textId="2A3B5405" w:rsidR="001D6AC1" w:rsidRPr="00AC1967" w:rsidRDefault="002944CA" w:rsidP="00525419">
            <w:pPr>
              <w:pStyle w:val="O-BodyText"/>
              <w:spacing w:after="120"/>
              <w:ind w:left="290" w:right="65"/>
              <w:jc w:val="both"/>
              <w:rPr>
                <w:rFonts w:ascii="Calibri" w:hAnsi="Calibri" w:cs="Calibri"/>
                <w:b/>
                <w:sz w:val="22"/>
                <w:szCs w:val="22"/>
              </w:rPr>
            </w:pPr>
            <w:r w:rsidRPr="002944CA">
              <w:rPr>
                <w:rFonts w:ascii="Calibri" w:hAnsi="Calibri" w:cs="Calibri"/>
                <w:b/>
                <w:sz w:val="22"/>
                <w:szCs w:val="22"/>
                <w:highlight w:val="yellow"/>
              </w:rPr>
              <w:t>[Explain</w:t>
            </w:r>
            <w:r w:rsidR="0020552B">
              <w:rPr>
                <w:rFonts w:ascii="Calibri" w:hAnsi="Calibri" w:cs="Calibri"/>
                <w:b/>
                <w:sz w:val="22"/>
                <w:szCs w:val="22"/>
                <w:highlight w:val="yellow"/>
              </w:rPr>
              <w:t>.</w:t>
            </w:r>
            <w:r w:rsidRPr="002944CA">
              <w:rPr>
                <w:rFonts w:ascii="Calibri" w:hAnsi="Calibri" w:cs="Calibri"/>
                <w:b/>
                <w:sz w:val="22"/>
                <w:szCs w:val="22"/>
                <w:highlight w:val="yellow"/>
              </w:rPr>
              <w:t>]</w:t>
            </w:r>
          </w:p>
        </w:tc>
      </w:tr>
      <w:tr w:rsidR="001D6AC1" w14:paraId="1723FAA8" w14:textId="77777777" w:rsidTr="00D712B1">
        <w:trPr>
          <w:trHeight w:val="4795"/>
        </w:trPr>
        <w:tc>
          <w:tcPr>
            <w:tcW w:w="5805" w:type="dxa"/>
            <w:vAlign w:val="center"/>
          </w:tcPr>
          <w:p w14:paraId="532C3817"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What was your basis for opposing class certification?</w:t>
            </w:r>
          </w:p>
        </w:tc>
        <w:tc>
          <w:tcPr>
            <w:tcW w:w="5805" w:type="dxa"/>
            <w:vAlign w:val="center"/>
          </w:tcPr>
          <w:p w14:paraId="6270A983" w14:textId="77777777" w:rsidR="001D6AC1" w:rsidRDefault="001D6AC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DISH opposed </w:t>
            </w:r>
            <w:r w:rsidRPr="004D20EF">
              <w:rPr>
                <w:rFonts w:ascii="Calibri" w:hAnsi="Calibri" w:cs="Calibri"/>
                <w:b/>
                <w:sz w:val="22"/>
                <w:szCs w:val="22"/>
              </w:rPr>
              <w:t xml:space="preserve">certification of a class of “people … who received telemarketing calls,” </w:t>
            </w:r>
            <w:r>
              <w:rPr>
                <w:rFonts w:ascii="Calibri" w:hAnsi="Calibri" w:cs="Calibri"/>
                <w:b/>
                <w:sz w:val="22"/>
                <w:szCs w:val="22"/>
              </w:rPr>
              <w:t>because th</w:t>
            </w:r>
            <w:r w:rsidRPr="004D20EF">
              <w:rPr>
                <w:rFonts w:ascii="Calibri" w:hAnsi="Calibri" w:cs="Calibri"/>
                <w:b/>
                <w:sz w:val="22"/>
                <w:szCs w:val="22"/>
              </w:rPr>
              <w:t xml:space="preserve">ere was no way to reliably ascertain which people </w:t>
            </w:r>
            <w:r>
              <w:rPr>
                <w:rFonts w:ascii="Calibri" w:hAnsi="Calibri" w:cs="Calibri"/>
                <w:b/>
                <w:sz w:val="22"/>
                <w:szCs w:val="22"/>
              </w:rPr>
              <w:t>received</w:t>
            </w:r>
            <w:r w:rsidRPr="004D20EF">
              <w:rPr>
                <w:rFonts w:ascii="Calibri" w:hAnsi="Calibri" w:cs="Calibri"/>
                <w:b/>
                <w:sz w:val="22"/>
                <w:szCs w:val="22"/>
              </w:rPr>
              <w:t xml:space="preserve"> </w:t>
            </w:r>
            <w:r>
              <w:rPr>
                <w:rFonts w:ascii="Calibri" w:hAnsi="Calibri" w:cs="Calibri"/>
                <w:b/>
                <w:sz w:val="22"/>
                <w:szCs w:val="22"/>
              </w:rPr>
              <w:t xml:space="preserve">these calls </w:t>
            </w:r>
            <w:r w:rsidRPr="004D20EF">
              <w:rPr>
                <w:rFonts w:ascii="Calibri" w:hAnsi="Calibri" w:cs="Calibri"/>
                <w:b/>
                <w:sz w:val="22"/>
                <w:szCs w:val="22"/>
              </w:rPr>
              <w:t>without individualized fact finding.</w:t>
            </w:r>
          </w:p>
        </w:tc>
      </w:tr>
      <w:tr w:rsidR="001D6AC1" w14:paraId="763634B7" w14:textId="77777777" w:rsidTr="00D712B1">
        <w:trPr>
          <w:trHeight w:val="4795"/>
        </w:trPr>
        <w:tc>
          <w:tcPr>
            <w:tcW w:w="5805" w:type="dxa"/>
            <w:vAlign w:val="center"/>
          </w:tcPr>
          <w:p w14:paraId="5A53C05E" w14:textId="77777777" w:rsidR="001D6AC1"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Are you arguing that the </w:t>
            </w:r>
            <w:r w:rsidRPr="00E2794E">
              <w:rPr>
                <w:rFonts w:ascii="Calibri" w:hAnsi="Calibri" w:cs="Calibri"/>
                <w:b/>
                <w:i/>
                <w:sz w:val="28"/>
                <w:szCs w:val="28"/>
              </w:rPr>
              <w:t>method</w:t>
            </w:r>
            <w:r w:rsidRPr="005A41FF">
              <w:rPr>
                <w:rFonts w:ascii="Calibri" w:hAnsi="Calibri" w:cs="Calibri"/>
                <w:b/>
                <w:sz w:val="28"/>
                <w:szCs w:val="28"/>
              </w:rPr>
              <w:t xml:space="preserve"> of determining who satisfied</w:t>
            </w:r>
            <w:r>
              <w:rPr>
                <w:rFonts w:ascii="Calibri" w:hAnsi="Calibri" w:cs="Calibri"/>
                <w:b/>
                <w:sz w:val="28"/>
                <w:szCs w:val="28"/>
              </w:rPr>
              <w:t xml:space="preserve"> the class definition was wrong?  Or are you arguing that the </w:t>
            </w:r>
            <w:r w:rsidRPr="00E2794E">
              <w:rPr>
                <w:rFonts w:ascii="Calibri" w:hAnsi="Calibri" w:cs="Calibri"/>
                <w:b/>
                <w:i/>
                <w:sz w:val="28"/>
                <w:szCs w:val="28"/>
              </w:rPr>
              <w:t>class definition</w:t>
            </w:r>
            <w:r>
              <w:rPr>
                <w:rFonts w:ascii="Calibri" w:hAnsi="Calibri" w:cs="Calibri"/>
                <w:b/>
                <w:sz w:val="28"/>
                <w:szCs w:val="28"/>
              </w:rPr>
              <w:t xml:space="preserve"> itself was wrong?  AB34.</w:t>
            </w:r>
          </w:p>
        </w:tc>
        <w:tc>
          <w:tcPr>
            <w:tcW w:w="5805" w:type="dxa"/>
            <w:vAlign w:val="center"/>
          </w:tcPr>
          <w:p w14:paraId="5A07BEF9" w14:textId="51E9933B" w:rsidR="001D6AC1" w:rsidRDefault="001D6AC1" w:rsidP="00525419">
            <w:pPr>
              <w:pStyle w:val="O-BodyText"/>
              <w:spacing w:after="120"/>
              <w:ind w:left="290" w:right="65"/>
              <w:jc w:val="both"/>
              <w:rPr>
                <w:rFonts w:ascii="Calibri" w:hAnsi="Calibri" w:cs="Calibri"/>
                <w:b/>
                <w:sz w:val="22"/>
                <w:szCs w:val="22"/>
              </w:rPr>
            </w:pPr>
            <w:r w:rsidRPr="00E21141">
              <w:rPr>
                <w:rFonts w:ascii="Calibri" w:hAnsi="Calibri" w:cs="Calibri"/>
                <w:b/>
                <w:sz w:val="22"/>
                <w:szCs w:val="22"/>
                <w:highlight w:val="yellow"/>
              </w:rPr>
              <w:t xml:space="preserve">Both were wrong.  The class definition was wrong because it was too broad (because it included non-subscribers), and the court then interpreted the definition as including everyone “associated with” a relevant phone number.  And the method was wrong because Krakauer’s plan for ascertaining class membership relied on database entries that did not even show who the subscribers were (let alone who received a call, as the class definition </w:t>
            </w:r>
            <w:r>
              <w:rPr>
                <w:rFonts w:ascii="Calibri" w:hAnsi="Calibri" w:cs="Calibri"/>
                <w:b/>
                <w:sz w:val="22"/>
                <w:szCs w:val="22"/>
                <w:highlight w:val="yellow"/>
              </w:rPr>
              <w:t xml:space="preserve">seemed to </w:t>
            </w:r>
            <w:r w:rsidRPr="00E21141">
              <w:rPr>
                <w:rFonts w:ascii="Calibri" w:hAnsi="Calibri" w:cs="Calibri"/>
                <w:b/>
                <w:sz w:val="22"/>
                <w:szCs w:val="22"/>
                <w:highlight w:val="yellow"/>
              </w:rPr>
              <w:t>require)</w:t>
            </w:r>
            <w:r w:rsidR="002944CA">
              <w:rPr>
                <w:rFonts w:ascii="Calibri" w:hAnsi="Calibri" w:cs="Calibri"/>
                <w:b/>
                <w:sz w:val="22"/>
                <w:szCs w:val="22"/>
                <w:highlight w:val="yellow"/>
              </w:rPr>
              <w:t>.  AB34</w:t>
            </w:r>
            <w:r w:rsidRPr="00E21141">
              <w:rPr>
                <w:rFonts w:ascii="Calibri" w:hAnsi="Calibri" w:cs="Calibri"/>
                <w:b/>
                <w:sz w:val="22"/>
                <w:szCs w:val="22"/>
                <w:highlight w:val="yellow"/>
              </w:rPr>
              <w:t>.</w:t>
            </w:r>
          </w:p>
        </w:tc>
      </w:tr>
      <w:tr w:rsidR="001D6AC1" w14:paraId="1C34E8EC" w14:textId="77777777" w:rsidTr="00D712B1">
        <w:trPr>
          <w:trHeight w:val="4795"/>
        </w:trPr>
        <w:tc>
          <w:tcPr>
            <w:tcW w:w="5805" w:type="dxa"/>
            <w:vAlign w:val="center"/>
          </w:tcPr>
          <w:p w14:paraId="18913DA7" w14:textId="77777777" w:rsidR="001D6AC1" w:rsidRDefault="001D6AC1" w:rsidP="00525419">
            <w:pPr>
              <w:pStyle w:val="O-BodyText"/>
              <w:spacing w:after="120"/>
              <w:ind w:right="200"/>
              <w:jc w:val="both"/>
              <w:rPr>
                <w:rFonts w:ascii="Calibri" w:hAnsi="Calibri" w:cs="Calibri"/>
                <w:b/>
                <w:sz w:val="28"/>
                <w:szCs w:val="28"/>
              </w:rPr>
            </w:pPr>
            <w:r w:rsidRPr="005A41FF">
              <w:rPr>
                <w:rFonts w:ascii="Calibri" w:hAnsi="Calibri" w:cs="Calibri"/>
                <w:b/>
                <w:sz w:val="28"/>
                <w:szCs w:val="28"/>
              </w:rPr>
              <w:lastRenderedPageBreak/>
              <w:t xml:space="preserve">Did you preserve </w:t>
            </w:r>
            <w:r>
              <w:rPr>
                <w:rFonts w:ascii="Calibri" w:hAnsi="Calibri" w:cs="Calibri"/>
                <w:b/>
                <w:sz w:val="28"/>
                <w:szCs w:val="28"/>
              </w:rPr>
              <w:t xml:space="preserve">your class certification </w:t>
            </w:r>
            <w:r w:rsidRPr="005A41FF">
              <w:rPr>
                <w:rFonts w:ascii="Calibri" w:hAnsi="Calibri" w:cs="Calibri"/>
                <w:b/>
                <w:sz w:val="28"/>
                <w:szCs w:val="28"/>
              </w:rPr>
              <w:t>arguments at the class certification stage?</w:t>
            </w:r>
            <w:r>
              <w:rPr>
                <w:rFonts w:ascii="Calibri" w:hAnsi="Calibri" w:cs="Calibri"/>
                <w:b/>
                <w:sz w:val="28"/>
                <w:szCs w:val="28"/>
              </w:rPr>
              <w:t xml:space="preserve">  AB34.</w:t>
            </w:r>
          </w:p>
        </w:tc>
        <w:tc>
          <w:tcPr>
            <w:tcW w:w="5805" w:type="dxa"/>
            <w:vAlign w:val="center"/>
          </w:tcPr>
          <w:p w14:paraId="16F6FC2C" w14:textId="2EDF91D0" w:rsidR="001D6AC1" w:rsidRDefault="001D6AC1" w:rsidP="00525419">
            <w:pPr>
              <w:pStyle w:val="O-BodyText"/>
              <w:spacing w:after="120"/>
              <w:ind w:left="290" w:right="65"/>
              <w:jc w:val="both"/>
              <w:rPr>
                <w:rFonts w:ascii="Calibri" w:hAnsi="Calibri" w:cs="Calibri"/>
                <w:b/>
                <w:sz w:val="22"/>
                <w:szCs w:val="22"/>
              </w:rPr>
            </w:pPr>
            <w:r w:rsidRPr="00E54454">
              <w:rPr>
                <w:rFonts w:ascii="Calibri" w:hAnsi="Calibri" w:cs="Calibri"/>
                <w:b/>
                <w:sz w:val="22"/>
                <w:szCs w:val="22"/>
                <w:highlight w:val="yellow"/>
              </w:rPr>
              <w:t>Krakauer argues that DISH raised the argument after final judgment (OB34-37), not in opposition to class certification or the jury verdict.  AB34.</w:t>
            </w:r>
          </w:p>
        </w:tc>
      </w:tr>
      <w:tr w:rsidR="001D6AC1" w:rsidRPr="005A41FF" w14:paraId="2C4CB516" w14:textId="77777777" w:rsidTr="00D712B1">
        <w:trPr>
          <w:trHeight w:val="4795"/>
        </w:trPr>
        <w:tc>
          <w:tcPr>
            <w:tcW w:w="5805" w:type="dxa"/>
            <w:vAlign w:val="center"/>
          </w:tcPr>
          <w:p w14:paraId="34D85D68" w14:textId="77777777" w:rsidR="001D6AC1" w:rsidRPr="005A41FF" w:rsidRDefault="001D6AC1" w:rsidP="00525419">
            <w:pPr>
              <w:pStyle w:val="O-BodyText"/>
              <w:spacing w:after="120"/>
              <w:ind w:right="200"/>
              <w:jc w:val="both"/>
              <w:rPr>
                <w:rFonts w:ascii="Calibri" w:hAnsi="Calibri" w:cs="Calibri"/>
                <w:b/>
                <w:sz w:val="28"/>
                <w:szCs w:val="28"/>
              </w:rPr>
            </w:pPr>
            <w:r>
              <w:rPr>
                <w:rFonts w:ascii="Calibri" w:hAnsi="Calibri" w:cs="Calibri"/>
                <w:b/>
                <w:sz w:val="28"/>
                <w:szCs w:val="28"/>
              </w:rPr>
              <w:t>If we credit your reading of S</w:t>
            </w:r>
            <w:r w:rsidRPr="009F2D3D">
              <w:rPr>
                <w:rFonts w:ascii="Calibri" w:hAnsi="Calibri" w:cs="Calibri"/>
                <w:b/>
                <w:sz w:val="28"/>
                <w:szCs w:val="28"/>
              </w:rPr>
              <w:t>ection 227(c)(5)</w:t>
            </w:r>
            <w:r>
              <w:rPr>
                <w:rFonts w:ascii="Calibri" w:hAnsi="Calibri" w:cs="Calibri"/>
                <w:b/>
                <w:sz w:val="28"/>
                <w:szCs w:val="28"/>
              </w:rPr>
              <w:t xml:space="preserve"> and decide that only</w:t>
            </w:r>
            <w:bookmarkStart w:id="2" w:name="_GoBack"/>
            <w:bookmarkEnd w:id="2"/>
            <w:r>
              <w:rPr>
                <w:rFonts w:ascii="Calibri" w:hAnsi="Calibri" w:cs="Calibri"/>
                <w:b/>
                <w:sz w:val="28"/>
                <w:szCs w:val="28"/>
              </w:rPr>
              <w:t xml:space="preserve"> subscribers should be included in the class</w:t>
            </w:r>
            <w:r w:rsidRPr="009F2D3D">
              <w:rPr>
                <w:rFonts w:ascii="Calibri" w:hAnsi="Calibri" w:cs="Calibri"/>
                <w:b/>
                <w:sz w:val="28"/>
                <w:szCs w:val="28"/>
              </w:rPr>
              <w:t xml:space="preserve">, </w:t>
            </w:r>
            <w:r>
              <w:rPr>
                <w:rFonts w:ascii="Calibri" w:hAnsi="Calibri" w:cs="Calibri"/>
                <w:b/>
                <w:sz w:val="28"/>
                <w:szCs w:val="28"/>
              </w:rPr>
              <w:t>what is the remedy?</w:t>
            </w:r>
          </w:p>
        </w:tc>
        <w:tc>
          <w:tcPr>
            <w:tcW w:w="5805" w:type="dxa"/>
            <w:vAlign w:val="center"/>
          </w:tcPr>
          <w:p w14:paraId="6B84370B" w14:textId="4112FA24" w:rsidR="001D6AC1" w:rsidRPr="009F2D3D" w:rsidRDefault="00F229D4" w:rsidP="00525419">
            <w:pPr>
              <w:pStyle w:val="O-BodyText"/>
              <w:ind w:left="290" w:right="65"/>
              <w:jc w:val="both"/>
              <w:rPr>
                <w:rFonts w:ascii="Calibri" w:hAnsi="Calibri" w:cs="Calibri"/>
                <w:b/>
                <w:sz w:val="22"/>
                <w:szCs w:val="22"/>
              </w:rPr>
            </w:pPr>
            <w:r w:rsidRPr="00F229D4">
              <w:rPr>
                <w:rFonts w:ascii="Calibri" w:hAnsi="Calibri" w:cs="Calibri"/>
                <w:b/>
                <w:sz w:val="22"/>
                <w:szCs w:val="22"/>
                <w:highlight w:val="yellow"/>
              </w:rPr>
              <w:t>[Explain</w:t>
            </w:r>
            <w:r w:rsidR="0020552B">
              <w:rPr>
                <w:rFonts w:ascii="Calibri" w:hAnsi="Calibri" w:cs="Calibri"/>
                <w:b/>
                <w:sz w:val="22"/>
                <w:szCs w:val="22"/>
                <w:highlight w:val="yellow"/>
              </w:rPr>
              <w:t>.</w:t>
            </w:r>
            <w:r w:rsidRPr="00F229D4">
              <w:rPr>
                <w:rFonts w:ascii="Calibri" w:hAnsi="Calibri" w:cs="Calibri"/>
                <w:b/>
                <w:sz w:val="22"/>
                <w:szCs w:val="22"/>
                <w:highlight w:val="yellow"/>
              </w:rPr>
              <w:t>]</w:t>
            </w:r>
          </w:p>
          <w:p w14:paraId="4A40A026" w14:textId="77777777" w:rsidR="001D6AC1" w:rsidRPr="005A41FF" w:rsidRDefault="001D6AC1" w:rsidP="00525419">
            <w:pPr>
              <w:pStyle w:val="O-BodyText"/>
              <w:spacing w:after="120"/>
              <w:ind w:left="290" w:right="65"/>
              <w:jc w:val="both"/>
              <w:rPr>
                <w:rFonts w:ascii="Calibri" w:hAnsi="Calibri" w:cs="Calibri"/>
                <w:b/>
                <w:sz w:val="22"/>
                <w:szCs w:val="22"/>
              </w:rPr>
            </w:pPr>
          </w:p>
        </w:tc>
      </w:tr>
      <w:tr w:rsidR="006F1DB5" w14:paraId="40318852" w14:textId="77777777" w:rsidTr="00D712B1">
        <w:trPr>
          <w:trHeight w:val="4795"/>
        </w:trPr>
        <w:tc>
          <w:tcPr>
            <w:tcW w:w="5805" w:type="dxa"/>
            <w:vAlign w:val="center"/>
          </w:tcPr>
          <w:p w14:paraId="798B1F86"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Why do you argue that plaintiffs lack Article III standing?</w:t>
            </w:r>
          </w:p>
        </w:tc>
        <w:tc>
          <w:tcPr>
            <w:tcW w:w="5805" w:type="dxa"/>
            <w:vAlign w:val="center"/>
          </w:tcPr>
          <w:p w14:paraId="69456212" w14:textId="77777777" w:rsidR="006F1DB5" w:rsidRPr="0077164B"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The </w:t>
            </w:r>
            <w:r w:rsidRPr="007032E4">
              <w:rPr>
                <w:rFonts w:ascii="Calibri" w:hAnsi="Calibri" w:cs="Calibri"/>
                <w:b/>
                <w:sz w:val="22"/>
                <w:szCs w:val="22"/>
              </w:rPr>
              <w:t xml:space="preserve">class </w:t>
            </w:r>
            <w:r>
              <w:rPr>
                <w:rFonts w:ascii="Calibri" w:hAnsi="Calibri" w:cs="Calibri"/>
                <w:b/>
                <w:sz w:val="22"/>
                <w:szCs w:val="22"/>
              </w:rPr>
              <w:t xml:space="preserve">here </w:t>
            </w:r>
            <w:r w:rsidRPr="007032E4">
              <w:rPr>
                <w:rFonts w:ascii="Calibri" w:hAnsi="Calibri" w:cs="Calibri"/>
                <w:b/>
                <w:sz w:val="22"/>
                <w:szCs w:val="22"/>
              </w:rPr>
              <w:t>runs afoul of Article III because it includes people who suffered</w:t>
            </w:r>
            <w:r>
              <w:rPr>
                <w:rFonts w:ascii="Calibri" w:hAnsi="Calibri" w:cs="Calibri"/>
                <w:b/>
                <w:sz w:val="22"/>
                <w:szCs w:val="22"/>
              </w:rPr>
              <w:t xml:space="preserve"> no concrete injury.  The </w:t>
            </w:r>
            <w:r w:rsidRPr="0077164B">
              <w:rPr>
                <w:rFonts w:ascii="Calibri" w:hAnsi="Calibri" w:cs="Calibri"/>
                <w:b/>
                <w:sz w:val="22"/>
                <w:szCs w:val="22"/>
              </w:rPr>
              <w:t xml:space="preserve">certified class </w:t>
            </w:r>
            <w:r>
              <w:rPr>
                <w:rFonts w:ascii="Calibri" w:hAnsi="Calibri" w:cs="Calibri"/>
                <w:b/>
                <w:sz w:val="22"/>
                <w:szCs w:val="22"/>
              </w:rPr>
              <w:t xml:space="preserve">includes non-subscribers who never received an unsolicited marketing call.  </w:t>
            </w:r>
            <w:r w:rsidRPr="0077164B">
              <w:rPr>
                <w:rFonts w:ascii="Calibri" w:hAnsi="Calibri" w:cs="Calibri"/>
                <w:b/>
                <w:sz w:val="22"/>
                <w:szCs w:val="22"/>
              </w:rPr>
              <w:t>The district court explicitly held that “class members did not necessarily pick up or hear ringing ever</w:t>
            </w:r>
            <w:r>
              <w:rPr>
                <w:rFonts w:ascii="Calibri" w:hAnsi="Calibri" w:cs="Calibri"/>
                <w:b/>
                <w:sz w:val="22"/>
                <w:szCs w:val="22"/>
              </w:rPr>
              <w:t>y call at issue in this case.”</w:t>
            </w:r>
          </w:p>
          <w:p w14:paraId="25D03943" w14:textId="77777777" w:rsidR="006F1DB5" w:rsidRDefault="006F1DB5" w:rsidP="00525419">
            <w:pPr>
              <w:pStyle w:val="O-BodyText"/>
              <w:spacing w:after="120"/>
              <w:ind w:right="65"/>
              <w:jc w:val="both"/>
              <w:rPr>
                <w:rFonts w:ascii="Calibri" w:hAnsi="Calibri" w:cs="Calibri"/>
                <w:b/>
                <w:sz w:val="22"/>
                <w:szCs w:val="22"/>
              </w:rPr>
            </w:pPr>
          </w:p>
        </w:tc>
      </w:tr>
      <w:tr w:rsidR="006F1DB5" w14:paraId="59A8ABE0" w14:textId="77777777" w:rsidTr="00D712B1">
        <w:trPr>
          <w:trHeight w:val="4795"/>
        </w:trPr>
        <w:tc>
          <w:tcPr>
            <w:tcW w:w="5805" w:type="dxa"/>
            <w:vAlign w:val="center"/>
          </w:tcPr>
          <w:p w14:paraId="4747887B"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Is receiving repeated unsolicited telemarketing calls a concrete injury?</w:t>
            </w:r>
          </w:p>
        </w:tc>
        <w:tc>
          <w:tcPr>
            <w:tcW w:w="5805" w:type="dxa"/>
            <w:vAlign w:val="center"/>
          </w:tcPr>
          <w:p w14:paraId="1E4BB698" w14:textId="4169D289" w:rsidR="006F1DB5" w:rsidRDefault="00F229D4" w:rsidP="00525419">
            <w:pPr>
              <w:pStyle w:val="O-BodyText"/>
              <w:spacing w:after="120"/>
              <w:ind w:right="65"/>
              <w:jc w:val="both"/>
              <w:rPr>
                <w:rFonts w:ascii="Calibri" w:hAnsi="Calibri" w:cs="Calibri"/>
                <w:b/>
                <w:sz w:val="22"/>
                <w:szCs w:val="22"/>
              </w:rPr>
            </w:pPr>
            <w:r w:rsidRPr="00F229D4">
              <w:rPr>
                <w:rFonts w:ascii="Calibri" w:hAnsi="Calibri" w:cs="Calibri"/>
                <w:b/>
                <w:sz w:val="22"/>
                <w:szCs w:val="22"/>
                <w:highlight w:val="yellow"/>
              </w:rPr>
              <w:t>[Explain</w:t>
            </w:r>
            <w:r>
              <w:rPr>
                <w:rFonts w:ascii="Calibri" w:hAnsi="Calibri" w:cs="Calibri"/>
                <w:b/>
                <w:sz w:val="22"/>
                <w:szCs w:val="22"/>
                <w:highlight w:val="yellow"/>
              </w:rPr>
              <w:t>.</w:t>
            </w:r>
            <w:r w:rsidRPr="00F229D4">
              <w:rPr>
                <w:rFonts w:ascii="Calibri" w:hAnsi="Calibri" w:cs="Calibri"/>
                <w:b/>
                <w:sz w:val="22"/>
                <w:szCs w:val="22"/>
                <w:highlight w:val="yellow"/>
              </w:rPr>
              <w:t>]</w:t>
            </w:r>
          </w:p>
        </w:tc>
      </w:tr>
      <w:tr w:rsidR="006F1DB5" w14:paraId="4CC97AFC" w14:textId="77777777" w:rsidTr="00D712B1">
        <w:trPr>
          <w:trHeight w:val="4795"/>
        </w:trPr>
        <w:tc>
          <w:tcPr>
            <w:tcW w:w="5805" w:type="dxa"/>
            <w:vAlign w:val="center"/>
          </w:tcPr>
          <w:p w14:paraId="36D6953B"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does </w:t>
            </w:r>
            <w:proofErr w:type="spellStart"/>
            <w:r w:rsidRPr="0060471B">
              <w:rPr>
                <w:rFonts w:ascii="Calibri" w:hAnsi="Calibri" w:cs="Calibri"/>
                <w:b/>
                <w:i/>
                <w:sz w:val="28"/>
                <w:szCs w:val="28"/>
              </w:rPr>
              <w:t>Spokeo</w:t>
            </w:r>
            <w:proofErr w:type="spellEnd"/>
            <w:r w:rsidRPr="0060471B">
              <w:rPr>
                <w:rFonts w:ascii="Calibri" w:hAnsi="Calibri" w:cs="Calibri"/>
                <w:b/>
                <w:i/>
                <w:sz w:val="28"/>
                <w:szCs w:val="28"/>
              </w:rPr>
              <w:t>, Inc. v. Robins</w:t>
            </w:r>
            <w:r>
              <w:rPr>
                <w:rFonts w:ascii="Calibri" w:hAnsi="Calibri" w:cs="Calibri"/>
                <w:b/>
                <w:sz w:val="28"/>
                <w:szCs w:val="28"/>
              </w:rPr>
              <w:t xml:space="preserve"> (S. Ct. 2016) say about standing?</w:t>
            </w:r>
          </w:p>
        </w:tc>
        <w:tc>
          <w:tcPr>
            <w:tcW w:w="5805" w:type="dxa"/>
            <w:vAlign w:val="center"/>
          </w:tcPr>
          <w:p w14:paraId="6127BEA4" w14:textId="77777777" w:rsidR="006F1DB5" w:rsidRDefault="006F1DB5" w:rsidP="00525419">
            <w:pPr>
              <w:pStyle w:val="O-BodyText"/>
              <w:spacing w:after="120"/>
              <w:ind w:right="65"/>
              <w:jc w:val="both"/>
              <w:rPr>
                <w:rFonts w:ascii="Calibri" w:hAnsi="Calibri" w:cs="Calibri"/>
                <w:b/>
                <w:sz w:val="22"/>
                <w:szCs w:val="22"/>
              </w:rPr>
            </w:pPr>
            <w:r w:rsidRPr="00F11028">
              <w:rPr>
                <w:rFonts w:ascii="Calibri" w:hAnsi="Calibri" w:cs="Calibri"/>
                <w:b/>
                <w:sz w:val="22"/>
                <w:szCs w:val="22"/>
                <w:highlight w:val="yellow"/>
              </w:rPr>
              <w:t>[Explain.]</w:t>
            </w:r>
          </w:p>
        </w:tc>
      </w:tr>
      <w:tr w:rsidR="006F1DB5" w14:paraId="2A94B92C" w14:textId="77777777" w:rsidTr="00D712B1">
        <w:trPr>
          <w:trHeight w:val="4795"/>
        </w:trPr>
        <w:tc>
          <w:tcPr>
            <w:tcW w:w="5805" w:type="dxa"/>
            <w:vAlign w:val="center"/>
          </w:tcPr>
          <w:p w14:paraId="687FF47B"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Didn’t plaintiffs suffer the classic intangible injuries of invasion of privacy and nuisance?</w:t>
            </w:r>
          </w:p>
        </w:tc>
        <w:tc>
          <w:tcPr>
            <w:tcW w:w="5805" w:type="dxa"/>
            <w:vAlign w:val="center"/>
          </w:tcPr>
          <w:p w14:paraId="0FD2F1D9" w14:textId="13BEA58B"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We don’t know. </w:t>
            </w:r>
            <w:r w:rsidR="00F229D4">
              <w:rPr>
                <w:rFonts w:ascii="Calibri" w:hAnsi="Calibri" w:cs="Calibri"/>
                <w:b/>
                <w:sz w:val="22"/>
                <w:szCs w:val="22"/>
              </w:rPr>
              <w:t xml:space="preserve"> </w:t>
            </w:r>
            <w:r>
              <w:rPr>
                <w:rFonts w:ascii="Calibri" w:hAnsi="Calibri" w:cs="Calibri"/>
                <w:b/>
                <w:sz w:val="22"/>
                <w:szCs w:val="22"/>
              </w:rPr>
              <w:t>W</w:t>
            </w:r>
            <w:r w:rsidRPr="00B3157B">
              <w:rPr>
                <w:rFonts w:ascii="Calibri" w:hAnsi="Calibri" w:cs="Calibri"/>
                <w:b/>
                <w:sz w:val="22"/>
                <w:szCs w:val="22"/>
              </w:rPr>
              <w:t xml:space="preserve">e agree </w:t>
            </w:r>
            <w:r>
              <w:rPr>
                <w:rFonts w:ascii="Calibri" w:hAnsi="Calibri" w:cs="Calibri"/>
                <w:b/>
                <w:sz w:val="22"/>
                <w:szCs w:val="22"/>
              </w:rPr>
              <w:t xml:space="preserve">with Krakauer </w:t>
            </w:r>
            <w:r w:rsidRPr="00B3157B">
              <w:rPr>
                <w:rFonts w:ascii="Calibri" w:hAnsi="Calibri" w:cs="Calibri"/>
                <w:b/>
                <w:sz w:val="22"/>
                <w:szCs w:val="22"/>
              </w:rPr>
              <w:t xml:space="preserve">that the district court </w:t>
            </w:r>
            <w:r w:rsidRPr="00B3157B">
              <w:rPr>
                <w:rFonts w:ascii="Calibri" w:hAnsi="Calibri" w:cs="Calibri"/>
                <w:b/>
                <w:i/>
                <w:sz w:val="22"/>
                <w:szCs w:val="22"/>
              </w:rPr>
              <w:t>should have</w:t>
            </w:r>
            <w:r w:rsidRPr="00B3157B">
              <w:rPr>
                <w:rFonts w:ascii="Calibri" w:hAnsi="Calibri" w:cs="Calibri"/>
                <w:b/>
                <w:sz w:val="22"/>
                <w:szCs w:val="22"/>
              </w:rPr>
              <w:t xml:space="preserve"> required </w:t>
            </w:r>
            <w:r>
              <w:rPr>
                <w:rFonts w:ascii="Calibri" w:hAnsi="Calibri" w:cs="Calibri"/>
                <w:b/>
                <w:sz w:val="22"/>
                <w:szCs w:val="22"/>
              </w:rPr>
              <w:t>him</w:t>
            </w:r>
            <w:r w:rsidRPr="00B3157B">
              <w:rPr>
                <w:rFonts w:ascii="Calibri" w:hAnsi="Calibri" w:cs="Calibri"/>
                <w:b/>
                <w:sz w:val="22"/>
                <w:szCs w:val="22"/>
              </w:rPr>
              <w:t xml:space="preserve"> to prove that “all class members … received multiple unlawful calls.”  AB35.  </w:t>
            </w:r>
            <w:r>
              <w:rPr>
                <w:rFonts w:ascii="Calibri" w:hAnsi="Calibri" w:cs="Calibri"/>
                <w:b/>
                <w:sz w:val="22"/>
                <w:szCs w:val="22"/>
              </w:rPr>
              <w:t xml:space="preserve">But </w:t>
            </w:r>
            <w:r w:rsidRPr="00B3157B">
              <w:rPr>
                <w:rFonts w:ascii="Calibri" w:hAnsi="Calibri" w:cs="Calibri"/>
                <w:b/>
                <w:sz w:val="22"/>
                <w:szCs w:val="22"/>
              </w:rPr>
              <w:t xml:space="preserve">the class definition </w:t>
            </w:r>
            <w:r>
              <w:rPr>
                <w:rFonts w:ascii="Calibri" w:hAnsi="Calibri" w:cs="Calibri"/>
                <w:b/>
                <w:sz w:val="22"/>
                <w:szCs w:val="22"/>
              </w:rPr>
              <w:t xml:space="preserve">didn’t </w:t>
            </w:r>
            <w:proofErr w:type="gramStart"/>
            <w:r w:rsidRPr="00B3157B">
              <w:rPr>
                <w:rFonts w:ascii="Calibri" w:hAnsi="Calibri" w:cs="Calibri"/>
                <w:b/>
                <w:sz w:val="22"/>
                <w:szCs w:val="22"/>
              </w:rPr>
              <w:t>actually require</w:t>
            </w:r>
            <w:proofErr w:type="gramEnd"/>
            <w:r>
              <w:rPr>
                <w:rFonts w:ascii="Calibri" w:hAnsi="Calibri" w:cs="Calibri"/>
                <w:b/>
                <w:sz w:val="22"/>
                <w:szCs w:val="22"/>
              </w:rPr>
              <w:t xml:space="preserve"> this. </w:t>
            </w:r>
            <w:r w:rsidRPr="00B3157B">
              <w:rPr>
                <w:rFonts w:ascii="Calibri" w:hAnsi="Calibri" w:cs="Calibri"/>
                <w:b/>
                <w:sz w:val="22"/>
                <w:szCs w:val="22"/>
              </w:rPr>
              <w:t xml:space="preserve">Krakauer </w:t>
            </w:r>
            <w:r>
              <w:rPr>
                <w:rFonts w:ascii="Calibri" w:hAnsi="Calibri" w:cs="Calibri"/>
                <w:b/>
                <w:sz w:val="22"/>
                <w:szCs w:val="22"/>
              </w:rPr>
              <w:t>has</w:t>
            </w:r>
            <w:r w:rsidRPr="00B3157B">
              <w:rPr>
                <w:rFonts w:ascii="Calibri" w:hAnsi="Calibri" w:cs="Calibri"/>
                <w:b/>
                <w:sz w:val="22"/>
                <w:szCs w:val="22"/>
              </w:rPr>
              <w:t xml:space="preserve"> presented no way to identify those people, and he points to no proof that any class member besides him (much less all of them) </w:t>
            </w:r>
            <w:r>
              <w:rPr>
                <w:rFonts w:ascii="Calibri" w:hAnsi="Calibri" w:cs="Calibri"/>
                <w:b/>
                <w:sz w:val="22"/>
                <w:szCs w:val="22"/>
              </w:rPr>
              <w:t>received any call.</w:t>
            </w:r>
          </w:p>
        </w:tc>
      </w:tr>
      <w:tr w:rsidR="006F1DB5" w14:paraId="230D0D4C" w14:textId="77777777" w:rsidTr="00D712B1">
        <w:trPr>
          <w:trHeight w:val="4795"/>
        </w:trPr>
        <w:tc>
          <w:tcPr>
            <w:tcW w:w="5805" w:type="dxa"/>
            <w:vAlign w:val="center"/>
          </w:tcPr>
          <w:p w14:paraId="26908E53"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Are the </w:t>
            </w:r>
            <w:r w:rsidRPr="00E64C4B">
              <w:rPr>
                <w:rFonts w:ascii="Calibri" w:hAnsi="Calibri" w:cs="Calibri"/>
                <w:b/>
                <w:sz w:val="28"/>
                <w:szCs w:val="28"/>
              </w:rPr>
              <w:t>injuries of invasion of privacy and nuisance</w:t>
            </w:r>
            <w:r>
              <w:rPr>
                <w:rFonts w:ascii="Calibri" w:hAnsi="Calibri" w:cs="Calibri"/>
                <w:b/>
                <w:sz w:val="28"/>
                <w:szCs w:val="28"/>
              </w:rPr>
              <w:t xml:space="preserve"> sufficiently concrete for Article III standing?</w:t>
            </w:r>
          </w:p>
        </w:tc>
        <w:tc>
          <w:tcPr>
            <w:tcW w:w="5805" w:type="dxa"/>
            <w:vAlign w:val="center"/>
          </w:tcPr>
          <w:p w14:paraId="12B0C89E" w14:textId="77777777" w:rsidR="006F1DB5" w:rsidRDefault="006F1DB5" w:rsidP="00525419">
            <w:pPr>
              <w:pStyle w:val="O-BodyText"/>
              <w:spacing w:after="120"/>
              <w:ind w:right="65"/>
              <w:jc w:val="both"/>
              <w:rPr>
                <w:rFonts w:ascii="Calibri" w:hAnsi="Calibri" w:cs="Calibri"/>
                <w:b/>
                <w:sz w:val="22"/>
                <w:szCs w:val="22"/>
              </w:rPr>
            </w:pPr>
            <w:r w:rsidRPr="00F11028">
              <w:rPr>
                <w:rFonts w:ascii="Calibri" w:hAnsi="Calibri" w:cs="Calibri"/>
                <w:b/>
                <w:sz w:val="22"/>
                <w:szCs w:val="22"/>
                <w:highlight w:val="yellow"/>
              </w:rPr>
              <w:t>[Explain.]</w:t>
            </w:r>
          </w:p>
        </w:tc>
      </w:tr>
      <w:tr w:rsidR="006F1DB5" w14:paraId="4793E3F0" w14:textId="77777777" w:rsidTr="00D712B1">
        <w:trPr>
          <w:trHeight w:val="4795"/>
        </w:trPr>
        <w:tc>
          <w:tcPr>
            <w:tcW w:w="5805" w:type="dxa"/>
            <w:vAlign w:val="center"/>
          </w:tcPr>
          <w:p w14:paraId="46C3E36B"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cite </w:t>
            </w:r>
            <w:proofErr w:type="gramStart"/>
            <w:r w:rsidRPr="003505B1">
              <w:rPr>
                <w:rFonts w:ascii="Calibri" w:hAnsi="Calibri" w:cs="Calibri"/>
                <w:b/>
                <w:i/>
                <w:sz w:val="28"/>
                <w:szCs w:val="28"/>
              </w:rPr>
              <w:t>In</w:t>
            </w:r>
            <w:proofErr w:type="gramEnd"/>
            <w:r w:rsidRPr="003505B1">
              <w:rPr>
                <w:rFonts w:ascii="Calibri" w:hAnsi="Calibri" w:cs="Calibri"/>
                <w:b/>
                <w:i/>
                <w:sz w:val="28"/>
                <w:szCs w:val="28"/>
              </w:rPr>
              <w:t xml:space="preserve"> re </w:t>
            </w:r>
            <w:proofErr w:type="spellStart"/>
            <w:r w:rsidRPr="003505B1">
              <w:rPr>
                <w:rFonts w:ascii="Calibri" w:hAnsi="Calibri" w:cs="Calibri"/>
                <w:b/>
                <w:i/>
                <w:sz w:val="28"/>
                <w:szCs w:val="28"/>
              </w:rPr>
              <w:t>Asacol</w:t>
            </w:r>
            <w:proofErr w:type="spellEnd"/>
            <w:r w:rsidRPr="003505B1">
              <w:rPr>
                <w:rFonts w:ascii="Calibri" w:hAnsi="Calibri" w:cs="Calibri"/>
                <w:b/>
                <w:i/>
                <w:sz w:val="28"/>
                <w:szCs w:val="28"/>
              </w:rPr>
              <w:t xml:space="preserve"> Antitrust Litig.</w:t>
            </w:r>
            <w:r>
              <w:rPr>
                <w:rFonts w:ascii="Calibri" w:hAnsi="Calibri" w:cs="Calibri"/>
                <w:b/>
                <w:sz w:val="28"/>
                <w:szCs w:val="28"/>
              </w:rPr>
              <w:t xml:space="preserve"> (1st Cir. 2018) in your reply brief.  What is that case about?</w:t>
            </w:r>
          </w:p>
        </w:tc>
        <w:tc>
          <w:tcPr>
            <w:tcW w:w="5805" w:type="dxa"/>
            <w:vAlign w:val="center"/>
          </w:tcPr>
          <w:p w14:paraId="63F84C4C" w14:textId="77777777" w:rsidR="006F1DB5" w:rsidRDefault="006F1DB5" w:rsidP="00525419">
            <w:pPr>
              <w:pStyle w:val="O-BodyText"/>
              <w:spacing w:after="120"/>
              <w:ind w:right="65"/>
              <w:jc w:val="both"/>
              <w:rPr>
                <w:rFonts w:ascii="Calibri" w:hAnsi="Calibri" w:cs="Calibri"/>
                <w:b/>
                <w:sz w:val="22"/>
                <w:szCs w:val="22"/>
              </w:rPr>
            </w:pPr>
            <w:r w:rsidRPr="003505B1">
              <w:rPr>
                <w:rFonts w:ascii="Calibri" w:hAnsi="Calibri" w:cs="Calibri"/>
                <w:b/>
                <w:i/>
                <w:sz w:val="22"/>
                <w:szCs w:val="22"/>
              </w:rPr>
              <w:t xml:space="preserve">In re </w:t>
            </w:r>
            <w:proofErr w:type="spellStart"/>
            <w:r w:rsidRPr="003505B1">
              <w:rPr>
                <w:rFonts w:ascii="Calibri" w:hAnsi="Calibri" w:cs="Calibri"/>
                <w:b/>
                <w:i/>
                <w:sz w:val="22"/>
                <w:szCs w:val="22"/>
              </w:rPr>
              <w:t>Asacol</w:t>
            </w:r>
            <w:proofErr w:type="spellEnd"/>
            <w:r w:rsidRPr="003505B1">
              <w:rPr>
                <w:rFonts w:ascii="Calibri" w:hAnsi="Calibri" w:cs="Calibri"/>
                <w:b/>
                <w:i/>
                <w:sz w:val="22"/>
                <w:szCs w:val="22"/>
              </w:rPr>
              <w:t xml:space="preserve"> </w:t>
            </w:r>
            <w:r w:rsidRPr="003505B1">
              <w:rPr>
                <w:rFonts w:ascii="Calibri" w:hAnsi="Calibri" w:cs="Calibri"/>
                <w:b/>
                <w:sz w:val="22"/>
                <w:szCs w:val="22"/>
              </w:rPr>
              <w:t xml:space="preserve">was a putative class action alleging that a company wrongfully blocked a generic drug from the market.  </w:t>
            </w:r>
            <w:r>
              <w:rPr>
                <w:rFonts w:ascii="Calibri" w:hAnsi="Calibri" w:cs="Calibri"/>
                <w:b/>
                <w:sz w:val="22"/>
                <w:szCs w:val="22"/>
              </w:rPr>
              <w:t>Even though t</w:t>
            </w:r>
            <w:r w:rsidRPr="003505B1">
              <w:rPr>
                <w:rFonts w:ascii="Calibri" w:hAnsi="Calibri" w:cs="Calibri"/>
                <w:b/>
                <w:sz w:val="22"/>
                <w:szCs w:val="22"/>
              </w:rPr>
              <w:t>he district court found that 10% of the class was uninjured because they never would have switched to the generic</w:t>
            </w:r>
            <w:r>
              <w:rPr>
                <w:rFonts w:ascii="Calibri" w:hAnsi="Calibri" w:cs="Calibri"/>
                <w:b/>
                <w:sz w:val="22"/>
                <w:szCs w:val="22"/>
              </w:rPr>
              <w:t xml:space="preserve">, it still </w:t>
            </w:r>
            <w:r w:rsidRPr="003505B1">
              <w:rPr>
                <w:rFonts w:ascii="Calibri" w:hAnsi="Calibri" w:cs="Calibri"/>
                <w:b/>
                <w:sz w:val="22"/>
                <w:szCs w:val="22"/>
              </w:rPr>
              <w:t xml:space="preserve">certified the class, finding the number of uninjured class members “de minimis,” and reasoning that </w:t>
            </w:r>
            <w:r>
              <w:rPr>
                <w:rFonts w:ascii="Calibri" w:hAnsi="Calibri" w:cs="Calibri"/>
                <w:b/>
                <w:sz w:val="22"/>
                <w:szCs w:val="22"/>
              </w:rPr>
              <w:t xml:space="preserve">plaintiffs </w:t>
            </w:r>
            <w:r w:rsidRPr="003505B1">
              <w:rPr>
                <w:rFonts w:ascii="Calibri" w:hAnsi="Calibri" w:cs="Calibri"/>
                <w:b/>
                <w:sz w:val="22"/>
                <w:szCs w:val="22"/>
              </w:rPr>
              <w:t>could remove u</w:t>
            </w:r>
            <w:r>
              <w:rPr>
                <w:rFonts w:ascii="Calibri" w:hAnsi="Calibri" w:cs="Calibri"/>
                <w:b/>
                <w:sz w:val="22"/>
                <w:szCs w:val="22"/>
              </w:rPr>
              <w:t>ninjured persons from the class</w:t>
            </w:r>
            <w:r w:rsidRPr="003505B1">
              <w:rPr>
                <w:rFonts w:ascii="Calibri" w:hAnsi="Calibri" w:cs="Calibri"/>
                <w:b/>
                <w:sz w:val="22"/>
                <w:szCs w:val="22"/>
              </w:rPr>
              <w:t xml:space="preserve"> during </w:t>
            </w:r>
            <w:r>
              <w:rPr>
                <w:rFonts w:ascii="Calibri" w:hAnsi="Calibri" w:cs="Calibri"/>
                <w:b/>
                <w:sz w:val="22"/>
                <w:szCs w:val="22"/>
              </w:rPr>
              <w:t xml:space="preserve">claims administration.  </w:t>
            </w:r>
            <w:r w:rsidRPr="003505B1">
              <w:rPr>
                <w:rFonts w:ascii="Calibri" w:hAnsi="Calibri" w:cs="Calibri"/>
                <w:b/>
                <w:sz w:val="22"/>
                <w:szCs w:val="22"/>
              </w:rPr>
              <w:t>The First Circuit reversed</w:t>
            </w:r>
            <w:r>
              <w:rPr>
                <w:rFonts w:ascii="Calibri" w:hAnsi="Calibri" w:cs="Calibri"/>
                <w:b/>
                <w:sz w:val="22"/>
                <w:szCs w:val="22"/>
              </w:rPr>
              <w:t xml:space="preserve"> because n</w:t>
            </w:r>
            <w:r w:rsidRPr="003505B1">
              <w:rPr>
                <w:rFonts w:ascii="Calibri" w:hAnsi="Calibri" w:cs="Calibri"/>
                <w:b/>
                <w:sz w:val="22"/>
                <w:szCs w:val="22"/>
              </w:rPr>
              <w:t>umerous potential class members suffered no injury</w:t>
            </w:r>
            <w:r>
              <w:rPr>
                <w:rFonts w:ascii="Calibri" w:hAnsi="Calibri" w:cs="Calibri"/>
                <w:b/>
                <w:sz w:val="22"/>
                <w:szCs w:val="22"/>
              </w:rPr>
              <w:t>,</w:t>
            </w:r>
            <w:r w:rsidRPr="003505B1">
              <w:rPr>
                <w:rFonts w:ascii="Calibri" w:hAnsi="Calibri" w:cs="Calibri"/>
                <w:b/>
                <w:sz w:val="22"/>
                <w:szCs w:val="22"/>
              </w:rPr>
              <w:t xml:space="preserve"> and plaintiffs identified no way to exclude them that was </w:t>
            </w:r>
            <w:r>
              <w:rPr>
                <w:rFonts w:ascii="Calibri" w:hAnsi="Calibri" w:cs="Calibri"/>
                <w:b/>
                <w:sz w:val="22"/>
                <w:szCs w:val="22"/>
              </w:rPr>
              <w:t xml:space="preserve">both </w:t>
            </w:r>
            <w:r w:rsidRPr="003505B1">
              <w:rPr>
                <w:rFonts w:ascii="Calibri" w:hAnsi="Calibri" w:cs="Calibri"/>
                <w:b/>
                <w:sz w:val="22"/>
                <w:szCs w:val="22"/>
              </w:rPr>
              <w:t xml:space="preserve">administratively feasible and </w:t>
            </w:r>
            <w:r>
              <w:rPr>
                <w:rFonts w:ascii="Calibri" w:hAnsi="Calibri" w:cs="Calibri"/>
                <w:b/>
                <w:sz w:val="22"/>
                <w:szCs w:val="22"/>
              </w:rPr>
              <w:t xml:space="preserve">protected </w:t>
            </w:r>
            <w:r w:rsidRPr="003505B1">
              <w:rPr>
                <w:rFonts w:ascii="Calibri" w:hAnsi="Calibri" w:cs="Calibri"/>
                <w:b/>
                <w:sz w:val="22"/>
                <w:szCs w:val="22"/>
              </w:rPr>
              <w:t>defendants’ Seventh Amen</w:t>
            </w:r>
            <w:r>
              <w:rPr>
                <w:rFonts w:ascii="Calibri" w:hAnsi="Calibri" w:cs="Calibri"/>
                <w:b/>
                <w:sz w:val="22"/>
                <w:szCs w:val="22"/>
              </w:rPr>
              <w:t>dment and due process rights.</w:t>
            </w:r>
          </w:p>
        </w:tc>
      </w:tr>
      <w:tr w:rsidR="006F1DB5" w:rsidRPr="00865759" w14:paraId="5C5BE23E" w14:textId="77777777" w:rsidTr="00D712B1">
        <w:trPr>
          <w:trHeight w:val="4795"/>
        </w:trPr>
        <w:tc>
          <w:tcPr>
            <w:tcW w:w="5805" w:type="dxa"/>
            <w:vAlign w:val="center"/>
          </w:tcPr>
          <w:p w14:paraId="0F9C5059"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Didn’t Krakauer’s expert ensure that all class members were at least regular users of a phone number?  AB34n.1.</w:t>
            </w:r>
          </w:p>
        </w:tc>
        <w:tc>
          <w:tcPr>
            <w:tcW w:w="5805" w:type="dxa"/>
            <w:vAlign w:val="center"/>
          </w:tcPr>
          <w:p w14:paraId="7AC317DB" w14:textId="77777777" w:rsidR="006F1DB5" w:rsidRPr="00865759" w:rsidRDefault="006F1DB5" w:rsidP="00525419">
            <w:pPr>
              <w:pStyle w:val="O-BodyText"/>
              <w:spacing w:after="120"/>
              <w:ind w:right="65"/>
              <w:jc w:val="both"/>
              <w:rPr>
                <w:rFonts w:ascii="Calibri" w:hAnsi="Calibri" w:cs="Calibri"/>
                <w:b/>
                <w:sz w:val="22"/>
                <w:szCs w:val="22"/>
              </w:rPr>
            </w:pPr>
            <w:r w:rsidRPr="00865759">
              <w:rPr>
                <w:rFonts w:ascii="Calibri" w:hAnsi="Calibri" w:cs="Calibri"/>
                <w:b/>
                <w:sz w:val="22"/>
                <w:szCs w:val="22"/>
              </w:rPr>
              <w:t>No, which is why Krakauer offers no record cite</w:t>
            </w:r>
            <w:r>
              <w:rPr>
                <w:rFonts w:ascii="Calibri" w:hAnsi="Calibri" w:cs="Calibri"/>
                <w:b/>
                <w:sz w:val="22"/>
                <w:szCs w:val="22"/>
              </w:rPr>
              <w:t xml:space="preserve"> for this assertion</w:t>
            </w:r>
            <w:r w:rsidRPr="00865759">
              <w:rPr>
                <w:rFonts w:ascii="Calibri" w:hAnsi="Calibri" w:cs="Calibri"/>
                <w:b/>
                <w:sz w:val="22"/>
                <w:szCs w:val="22"/>
              </w:rPr>
              <w:t>.  Krakauer’s expert never claimed to do this, nor could she have based on records that she conceded</w:t>
            </w:r>
            <w:r>
              <w:rPr>
                <w:rFonts w:ascii="Calibri" w:hAnsi="Calibri" w:cs="Calibri"/>
                <w:b/>
                <w:sz w:val="22"/>
                <w:szCs w:val="22"/>
              </w:rPr>
              <w:t xml:space="preserve"> </w:t>
            </w:r>
            <w:r w:rsidRPr="00865759">
              <w:rPr>
                <w:rFonts w:ascii="Calibri" w:hAnsi="Calibri" w:cs="Calibri"/>
                <w:b/>
                <w:sz w:val="22"/>
                <w:szCs w:val="22"/>
              </w:rPr>
              <w:t xml:space="preserve">show </w:t>
            </w:r>
            <w:r>
              <w:rPr>
                <w:rFonts w:ascii="Calibri" w:hAnsi="Calibri" w:cs="Calibri"/>
                <w:b/>
                <w:sz w:val="22"/>
                <w:szCs w:val="22"/>
              </w:rPr>
              <w:t>only who wa</w:t>
            </w:r>
            <w:r w:rsidRPr="00865759">
              <w:rPr>
                <w:rFonts w:ascii="Calibri" w:hAnsi="Calibri" w:cs="Calibri"/>
                <w:b/>
                <w:sz w:val="22"/>
                <w:szCs w:val="22"/>
              </w:rPr>
              <w:t>s “associated with” a number.  JA_</w:t>
            </w:r>
            <w:proofErr w:type="gramStart"/>
            <w:r w:rsidRPr="00865759">
              <w:rPr>
                <w:rFonts w:ascii="Calibri" w:hAnsi="Calibri" w:cs="Calibri"/>
                <w:b/>
                <w:sz w:val="22"/>
                <w:szCs w:val="22"/>
              </w:rPr>
              <w:t>_[</w:t>
            </w:r>
            <w:proofErr w:type="gramEnd"/>
            <w:r w:rsidRPr="00865759">
              <w:rPr>
                <w:rFonts w:ascii="Calibri" w:hAnsi="Calibri" w:cs="Calibri"/>
                <w:b/>
                <w:sz w:val="22"/>
                <w:szCs w:val="22"/>
              </w:rPr>
              <w:t>Doc48-2at12; Doc103at130]</w:t>
            </w:r>
            <w:r>
              <w:rPr>
                <w:rFonts w:ascii="Calibri" w:hAnsi="Calibri" w:cs="Calibri"/>
                <w:b/>
                <w:sz w:val="22"/>
                <w:szCs w:val="22"/>
              </w:rPr>
              <w:t>.</w:t>
            </w:r>
          </w:p>
          <w:p w14:paraId="29772F3C" w14:textId="77777777" w:rsidR="006F1DB5" w:rsidRPr="00865759" w:rsidRDefault="006F1DB5" w:rsidP="00525419">
            <w:pPr>
              <w:pStyle w:val="O-BodyText"/>
              <w:spacing w:after="120"/>
              <w:ind w:right="65"/>
              <w:jc w:val="both"/>
              <w:rPr>
                <w:rFonts w:ascii="Calibri" w:hAnsi="Calibri" w:cs="Calibri"/>
                <w:b/>
                <w:sz w:val="22"/>
                <w:szCs w:val="22"/>
              </w:rPr>
            </w:pPr>
          </w:p>
        </w:tc>
      </w:tr>
      <w:tr w:rsidR="006F1DB5" w:rsidRPr="00066A8D" w14:paraId="0A3E1214" w14:textId="77777777" w:rsidTr="00D712B1">
        <w:trPr>
          <w:trHeight w:val="4795"/>
        </w:trPr>
        <w:tc>
          <w:tcPr>
            <w:tcW w:w="5805" w:type="dxa"/>
            <w:vAlign w:val="center"/>
          </w:tcPr>
          <w:p w14:paraId="4C034F5F"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Didn’t the district court require claims forms for thousands of people?</w:t>
            </w:r>
          </w:p>
        </w:tc>
        <w:tc>
          <w:tcPr>
            <w:tcW w:w="5805" w:type="dxa"/>
            <w:vAlign w:val="center"/>
          </w:tcPr>
          <w:p w14:paraId="3608CA1A" w14:textId="77777777" w:rsidR="006F1DB5" w:rsidRPr="00066A8D" w:rsidRDefault="006F1DB5" w:rsidP="00525419">
            <w:pPr>
              <w:pStyle w:val="O-BodyText"/>
              <w:spacing w:after="120"/>
              <w:ind w:right="65"/>
              <w:jc w:val="both"/>
              <w:rPr>
                <w:rFonts w:ascii="Calibri" w:hAnsi="Calibri" w:cs="Calibri"/>
                <w:b/>
                <w:sz w:val="22"/>
                <w:szCs w:val="22"/>
              </w:rPr>
            </w:pPr>
            <w:r w:rsidRPr="00066A8D">
              <w:rPr>
                <w:rFonts w:ascii="Calibri" w:hAnsi="Calibri" w:cs="Calibri"/>
                <w:b/>
                <w:sz w:val="22"/>
                <w:szCs w:val="22"/>
              </w:rPr>
              <w:t xml:space="preserve">The district court did require claims forms for 7,000 of 18,000 people.  The other 11,000 were admitted to the class based on Krakauer’s “associated with” standard.  </w:t>
            </w:r>
            <w:r>
              <w:rPr>
                <w:rFonts w:ascii="Calibri" w:hAnsi="Calibri" w:cs="Calibri"/>
                <w:b/>
                <w:sz w:val="22"/>
                <w:szCs w:val="22"/>
              </w:rPr>
              <w:t>But</w:t>
            </w:r>
            <w:r w:rsidRPr="00066A8D">
              <w:rPr>
                <w:rFonts w:ascii="Calibri" w:hAnsi="Calibri" w:cs="Calibri"/>
                <w:b/>
                <w:sz w:val="22"/>
                <w:szCs w:val="22"/>
              </w:rPr>
              <w:t xml:space="preserve"> the claim</w:t>
            </w:r>
            <w:r>
              <w:rPr>
                <w:rFonts w:ascii="Calibri" w:hAnsi="Calibri" w:cs="Calibri"/>
                <w:b/>
                <w:sz w:val="22"/>
                <w:szCs w:val="22"/>
              </w:rPr>
              <w:t>s</w:t>
            </w:r>
            <w:r w:rsidRPr="00066A8D">
              <w:rPr>
                <w:rFonts w:ascii="Calibri" w:hAnsi="Calibri" w:cs="Calibri"/>
                <w:b/>
                <w:sz w:val="22"/>
                <w:szCs w:val="22"/>
              </w:rPr>
              <w:t xml:space="preserve"> form</w:t>
            </w:r>
            <w:r>
              <w:rPr>
                <w:rFonts w:ascii="Calibri" w:hAnsi="Calibri" w:cs="Calibri"/>
                <w:b/>
                <w:sz w:val="22"/>
                <w:szCs w:val="22"/>
              </w:rPr>
              <w:t>s</w:t>
            </w:r>
            <w:r w:rsidRPr="00066A8D">
              <w:rPr>
                <w:rFonts w:ascii="Calibri" w:hAnsi="Calibri" w:cs="Calibri"/>
                <w:b/>
                <w:sz w:val="22"/>
                <w:szCs w:val="22"/>
              </w:rPr>
              <w:t xml:space="preserve"> </w:t>
            </w:r>
            <w:r>
              <w:rPr>
                <w:rFonts w:ascii="Calibri" w:hAnsi="Calibri" w:cs="Calibri"/>
                <w:b/>
                <w:sz w:val="22"/>
                <w:szCs w:val="22"/>
              </w:rPr>
              <w:t xml:space="preserve">didn’t </w:t>
            </w:r>
            <w:r w:rsidRPr="00066A8D">
              <w:rPr>
                <w:rFonts w:ascii="Calibri" w:hAnsi="Calibri" w:cs="Calibri"/>
                <w:b/>
                <w:sz w:val="22"/>
                <w:szCs w:val="22"/>
              </w:rPr>
              <w:t xml:space="preserve">ask </w:t>
            </w:r>
            <w:r>
              <w:rPr>
                <w:rFonts w:ascii="Calibri" w:hAnsi="Calibri" w:cs="Calibri"/>
                <w:b/>
                <w:sz w:val="22"/>
                <w:szCs w:val="22"/>
              </w:rPr>
              <w:t>whether people were subscribers or received calls.</w:t>
            </w:r>
          </w:p>
        </w:tc>
      </w:tr>
      <w:tr w:rsidR="006F1DB5" w:rsidRPr="00066A8D" w14:paraId="60871263" w14:textId="77777777" w:rsidTr="00D712B1">
        <w:trPr>
          <w:trHeight w:val="4795"/>
        </w:trPr>
        <w:tc>
          <w:tcPr>
            <w:tcW w:w="5805" w:type="dxa"/>
            <w:vAlign w:val="center"/>
          </w:tcPr>
          <w:p w14:paraId="0A483973" w14:textId="77777777" w:rsidR="006F1DB5" w:rsidRPr="00066A8D"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Didn’t</w:t>
            </w:r>
            <w:r w:rsidRPr="00066A8D">
              <w:rPr>
                <w:rFonts w:ascii="Calibri" w:hAnsi="Calibri" w:cs="Calibri"/>
                <w:b/>
                <w:sz w:val="28"/>
                <w:szCs w:val="28"/>
              </w:rPr>
              <w:t xml:space="preserve"> the claims form ask for documentation that claimants, or their household, paid for or used the phone number.  AB34 n.1.  </w:t>
            </w:r>
          </w:p>
          <w:p w14:paraId="0FD09C64" w14:textId="77777777" w:rsidR="006F1DB5" w:rsidRDefault="006F1DB5" w:rsidP="00525419">
            <w:pPr>
              <w:pStyle w:val="O-BodyText"/>
              <w:spacing w:after="120"/>
              <w:ind w:right="200"/>
              <w:jc w:val="both"/>
              <w:rPr>
                <w:rFonts w:ascii="Calibri" w:hAnsi="Calibri" w:cs="Calibri"/>
                <w:b/>
                <w:sz w:val="28"/>
                <w:szCs w:val="28"/>
              </w:rPr>
            </w:pPr>
          </w:p>
        </w:tc>
        <w:tc>
          <w:tcPr>
            <w:tcW w:w="5805" w:type="dxa"/>
            <w:vAlign w:val="center"/>
          </w:tcPr>
          <w:p w14:paraId="510C50DD" w14:textId="77777777" w:rsidR="006F1DB5" w:rsidRPr="00066A8D"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w:t>
            </w:r>
            <w:r w:rsidRPr="00066A8D">
              <w:rPr>
                <w:rFonts w:ascii="Calibri" w:hAnsi="Calibri" w:cs="Calibri"/>
                <w:b/>
                <w:sz w:val="22"/>
                <w:szCs w:val="22"/>
              </w:rPr>
              <w:t>The claim form requires no</w:t>
            </w:r>
            <w:r w:rsidRPr="00066A8D">
              <w:rPr>
                <w:rFonts w:ascii="Calibri" w:hAnsi="Calibri" w:cs="Calibri"/>
                <w:b/>
                <w:i/>
                <w:sz w:val="22"/>
                <w:szCs w:val="22"/>
              </w:rPr>
              <w:t xml:space="preserve"> </w:t>
            </w:r>
            <w:r w:rsidRPr="00066A8D">
              <w:rPr>
                <w:rFonts w:ascii="Calibri" w:hAnsi="Calibri" w:cs="Calibri"/>
                <w:b/>
                <w:sz w:val="22"/>
                <w:szCs w:val="22"/>
              </w:rPr>
              <w:t>documentation, and fewer than 200 people have submitted it.</w:t>
            </w:r>
          </w:p>
        </w:tc>
      </w:tr>
      <w:tr w:rsidR="006F1DB5" w:rsidRPr="00066A8D" w14:paraId="2D605001" w14:textId="77777777" w:rsidTr="00D712B1">
        <w:trPr>
          <w:trHeight w:val="4795"/>
        </w:trPr>
        <w:tc>
          <w:tcPr>
            <w:tcW w:w="5805" w:type="dxa"/>
            <w:vAlign w:val="center"/>
          </w:tcPr>
          <w:p w14:paraId="38D95394" w14:textId="77777777" w:rsidR="006F1DB5" w:rsidRPr="00066A8D" w:rsidRDefault="006F1DB5" w:rsidP="00525419">
            <w:pPr>
              <w:pStyle w:val="O-BodyText"/>
              <w:spacing w:after="120"/>
              <w:ind w:right="200"/>
              <w:jc w:val="both"/>
              <w:rPr>
                <w:rFonts w:ascii="Calibri" w:hAnsi="Calibri" w:cs="Calibri"/>
                <w:b/>
                <w:sz w:val="28"/>
                <w:szCs w:val="28"/>
              </w:rPr>
            </w:pPr>
            <w:r w:rsidRPr="00066A8D">
              <w:rPr>
                <w:rFonts w:ascii="Calibri" w:hAnsi="Calibri" w:cs="Calibri"/>
                <w:b/>
                <w:sz w:val="28"/>
                <w:szCs w:val="28"/>
              </w:rPr>
              <w:t>Krakauer asserts that the potential for duplicative claims hasn’t been a problem in practice.  AB41.  Is that correct?</w:t>
            </w:r>
          </w:p>
        </w:tc>
        <w:tc>
          <w:tcPr>
            <w:tcW w:w="5805" w:type="dxa"/>
            <w:vAlign w:val="center"/>
          </w:tcPr>
          <w:p w14:paraId="04683906" w14:textId="13E17BD2" w:rsidR="006F1DB5" w:rsidRPr="00066A8D" w:rsidRDefault="006F1DB5" w:rsidP="00525419">
            <w:pPr>
              <w:pStyle w:val="O-BodyText"/>
              <w:ind w:right="65"/>
              <w:jc w:val="both"/>
              <w:rPr>
                <w:rFonts w:ascii="Calibri" w:hAnsi="Calibri" w:cs="Calibri"/>
                <w:b/>
                <w:sz w:val="22"/>
                <w:szCs w:val="22"/>
              </w:rPr>
            </w:pPr>
            <w:r w:rsidRPr="007E1602">
              <w:rPr>
                <w:rFonts w:ascii="Calibri" w:hAnsi="Calibri" w:cs="Calibri"/>
                <w:b/>
                <w:sz w:val="22"/>
                <w:szCs w:val="22"/>
                <w:highlight w:val="yellow"/>
              </w:rPr>
              <w:t>[Explain.]</w:t>
            </w:r>
            <w:r>
              <w:rPr>
                <w:rFonts w:ascii="Calibri" w:hAnsi="Calibri" w:cs="Calibri"/>
                <w:b/>
                <w:sz w:val="22"/>
                <w:szCs w:val="22"/>
              </w:rPr>
              <w:t xml:space="preserve"> </w:t>
            </w:r>
            <w:r w:rsidRPr="00066A8D">
              <w:rPr>
                <w:rFonts w:ascii="Calibri" w:hAnsi="Calibri" w:cs="Calibri"/>
                <w:b/>
                <w:sz w:val="22"/>
                <w:szCs w:val="22"/>
              </w:rPr>
              <w:t>The problem isn’t merely duplicative</w:t>
            </w:r>
            <w:r>
              <w:rPr>
                <w:rFonts w:ascii="Calibri" w:hAnsi="Calibri" w:cs="Calibri"/>
                <w:b/>
                <w:sz w:val="22"/>
                <w:szCs w:val="22"/>
              </w:rPr>
              <w:t xml:space="preserve"> claims.</w:t>
            </w:r>
            <w:r w:rsidRPr="00066A8D">
              <w:rPr>
                <w:rFonts w:ascii="Calibri" w:hAnsi="Calibri" w:cs="Calibri"/>
                <w:b/>
                <w:sz w:val="22"/>
                <w:szCs w:val="22"/>
              </w:rPr>
              <w:t xml:space="preserve">  It is the high likelihood that Krakauer’s “associated with” approach identified</w:t>
            </w:r>
            <w:r>
              <w:rPr>
                <w:rFonts w:ascii="Calibri" w:hAnsi="Calibri" w:cs="Calibri"/>
                <w:b/>
                <w:sz w:val="22"/>
                <w:szCs w:val="22"/>
              </w:rPr>
              <w:t xml:space="preserve"> </w:t>
            </w:r>
            <w:r w:rsidRPr="00066A8D">
              <w:rPr>
                <w:rFonts w:ascii="Calibri" w:hAnsi="Calibri" w:cs="Calibri"/>
                <w:b/>
                <w:sz w:val="22"/>
                <w:szCs w:val="22"/>
              </w:rPr>
              <w:t>and permitted recovery for the wrong plaintiffs.  We identified two obvious examples</w:t>
            </w:r>
            <w:r>
              <w:rPr>
                <w:rFonts w:ascii="Calibri" w:hAnsi="Calibri" w:cs="Calibri"/>
                <w:b/>
                <w:sz w:val="22"/>
                <w:szCs w:val="22"/>
              </w:rPr>
              <w:t xml:space="preserve"> in our opening brief</w:t>
            </w:r>
            <w:r w:rsidRPr="00066A8D">
              <w:rPr>
                <w:rFonts w:ascii="Calibri" w:hAnsi="Calibri" w:cs="Calibri"/>
                <w:b/>
                <w:sz w:val="22"/>
                <w:szCs w:val="22"/>
              </w:rPr>
              <w:t xml:space="preserve"> (OB36), which Krakauer does not refute.</w:t>
            </w:r>
          </w:p>
        </w:tc>
      </w:tr>
      <w:tr w:rsidR="006F1DB5" w14:paraId="6657A887" w14:textId="77777777" w:rsidTr="00D712B1">
        <w:trPr>
          <w:trHeight w:val="4795"/>
        </w:trPr>
        <w:tc>
          <w:tcPr>
            <w:tcW w:w="5805" w:type="dxa"/>
            <w:vAlign w:val="center"/>
          </w:tcPr>
          <w:p w14:paraId="62EA1260"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Doesn’t Congress have the power to create standing?</w:t>
            </w:r>
          </w:p>
        </w:tc>
        <w:tc>
          <w:tcPr>
            <w:tcW w:w="5805" w:type="dxa"/>
            <w:vAlign w:val="center"/>
          </w:tcPr>
          <w:p w14:paraId="48CFC8D0" w14:textId="77777777" w:rsidR="006F1DB5" w:rsidRDefault="006F1DB5" w:rsidP="00525419">
            <w:pPr>
              <w:pStyle w:val="O-BodyText"/>
              <w:spacing w:after="120"/>
              <w:ind w:right="65"/>
              <w:jc w:val="both"/>
              <w:rPr>
                <w:rFonts w:ascii="Calibri" w:hAnsi="Calibri" w:cs="Calibri"/>
                <w:b/>
                <w:sz w:val="22"/>
                <w:szCs w:val="22"/>
              </w:rPr>
            </w:pPr>
            <w:r w:rsidRPr="00E64C4B">
              <w:rPr>
                <w:rFonts w:ascii="Calibri" w:hAnsi="Calibri" w:cs="Calibri"/>
                <w:b/>
                <w:sz w:val="22"/>
                <w:szCs w:val="22"/>
              </w:rPr>
              <w:t xml:space="preserve">Congress is empowered “to identify intangible harms that meet minimum Article III requirements,” even if those harms “were previously inadequate in law.” </w:t>
            </w:r>
            <w:r>
              <w:rPr>
                <w:rFonts w:ascii="Calibri" w:hAnsi="Calibri" w:cs="Calibri"/>
                <w:b/>
                <w:sz w:val="22"/>
                <w:szCs w:val="22"/>
              </w:rPr>
              <w:t xml:space="preserve"> </w:t>
            </w:r>
            <w:proofErr w:type="spellStart"/>
            <w:r w:rsidRPr="00E64C4B">
              <w:rPr>
                <w:rFonts w:ascii="Calibri" w:hAnsi="Calibri" w:cs="Calibri"/>
                <w:b/>
                <w:i/>
                <w:sz w:val="22"/>
                <w:szCs w:val="22"/>
              </w:rPr>
              <w:t>Spokeo</w:t>
            </w:r>
            <w:proofErr w:type="spellEnd"/>
            <w:r>
              <w:rPr>
                <w:rFonts w:ascii="Calibri" w:hAnsi="Calibri" w:cs="Calibri"/>
                <w:b/>
                <w:sz w:val="22"/>
                <w:szCs w:val="22"/>
              </w:rPr>
              <w:t xml:space="preserve"> (S. Ct. 2016)</w:t>
            </w:r>
            <w:r w:rsidRPr="00E64C4B">
              <w:rPr>
                <w:rFonts w:ascii="Calibri" w:hAnsi="Calibri" w:cs="Calibri"/>
                <w:b/>
                <w:sz w:val="22"/>
                <w:szCs w:val="22"/>
              </w:rPr>
              <w:t>.</w:t>
            </w:r>
            <w:r>
              <w:rPr>
                <w:rFonts w:ascii="Calibri" w:hAnsi="Calibri" w:cs="Calibri"/>
                <w:b/>
                <w:sz w:val="22"/>
                <w:szCs w:val="22"/>
              </w:rPr>
              <w:t xml:space="preserve"> </w:t>
            </w:r>
            <w:r w:rsidRPr="00E64C4B">
              <w:rPr>
                <w:rFonts w:ascii="Calibri" w:hAnsi="Calibri" w:cs="Calibri"/>
                <w:b/>
                <w:sz w:val="22"/>
                <w:szCs w:val="22"/>
              </w:rPr>
              <w:t xml:space="preserve"> “In exercising this power, however, Congress must at least identify the injury it seeks to vindicate and</w:t>
            </w:r>
            <w:r>
              <w:rPr>
                <w:rFonts w:ascii="Calibri" w:hAnsi="Calibri" w:cs="Calibri"/>
                <w:b/>
                <w:sz w:val="22"/>
                <w:szCs w:val="22"/>
              </w:rPr>
              <w:t xml:space="preserve"> </w:t>
            </w:r>
            <w:r w:rsidRPr="00E64C4B">
              <w:rPr>
                <w:rFonts w:ascii="Calibri" w:hAnsi="Calibri" w:cs="Calibri"/>
                <w:b/>
                <w:sz w:val="22"/>
                <w:szCs w:val="22"/>
              </w:rPr>
              <w:t>relate the injury to the class of persons entitled to bring the suit.”</w:t>
            </w:r>
            <w:r>
              <w:rPr>
                <w:rFonts w:ascii="Calibri" w:hAnsi="Calibri" w:cs="Calibri"/>
                <w:b/>
                <w:sz w:val="22"/>
                <w:szCs w:val="22"/>
              </w:rPr>
              <w:t xml:space="preserve"> </w:t>
            </w:r>
            <w:r w:rsidRPr="00E64C4B">
              <w:rPr>
                <w:rFonts w:ascii="Calibri" w:hAnsi="Calibri" w:cs="Calibri"/>
                <w:b/>
                <w:sz w:val="22"/>
                <w:szCs w:val="22"/>
              </w:rPr>
              <w:t xml:space="preserve"> </w:t>
            </w:r>
            <w:r w:rsidRPr="00E64C4B">
              <w:rPr>
                <w:rFonts w:ascii="Calibri" w:hAnsi="Calibri" w:cs="Calibri"/>
                <w:b/>
                <w:i/>
                <w:sz w:val="22"/>
                <w:szCs w:val="22"/>
              </w:rPr>
              <w:t>Massachusetts v. EPA</w:t>
            </w:r>
            <w:r>
              <w:rPr>
                <w:rFonts w:ascii="Calibri" w:hAnsi="Calibri" w:cs="Calibri"/>
                <w:b/>
                <w:sz w:val="22"/>
                <w:szCs w:val="22"/>
              </w:rPr>
              <w:t xml:space="preserve"> </w:t>
            </w:r>
            <w:r w:rsidRPr="00E64C4B">
              <w:rPr>
                <w:rFonts w:ascii="Calibri" w:hAnsi="Calibri" w:cs="Calibri"/>
                <w:b/>
                <w:sz w:val="22"/>
                <w:szCs w:val="22"/>
              </w:rPr>
              <w:t>(</w:t>
            </w:r>
            <w:r>
              <w:rPr>
                <w:rFonts w:ascii="Calibri" w:hAnsi="Calibri" w:cs="Calibri"/>
                <w:b/>
                <w:sz w:val="22"/>
                <w:szCs w:val="22"/>
              </w:rPr>
              <w:t xml:space="preserve">S. Ct. </w:t>
            </w:r>
            <w:r w:rsidRPr="00E64C4B">
              <w:rPr>
                <w:rFonts w:ascii="Calibri" w:hAnsi="Calibri" w:cs="Calibri"/>
                <w:b/>
                <w:sz w:val="22"/>
                <w:szCs w:val="22"/>
              </w:rPr>
              <w:t xml:space="preserve">2007). </w:t>
            </w:r>
            <w:r>
              <w:rPr>
                <w:rFonts w:ascii="Calibri" w:hAnsi="Calibri" w:cs="Calibri"/>
                <w:b/>
                <w:sz w:val="22"/>
                <w:szCs w:val="22"/>
              </w:rPr>
              <w:t xml:space="preserve"> </w:t>
            </w:r>
            <w:r w:rsidRPr="00E64C4B">
              <w:rPr>
                <w:rFonts w:ascii="Calibri" w:hAnsi="Calibri" w:cs="Calibri"/>
                <w:b/>
                <w:sz w:val="22"/>
                <w:szCs w:val="22"/>
              </w:rPr>
              <w:t xml:space="preserve">If it does so, any plaintiff in that class has standing and “need not allege any </w:t>
            </w:r>
            <w:r w:rsidRPr="00E64C4B">
              <w:rPr>
                <w:rFonts w:ascii="Calibri" w:hAnsi="Calibri" w:cs="Calibri"/>
                <w:b/>
                <w:i/>
                <w:sz w:val="22"/>
                <w:szCs w:val="22"/>
              </w:rPr>
              <w:t xml:space="preserve">additional </w:t>
            </w:r>
            <w:r w:rsidRPr="00E64C4B">
              <w:rPr>
                <w:rFonts w:ascii="Calibri" w:hAnsi="Calibri" w:cs="Calibri"/>
                <w:b/>
                <w:sz w:val="22"/>
                <w:szCs w:val="22"/>
              </w:rPr>
              <w:t xml:space="preserve">harm beyond the one Congress has identified.” </w:t>
            </w:r>
            <w:r>
              <w:rPr>
                <w:rFonts w:ascii="Calibri" w:hAnsi="Calibri" w:cs="Calibri"/>
                <w:b/>
                <w:sz w:val="22"/>
                <w:szCs w:val="22"/>
              </w:rPr>
              <w:t xml:space="preserve"> </w:t>
            </w:r>
            <w:proofErr w:type="spellStart"/>
            <w:r w:rsidRPr="00E64C4B">
              <w:rPr>
                <w:rFonts w:ascii="Calibri" w:hAnsi="Calibri" w:cs="Calibri"/>
                <w:b/>
                <w:i/>
                <w:sz w:val="22"/>
                <w:szCs w:val="22"/>
              </w:rPr>
              <w:t>Spokeo</w:t>
            </w:r>
            <w:proofErr w:type="spellEnd"/>
            <w:r>
              <w:rPr>
                <w:rFonts w:ascii="Calibri" w:hAnsi="Calibri" w:cs="Calibri"/>
                <w:b/>
                <w:sz w:val="22"/>
                <w:szCs w:val="22"/>
              </w:rPr>
              <w:t xml:space="preserve"> (S. Ct. 2016)</w:t>
            </w:r>
            <w:r w:rsidRPr="00E64C4B">
              <w:rPr>
                <w:rFonts w:ascii="Calibri" w:hAnsi="Calibri" w:cs="Calibri"/>
                <w:b/>
                <w:sz w:val="22"/>
                <w:szCs w:val="22"/>
              </w:rPr>
              <w:t>.</w:t>
            </w:r>
          </w:p>
        </w:tc>
      </w:tr>
      <w:tr w:rsidR="006F1DB5" w14:paraId="3EE0B96F" w14:textId="77777777" w:rsidTr="00D712B1">
        <w:trPr>
          <w:trHeight w:val="4795"/>
        </w:trPr>
        <w:tc>
          <w:tcPr>
            <w:tcW w:w="5805" w:type="dxa"/>
            <w:vAlign w:val="center"/>
          </w:tcPr>
          <w:p w14:paraId="4BE9427F"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Are you arguing that plaintiffs must show additional injury beyond receiving two unsolicited telemarking calls?  AB35.</w:t>
            </w:r>
          </w:p>
        </w:tc>
        <w:tc>
          <w:tcPr>
            <w:tcW w:w="5805" w:type="dxa"/>
            <w:vAlign w:val="center"/>
          </w:tcPr>
          <w:p w14:paraId="4EA8DADA" w14:textId="1197B2E8" w:rsidR="006F1DB5" w:rsidRDefault="006F1DB5" w:rsidP="00525419">
            <w:pPr>
              <w:pStyle w:val="O-BodyText"/>
              <w:spacing w:after="120"/>
              <w:ind w:right="65"/>
              <w:jc w:val="both"/>
              <w:rPr>
                <w:rFonts w:ascii="Calibri" w:hAnsi="Calibri" w:cs="Calibri"/>
                <w:b/>
                <w:sz w:val="22"/>
                <w:szCs w:val="22"/>
              </w:rPr>
            </w:pPr>
            <w:r w:rsidRPr="0009208A">
              <w:rPr>
                <w:rFonts w:ascii="Calibri" w:hAnsi="Calibri" w:cs="Calibri"/>
                <w:b/>
                <w:sz w:val="22"/>
                <w:szCs w:val="22"/>
                <w:highlight w:val="yellow"/>
              </w:rPr>
              <w:t xml:space="preserve">No.  Subscribers </w:t>
            </w:r>
            <w:r>
              <w:rPr>
                <w:rFonts w:ascii="Calibri" w:hAnsi="Calibri" w:cs="Calibri"/>
                <w:b/>
                <w:sz w:val="22"/>
                <w:szCs w:val="22"/>
                <w:highlight w:val="yellow"/>
              </w:rPr>
              <w:t xml:space="preserve">who registered their numbers on the Do Not Call list and </w:t>
            </w:r>
            <w:r w:rsidRPr="0009208A">
              <w:rPr>
                <w:rFonts w:ascii="Calibri" w:hAnsi="Calibri" w:cs="Calibri"/>
                <w:b/>
                <w:sz w:val="22"/>
                <w:szCs w:val="22"/>
                <w:highlight w:val="yellow"/>
              </w:rPr>
              <w:t xml:space="preserve">received two or more calls from SSN </w:t>
            </w:r>
            <w:r>
              <w:rPr>
                <w:rFonts w:ascii="Calibri" w:hAnsi="Calibri" w:cs="Calibri"/>
                <w:b/>
                <w:sz w:val="22"/>
                <w:szCs w:val="22"/>
                <w:highlight w:val="yellow"/>
              </w:rPr>
              <w:t>during the class period</w:t>
            </w:r>
            <w:r w:rsidRPr="0009208A">
              <w:rPr>
                <w:rFonts w:ascii="Calibri" w:hAnsi="Calibri" w:cs="Calibri"/>
                <w:b/>
                <w:sz w:val="22"/>
                <w:szCs w:val="22"/>
                <w:highlight w:val="yellow"/>
              </w:rPr>
              <w:t xml:space="preserve"> don’t need to show </w:t>
            </w:r>
            <w:r>
              <w:rPr>
                <w:rFonts w:ascii="Calibri" w:hAnsi="Calibri" w:cs="Calibri"/>
                <w:b/>
                <w:sz w:val="22"/>
                <w:szCs w:val="22"/>
                <w:highlight w:val="yellow"/>
              </w:rPr>
              <w:t xml:space="preserve">any </w:t>
            </w:r>
            <w:r w:rsidRPr="0009208A">
              <w:rPr>
                <w:rFonts w:ascii="Calibri" w:hAnsi="Calibri" w:cs="Calibri"/>
                <w:b/>
                <w:sz w:val="22"/>
                <w:szCs w:val="22"/>
                <w:highlight w:val="yellow"/>
              </w:rPr>
              <w:t>additional injury</w:t>
            </w:r>
            <w:r w:rsidR="00F229D4">
              <w:rPr>
                <w:rFonts w:ascii="Calibri" w:hAnsi="Calibri" w:cs="Calibri"/>
                <w:b/>
                <w:sz w:val="22"/>
                <w:szCs w:val="22"/>
                <w:highlight w:val="yellow"/>
              </w:rPr>
              <w:t>.  AB35</w:t>
            </w:r>
            <w:r w:rsidRPr="0009208A">
              <w:rPr>
                <w:rFonts w:ascii="Calibri" w:hAnsi="Calibri" w:cs="Calibri"/>
                <w:b/>
                <w:sz w:val="22"/>
                <w:szCs w:val="22"/>
                <w:highlight w:val="yellow"/>
              </w:rPr>
              <w:t>.</w:t>
            </w:r>
          </w:p>
        </w:tc>
      </w:tr>
      <w:tr w:rsidR="006F1DB5" w14:paraId="712947DA" w14:textId="77777777" w:rsidTr="00D712B1">
        <w:trPr>
          <w:trHeight w:val="4795"/>
        </w:trPr>
        <w:tc>
          <w:tcPr>
            <w:tcW w:w="5805" w:type="dxa"/>
            <w:vAlign w:val="center"/>
          </w:tcPr>
          <w:p w14:paraId="4E36A1CD"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Doesn’t </w:t>
            </w:r>
            <w:proofErr w:type="spellStart"/>
            <w:r w:rsidRPr="00344E19">
              <w:rPr>
                <w:rFonts w:ascii="Calibri" w:hAnsi="Calibri" w:cs="Calibri"/>
                <w:b/>
                <w:i/>
                <w:sz w:val="28"/>
                <w:szCs w:val="28"/>
              </w:rPr>
              <w:t>Susinno</w:t>
            </w:r>
            <w:proofErr w:type="spellEnd"/>
            <w:r w:rsidRPr="00344E19">
              <w:rPr>
                <w:rFonts w:ascii="Calibri" w:hAnsi="Calibri" w:cs="Calibri"/>
                <w:b/>
                <w:i/>
                <w:sz w:val="28"/>
                <w:szCs w:val="28"/>
              </w:rPr>
              <w:t xml:space="preserve"> v. Work Out World Inc</w:t>
            </w:r>
            <w:r>
              <w:rPr>
                <w:rFonts w:ascii="Calibri" w:hAnsi="Calibri" w:cs="Calibri"/>
                <w:b/>
                <w:i/>
                <w:sz w:val="28"/>
                <w:szCs w:val="28"/>
              </w:rPr>
              <w:t>.</w:t>
            </w:r>
            <w:r w:rsidRPr="00344E19">
              <w:rPr>
                <w:rFonts w:ascii="Calibri" w:hAnsi="Calibri" w:cs="Calibri"/>
                <w:b/>
                <w:sz w:val="28"/>
                <w:szCs w:val="28"/>
              </w:rPr>
              <w:t xml:space="preserve"> (3d Cir. 2017)</w:t>
            </w:r>
            <w:r>
              <w:rPr>
                <w:rFonts w:ascii="Calibri" w:hAnsi="Calibri" w:cs="Calibri"/>
                <w:b/>
                <w:sz w:val="28"/>
                <w:szCs w:val="28"/>
              </w:rPr>
              <w:t xml:space="preserve"> support plaintiffs’ standing in this case?</w:t>
            </w:r>
          </w:p>
        </w:tc>
        <w:tc>
          <w:tcPr>
            <w:tcW w:w="5805" w:type="dxa"/>
            <w:vAlign w:val="center"/>
          </w:tcPr>
          <w:p w14:paraId="20EA2472" w14:textId="77777777" w:rsidR="006F1DB5" w:rsidRPr="00344E19" w:rsidRDefault="006F1DB5" w:rsidP="00525419">
            <w:pPr>
              <w:pStyle w:val="O-BodyText"/>
              <w:spacing w:after="120"/>
              <w:ind w:right="65"/>
              <w:jc w:val="both"/>
              <w:rPr>
                <w:rFonts w:ascii="Calibri" w:hAnsi="Calibri" w:cs="Calibri"/>
                <w:b/>
                <w:sz w:val="22"/>
                <w:szCs w:val="22"/>
              </w:rPr>
            </w:pPr>
            <w:r w:rsidRPr="0009208A">
              <w:rPr>
                <w:rFonts w:ascii="Calibri" w:hAnsi="Calibri" w:cs="Calibri"/>
                <w:b/>
                <w:sz w:val="22"/>
                <w:szCs w:val="22"/>
                <w:highlight w:val="yellow"/>
              </w:rPr>
              <w:t xml:space="preserve">From Krakauer’s brief: </w:t>
            </w:r>
            <w:r>
              <w:rPr>
                <w:rFonts w:ascii="Calibri" w:hAnsi="Calibri" w:cs="Calibri"/>
                <w:b/>
                <w:sz w:val="22"/>
                <w:szCs w:val="22"/>
                <w:highlight w:val="yellow"/>
              </w:rPr>
              <w:t xml:space="preserve"> </w:t>
            </w:r>
            <w:proofErr w:type="spellStart"/>
            <w:r w:rsidRPr="0009208A">
              <w:rPr>
                <w:rFonts w:ascii="Calibri" w:hAnsi="Calibri" w:cs="Calibri"/>
                <w:b/>
                <w:i/>
                <w:sz w:val="22"/>
                <w:szCs w:val="22"/>
                <w:highlight w:val="yellow"/>
              </w:rPr>
              <w:t>Susinno</w:t>
            </w:r>
            <w:proofErr w:type="spellEnd"/>
            <w:r w:rsidRPr="0009208A">
              <w:rPr>
                <w:rFonts w:ascii="Calibri" w:hAnsi="Calibri" w:cs="Calibri"/>
                <w:b/>
                <w:i/>
                <w:sz w:val="22"/>
                <w:szCs w:val="22"/>
                <w:highlight w:val="yellow"/>
              </w:rPr>
              <w:t xml:space="preserve"> v. Work Out World</w:t>
            </w:r>
            <w:r w:rsidRPr="0009208A">
              <w:rPr>
                <w:rFonts w:ascii="Calibri" w:hAnsi="Calibri" w:cs="Calibri"/>
                <w:b/>
                <w:sz w:val="22"/>
                <w:szCs w:val="22"/>
                <w:highlight w:val="yellow"/>
              </w:rPr>
              <w:t xml:space="preserve"> (3d Cir. 2017)</w:t>
            </w:r>
            <w:r w:rsidRPr="0009208A">
              <w:rPr>
                <w:rFonts w:ascii="Calibri" w:hAnsi="Calibri" w:cs="Calibri"/>
                <w:b/>
                <w:i/>
                <w:sz w:val="22"/>
                <w:szCs w:val="22"/>
                <w:highlight w:val="yellow"/>
              </w:rPr>
              <w:t xml:space="preserve"> </w:t>
            </w:r>
            <w:r w:rsidRPr="0009208A">
              <w:rPr>
                <w:rFonts w:ascii="Calibri" w:hAnsi="Calibri" w:cs="Calibri"/>
                <w:b/>
                <w:sz w:val="22"/>
                <w:szCs w:val="22"/>
                <w:highlight w:val="yellow"/>
              </w:rPr>
              <w:t>involved a plaintiff who received an unsolicited call from a telemarketer.  She did not answer the call, so the company left a message.  The Third Circuit held that she had standing.  Pointing to the congressional findings in support of the TCPA, which showed that Congress sought to prevent the</w:t>
            </w:r>
            <w:r w:rsidRPr="0009208A">
              <w:rPr>
                <w:rFonts w:ascii="Garamond" w:eastAsia="Garamond" w:hAnsi="Garamond" w:cs="Times New Roman"/>
                <w:color w:val="000000"/>
                <w:sz w:val="29"/>
                <w:szCs w:val="22"/>
                <w:highlight w:val="yellow"/>
              </w:rPr>
              <w:t xml:space="preserve"> </w:t>
            </w:r>
            <w:r w:rsidRPr="0009208A">
              <w:rPr>
                <w:rFonts w:ascii="Calibri" w:hAnsi="Calibri" w:cs="Calibri"/>
                <w:b/>
                <w:sz w:val="22"/>
                <w:szCs w:val="22"/>
                <w:highlight w:val="yellow"/>
              </w:rPr>
              <w:t>nuisance and invasion of privacy caused by telemarketing calls, the court concluded that “Congress squarely identified this injury” as cognizable.  AB37–38.</w:t>
            </w:r>
          </w:p>
          <w:p w14:paraId="5184DD44" w14:textId="77777777" w:rsidR="006F1DB5" w:rsidRDefault="006F1DB5" w:rsidP="00525419">
            <w:pPr>
              <w:pStyle w:val="O-BodyText"/>
              <w:spacing w:after="120"/>
              <w:ind w:right="65"/>
              <w:jc w:val="both"/>
              <w:rPr>
                <w:rFonts w:ascii="Calibri" w:hAnsi="Calibri" w:cs="Calibri"/>
                <w:b/>
                <w:sz w:val="22"/>
                <w:szCs w:val="22"/>
              </w:rPr>
            </w:pPr>
          </w:p>
        </w:tc>
      </w:tr>
      <w:tr w:rsidR="006F1DB5" w:rsidRPr="00344E19" w14:paraId="3256556D" w14:textId="77777777" w:rsidTr="00D712B1">
        <w:trPr>
          <w:trHeight w:val="4795"/>
        </w:trPr>
        <w:tc>
          <w:tcPr>
            <w:tcW w:w="5805" w:type="dxa"/>
            <w:vAlign w:val="center"/>
          </w:tcPr>
          <w:p w14:paraId="57B66157"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Doesn’t </w:t>
            </w:r>
            <w:r w:rsidRPr="007B64C7">
              <w:rPr>
                <w:rFonts w:ascii="Calibri" w:hAnsi="Calibri" w:cs="Calibri"/>
                <w:b/>
                <w:i/>
                <w:sz w:val="28"/>
                <w:szCs w:val="28"/>
              </w:rPr>
              <w:t>Van Patten v. Vertical Fitness Group, LLC</w:t>
            </w:r>
            <w:r>
              <w:rPr>
                <w:rFonts w:ascii="Calibri" w:hAnsi="Calibri" w:cs="Calibri"/>
                <w:b/>
                <w:sz w:val="28"/>
                <w:szCs w:val="28"/>
              </w:rPr>
              <w:t xml:space="preserve"> </w:t>
            </w:r>
            <w:r w:rsidRPr="007B64C7">
              <w:rPr>
                <w:rFonts w:ascii="Calibri" w:hAnsi="Calibri" w:cs="Calibri"/>
                <w:b/>
                <w:sz w:val="28"/>
                <w:szCs w:val="28"/>
              </w:rPr>
              <w:t>(9th Cir. 2017)</w:t>
            </w:r>
            <w:r w:rsidRPr="007B64C7">
              <w:rPr>
                <w:rFonts w:ascii="Calibri" w:eastAsiaTheme="minorHAnsi" w:hAnsi="Calibri" w:cs="Calibri"/>
                <w:b/>
                <w:sz w:val="28"/>
                <w:szCs w:val="28"/>
              </w:rPr>
              <w:t xml:space="preserve"> </w:t>
            </w:r>
            <w:r w:rsidRPr="007B64C7">
              <w:rPr>
                <w:rFonts w:ascii="Calibri" w:hAnsi="Calibri" w:cs="Calibri"/>
                <w:b/>
                <w:sz w:val="28"/>
                <w:szCs w:val="28"/>
              </w:rPr>
              <w:t>support plaintiffs’ standing in this case?</w:t>
            </w:r>
            <w:r>
              <w:rPr>
                <w:rFonts w:ascii="Calibri" w:hAnsi="Calibri" w:cs="Calibri"/>
                <w:b/>
                <w:sz w:val="28"/>
                <w:szCs w:val="28"/>
              </w:rPr>
              <w:t xml:space="preserve">  AB38</w:t>
            </w:r>
            <w:r w:rsidRPr="007B64C7">
              <w:rPr>
                <w:rFonts w:ascii="Calibri" w:hAnsi="Calibri" w:cs="Calibri"/>
                <w:b/>
                <w:sz w:val="28"/>
                <w:szCs w:val="28"/>
              </w:rPr>
              <w:t>.</w:t>
            </w:r>
          </w:p>
        </w:tc>
        <w:tc>
          <w:tcPr>
            <w:tcW w:w="5805" w:type="dxa"/>
            <w:vAlign w:val="center"/>
          </w:tcPr>
          <w:p w14:paraId="0AC13D38" w14:textId="77777777" w:rsidR="006F1DB5" w:rsidRPr="00344E19" w:rsidRDefault="006F1DB5" w:rsidP="00525419">
            <w:pPr>
              <w:pStyle w:val="O-BodyText"/>
              <w:spacing w:after="120"/>
              <w:ind w:right="65"/>
              <w:jc w:val="both"/>
              <w:rPr>
                <w:rFonts w:ascii="Calibri" w:hAnsi="Calibri" w:cs="Calibri"/>
                <w:b/>
                <w:i/>
                <w:sz w:val="22"/>
                <w:szCs w:val="22"/>
              </w:rPr>
            </w:pPr>
            <w:r w:rsidRPr="0009208A">
              <w:rPr>
                <w:rFonts w:ascii="Calibri" w:hAnsi="Calibri" w:cs="Calibri"/>
                <w:b/>
                <w:sz w:val="22"/>
                <w:szCs w:val="22"/>
                <w:highlight w:val="yellow"/>
              </w:rPr>
              <w:t xml:space="preserve">From Krakauer’s brief:  In </w:t>
            </w:r>
            <w:r w:rsidRPr="0009208A">
              <w:rPr>
                <w:rFonts w:ascii="Calibri" w:hAnsi="Calibri" w:cs="Calibri"/>
                <w:b/>
                <w:i/>
                <w:sz w:val="22"/>
                <w:szCs w:val="22"/>
                <w:highlight w:val="yellow"/>
              </w:rPr>
              <w:t xml:space="preserve">Van Patten v. Vertical Fitness Group </w:t>
            </w:r>
            <w:r w:rsidRPr="0009208A">
              <w:rPr>
                <w:rFonts w:ascii="Calibri" w:hAnsi="Calibri" w:cs="Calibri"/>
                <w:b/>
                <w:sz w:val="22"/>
                <w:szCs w:val="22"/>
                <w:highlight w:val="yellow"/>
              </w:rPr>
              <w:t xml:space="preserve">(9th Cir. 2017), the Ninth Circuit held that a plaintiff who received text-message solicitations had standing.  As </w:t>
            </w:r>
            <w:proofErr w:type="spellStart"/>
            <w:r w:rsidRPr="0009208A">
              <w:rPr>
                <w:rFonts w:ascii="Calibri" w:hAnsi="Calibri" w:cs="Calibri"/>
                <w:b/>
                <w:i/>
                <w:sz w:val="22"/>
                <w:szCs w:val="22"/>
                <w:highlight w:val="yellow"/>
              </w:rPr>
              <w:t>Spokeo</w:t>
            </w:r>
            <w:proofErr w:type="spellEnd"/>
            <w:r w:rsidRPr="0009208A">
              <w:rPr>
                <w:rFonts w:ascii="Calibri" w:hAnsi="Calibri" w:cs="Calibri"/>
                <w:b/>
                <w:i/>
                <w:sz w:val="22"/>
                <w:szCs w:val="22"/>
                <w:highlight w:val="yellow"/>
              </w:rPr>
              <w:t xml:space="preserve"> </w:t>
            </w:r>
            <w:r w:rsidRPr="0009208A">
              <w:rPr>
                <w:rFonts w:ascii="Calibri" w:hAnsi="Calibri" w:cs="Calibri"/>
                <w:b/>
                <w:sz w:val="22"/>
                <w:szCs w:val="22"/>
                <w:highlight w:val="yellow"/>
              </w:rPr>
              <w:t>commands, the court looked to both history and Congress.  It noted that “[a]</w:t>
            </w:r>
            <w:proofErr w:type="spellStart"/>
            <w:r w:rsidRPr="0009208A">
              <w:rPr>
                <w:rFonts w:ascii="Calibri" w:hAnsi="Calibri" w:cs="Calibri"/>
                <w:b/>
                <w:sz w:val="22"/>
                <w:szCs w:val="22"/>
                <w:highlight w:val="yellow"/>
              </w:rPr>
              <w:t>ctions</w:t>
            </w:r>
            <w:proofErr w:type="spellEnd"/>
            <w:r w:rsidRPr="0009208A">
              <w:rPr>
                <w:rFonts w:ascii="Calibri" w:hAnsi="Calibri" w:cs="Calibri"/>
                <w:b/>
                <w:sz w:val="22"/>
                <w:szCs w:val="22"/>
                <w:highlight w:val="yellow"/>
              </w:rPr>
              <w:t xml:space="preserve"> to remedy defendants’ invasions of privacy, intrusion upon seclusion, and nuisance have long been heard by American courts.”  And it explained that Congress “sought to protect consumers from the unwanted intrusion and nuisance of unsolicited telemarketing phone calls and fax[es].”  AB38.</w:t>
            </w:r>
          </w:p>
        </w:tc>
      </w:tr>
      <w:tr w:rsidR="006F1DB5" w14:paraId="0490B777" w14:textId="77777777" w:rsidTr="00D712B1">
        <w:trPr>
          <w:trHeight w:val="4795"/>
        </w:trPr>
        <w:tc>
          <w:tcPr>
            <w:tcW w:w="5805" w:type="dxa"/>
            <w:vAlign w:val="center"/>
          </w:tcPr>
          <w:p w14:paraId="35180666" w14:textId="405359AE"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You argue that unanswered calls create no injury.  OB20-30</w:t>
            </w:r>
            <w:r w:rsidR="00F229D4">
              <w:rPr>
                <w:rFonts w:ascii="Calibri" w:hAnsi="Calibri" w:cs="Calibri"/>
                <w:b/>
                <w:sz w:val="28"/>
                <w:szCs w:val="28"/>
              </w:rPr>
              <w:t>.</w:t>
            </w:r>
            <w:r>
              <w:rPr>
                <w:rFonts w:ascii="Calibri" w:hAnsi="Calibri" w:cs="Calibri"/>
                <w:b/>
                <w:sz w:val="28"/>
                <w:szCs w:val="28"/>
              </w:rPr>
              <w:t xml:space="preserve"> </w:t>
            </w:r>
            <w:r w:rsidR="00F229D4">
              <w:rPr>
                <w:rFonts w:ascii="Calibri" w:hAnsi="Calibri" w:cs="Calibri"/>
                <w:b/>
                <w:sz w:val="28"/>
                <w:szCs w:val="28"/>
              </w:rPr>
              <w:t xml:space="preserve"> </w:t>
            </w:r>
            <w:r>
              <w:rPr>
                <w:rFonts w:ascii="Calibri" w:hAnsi="Calibri" w:cs="Calibri"/>
                <w:b/>
                <w:sz w:val="28"/>
                <w:szCs w:val="28"/>
              </w:rPr>
              <w:t>But, weren’t all unanswered calls screened out in this case?  AB39.</w:t>
            </w:r>
          </w:p>
        </w:tc>
        <w:tc>
          <w:tcPr>
            <w:tcW w:w="5805" w:type="dxa"/>
            <w:vAlign w:val="center"/>
          </w:tcPr>
          <w:p w14:paraId="75BA3BB0" w14:textId="03B729A1" w:rsidR="006F1DB5" w:rsidRDefault="006F1DB5" w:rsidP="00525419">
            <w:pPr>
              <w:pStyle w:val="O-BodyText"/>
              <w:spacing w:after="120"/>
              <w:ind w:right="65"/>
              <w:jc w:val="both"/>
              <w:rPr>
                <w:rFonts w:ascii="Calibri" w:hAnsi="Calibri" w:cs="Calibri"/>
                <w:b/>
                <w:sz w:val="22"/>
                <w:szCs w:val="22"/>
              </w:rPr>
            </w:pPr>
            <w:r w:rsidRPr="00C704B0">
              <w:rPr>
                <w:rFonts w:ascii="Calibri" w:hAnsi="Calibri" w:cs="Calibri"/>
                <w:b/>
                <w:sz w:val="22"/>
                <w:szCs w:val="22"/>
                <w:highlight w:val="yellow"/>
              </w:rPr>
              <w:t>[Explain</w:t>
            </w:r>
            <w:r w:rsidR="00F229D4">
              <w:rPr>
                <w:rFonts w:ascii="Calibri" w:hAnsi="Calibri" w:cs="Calibri"/>
                <w:b/>
                <w:sz w:val="22"/>
                <w:szCs w:val="22"/>
                <w:highlight w:val="yellow"/>
              </w:rPr>
              <w:t>.</w:t>
            </w:r>
            <w:r w:rsidRPr="00C704B0">
              <w:rPr>
                <w:rFonts w:ascii="Calibri" w:hAnsi="Calibri" w:cs="Calibri"/>
                <w:b/>
                <w:sz w:val="22"/>
                <w:szCs w:val="22"/>
                <w:highlight w:val="yellow"/>
              </w:rPr>
              <w:t>]</w:t>
            </w:r>
          </w:p>
        </w:tc>
      </w:tr>
      <w:tr w:rsidR="006F1DB5" w14:paraId="5594D11E" w14:textId="77777777" w:rsidTr="00D712B1">
        <w:trPr>
          <w:trHeight w:val="4795"/>
        </w:trPr>
        <w:tc>
          <w:tcPr>
            <w:tcW w:w="5805" w:type="dxa"/>
            <w:vAlign w:val="center"/>
          </w:tcPr>
          <w:p w14:paraId="3EDB12B1"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Why did you wait two years to raise your standing argument in the district court?</w:t>
            </w:r>
          </w:p>
        </w:tc>
        <w:tc>
          <w:tcPr>
            <w:tcW w:w="5805" w:type="dxa"/>
            <w:vAlign w:val="center"/>
          </w:tcPr>
          <w:p w14:paraId="7568EE8F" w14:textId="77777777" w:rsidR="006F1DB5" w:rsidRDefault="006F1DB5" w:rsidP="00525419">
            <w:pPr>
              <w:pStyle w:val="O-BodyText"/>
              <w:spacing w:after="120"/>
              <w:ind w:right="65"/>
              <w:jc w:val="both"/>
              <w:rPr>
                <w:rFonts w:ascii="Calibri" w:hAnsi="Calibri" w:cs="Calibri"/>
                <w:b/>
                <w:sz w:val="22"/>
                <w:szCs w:val="22"/>
              </w:rPr>
            </w:pPr>
            <w:r w:rsidRPr="00C704B0">
              <w:rPr>
                <w:rFonts w:ascii="Calibri" w:hAnsi="Calibri" w:cs="Calibri"/>
                <w:b/>
                <w:sz w:val="22"/>
                <w:szCs w:val="22"/>
                <w:highlight w:val="yellow"/>
              </w:rPr>
              <w:t>[Explain.]</w:t>
            </w:r>
          </w:p>
        </w:tc>
      </w:tr>
      <w:tr w:rsidR="006F1DB5" w14:paraId="5D07FEC0" w14:textId="77777777" w:rsidTr="00D712B1">
        <w:trPr>
          <w:trHeight w:val="4795"/>
        </w:trPr>
        <w:tc>
          <w:tcPr>
            <w:tcW w:w="5805" w:type="dxa"/>
            <w:vAlign w:val="center"/>
          </w:tcPr>
          <w:p w14:paraId="49275EC3"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Is it your position that receiving telemarketing calls is not a concrete injury?</w:t>
            </w:r>
          </w:p>
        </w:tc>
        <w:tc>
          <w:tcPr>
            <w:tcW w:w="5805" w:type="dxa"/>
            <w:vAlign w:val="center"/>
          </w:tcPr>
          <w:p w14:paraId="066B4A24" w14:textId="0B5D2BA2" w:rsidR="006F1DB5" w:rsidRDefault="00F229D4" w:rsidP="00525419">
            <w:pPr>
              <w:pStyle w:val="O-BodyText"/>
              <w:spacing w:after="120"/>
              <w:ind w:right="65"/>
              <w:jc w:val="both"/>
              <w:rPr>
                <w:rFonts w:ascii="Calibri" w:hAnsi="Calibri" w:cs="Calibri"/>
                <w:b/>
                <w:sz w:val="22"/>
                <w:szCs w:val="22"/>
              </w:rPr>
            </w:pPr>
            <w:r w:rsidRPr="00F229D4">
              <w:rPr>
                <w:rFonts w:ascii="Calibri" w:hAnsi="Calibri" w:cs="Calibri"/>
                <w:b/>
                <w:sz w:val="22"/>
                <w:szCs w:val="22"/>
                <w:highlight w:val="yellow"/>
              </w:rPr>
              <w:t>[Explain.]</w:t>
            </w:r>
          </w:p>
        </w:tc>
      </w:tr>
      <w:tr w:rsidR="006C76D1" w14:paraId="7A1B53F7" w14:textId="77777777" w:rsidTr="00D712B1">
        <w:trPr>
          <w:trHeight w:val="4795"/>
        </w:trPr>
        <w:tc>
          <w:tcPr>
            <w:tcW w:w="5805" w:type="dxa"/>
            <w:vAlign w:val="center"/>
          </w:tcPr>
          <w:p w14:paraId="341889C4" w14:textId="77777777" w:rsidR="006C76D1" w:rsidRPr="00EF55D5" w:rsidRDefault="006C76D1" w:rsidP="00525419">
            <w:pPr>
              <w:pStyle w:val="O-BodyText"/>
              <w:spacing w:after="120"/>
              <w:ind w:right="200"/>
              <w:jc w:val="both"/>
              <w:rPr>
                <w:rFonts w:ascii="Calibri" w:hAnsi="Calibri" w:cs="Calibri"/>
                <w:b/>
                <w:sz w:val="28"/>
                <w:szCs w:val="28"/>
              </w:rPr>
            </w:pPr>
            <w:r>
              <w:rPr>
                <w:rFonts w:ascii="Calibri" w:hAnsi="Calibri" w:cs="Calibri"/>
                <w:b/>
                <w:sz w:val="28"/>
                <w:szCs w:val="28"/>
              </w:rPr>
              <w:t>You argue that claimants may have invalid claims because phone numbers change hands.  But couldn’t any problems with the phone numbers be addressed in the claims process?</w:t>
            </w:r>
          </w:p>
        </w:tc>
        <w:tc>
          <w:tcPr>
            <w:tcW w:w="5805" w:type="dxa"/>
            <w:vAlign w:val="center"/>
          </w:tcPr>
          <w:p w14:paraId="2C6A03AA" w14:textId="3FE2EDAB" w:rsidR="006C76D1" w:rsidRDefault="006C76D1"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because </w:t>
            </w:r>
            <w:r w:rsidRPr="00DB723D">
              <w:rPr>
                <w:rFonts w:ascii="Calibri" w:hAnsi="Calibri" w:cs="Calibri"/>
                <w:b/>
                <w:sz w:val="22"/>
                <w:szCs w:val="22"/>
              </w:rPr>
              <w:t xml:space="preserve">Krakauer introduced no evidence that anyone </w:t>
            </w:r>
            <w:r>
              <w:rPr>
                <w:rFonts w:ascii="Calibri" w:hAnsi="Calibri" w:cs="Calibri"/>
                <w:b/>
                <w:sz w:val="22"/>
                <w:szCs w:val="22"/>
              </w:rPr>
              <w:t>else besides</w:t>
            </w:r>
            <w:r w:rsidRPr="00DB723D">
              <w:rPr>
                <w:rFonts w:ascii="Calibri" w:hAnsi="Calibri" w:cs="Calibri"/>
                <w:b/>
                <w:sz w:val="22"/>
                <w:szCs w:val="22"/>
              </w:rPr>
              <w:t xml:space="preserve"> him received two calls</w:t>
            </w:r>
            <w:r w:rsidR="00F229D4">
              <w:rPr>
                <w:rFonts w:ascii="Calibri" w:hAnsi="Calibri" w:cs="Calibri"/>
                <w:b/>
                <w:sz w:val="22"/>
                <w:szCs w:val="22"/>
              </w:rPr>
              <w:t>.</w:t>
            </w:r>
          </w:p>
        </w:tc>
      </w:tr>
      <w:tr w:rsidR="006C76D1" w14:paraId="48123B5A" w14:textId="77777777" w:rsidTr="00D712B1">
        <w:trPr>
          <w:trHeight w:val="4795"/>
        </w:trPr>
        <w:tc>
          <w:tcPr>
            <w:tcW w:w="5805" w:type="dxa"/>
            <w:vAlign w:val="center"/>
          </w:tcPr>
          <w:p w14:paraId="05712850" w14:textId="77777777" w:rsidR="006C76D1" w:rsidRDefault="006C76D1" w:rsidP="00525419">
            <w:pPr>
              <w:pStyle w:val="O-BodyText"/>
              <w:spacing w:after="120"/>
              <w:ind w:right="200"/>
              <w:jc w:val="both"/>
              <w:rPr>
                <w:rFonts w:ascii="Calibri" w:hAnsi="Calibri" w:cs="Calibri"/>
                <w:b/>
                <w:sz w:val="28"/>
                <w:szCs w:val="28"/>
              </w:rPr>
            </w:pPr>
            <w:r>
              <w:rPr>
                <w:rFonts w:ascii="Calibri" w:hAnsi="Calibri" w:cs="Calibri"/>
                <w:b/>
                <w:sz w:val="28"/>
                <w:szCs w:val="28"/>
              </w:rPr>
              <w:t>Is the post-trial claims process at issue in this appeal?  AB41.</w:t>
            </w:r>
          </w:p>
        </w:tc>
        <w:tc>
          <w:tcPr>
            <w:tcW w:w="5805" w:type="dxa"/>
            <w:vAlign w:val="center"/>
          </w:tcPr>
          <w:p w14:paraId="61244905" w14:textId="77777777" w:rsidR="006C76D1" w:rsidRDefault="006C76D1" w:rsidP="00525419">
            <w:pPr>
              <w:pStyle w:val="O-BodyText"/>
              <w:spacing w:after="120"/>
              <w:ind w:right="65"/>
              <w:jc w:val="both"/>
              <w:rPr>
                <w:rFonts w:ascii="Calibri" w:hAnsi="Calibri" w:cs="Calibri"/>
                <w:b/>
                <w:sz w:val="22"/>
                <w:szCs w:val="22"/>
              </w:rPr>
            </w:pPr>
            <w:r>
              <w:rPr>
                <w:rFonts w:ascii="Calibri" w:hAnsi="Calibri" w:cs="Calibri"/>
                <w:b/>
                <w:sz w:val="22"/>
                <w:szCs w:val="22"/>
                <w:highlight w:val="yellow"/>
              </w:rPr>
              <w:t>[Explain</w:t>
            </w:r>
            <w:r w:rsidRPr="0009208A">
              <w:rPr>
                <w:rFonts w:ascii="Calibri" w:hAnsi="Calibri" w:cs="Calibri"/>
                <w:b/>
                <w:sz w:val="22"/>
                <w:szCs w:val="22"/>
                <w:highlight w:val="yellow"/>
              </w:rPr>
              <w:t>.]</w:t>
            </w:r>
          </w:p>
        </w:tc>
      </w:tr>
      <w:tr w:rsidR="006C76D1" w14:paraId="7A1F128A" w14:textId="77777777" w:rsidTr="00D712B1">
        <w:trPr>
          <w:trHeight w:val="4795"/>
        </w:trPr>
        <w:tc>
          <w:tcPr>
            <w:tcW w:w="5805" w:type="dxa"/>
            <w:vAlign w:val="center"/>
          </w:tcPr>
          <w:p w14:paraId="7E7BD32B" w14:textId="77777777" w:rsidR="006C76D1" w:rsidRDefault="006C76D1"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Hasn’t the district court put safeguards in place to address </w:t>
            </w:r>
            <w:proofErr w:type="spellStart"/>
            <w:r>
              <w:rPr>
                <w:rFonts w:ascii="Calibri" w:hAnsi="Calibri" w:cs="Calibri"/>
                <w:b/>
                <w:sz w:val="28"/>
                <w:szCs w:val="28"/>
              </w:rPr>
              <w:t>DISH’s</w:t>
            </w:r>
            <w:proofErr w:type="spellEnd"/>
            <w:r>
              <w:rPr>
                <w:rFonts w:ascii="Calibri" w:hAnsi="Calibri" w:cs="Calibri"/>
                <w:b/>
                <w:sz w:val="28"/>
                <w:szCs w:val="28"/>
              </w:rPr>
              <w:t xml:space="preserve"> concerns about multiple people submitting claims for calls to a single number?  AB41; OB39.</w:t>
            </w:r>
          </w:p>
        </w:tc>
        <w:tc>
          <w:tcPr>
            <w:tcW w:w="5805" w:type="dxa"/>
            <w:vAlign w:val="center"/>
          </w:tcPr>
          <w:p w14:paraId="6F6112E7" w14:textId="77777777" w:rsidR="006C76D1" w:rsidRDefault="006C76D1" w:rsidP="00525419">
            <w:pPr>
              <w:pStyle w:val="O-BodyText"/>
              <w:spacing w:after="120"/>
              <w:ind w:right="65"/>
              <w:jc w:val="both"/>
              <w:rPr>
                <w:rFonts w:ascii="Calibri" w:hAnsi="Calibri" w:cs="Calibri"/>
                <w:b/>
                <w:sz w:val="22"/>
                <w:szCs w:val="22"/>
              </w:rPr>
            </w:pPr>
            <w:r w:rsidRPr="0009208A">
              <w:rPr>
                <w:rFonts w:ascii="Calibri" w:hAnsi="Calibri" w:cs="Calibri"/>
                <w:b/>
                <w:sz w:val="22"/>
                <w:szCs w:val="22"/>
                <w:highlight w:val="yellow"/>
              </w:rPr>
              <w:t>From Krakauer’s brief:  The district court has required claims forms for thousands of people and allowed Dish to object to the validity of any such claim, with a special master resolving any disputes in the first instance.  Duplicative claims have been submitted for Dr. Krakauer’s number and those claims have been screened out as fraudulent.  Also, recognizing that numbers can change hands, the claims form determined the period over which the claimant used the number and received the calls.  AB41–42.</w:t>
            </w:r>
          </w:p>
        </w:tc>
      </w:tr>
      <w:tr w:rsidR="006C76D1" w14:paraId="4E1D4B92" w14:textId="77777777" w:rsidTr="00D712B1">
        <w:trPr>
          <w:trHeight w:val="4795"/>
        </w:trPr>
        <w:tc>
          <w:tcPr>
            <w:tcW w:w="5805" w:type="dxa"/>
            <w:vAlign w:val="center"/>
          </w:tcPr>
          <w:p w14:paraId="15172442" w14:textId="77777777" w:rsidR="006C76D1" w:rsidRDefault="006C76D1" w:rsidP="00525419">
            <w:pPr>
              <w:pStyle w:val="O-BodyText"/>
              <w:spacing w:after="120"/>
              <w:ind w:right="200"/>
              <w:jc w:val="both"/>
              <w:rPr>
                <w:rFonts w:ascii="Calibri" w:hAnsi="Calibri" w:cs="Calibri"/>
                <w:b/>
                <w:sz w:val="28"/>
                <w:szCs w:val="28"/>
              </w:rPr>
            </w:pPr>
            <w:r>
              <w:rPr>
                <w:rFonts w:ascii="Calibri" w:hAnsi="Calibri" w:cs="Calibri"/>
                <w:b/>
                <w:sz w:val="28"/>
                <w:szCs w:val="28"/>
              </w:rPr>
              <w:t>If DISH thinks that claimants haven’t satisfied the class definition, can’t DISH object to the validity of those claims during the claims process?  AB42.</w:t>
            </w:r>
          </w:p>
        </w:tc>
        <w:tc>
          <w:tcPr>
            <w:tcW w:w="5805" w:type="dxa"/>
            <w:vAlign w:val="center"/>
          </w:tcPr>
          <w:p w14:paraId="33D6AFA6" w14:textId="4948C9FE" w:rsidR="006C76D1" w:rsidRDefault="006C76D1" w:rsidP="00525419">
            <w:pPr>
              <w:pStyle w:val="O-BodyText"/>
              <w:spacing w:after="120"/>
              <w:ind w:right="65"/>
              <w:jc w:val="both"/>
              <w:rPr>
                <w:rFonts w:ascii="Calibri" w:hAnsi="Calibri" w:cs="Calibri"/>
                <w:b/>
                <w:sz w:val="22"/>
                <w:szCs w:val="22"/>
              </w:rPr>
            </w:pPr>
            <w:r w:rsidRPr="005A11B6">
              <w:rPr>
                <w:rFonts w:ascii="Calibri" w:hAnsi="Calibri" w:cs="Calibri"/>
                <w:b/>
                <w:sz w:val="22"/>
                <w:szCs w:val="22"/>
                <w:highlight w:val="yellow"/>
              </w:rPr>
              <w:t>No.  The court entered judgment for a class of 18,000 people defined by being “associated with” a number, without demanding proof of anything more.  The class is overbroad and must be decertified</w:t>
            </w:r>
            <w:r w:rsidR="00F229D4">
              <w:rPr>
                <w:rFonts w:ascii="Calibri" w:hAnsi="Calibri" w:cs="Calibri"/>
                <w:b/>
                <w:sz w:val="22"/>
                <w:szCs w:val="22"/>
                <w:highlight w:val="yellow"/>
              </w:rPr>
              <w:t>.  AB42</w:t>
            </w:r>
            <w:r w:rsidRPr="005A11B6">
              <w:rPr>
                <w:rFonts w:ascii="Calibri" w:hAnsi="Calibri" w:cs="Calibri"/>
                <w:b/>
                <w:sz w:val="22"/>
                <w:szCs w:val="22"/>
                <w:highlight w:val="yellow"/>
              </w:rPr>
              <w:t>.</w:t>
            </w:r>
          </w:p>
        </w:tc>
      </w:tr>
      <w:tr w:rsidR="00C454E3" w14:paraId="2183E1E6" w14:textId="77777777" w:rsidTr="00D712B1">
        <w:trPr>
          <w:trHeight w:val="4795"/>
        </w:trPr>
        <w:tc>
          <w:tcPr>
            <w:tcW w:w="5805" w:type="dxa"/>
            <w:vAlign w:val="center"/>
          </w:tcPr>
          <w:p w14:paraId="4C6B3FCD" w14:textId="77777777" w:rsidR="00C454E3" w:rsidRDefault="00C454E3" w:rsidP="00525419">
            <w:pPr>
              <w:pStyle w:val="O-BodyText"/>
              <w:spacing w:after="120"/>
              <w:ind w:right="200"/>
              <w:jc w:val="both"/>
              <w:rPr>
                <w:rFonts w:ascii="Calibri" w:hAnsi="Calibri" w:cs="Calibri"/>
                <w:b/>
                <w:sz w:val="28"/>
                <w:szCs w:val="28"/>
              </w:rPr>
            </w:pPr>
            <w:r>
              <w:rPr>
                <w:rFonts w:ascii="Calibri" w:hAnsi="Calibri" w:cs="Calibri"/>
                <w:b/>
                <w:sz w:val="28"/>
                <w:szCs w:val="28"/>
              </w:rPr>
              <w:t>Why wasn’t it appropriate to rely on</w:t>
            </w:r>
            <w:r w:rsidRPr="00C26664">
              <w:rPr>
                <w:rFonts w:ascii="Calibri" w:hAnsi="Calibri" w:cs="Calibri"/>
                <w:b/>
                <w:sz w:val="28"/>
                <w:szCs w:val="28"/>
              </w:rPr>
              <w:t xml:space="preserve"> SSN’s call records </w:t>
            </w:r>
            <w:r>
              <w:rPr>
                <w:rFonts w:ascii="Calibri" w:hAnsi="Calibri" w:cs="Calibri"/>
                <w:b/>
                <w:sz w:val="28"/>
                <w:szCs w:val="28"/>
              </w:rPr>
              <w:t>for certification?  The records</w:t>
            </w:r>
            <w:r w:rsidRPr="00C26664">
              <w:rPr>
                <w:rFonts w:ascii="Calibri" w:hAnsi="Calibri" w:cs="Calibri"/>
                <w:b/>
                <w:sz w:val="28"/>
                <w:szCs w:val="28"/>
              </w:rPr>
              <w:t xml:space="preserve"> identified 20,450 phone numbers that (a) were on the registry, and (b) received two or more connected calls in a 12-month p</w:t>
            </w:r>
            <w:r>
              <w:rPr>
                <w:rFonts w:ascii="Calibri" w:hAnsi="Calibri" w:cs="Calibri"/>
                <w:b/>
                <w:sz w:val="28"/>
                <w:szCs w:val="28"/>
              </w:rPr>
              <w:t>eriod during the relevant time?</w:t>
            </w:r>
          </w:p>
        </w:tc>
        <w:tc>
          <w:tcPr>
            <w:tcW w:w="5805" w:type="dxa"/>
            <w:vAlign w:val="center"/>
          </w:tcPr>
          <w:p w14:paraId="497B7D54" w14:textId="77777777" w:rsidR="00C454E3" w:rsidRDefault="00C454E3" w:rsidP="00525419">
            <w:pPr>
              <w:pStyle w:val="O-BodyText"/>
              <w:spacing w:after="120"/>
              <w:ind w:right="65"/>
              <w:jc w:val="both"/>
              <w:rPr>
                <w:rFonts w:ascii="Calibri" w:hAnsi="Calibri" w:cs="Calibri"/>
                <w:b/>
                <w:sz w:val="22"/>
                <w:szCs w:val="22"/>
              </w:rPr>
            </w:pPr>
            <w:r>
              <w:rPr>
                <w:rFonts w:ascii="Calibri" w:hAnsi="Calibri" w:cs="Calibri"/>
                <w:b/>
                <w:sz w:val="22"/>
                <w:szCs w:val="22"/>
              </w:rPr>
              <w:t>Those call records only show that a call was connected, not who answered the call.  Nor do they specify whether the person who answered the call was a subscriber.</w:t>
            </w:r>
          </w:p>
        </w:tc>
      </w:tr>
      <w:tr w:rsidR="00842A40" w:rsidRPr="00907D75" w14:paraId="67B6D2C9" w14:textId="77777777" w:rsidTr="008649A2">
        <w:trPr>
          <w:trHeight w:val="4795"/>
        </w:trPr>
        <w:tc>
          <w:tcPr>
            <w:tcW w:w="5805" w:type="dxa"/>
            <w:vAlign w:val="center"/>
          </w:tcPr>
          <w:p w14:paraId="0FB9EFCF" w14:textId="10E159C7" w:rsidR="00842A40" w:rsidRPr="00907D75" w:rsidRDefault="00842A40" w:rsidP="00BE50A2">
            <w:pPr>
              <w:pStyle w:val="O-BodyText"/>
              <w:spacing w:after="120"/>
              <w:ind w:right="200"/>
              <w:jc w:val="center"/>
              <w:rPr>
                <w:rFonts w:ascii="Calibri" w:hAnsi="Calibri" w:cs="Calibri"/>
                <w:b/>
                <w:sz w:val="52"/>
                <w:szCs w:val="52"/>
              </w:rPr>
            </w:pPr>
            <w:r>
              <w:rPr>
                <w:rFonts w:ascii="Calibri" w:hAnsi="Calibri" w:cs="Calibri"/>
                <w:b/>
                <w:sz w:val="52"/>
                <w:szCs w:val="52"/>
              </w:rPr>
              <w:lastRenderedPageBreak/>
              <w:t>Argument II: Jury not instructed that class members must receive two calls</w:t>
            </w:r>
          </w:p>
        </w:tc>
        <w:tc>
          <w:tcPr>
            <w:tcW w:w="5805" w:type="dxa"/>
            <w:vAlign w:val="center"/>
          </w:tcPr>
          <w:p w14:paraId="6B3191E4" w14:textId="123B33C3" w:rsidR="00842A40" w:rsidRPr="00907D75" w:rsidRDefault="00842A40" w:rsidP="00BE50A2">
            <w:pPr>
              <w:pStyle w:val="O-BodyText"/>
              <w:spacing w:after="120"/>
              <w:ind w:left="290" w:right="65"/>
              <w:jc w:val="center"/>
              <w:rPr>
                <w:rFonts w:ascii="Calibri" w:hAnsi="Calibri" w:cs="Calibri"/>
                <w:b/>
                <w:sz w:val="52"/>
                <w:szCs w:val="52"/>
              </w:rPr>
            </w:pPr>
            <w:r w:rsidRPr="00907D75">
              <w:rPr>
                <w:rFonts w:ascii="Calibri" w:hAnsi="Calibri" w:cs="Calibri"/>
                <w:b/>
                <w:sz w:val="52"/>
                <w:szCs w:val="52"/>
              </w:rPr>
              <w:t>Color</w:t>
            </w:r>
            <w:r>
              <w:rPr>
                <w:rFonts w:ascii="Calibri" w:hAnsi="Calibri" w:cs="Calibri"/>
                <w:b/>
                <w:sz w:val="52"/>
                <w:szCs w:val="52"/>
              </w:rPr>
              <w:t>:</w:t>
            </w:r>
          </w:p>
        </w:tc>
      </w:tr>
      <w:tr w:rsidR="00842A40" w:rsidRPr="00907D75" w14:paraId="265ED04A" w14:textId="77777777" w:rsidTr="008649A2">
        <w:trPr>
          <w:trHeight w:val="4795"/>
        </w:trPr>
        <w:tc>
          <w:tcPr>
            <w:tcW w:w="5805" w:type="dxa"/>
            <w:vAlign w:val="center"/>
          </w:tcPr>
          <w:p w14:paraId="6A6E668B" w14:textId="21F1857D" w:rsidR="00842A40" w:rsidRPr="00842A40" w:rsidRDefault="00842A40" w:rsidP="00525419">
            <w:pPr>
              <w:pStyle w:val="O-BodyText"/>
              <w:spacing w:after="120"/>
              <w:ind w:right="200"/>
              <w:jc w:val="both"/>
              <w:rPr>
                <w:rFonts w:ascii="Calibri" w:hAnsi="Calibri" w:cs="Calibri"/>
                <w:b/>
                <w:sz w:val="28"/>
                <w:szCs w:val="28"/>
              </w:rPr>
            </w:pPr>
            <w:r>
              <w:rPr>
                <w:rFonts w:ascii="Calibri" w:hAnsi="Calibri" w:cs="Calibri"/>
                <w:b/>
                <w:sz w:val="28"/>
                <w:szCs w:val="28"/>
              </w:rPr>
              <w:t>What must the plaintiff prove under the TCPA?</w:t>
            </w:r>
          </w:p>
        </w:tc>
        <w:tc>
          <w:tcPr>
            <w:tcW w:w="5805" w:type="dxa"/>
            <w:vAlign w:val="center"/>
          </w:tcPr>
          <w:p w14:paraId="2860D883" w14:textId="7360B189" w:rsidR="00842A40" w:rsidRPr="00842A40" w:rsidRDefault="00842A40" w:rsidP="00525419">
            <w:pPr>
              <w:pStyle w:val="O-BodyText"/>
              <w:spacing w:after="120"/>
              <w:ind w:left="290" w:right="65"/>
              <w:jc w:val="both"/>
              <w:rPr>
                <w:rFonts w:ascii="Calibri" w:hAnsi="Calibri" w:cs="Calibri"/>
                <w:b/>
                <w:sz w:val="22"/>
                <w:szCs w:val="22"/>
              </w:rPr>
            </w:pPr>
            <w:r w:rsidRPr="00842A40">
              <w:rPr>
                <w:rFonts w:ascii="Calibri" w:hAnsi="Calibri" w:cs="Calibri"/>
                <w:b/>
                <w:sz w:val="22"/>
                <w:szCs w:val="22"/>
              </w:rPr>
              <w:t>Under the TCPA, a plaintiff must prove she “received more than one telephone call within any 12-month pe</w:t>
            </w:r>
            <w:r>
              <w:rPr>
                <w:rFonts w:ascii="Calibri" w:hAnsi="Calibri" w:cs="Calibri"/>
                <w:b/>
                <w:sz w:val="22"/>
                <w:szCs w:val="22"/>
              </w:rPr>
              <w:t>riod.”  47 U.S.C. § 227(c)(5).</w:t>
            </w:r>
          </w:p>
        </w:tc>
      </w:tr>
      <w:tr w:rsidR="00842A40" w:rsidRPr="00907D75" w14:paraId="0243DE99" w14:textId="77777777" w:rsidTr="008649A2">
        <w:trPr>
          <w:trHeight w:val="4795"/>
        </w:trPr>
        <w:tc>
          <w:tcPr>
            <w:tcW w:w="5805" w:type="dxa"/>
            <w:vAlign w:val="center"/>
          </w:tcPr>
          <w:p w14:paraId="52CCE44F" w14:textId="7B97CEA3" w:rsidR="00842A40" w:rsidRDefault="00842A40" w:rsidP="00525419">
            <w:pPr>
              <w:pStyle w:val="O-BodyText"/>
              <w:spacing w:after="120"/>
              <w:ind w:right="200"/>
              <w:jc w:val="both"/>
              <w:rPr>
                <w:rFonts w:ascii="Calibri" w:hAnsi="Calibri" w:cs="Calibri"/>
                <w:b/>
                <w:sz w:val="28"/>
                <w:szCs w:val="28"/>
              </w:rPr>
            </w:pPr>
            <w:r>
              <w:rPr>
                <w:rFonts w:ascii="Calibri" w:hAnsi="Calibri" w:cs="Calibri"/>
                <w:b/>
                <w:sz w:val="28"/>
                <w:szCs w:val="28"/>
              </w:rPr>
              <w:t>What did the Sixth Circuit hold in</w:t>
            </w:r>
            <w:r w:rsidRPr="00842A40">
              <w:rPr>
                <w:rFonts w:ascii="Calibri" w:hAnsi="Calibri" w:cs="Calibri"/>
                <w:b/>
                <w:sz w:val="28"/>
                <w:szCs w:val="28"/>
              </w:rPr>
              <w:t xml:space="preserve"> </w:t>
            </w:r>
            <w:proofErr w:type="spellStart"/>
            <w:r w:rsidRPr="00842A40">
              <w:rPr>
                <w:rFonts w:ascii="Calibri" w:hAnsi="Calibri" w:cs="Calibri"/>
                <w:b/>
                <w:i/>
                <w:sz w:val="28"/>
                <w:szCs w:val="28"/>
              </w:rPr>
              <w:t>Charvat</w:t>
            </w:r>
            <w:proofErr w:type="spellEnd"/>
            <w:r w:rsidRPr="00842A40">
              <w:rPr>
                <w:rFonts w:ascii="Calibri" w:hAnsi="Calibri" w:cs="Calibri"/>
                <w:b/>
                <w:i/>
                <w:sz w:val="28"/>
                <w:szCs w:val="28"/>
              </w:rPr>
              <w:t xml:space="preserve"> v. </w:t>
            </w:r>
            <w:proofErr w:type="spellStart"/>
            <w:r w:rsidRPr="00842A40">
              <w:rPr>
                <w:rFonts w:ascii="Calibri" w:hAnsi="Calibri" w:cs="Calibri"/>
                <w:b/>
                <w:i/>
                <w:sz w:val="28"/>
                <w:szCs w:val="28"/>
              </w:rPr>
              <w:t>NMP</w:t>
            </w:r>
            <w:proofErr w:type="spellEnd"/>
            <w:r>
              <w:rPr>
                <w:rFonts w:ascii="Calibri" w:hAnsi="Calibri" w:cs="Calibri"/>
                <w:b/>
                <w:sz w:val="28"/>
                <w:szCs w:val="28"/>
              </w:rPr>
              <w:t xml:space="preserve"> (6th Cir. 2011)?</w:t>
            </w:r>
          </w:p>
        </w:tc>
        <w:tc>
          <w:tcPr>
            <w:tcW w:w="5805" w:type="dxa"/>
            <w:vAlign w:val="center"/>
          </w:tcPr>
          <w:p w14:paraId="195F90D4" w14:textId="4DCF7F20" w:rsidR="00842A40" w:rsidRPr="00842A40" w:rsidRDefault="00842A40"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proofErr w:type="spellStart"/>
            <w:r w:rsidR="00594DFE" w:rsidRPr="00594DFE">
              <w:rPr>
                <w:rFonts w:ascii="Calibri" w:hAnsi="Calibri" w:cs="Calibri"/>
                <w:b/>
                <w:i/>
                <w:sz w:val="22"/>
                <w:szCs w:val="22"/>
              </w:rPr>
              <w:t>Charvat</w:t>
            </w:r>
            <w:proofErr w:type="spellEnd"/>
            <w:r w:rsidR="00594DFE" w:rsidRPr="00594DFE">
              <w:rPr>
                <w:rFonts w:ascii="Calibri" w:hAnsi="Calibri" w:cs="Calibri"/>
                <w:b/>
                <w:i/>
                <w:sz w:val="22"/>
                <w:szCs w:val="22"/>
              </w:rPr>
              <w:t xml:space="preserve"> v. </w:t>
            </w:r>
            <w:proofErr w:type="spellStart"/>
            <w:r w:rsidR="00594DFE" w:rsidRPr="00594DFE">
              <w:rPr>
                <w:rFonts w:ascii="Calibri" w:hAnsi="Calibri" w:cs="Calibri"/>
                <w:b/>
                <w:i/>
                <w:sz w:val="22"/>
                <w:szCs w:val="22"/>
              </w:rPr>
              <w:t>NMP</w:t>
            </w:r>
            <w:proofErr w:type="spellEnd"/>
            <w:r w:rsidR="00594DFE">
              <w:rPr>
                <w:rFonts w:ascii="Calibri" w:hAnsi="Calibri" w:cs="Calibri"/>
                <w:b/>
                <w:sz w:val="22"/>
                <w:szCs w:val="22"/>
              </w:rPr>
              <w:t xml:space="preserve"> (6th Cir. 2011)</w:t>
            </w:r>
            <w:r>
              <w:rPr>
                <w:rFonts w:ascii="Calibri" w:hAnsi="Calibri" w:cs="Calibri"/>
                <w:b/>
                <w:sz w:val="22"/>
                <w:szCs w:val="22"/>
              </w:rPr>
              <w:t>, the Sixth Circuit described the “threshold requirement” of proving liability under the TCPA</w:t>
            </w:r>
            <w:r w:rsidR="006122CB">
              <w:rPr>
                <w:rFonts w:ascii="Calibri" w:hAnsi="Calibri" w:cs="Calibri"/>
                <w:b/>
                <w:sz w:val="22"/>
                <w:szCs w:val="22"/>
              </w:rPr>
              <w:t xml:space="preserve">.  </w:t>
            </w:r>
            <w:r>
              <w:rPr>
                <w:rFonts w:ascii="Calibri" w:hAnsi="Calibri" w:cs="Calibri"/>
                <w:b/>
                <w:sz w:val="22"/>
                <w:szCs w:val="22"/>
              </w:rPr>
              <w:t xml:space="preserve">There </w:t>
            </w:r>
            <w:r w:rsidRPr="00842A40">
              <w:rPr>
                <w:rFonts w:ascii="Calibri" w:hAnsi="Calibri" w:cs="Calibri"/>
                <w:b/>
                <w:sz w:val="22"/>
                <w:szCs w:val="22"/>
              </w:rPr>
              <w:t xml:space="preserve">must be (1) a relevant </w:t>
            </w:r>
            <w:r w:rsidR="00594DFE">
              <w:rPr>
                <w:rFonts w:ascii="Calibri" w:hAnsi="Calibri" w:cs="Calibri"/>
                <w:b/>
                <w:sz w:val="22"/>
                <w:szCs w:val="22"/>
              </w:rPr>
              <w:t>“</w:t>
            </w:r>
            <w:r w:rsidRPr="00842A40">
              <w:rPr>
                <w:rFonts w:ascii="Calibri" w:hAnsi="Calibri" w:cs="Calibri"/>
                <w:b/>
                <w:sz w:val="22"/>
                <w:szCs w:val="22"/>
              </w:rPr>
              <w:t>person</w:t>
            </w:r>
            <w:r>
              <w:rPr>
                <w:rFonts w:ascii="Calibri" w:hAnsi="Calibri" w:cs="Calibri"/>
                <w:b/>
                <w:sz w:val="22"/>
                <w:szCs w:val="22"/>
              </w:rPr>
              <w:t>”</w:t>
            </w:r>
            <w:r w:rsidRPr="00842A40">
              <w:rPr>
                <w:rFonts w:ascii="Calibri" w:hAnsi="Calibri" w:cs="Calibri"/>
                <w:b/>
                <w:sz w:val="22"/>
                <w:szCs w:val="22"/>
              </w:rPr>
              <w:t xml:space="preserve"> who (2) </w:t>
            </w:r>
            <w:r>
              <w:rPr>
                <w:rFonts w:ascii="Calibri" w:hAnsi="Calibri" w:cs="Calibri"/>
                <w:b/>
                <w:sz w:val="22"/>
                <w:szCs w:val="22"/>
              </w:rPr>
              <w:t>“</w:t>
            </w:r>
            <w:r w:rsidRPr="00842A40">
              <w:rPr>
                <w:rFonts w:ascii="Calibri" w:hAnsi="Calibri" w:cs="Calibri"/>
                <w:b/>
                <w:sz w:val="22"/>
                <w:szCs w:val="22"/>
              </w:rPr>
              <w:t>received more than one telephone call</w:t>
            </w:r>
            <w:r>
              <w:rPr>
                <w:rFonts w:ascii="Calibri" w:hAnsi="Calibri" w:cs="Calibri"/>
                <w:b/>
                <w:sz w:val="22"/>
                <w:szCs w:val="22"/>
              </w:rPr>
              <w:t>”</w:t>
            </w:r>
            <w:r w:rsidRPr="00842A40">
              <w:rPr>
                <w:rFonts w:ascii="Calibri" w:hAnsi="Calibri" w:cs="Calibri"/>
                <w:b/>
                <w:sz w:val="22"/>
                <w:szCs w:val="22"/>
              </w:rPr>
              <w:t xml:space="preserve"> (3) “within any 12-month period</w:t>
            </w:r>
            <w:r>
              <w:rPr>
                <w:rFonts w:ascii="Calibri" w:hAnsi="Calibri" w:cs="Calibri"/>
                <w:b/>
                <w:sz w:val="22"/>
                <w:szCs w:val="22"/>
              </w:rPr>
              <w:t>.”</w:t>
            </w:r>
          </w:p>
        </w:tc>
      </w:tr>
      <w:tr w:rsidR="007E7FBB" w:rsidRPr="00907D75" w14:paraId="508F8656" w14:textId="77777777" w:rsidTr="008649A2">
        <w:trPr>
          <w:trHeight w:val="4795"/>
        </w:trPr>
        <w:tc>
          <w:tcPr>
            <w:tcW w:w="5805" w:type="dxa"/>
            <w:vAlign w:val="center"/>
          </w:tcPr>
          <w:p w14:paraId="701C1B2E" w14:textId="204D13ED" w:rsidR="007E7FBB" w:rsidRDefault="007E7FBB"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can a plaintiff prove liability under the TCPA?</w:t>
            </w:r>
          </w:p>
        </w:tc>
        <w:tc>
          <w:tcPr>
            <w:tcW w:w="5805" w:type="dxa"/>
            <w:vAlign w:val="center"/>
          </w:tcPr>
          <w:p w14:paraId="014BB5F1" w14:textId="1C0EC83D" w:rsidR="007E7FBB" w:rsidRDefault="007E7FBB" w:rsidP="00525419">
            <w:pPr>
              <w:pStyle w:val="O-BodyText"/>
              <w:spacing w:after="120"/>
              <w:ind w:left="290" w:right="65"/>
              <w:jc w:val="both"/>
              <w:rPr>
                <w:rFonts w:ascii="Calibri" w:hAnsi="Calibri" w:cs="Calibri"/>
                <w:b/>
                <w:sz w:val="22"/>
                <w:szCs w:val="22"/>
              </w:rPr>
            </w:pPr>
            <w:r w:rsidRPr="007E7FBB">
              <w:rPr>
                <w:rFonts w:ascii="Calibri" w:hAnsi="Calibri" w:cs="Calibri"/>
                <w:b/>
                <w:sz w:val="22"/>
                <w:szCs w:val="22"/>
              </w:rPr>
              <w:t>In an individual action, a plaintiff might use a phone bill to show that she was the subscriber</w:t>
            </w:r>
            <w:r w:rsidR="00594DFE">
              <w:rPr>
                <w:rFonts w:ascii="Calibri" w:hAnsi="Calibri" w:cs="Calibri"/>
                <w:b/>
                <w:sz w:val="22"/>
                <w:szCs w:val="22"/>
              </w:rPr>
              <w:t>,</w:t>
            </w:r>
            <w:r w:rsidRPr="007E7FBB">
              <w:rPr>
                <w:rFonts w:ascii="Calibri" w:hAnsi="Calibri" w:cs="Calibri"/>
                <w:b/>
                <w:sz w:val="22"/>
                <w:szCs w:val="22"/>
              </w:rPr>
              <w:t xml:space="preserve"> and call records or testimony to show she received two calls within a year</w:t>
            </w:r>
            <w:r>
              <w:rPr>
                <w:rFonts w:ascii="Calibri" w:hAnsi="Calibri" w:cs="Calibri"/>
                <w:b/>
                <w:sz w:val="22"/>
                <w:szCs w:val="22"/>
              </w:rPr>
              <w:t>.</w:t>
            </w:r>
          </w:p>
        </w:tc>
      </w:tr>
      <w:tr w:rsidR="007E7FBB" w:rsidRPr="00907D75" w14:paraId="335D16E7" w14:textId="77777777" w:rsidTr="008649A2">
        <w:trPr>
          <w:trHeight w:val="4795"/>
        </w:trPr>
        <w:tc>
          <w:tcPr>
            <w:tcW w:w="5805" w:type="dxa"/>
            <w:vAlign w:val="center"/>
          </w:tcPr>
          <w:p w14:paraId="0599AF84" w14:textId="3E268C65" w:rsidR="007E7FBB" w:rsidRDefault="007E7FBB" w:rsidP="00525419">
            <w:pPr>
              <w:pStyle w:val="O-BodyText"/>
              <w:spacing w:after="120"/>
              <w:ind w:right="200"/>
              <w:jc w:val="both"/>
              <w:rPr>
                <w:rFonts w:ascii="Calibri" w:hAnsi="Calibri" w:cs="Calibri"/>
                <w:b/>
                <w:sz w:val="28"/>
                <w:szCs w:val="28"/>
              </w:rPr>
            </w:pPr>
            <w:r>
              <w:rPr>
                <w:rFonts w:ascii="Calibri" w:hAnsi="Calibri" w:cs="Calibri"/>
                <w:b/>
                <w:sz w:val="28"/>
                <w:szCs w:val="28"/>
              </w:rPr>
              <w:t>What instruct</w:t>
            </w:r>
            <w:r w:rsidR="00594DFE">
              <w:rPr>
                <w:rFonts w:ascii="Calibri" w:hAnsi="Calibri" w:cs="Calibri"/>
                <w:b/>
                <w:sz w:val="28"/>
                <w:szCs w:val="28"/>
              </w:rPr>
              <w:t xml:space="preserve">ions did the court give </w:t>
            </w:r>
            <w:r>
              <w:rPr>
                <w:rFonts w:ascii="Calibri" w:hAnsi="Calibri" w:cs="Calibri"/>
                <w:b/>
                <w:sz w:val="28"/>
                <w:szCs w:val="28"/>
              </w:rPr>
              <w:t>the jury about proving liability under the TCPA?</w:t>
            </w:r>
          </w:p>
        </w:tc>
        <w:tc>
          <w:tcPr>
            <w:tcW w:w="5805" w:type="dxa"/>
            <w:vAlign w:val="center"/>
          </w:tcPr>
          <w:p w14:paraId="73EF0343" w14:textId="50F3F92A" w:rsidR="007E7FBB" w:rsidRPr="007E7FBB" w:rsidRDefault="000652D4" w:rsidP="00525419">
            <w:pPr>
              <w:pStyle w:val="O-BodyText"/>
              <w:spacing w:after="120"/>
              <w:ind w:left="290" w:right="65"/>
              <w:jc w:val="both"/>
              <w:rPr>
                <w:rFonts w:ascii="Calibri" w:hAnsi="Calibri" w:cs="Calibri"/>
                <w:b/>
                <w:sz w:val="22"/>
                <w:szCs w:val="22"/>
              </w:rPr>
            </w:pPr>
            <w:r w:rsidRPr="000652D4">
              <w:rPr>
                <w:rFonts w:ascii="Calibri" w:hAnsi="Calibri" w:cs="Calibri"/>
                <w:b/>
                <w:sz w:val="22"/>
                <w:szCs w:val="22"/>
              </w:rPr>
              <w:t>Over</w:t>
            </w:r>
            <w:r>
              <w:rPr>
                <w:rFonts w:ascii="Calibri" w:hAnsi="Calibri" w:cs="Calibri"/>
                <w:b/>
                <w:sz w:val="22"/>
                <w:szCs w:val="22"/>
              </w:rPr>
              <w:t xml:space="preserve"> </w:t>
            </w:r>
            <w:proofErr w:type="spellStart"/>
            <w:r w:rsidRPr="000652D4">
              <w:rPr>
                <w:rFonts w:ascii="Calibri" w:hAnsi="Calibri" w:cs="Calibri"/>
                <w:b/>
                <w:sz w:val="22"/>
                <w:szCs w:val="22"/>
              </w:rPr>
              <w:t>DISH’s</w:t>
            </w:r>
            <w:proofErr w:type="spellEnd"/>
            <w:r w:rsidRPr="000652D4">
              <w:rPr>
                <w:rFonts w:ascii="Calibri" w:hAnsi="Calibri" w:cs="Calibri"/>
                <w:b/>
                <w:sz w:val="22"/>
                <w:szCs w:val="22"/>
              </w:rPr>
              <w:t xml:space="preserve"> objection, the court </w:t>
            </w:r>
            <w:r w:rsidR="00594DFE">
              <w:rPr>
                <w:rFonts w:ascii="Calibri" w:hAnsi="Calibri" w:cs="Calibri"/>
                <w:b/>
                <w:sz w:val="22"/>
                <w:szCs w:val="22"/>
              </w:rPr>
              <w:t>removed</w:t>
            </w:r>
            <w:r w:rsidRPr="000652D4">
              <w:rPr>
                <w:rFonts w:ascii="Calibri" w:hAnsi="Calibri" w:cs="Calibri"/>
                <w:b/>
                <w:sz w:val="22"/>
                <w:szCs w:val="22"/>
              </w:rPr>
              <w:t xml:space="preserve"> any issues </w:t>
            </w:r>
            <w:r w:rsidR="00594DFE">
              <w:rPr>
                <w:rFonts w:ascii="Calibri" w:hAnsi="Calibri" w:cs="Calibri"/>
                <w:b/>
                <w:sz w:val="22"/>
                <w:szCs w:val="22"/>
              </w:rPr>
              <w:t>about</w:t>
            </w:r>
            <w:r w:rsidRPr="000652D4">
              <w:rPr>
                <w:rFonts w:ascii="Calibri" w:hAnsi="Calibri" w:cs="Calibri"/>
                <w:b/>
                <w:sz w:val="22"/>
                <w:szCs w:val="22"/>
              </w:rPr>
              <w:t xml:space="preserve"> whe</w:t>
            </w:r>
            <w:r w:rsidR="00594DFE">
              <w:rPr>
                <w:rFonts w:ascii="Calibri" w:hAnsi="Calibri" w:cs="Calibri"/>
                <w:b/>
                <w:sz w:val="22"/>
                <w:szCs w:val="22"/>
              </w:rPr>
              <w:t xml:space="preserve">ther phone numbers were associated with </w:t>
            </w:r>
            <w:r w:rsidR="004435A8">
              <w:rPr>
                <w:rFonts w:ascii="Calibri" w:hAnsi="Calibri" w:cs="Calibri"/>
                <w:b/>
                <w:sz w:val="22"/>
                <w:szCs w:val="22"/>
              </w:rPr>
              <w:t>certain</w:t>
            </w:r>
            <w:r w:rsidRPr="000652D4">
              <w:rPr>
                <w:rFonts w:ascii="Calibri" w:hAnsi="Calibri" w:cs="Calibri"/>
                <w:b/>
                <w:sz w:val="22"/>
                <w:szCs w:val="22"/>
              </w:rPr>
              <w:t xml:space="preserve"> </w:t>
            </w:r>
            <w:r w:rsidR="00594DFE">
              <w:rPr>
                <w:rFonts w:ascii="Calibri" w:hAnsi="Calibri" w:cs="Calibri"/>
                <w:b/>
                <w:sz w:val="22"/>
                <w:szCs w:val="22"/>
              </w:rPr>
              <w:t>people.</w:t>
            </w:r>
            <w:r w:rsidR="006122CB">
              <w:rPr>
                <w:rFonts w:ascii="Calibri" w:hAnsi="Calibri" w:cs="Calibri"/>
                <w:b/>
                <w:sz w:val="22"/>
                <w:szCs w:val="22"/>
              </w:rPr>
              <w:t xml:space="preserve">  </w:t>
            </w:r>
            <w:r w:rsidRPr="000652D4">
              <w:rPr>
                <w:rFonts w:ascii="Calibri" w:hAnsi="Calibri" w:cs="Calibri"/>
                <w:b/>
                <w:sz w:val="22"/>
                <w:szCs w:val="22"/>
              </w:rPr>
              <w:t>Thus, liability could be established if SSN merely</w:t>
            </w:r>
            <w:r>
              <w:rPr>
                <w:rFonts w:ascii="Calibri" w:hAnsi="Calibri" w:cs="Calibri"/>
                <w:b/>
                <w:sz w:val="22"/>
                <w:szCs w:val="22"/>
              </w:rPr>
              <w:t xml:space="preserve"> </w:t>
            </w:r>
            <w:r w:rsidRPr="000652D4">
              <w:rPr>
                <w:rFonts w:ascii="Calibri" w:hAnsi="Calibri" w:cs="Calibri"/>
                <w:b/>
                <w:sz w:val="22"/>
                <w:szCs w:val="22"/>
              </w:rPr>
              <w:t>called the same number twice, regardless of whether a single person received both calls.</w:t>
            </w:r>
          </w:p>
        </w:tc>
      </w:tr>
      <w:tr w:rsidR="000652D4" w:rsidRPr="00907D75" w14:paraId="20488F36" w14:textId="77777777" w:rsidTr="008649A2">
        <w:trPr>
          <w:trHeight w:val="4795"/>
        </w:trPr>
        <w:tc>
          <w:tcPr>
            <w:tcW w:w="5805" w:type="dxa"/>
            <w:vAlign w:val="center"/>
          </w:tcPr>
          <w:p w14:paraId="718E9AC5" w14:textId="6FCDB90C" w:rsidR="000652D4" w:rsidRDefault="000652D4" w:rsidP="00525419">
            <w:pPr>
              <w:pStyle w:val="O-BodyText"/>
              <w:spacing w:after="120"/>
              <w:ind w:right="200"/>
              <w:jc w:val="both"/>
              <w:rPr>
                <w:rFonts w:ascii="Calibri" w:hAnsi="Calibri" w:cs="Calibri"/>
                <w:b/>
                <w:sz w:val="28"/>
                <w:szCs w:val="28"/>
              </w:rPr>
            </w:pPr>
            <w:r>
              <w:rPr>
                <w:rFonts w:ascii="Calibri" w:hAnsi="Calibri" w:cs="Calibri"/>
                <w:b/>
                <w:sz w:val="28"/>
                <w:szCs w:val="28"/>
              </w:rPr>
              <w:t>What the court tell the jury</w:t>
            </w:r>
            <w:r w:rsidR="004435A8">
              <w:rPr>
                <w:rFonts w:ascii="Calibri" w:hAnsi="Calibri" w:cs="Calibri"/>
                <w:b/>
                <w:sz w:val="28"/>
                <w:szCs w:val="28"/>
              </w:rPr>
              <w:t xml:space="preserve"> it needed to find for liability</w:t>
            </w:r>
            <w:r w:rsidR="006122CB">
              <w:rPr>
                <w:rFonts w:ascii="Calibri" w:hAnsi="Calibri" w:cs="Calibri"/>
                <w:b/>
                <w:sz w:val="28"/>
                <w:szCs w:val="28"/>
              </w:rPr>
              <w:t xml:space="preserve">?  </w:t>
            </w:r>
          </w:p>
        </w:tc>
        <w:tc>
          <w:tcPr>
            <w:tcW w:w="5805" w:type="dxa"/>
            <w:vAlign w:val="center"/>
          </w:tcPr>
          <w:p w14:paraId="06D47992" w14:textId="7479DC5E" w:rsidR="000652D4" w:rsidRPr="000652D4" w:rsidRDefault="000652D4" w:rsidP="00525419">
            <w:pPr>
              <w:pStyle w:val="O-BodyText"/>
              <w:spacing w:after="120"/>
              <w:ind w:left="290" w:right="65"/>
              <w:jc w:val="both"/>
              <w:rPr>
                <w:rFonts w:ascii="Calibri" w:hAnsi="Calibri" w:cs="Calibri"/>
                <w:b/>
                <w:sz w:val="22"/>
                <w:szCs w:val="22"/>
              </w:rPr>
            </w:pPr>
            <w:r w:rsidRPr="000652D4">
              <w:rPr>
                <w:rFonts w:ascii="Calibri" w:hAnsi="Calibri" w:cs="Calibri"/>
                <w:b/>
                <w:sz w:val="22"/>
                <w:szCs w:val="22"/>
              </w:rPr>
              <w:t xml:space="preserve">The court told the jury that its job </w:t>
            </w:r>
            <w:r w:rsidR="004435A8">
              <w:rPr>
                <w:rFonts w:ascii="Calibri" w:hAnsi="Calibri" w:cs="Calibri"/>
                <w:b/>
                <w:sz w:val="22"/>
                <w:szCs w:val="22"/>
              </w:rPr>
              <w:t>was</w:t>
            </w:r>
            <w:r w:rsidRPr="000652D4">
              <w:rPr>
                <w:rFonts w:ascii="Calibri" w:hAnsi="Calibri" w:cs="Calibri"/>
                <w:b/>
                <w:sz w:val="22"/>
                <w:szCs w:val="22"/>
              </w:rPr>
              <w:t xml:space="preserve"> to decide whether SSN made </w:t>
            </w:r>
            <w:r w:rsidR="004435A8">
              <w:rPr>
                <w:rFonts w:ascii="Calibri" w:hAnsi="Calibri" w:cs="Calibri"/>
                <w:b/>
                <w:sz w:val="22"/>
                <w:szCs w:val="22"/>
              </w:rPr>
              <w:t>at least two solicitation calls numbers on the Do Not Call list</w:t>
            </w:r>
            <w:proofErr w:type="gramStart"/>
            <w:r w:rsidR="004435A8">
              <w:rPr>
                <w:rFonts w:ascii="Calibri" w:hAnsi="Calibri" w:cs="Calibri"/>
                <w:b/>
                <w:sz w:val="22"/>
                <w:szCs w:val="22"/>
              </w:rPr>
              <w:t xml:space="preserve">. </w:t>
            </w:r>
            <w:proofErr w:type="gramEnd"/>
            <w:r w:rsidR="00080628">
              <w:rPr>
                <w:rFonts w:ascii="Calibri" w:hAnsi="Calibri" w:cs="Calibri"/>
                <w:b/>
                <w:sz w:val="22"/>
                <w:szCs w:val="22"/>
              </w:rPr>
              <w:t>For example, the court stated: “</w:t>
            </w:r>
            <w:r w:rsidR="00080628" w:rsidRPr="00080628">
              <w:rPr>
                <w:rFonts w:ascii="Calibri" w:hAnsi="Calibri" w:cs="Calibri"/>
                <w:b/>
                <w:sz w:val="22"/>
                <w:szCs w:val="22"/>
              </w:rPr>
              <w:t>Dr. Krakauer does not have to prove here whether names or addresses match up with phone numbers.… Krakauer must prove … that … SSN called the number at least twice during any 12-month period</w:t>
            </w:r>
            <w:r w:rsidR="00080628">
              <w:rPr>
                <w:rFonts w:ascii="Calibri" w:hAnsi="Calibri" w:cs="Calibri"/>
                <w:b/>
                <w:sz w:val="22"/>
                <w:szCs w:val="22"/>
              </w:rPr>
              <w:t>.</w:t>
            </w:r>
            <w:r w:rsidR="004435A8">
              <w:rPr>
                <w:rFonts w:ascii="Calibri" w:hAnsi="Calibri" w:cs="Calibri"/>
                <w:b/>
                <w:sz w:val="22"/>
                <w:szCs w:val="22"/>
              </w:rPr>
              <w:t>”</w:t>
            </w:r>
          </w:p>
        </w:tc>
      </w:tr>
      <w:tr w:rsidR="000535C9" w:rsidRPr="00907D75" w14:paraId="6DD2326D" w14:textId="77777777" w:rsidTr="008649A2">
        <w:trPr>
          <w:trHeight w:val="4795"/>
        </w:trPr>
        <w:tc>
          <w:tcPr>
            <w:tcW w:w="5805" w:type="dxa"/>
            <w:vAlign w:val="center"/>
          </w:tcPr>
          <w:p w14:paraId="6C6197EB" w14:textId="29F07C9B" w:rsidR="000535C9" w:rsidRDefault="000535C9"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Why </w:t>
            </w:r>
            <w:r w:rsidR="004435A8">
              <w:rPr>
                <w:rFonts w:ascii="Calibri" w:hAnsi="Calibri" w:cs="Calibri"/>
                <w:b/>
                <w:sz w:val="28"/>
                <w:szCs w:val="28"/>
              </w:rPr>
              <w:t xml:space="preserve">was it incorrect to charge the jury with finding </w:t>
            </w:r>
            <w:r>
              <w:rPr>
                <w:rFonts w:ascii="Calibri" w:hAnsi="Calibri" w:cs="Calibri"/>
                <w:b/>
                <w:sz w:val="28"/>
                <w:szCs w:val="28"/>
              </w:rPr>
              <w:t xml:space="preserve">two calls </w:t>
            </w:r>
            <w:r w:rsidR="004435A8">
              <w:rPr>
                <w:rFonts w:ascii="Calibri" w:hAnsi="Calibri" w:cs="Calibri"/>
                <w:b/>
                <w:sz w:val="28"/>
                <w:szCs w:val="28"/>
              </w:rPr>
              <w:t xml:space="preserve">by SSN </w:t>
            </w:r>
            <w:r>
              <w:rPr>
                <w:rFonts w:ascii="Calibri" w:hAnsi="Calibri" w:cs="Calibri"/>
                <w:b/>
                <w:sz w:val="28"/>
                <w:szCs w:val="28"/>
              </w:rPr>
              <w:t xml:space="preserve">to </w:t>
            </w:r>
            <w:r w:rsidR="004435A8">
              <w:rPr>
                <w:rFonts w:ascii="Calibri" w:hAnsi="Calibri" w:cs="Calibri"/>
                <w:b/>
                <w:sz w:val="28"/>
                <w:szCs w:val="28"/>
              </w:rPr>
              <w:t>numbers on the Do Not Call list</w:t>
            </w:r>
            <w:r>
              <w:rPr>
                <w:rFonts w:ascii="Calibri" w:hAnsi="Calibri" w:cs="Calibri"/>
                <w:b/>
                <w:sz w:val="28"/>
                <w:szCs w:val="28"/>
              </w:rPr>
              <w:t>?</w:t>
            </w:r>
          </w:p>
        </w:tc>
        <w:tc>
          <w:tcPr>
            <w:tcW w:w="5805" w:type="dxa"/>
            <w:vAlign w:val="center"/>
          </w:tcPr>
          <w:p w14:paraId="770DF739" w14:textId="05024328" w:rsidR="000535C9" w:rsidRPr="000652D4" w:rsidRDefault="000535C9" w:rsidP="00525419">
            <w:pPr>
              <w:pStyle w:val="O-BodyText"/>
              <w:spacing w:after="120"/>
              <w:ind w:left="290" w:right="65"/>
              <w:jc w:val="both"/>
              <w:rPr>
                <w:rFonts w:ascii="Calibri" w:hAnsi="Calibri" w:cs="Calibri"/>
                <w:b/>
                <w:sz w:val="22"/>
                <w:szCs w:val="22"/>
              </w:rPr>
            </w:pPr>
            <w:r w:rsidRPr="000535C9">
              <w:rPr>
                <w:rFonts w:ascii="Calibri" w:hAnsi="Calibri" w:cs="Calibri"/>
                <w:b/>
                <w:sz w:val="22"/>
                <w:szCs w:val="22"/>
              </w:rPr>
              <w:t>T</w:t>
            </w:r>
            <w:r>
              <w:rPr>
                <w:rFonts w:ascii="Calibri" w:hAnsi="Calibri" w:cs="Calibri"/>
                <w:b/>
                <w:sz w:val="22"/>
                <w:szCs w:val="22"/>
              </w:rPr>
              <w:t>he problem is that t</w:t>
            </w:r>
            <w:r w:rsidRPr="000535C9">
              <w:rPr>
                <w:rFonts w:ascii="Calibri" w:hAnsi="Calibri" w:cs="Calibri"/>
                <w:b/>
                <w:sz w:val="22"/>
                <w:szCs w:val="22"/>
              </w:rPr>
              <w:t xml:space="preserve">wo calls to the </w:t>
            </w:r>
            <w:r w:rsidRPr="000535C9">
              <w:rPr>
                <w:rFonts w:ascii="Calibri" w:hAnsi="Calibri" w:cs="Calibri"/>
                <w:b/>
                <w:i/>
                <w:sz w:val="22"/>
                <w:szCs w:val="22"/>
              </w:rPr>
              <w:t>same number</w:t>
            </w:r>
            <w:r w:rsidRPr="000535C9">
              <w:rPr>
                <w:rFonts w:ascii="Calibri" w:hAnsi="Calibri" w:cs="Calibri"/>
                <w:b/>
                <w:sz w:val="22"/>
                <w:szCs w:val="22"/>
              </w:rPr>
              <w:t xml:space="preserve"> is not the</w:t>
            </w:r>
            <w:r>
              <w:rPr>
                <w:rFonts w:ascii="Calibri" w:hAnsi="Calibri" w:cs="Calibri"/>
                <w:b/>
                <w:sz w:val="22"/>
                <w:szCs w:val="22"/>
              </w:rPr>
              <w:t xml:space="preserve"> </w:t>
            </w:r>
            <w:r w:rsidRPr="000535C9">
              <w:rPr>
                <w:rFonts w:ascii="Calibri" w:hAnsi="Calibri" w:cs="Calibri"/>
                <w:b/>
                <w:sz w:val="22"/>
                <w:szCs w:val="22"/>
              </w:rPr>
              <w:t xml:space="preserve">same thing as two calls received by the </w:t>
            </w:r>
            <w:r w:rsidRPr="000535C9">
              <w:rPr>
                <w:rFonts w:ascii="Calibri" w:hAnsi="Calibri" w:cs="Calibri"/>
                <w:b/>
                <w:i/>
                <w:sz w:val="22"/>
                <w:szCs w:val="22"/>
              </w:rPr>
              <w:t>same person</w:t>
            </w:r>
            <w:r w:rsidRPr="000535C9">
              <w:rPr>
                <w:rFonts w:ascii="Calibri" w:hAnsi="Calibri" w:cs="Calibri"/>
                <w:b/>
                <w:sz w:val="22"/>
                <w:szCs w:val="22"/>
              </w:rPr>
              <w:t>.  That’s because, among other reasons, phone numbers change hands</w:t>
            </w:r>
            <w:r>
              <w:rPr>
                <w:rFonts w:ascii="Calibri" w:hAnsi="Calibri" w:cs="Calibri"/>
                <w:b/>
                <w:sz w:val="22"/>
                <w:szCs w:val="22"/>
              </w:rPr>
              <w:t xml:space="preserve">.  A call placed to a number in January </w:t>
            </w:r>
            <w:r w:rsidRPr="000535C9">
              <w:rPr>
                <w:rFonts w:ascii="Calibri" w:hAnsi="Calibri" w:cs="Calibri"/>
                <w:b/>
                <w:sz w:val="22"/>
                <w:szCs w:val="22"/>
              </w:rPr>
              <w:t xml:space="preserve">wouldn’t </w:t>
            </w:r>
            <w:r w:rsidR="004435A8">
              <w:rPr>
                <w:rFonts w:ascii="Calibri" w:hAnsi="Calibri" w:cs="Calibri"/>
                <w:b/>
                <w:sz w:val="22"/>
                <w:szCs w:val="22"/>
              </w:rPr>
              <w:t xml:space="preserve">necessarily </w:t>
            </w:r>
            <w:r w:rsidRPr="000535C9">
              <w:rPr>
                <w:rFonts w:ascii="Calibri" w:hAnsi="Calibri" w:cs="Calibri"/>
                <w:b/>
                <w:sz w:val="22"/>
                <w:szCs w:val="22"/>
              </w:rPr>
              <w:t xml:space="preserve">be received by the same person as a call </w:t>
            </w:r>
            <w:r w:rsidR="004435A8">
              <w:rPr>
                <w:rFonts w:ascii="Calibri" w:hAnsi="Calibri" w:cs="Calibri"/>
                <w:b/>
                <w:sz w:val="22"/>
                <w:szCs w:val="22"/>
              </w:rPr>
              <w:t>placed to the same number</w:t>
            </w:r>
            <w:r w:rsidRPr="000535C9">
              <w:rPr>
                <w:rFonts w:ascii="Calibri" w:hAnsi="Calibri" w:cs="Calibri"/>
                <w:b/>
                <w:sz w:val="22"/>
                <w:szCs w:val="22"/>
              </w:rPr>
              <w:t xml:space="preserve"> in October if the original recipient moved or canceled their landline</w:t>
            </w:r>
            <w:r w:rsidR="004435A8">
              <w:rPr>
                <w:rFonts w:ascii="Calibri" w:hAnsi="Calibri" w:cs="Calibri"/>
                <w:b/>
                <w:sz w:val="22"/>
                <w:szCs w:val="22"/>
              </w:rPr>
              <w:t>.</w:t>
            </w:r>
          </w:p>
        </w:tc>
      </w:tr>
      <w:tr w:rsidR="00405FC1" w:rsidRPr="00907D75" w14:paraId="737A8269" w14:textId="77777777" w:rsidTr="008649A2">
        <w:trPr>
          <w:trHeight w:val="4795"/>
        </w:trPr>
        <w:tc>
          <w:tcPr>
            <w:tcW w:w="5805" w:type="dxa"/>
            <w:vAlign w:val="center"/>
          </w:tcPr>
          <w:p w14:paraId="01258951" w14:textId="02C74973" w:rsidR="00405FC1" w:rsidRDefault="00405FC1"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standard of review for jury instructions?</w:t>
            </w:r>
          </w:p>
        </w:tc>
        <w:tc>
          <w:tcPr>
            <w:tcW w:w="5805" w:type="dxa"/>
            <w:vAlign w:val="center"/>
          </w:tcPr>
          <w:p w14:paraId="18118726" w14:textId="01892D03" w:rsidR="00405FC1" w:rsidRPr="000535C9" w:rsidRDefault="00405FC1"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405FC1">
              <w:rPr>
                <w:rFonts w:ascii="Calibri" w:hAnsi="Calibri" w:cs="Calibri"/>
                <w:b/>
                <w:sz w:val="22"/>
                <w:szCs w:val="22"/>
              </w:rPr>
              <w:t xml:space="preserve">he court reviews </w:t>
            </w:r>
            <w:r>
              <w:rPr>
                <w:rFonts w:ascii="Calibri" w:hAnsi="Calibri" w:cs="Calibri"/>
                <w:b/>
                <w:sz w:val="22"/>
                <w:szCs w:val="22"/>
              </w:rPr>
              <w:t xml:space="preserve">jury instructions </w:t>
            </w:r>
            <w:r w:rsidRPr="00405FC1">
              <w:rPr>
                <w:rFonts w:ascii="Calibri" w:hAnsi="Calibri" w:cs="Calibri"/>
                <w:b/>
                <w:sz w:val="22"/>
                <w:szCs w:val="22"/>
              </w:rPr>
              <w:t>de</w:t>
            </w:r>
            <w:r>
              <w:rPr>
                <w:rFonts w:ascii="Calibri" w:hAnsi="Calibri" w:cs="Calibri"/>
                <w:b/>
                <w:sz w:val="22"/>
                <w:szCs w:val="22"/>
              </w:rPr>
              <w:t xml:space="preserve"> n</w:t>
            </w:r>
            <w:r w:rsidRPr="00405FC1">
              <w:rPr>
                <w:rFonts w:ascii="Calibri" w:hAnsi="Calibri" w:cs="Calibri"/>
                <w:b/>
                <w:sz w:val="22"/>
                <w:szCs w:val="22"/>
              </w:rPr>
              <w:t>ovo</w:t>
            </w:r>
            <w:r w:rsidR="006122CB">
              <w:rPr>
                <w:rFonts w:ascii="Calibri" w:hAnsi="Calibri" w:cs="Calibri"/>
                <w:b/>
                <w:sz w:val="22"/>
                <w:szCs w:val="22"/>
              </w:rPr>
              <w:t xml:space="preserve">.  </w:t>
            </w:r>
            <w:r w:rsidRPr="00405FC1">
              <w:rPr>
                <w:rFonts w:ascii="Calibri" w:hAnsi="Calibri" w:cs="Calibri"/>
                <w:b/>
                <w:i/>
                <w:sz w:val="22"/>
                <w:szCs w:val="22"/>
              </w:rPr>
              <w:t xml:space="preserve">United States v. </w:t>
            </w:r>
            <w:proofErr w:type="spellStart"/>
            <w:r w:rsidRPr="00405FC1">
              <w:rPr>
                <w:rFonts w:ascii="Calibri" w:hAnsi="Calibri" w:cs="Calibri"/>
                <w:b/>
                <w:i/>
                <w:sz w:val="22"/>
                <w:szCs w:val="22"/>
              </w:rPr>
              <w:t>Mouzone</w:t>
            </w:r>
            <w:proofErr w:type="spellEnd"/>
            <w:r>
              <w:rPr>
                <w:rFonts w:ascii="Calibri" w:hAnsi="Calibri" w:cs="Calibri"/>
                <w:b/>
                <w:sz w:val="22"/>
                <w:szCs w:val="22"/>
              </w:rPr>
              <w:t xml:space="preserve"> </w:t>
            </w:r>
            <w:r w:rsidRPr="00405FC1">
              <w:rPr>
                <w:rFonts w:ascii="Calibri" w:hAnsi="Calibri" w:cs="Calibri"/>
                <w:b/>
                <w:sz w:val="22"/>
                <w:szCs w:val="22"/>
              </w:rPr>
              <w:t>(4th Cir. 2012)</w:t>
            </w:r>
            <w:r>
              <w:rPr>
                <w:rFonts w:ascii="Calibri" w:hAnsi="Calibri" w:cs="Calibri"/>
                <w:b/>
                <w:sz w:val="22"/>
                <w:szCs w:val="22"/>
              </w:rPr>
              <w:t>.</w:t>
            </w:r>
          </w:p>
        </w:tc>
      </w:tr>
      <w:tr w:rsidR="008A5CF4" w:rsidRPr="00907D75" w14:paraId="2DB0B81D" w14:textId="77777777" w:rsidTr="008649A2">
        <w:trPr>
          <w:trHeight w:val="4795"/>
        </w:trPr>
        <w:tc>
          <w:tcPr>
            <w:tcW w:w="5805" w:type="dxa"/>
            <w:vAlign w:val="center"/>
          </w:tcPr>
          <w:p w14:paraId="1C02BB51" w14:textId="4872660A" w:rsidR="008A5CF4" w:rsidRDefault="008A5CF4" w:rsidP="00525419">
            <w:pPr>
              <w:pStyle w:val="O-BodyText"/>
              <w:spacing w:after="120"/>
              <w:ind w:right="200"/>
              <w:jc w:val="both"/>
              <w:rPr>
                <w:rFonts w:ascii="Calibri" w:hAnsi="Calibri" w:cs="Calibri"/>
                <w:b/>
                <w:sz w:val="28"/>
                <w:szCs w:val="28"/>
              </w:rPr>
            </w:pPr>
            <w:r w:rsidRPr="004929A4">
              <w:rPr>
                <w:rFonts w:ascii="Calibri" w:hAnsi="Calibri" w:cs="Calibri"/>
                <w:b/>
                <w:sz w:val="28"/>
                <w:szCs w:val="28"/>
              </w:rPr>
              <w:t>What is the standard of review for</w:t>
            </w:r>
            <w:r>
              <w:rPr>
                <w:rFonts w:ascii="Calibri" w:hAnsi="Calibri" w:cs="Calibri"/>
                <w:b/>
                <w:sz w:val="28"/>
                <w:szCs w:val="28"/>
              </w:rPr>
              <w:t xml:space="preserve"> jury instructions?</w:t>
            </w:r>
          </w:p>
        </w:tc>
        <w:tc>
          <w:tcPr>
            <w:tcW w:w="5805" w:type="dxa"/>
            <w:vAlign w:val="center"/>
          </w:tcPr>
          <w:p w14:paraId="2FD8DD5B" w14:textId="67C16F7D" w:rsidR="008A5CF4" w:rsidRDefault="008A5CF4" w:rsidP="00525419">
            <w:pPr>
              <w:pStyle w:val="O-BodyText"/>
              <w:spacing w:after="120"/>
              <w:ind w:left="290" w:right="65"/>
              <w:jc w:val="both"/>
              <w:rPr>
                <w:rFonts w:ascii="Calibri" w:hAnsi="Calibri" w:cs="Calibri"/>
                <w:b/>
                <w:sz w:val="22"/>
                <w:szCs w:val="22"/>
              </w:rPr>
            </w:pPr>
            <w:r w:rsidRPr="008A0E35">
              <w:rPr>
                <w:rFonts w:ascii="Calibri" w:hAnsi="Calibri" w:cs="Calibri"/>
                <w:b/>
                <w:sz w:val="22"/>
                <w:szCs w:val="22"/>
                <w:highlight w:val="yellow"/>
              </w:rPr>
              <w:t>From Krakauer’s brief</w:t>
            </w:r>
            <w:proofErr w:type="gramStart"/>
            <w:r w:rsidRPr="008A0E35">
              <w:rPr>
                <w:rFonts w:ascii="Calibri" w:hAnsi="Calibri" w:cs="Calibri"/>
                <w:b/>
                <w:sz w:val="22"/>
                <w:szCs w:val="22"/>
                <w:highlight w:val="yellow"/>
              </w:rPr>
              <w:t>:  “</w:t>
            </w:r>
            <w:proofErr w:type="gramEnd"/>
            <w:r w:rsidRPr="008A0E35">
              <w:rPr>
                <w:rFonts w:ascii="Calibri" w:hAnsi="Calibri" w:cs="Calibri"/>
                <w:b/>
                <w:sz w:val="22"/>
                <w:szCs w:val="22"/>
                <w:highlight w:val="yellow"/>
              </w:rPr>
              <w:t xml:space="preserve">The test for the adequacy of jury instructions is whether the jury charge, construed as a whole, adequately states the controlling legal principle without misleading or confusing the jury.” </w:t>
            </w:r>
            <w:r w:rsidRPr="008A0E35">
              <w:rPr>
                <w:rFonts w:ascii="Calibri" w:hAnsi="Calibri" w:cs="Calibri"/>
                <w:b/>
                <w:i/>
                <w:sz w:val="22"/>
                <w:szCs w:val="22"/>
                <w:highlight w:val="yellow"/>
              </w:rPr>
              <w:t xml:space="preserve">Chaudhry v. </w:t>
            </w:r>
            <w:proofErr w:type="spellStart"/>
            <w:r w:rsidRPr="008A0E35">
              <w:rPr>
                <w:rFonts w:ascii="Calibri" w:hAnsi="Calibri" w:cs="Calibri"/>
                <w:b/>
                <w:i/>
                <w:sz w:val="22"/>
                <w:szCs w:val="22"/>
                <w:highlight w:val="yellow"/>
              </w:rPr>
              <w:t>Gallezer</w:t>
            </w:r>
            <w:proofErr w:type="spellEnd"/>
            <w:r w:rsidRPr="008A0E35">
              <w:rPr>
                <w:rFonts w:ascii="Calibri" w:hAnsi="Calibri" w:cs="Calibri"/>
                <w:b/>
                <w:sz w:val="22"/>
                <w:szCs w:val="22"/>
                <w:highlight w:val="yellow"/>
              </w:rPr>
              <w:t xml:space="preserve"> (4th Cir. 1999).  AB26.</w:t>
            </w:r>
          </w:p>
        </w:tc>
      </w:tr>
      <w:tr w:rsidR="00973BAD" w:rsidRPr="00907D75" w14:paraId="45F87009" w14:textId="77777777" w:rsidTr="008649A2">
        <w:trPr>
          <w:trHeight w:val="4795"/>
        </w:trPr>
        <w:tc>
          <w:tcPr>
            <w:tcW w:w="5805" w:type="dxa"/>
            <w:vAlign w:val="center"/>
          </w:tcPr>
          <w:p w14:paraId="08B46546" w14:textId="708E46C6" w:rsidR="00973BAD" w:rsidRDefault="00973BA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How did the </w:t>
            </w:r>
            <w:r w:rsidR="004435A8">
              <w:rPr>
                <w:rFonts w:ascii="Calibri" w:hAnsi="Calibri" w:cs="Calibri"/>
                <w:b/>
                <w:sz w:val="28"/>
                <w:szCs w:val="28"/>
              </w:rPr>
              <w:t xml:space="preserve">court’s instruction about </w:t>
            </w:r>
            <w:r w:rsidR="004435A8" w:rsidRPr="004435A8">
              <w:rPr>
                <w:rFonts w:ascii="Calibri" w:hAnsi="Calibri" w:cs="Calibri"/>
                <w:b/>
                <w:sz w:val="28"/>
                <w:szCs w:val="28"/>
              </w:rPr>
              <w:t xml:space="preserve">finding two calls to numbers on the Do Not Call list </w:t>
            </w:r>
            <w:r>
              <w:rPr>
                <w:rFonts w:ascii="Calibri" w:hAnsi="Calibri" w:cs="Calibri"/>
                <w:b/>
                <w:sz w:val="28"/>
                <w:szCs w:val="28"/>
              </w:rPr>
              <w:t>affect the verdict?</w:t>
            </w:r>
          </w:p>
        </w:tc>
        <w:tc>
          <w:tcPr>
            <w:tcW w:w="5805" w:type="dxa"/>
            <w:vAlign w:val="center"/>
          </w:tcPr>
          <w:p w14:paraId="0B9DF624" w14:textId="608FDD9A" w:rsidR="00973BAD" w:rsidRDefault="00EC7788"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evidence was presented </w:t>
            </w:r>
            <w:r w:rsidR="004435A8">
              <w:rPr>
                <w:rFonts w:ascii="Calibri" w:hAnsi="Calibri" w:cs="Calibri"/>
                <w:b/>
                <w:sz w:val="22"/>
                <w:szCs w:val="22"/>
              </w:rPr>
              <w:t xml:space="preserve">at trial </w:t>
            </w:r>
            <w:r>
              <w:rPr>
                <w:rFonts w:ascii="Calibri" w:hAnsi="Calibri" w:cs="Calibri"/>
                <w:b/>
                <w:sz w:val="22"/>
                <w:szCs w:val="22"/>
              </w:rPr>
              <w:t>that could have supported liability.</w:t>
            </w:r>
          </w:p>
        </w:tc>
      </w:tr>
      <w:tr w:rsidR="00EC7788" w:rsidRPr="00907D75" w14:paraId="377A7A3A" w14:textId="77777777" w:rsidTr="008649A2">
        <w:trPr>
          <w:trHeight w:val="4795"/>
        </w:trPr>
        <w:tc>
          <w:tcPr>
            <w:tcW w:w="5805" w:type="dxa"/>
            <w:vAlign w:val="center"/>
          </w:tcPr>
          <w:p w14:paraId="55B4D412" w14:textId="03B641AC" w:rsidR="00EC7788" w:rsidRDefault="00EC7788" w:rsidP="00525419">
            <w:pPr>
              <w:pStyle w:val="O-BodyText"/>
              <w:spacing w:after="120"/>
              <w:ind w:right="200"/>
              <w:jc w:val="both"/>
              <w:rPr>
                <w:rFonts w:ascii="Calibri" w:hAnsi="Calibri" w:cs="Calibri"/>
                <w:b/>
                <w:sz w:val="28"/>
                <w:szCs w:val="28"/>
              </w:rPr>
            </w:pPr>
            <w:r>
              <w:rPr>
                <w:rFonts w:ascii="Calibri" w:hAnsi="Calibri" w:cs="Calibri"/>
                <w:b/>
                <w:sz w:val="28"/>
                <w:szCs w:val="28"/>
              </w:rPr>
              <w:t>What did Krakauer prove</w:t>
            </w:r>
            <w:r w:rsidR="00A24871">
              <w:rPr>
                <w:rFonts w:ascii="Calibri" w:hAnsi="Calibri" w:cs="Calibri"/>
                <w:b/>
                <w:sz w:val="28"/>
                <w:szCs w:val="28"/>
              </w:rPr>
              <w:t xml:space="preserve"> at trial</w:t>
            </w:r>
            <w:r>
              <w:rPr>
                <w:rFonts w:ascii="Calibri" w:hAnsi="Calibri" w:cs="Calibri"/>
                <w:b/>
                <w:sz w:val="28"/>
                <w:szCs w:val="28"/>
              </w:rPr>
              <w:t>?</w:t>
            </w:r>
          </w:p>
        </w:tc>
        <w:tc>
          <w:tcPr>
            <w:tcW w:w="5805" w:type="dxa"/>
            <w:vAlign w:val="center"/>
          </w:tcPr>
          <w:p w14:paraId="15389A0C" w14:textId="15B5059D" w:rsidR="00EC7788" w:rsidRDefault="00EC7788" w:rsidP="00525419">
            <w:pPr>
              <w:pStyle w:val="O-BodyText"/>
              <w:spacing w:after="120"/>
              <w:ind w:left="290" w:right="65"/>
              <w:jc w:val="both"/>
              <w:rPr>
                <w:rFonts w:ascii="Calibri" w:hAnsi="Calibri" w:cs="Calibri"/>
                <w:b/>
                <w:sz w:val="22"/>
                <w:szCs w:val="22"/>
              </w:rPr>
            </w:pPr>
            <w:r w:rsidRPr="005A1D09">
              <w:rPr>
                <w:rFonts w:ascii="Calibri" w:hAnsi="Calibri" w:cs="Calibri"/>
                <w:b/>
                <w:sz w:val="22"/>
                <w:szCs w:val="22"/>
              </w:rPr>
              <w:t xml:space="preserve">Krakauer’s sole proof </w:t>
            </w:r>
            <w:r w:rsidR="00A24871">
              <w:rPr>
                <w:rFonts w:ascii="Calibri" w:hAnsi="Calibri" w:cs="Calibri"/>
                <w:b/>
                <w:sz w:val="22"/>
                <w:szCs w:val="22"/>
              </w:rPr>
              <w:t xml:space="preserve">at trial </w:t>
            </w:r>
            <w:r w:rsidRPr="005A1D09">
              <w:rPr>
                <w:rFonts w:ascii="Calibri" w:hAnsi="Calibri" w:cs="Calibri"/>
                <w:b/>
                <w:sz w:val="22"/>
                <w:szCs w:val="22"/>
              </w:rPr>
              <w:t xml:space="preserve">was a list of phone numbers that SSN had called.  </w:t>
            </w:r>
            <w:r w:rsidR="00A24871">
              <w:rPr>
                <w:rFonts w:ascii="Calibri" w:hAnsi="Calibri" w:cs="Calibri"/>
                <w:b/>
                <w:sz w:val="22"/>
                <w:szCs w:val="22"/>
              </w:rPr>
              <w:t xml:space="preserve">But </w:t>
            </w:r>
            <w:r w:rsidRPr="005A1D09">
              <w:rPr>
                <w:rFonts w:ascii="Calibri" w:hAnsi="Calibri" w:cs="Calibri"/>
                <w:b/>
                <w:sz w:val="22"/>
                <w:szCs w:val="22"/>
              </w:rPr>
              <w:t xml:space="preserve">Krakauer introduced no evidence and made no argument that the phone numbers didn’t change hands, or that any </w:t>
            </w:r>
            <w:r>
              <w:rPr>
                <w:rFonts w:ascii="Calibri" w:hAnsi="Calibri" w:cs="Calibri"/>
                <w:b/>
                <w:sz w:val="22"/>
                <w:szCs w:val="22"/>
              </w:rPr>
              <w:t>person</w:t>
            </w:r>
            <w:r w:rsidRPr="005A1D09">
              <w:rPr>
                <w:rFonts w:ascii="Calibri" w:hAnsi="Calibri" w:cs="Calibri"/>
                <w:b/>
                <w:sz w:val="22"/>
                <w:szCs w:val="22"/>
              </w:rPr>
              <w:t xml:space="preserve"> (apart from himself) received both calls.</w:t>
            </w:r>
          </w:p>
        </w:tc>
      </w:tr>
      <w:tr w:rsidR="00973BAD" w:rsidRPr="00907D75" w14:paraId="59D576B2" w14:textId="77777777" w:rsidTr="008649A2">
        <w:trPr>
          <w:trHeight w:val="4795"/>
        </w:trPr>
        <w:tc>
          <w:tcPr>
            <w:tcW w:w="5805" w:type="dxa"/>
            <w:vAlign w:val="center"/>
          </w:tcPr>
          <w:p w14:paraId="6CECBD61" w14:textId="058DBFFD" w:rsidR="00973BAD" w:rsidRDefault="00973BAD" w:rsidP="00525419">
            <w:pPr>
              <w:pStyle w:val="O-BodyText"/>
              <w:spacing w:after="120"/>
              <w:ind w:right="200"/>
              <w:jc w:val="both"/>
              <w:rPr>
                <w:rFonts w:ascii="Calibri" w:hAnsi="Calibri" w:cs="Calibri"/>
                <w:b/>
                <w:sz w:val="28"/>
                <w:szCs w:val="28"/>
              </w:rPr>
            </w:pPr>
            <w:r>
              <w:rPr>
                <w:rFonts w:ascii="Calibri" w:hAnsi="Calibri" w:cs="Calibri"/>
                <w:b/>
                <w:sz w:val="28"/>
                <w:szCs w:val="28"/>
              </w:rPr>
              <w:t>What is required to vacate a jury verdict?</w:t>
            </w:r>
          </w:p>
        </w:tc>
        <w:tc>
          <w:tcPr>
            <w:tcW w:w="5805" w:type="dxa"/>
            <w:vAlign w:val="center"/>
          </w:tcPr>
          <w:p w14:paraId="512A2B8C" w14:textId="707D8F38" w:rsidR="00973BAD" w:rsidRDefault="00973BAD" w:rsidP="00525419">
            <w:pPr>
              <w:pStyle w:val="O-BodyText"/>
              <w:spacing w:after="120"/>
              <w:ind w:left="290" w:right="65"/>
              <w:jc w:val="both"/>
              <w:rPr>
                <w:rFonts w:ascii="Calibri" w:hAnsi="Calibri" w:cs="Calibri"/>
                <w:b/>
                <w:sz w:val="22"/>
                <w:szCs w:val="22"/>
              </w:rPr>
            </w:pPr>
            <w:r>
              <w:rPr>
                <w:rFonts w:ascii="Calibri" w:hAnsi="Calibri" w:cs="Calibri"/>
                <w:b/>
                <w:sz w:val="22"/>
                <w:szCs w:val="22"/>
              </w:rPr>
              <w:t>V</w:t>
            </w:r>
            <w:r w:rsidRPr="00973BAD">
              <w:rPr>
                <w:rFonts w:ascii="Calibri" w:hAnsi="Calibri" w:cs="Calibri"/>
                <w:b/>
                <w:sz w:val="22"/>
                <w:szCs w:val="22"/>
              </w:rPr>
              <w:t>acatur requires “a reasonable probability that the erroneous instruction affected the jury’s</w:t>
            </w:r>
            <w:r>
              <w:rPr>
                <w:rFonts w:ascii="Calibri" w:hAnsi="Calibri" w:cs="Calibri"/>
                <w:b/>
                <w:sz w:val="22"/>
                <w:szCs w:val="22"/>
              </w:rPr>
              <w:t xml:space="preserve"> </w:t>
            </w:r>
            <w:r w:rsidRPr="00973BAD">
              <w:rPr>
                <w:rFonts w:ascii="Calibri" w:hAnsi="Calibri" w:cs="Calibri"/>
                <w:b/>
                <w:sz w:val="22"/>
                <w:szCs w:val="22"/>
              </w:rPr>
              <w:t>verdict</w:t>
            </w:r>
            <w:r w:rsidR="006122CB">
              <w:rPr>
                <w:rFonts w:ascii="Calibri" w:hAnsi="Calibri" w:cs="Calibri"/>
                <w:b/>
                <w:sz w:val="22"/>
                <w:szCs w:val="22"/>
              </w:rPr>
              <w:t>.”</w:t>
            </w:r>
            <w:r>
              <w:rPr>
                <w:rFonts w:ascii="Calibri" w:hAnsi="Calibri" w:cs="Calibri"/>
                <w:b/>
                <w:sz w:val="22"/>
                <w:szCs w:val="22"/>
              </w:rPr>
              <w:t xml:space="preserve"> </w:t>
            </w:r>
            <w:r w:rsidRPr="00973BAD">
              <w:rPr>
                <w:rFonts w:ascii="Calibri" w:hAnsi="Calibri" w:cs="Calibri"/>
                <w:b/>
                <w:i/>
                <w:sz w:val="22"/>
                <w:szCs w:val="22"/>
              </w:rPr>
              <w:t>BMG Rights Mgmt. v. Cox Commc’ns</w:t>
            </w:r>
            <w:r w:rsidRPr="00973BAD">
              <w:rPr>
                <w:rFonts w:ascii="Calibri" w:hAnsi="Calibri" w:cs="Calibri"/>
                <w:b/>
                <w:sz w:val="22"/>
                <w:szCs w:val="22"/>
              </w:rPr>
              <w:t xml:space="preserve"> (4th Cir. 2018)</w:t>
            </w:r>
            <w:r>
              <w:rPr>
                <w:rFonts w:ascii="Calibri" w:hAnsi="Calibri" w:cs="Calibri"/>
                <w:b/>
                <w:sz w:val="22"/>
                <w:szCs w:val="22"/>
              </w:rPr>
              <w:t>.</w:t>
            </w:r>
          </w:p>
        </w:tc>
      </w:tr>
      <w:tr w:rsidR="00EC7788" w:rsidRPr="00907D75" w14:paraId="24919EC3" w14:textId="77777777" w:rsidTr="008649A2">
        <w:trPr>
          <w:trHeight w:val="4795"/>
        </w:trPr>
        <w:tc>
          <w:tcPr>
            <w:tcW w:w="5805" w:type="dxa"/>
            <w:vAlign w:val="center"/>
          </w:tcPr>
          <w:p w14:paraId="28A2A842" w14:textId="1092E3F5" w:rsidR="00EC7788" w:rsidRDefault="00EC7788"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happened in </w:t>
            </w:r>
            <w:r w:rsidRPr="00EC7788">
              <w:rPr>
                <w:rFonts w:ascii="Calibri" w:hAnsi="Calibri" w:cs="Calibri"/>
                <w:b/>
                <w:i/>
                <w:sz w:val="28"/>
                <w:szCs w:val="28"/>
              </w:rPr>
              <w:t>Palmetto State Med. Ctr. v. Operation Lifeline</w:t>
            </w:r>
            <w:r>
              <w:rPr>
                <w:rFonts w:ascii="Calibri" w:hAnsi="Calibri" w:cs="Calibri"/>
                <w:b/>
                <w:sz w:val="28"/>
                <w:szCs w:val="28"/>
              </w:rPr>
              <w:t xml:space="preserve"> (4th Cir. 1997)?</w:t>
            </w:r>
          </w:p>
        </w:tc>
        <w:tc>
          <w:tcPr>
            <w:tcW w:w="5805" w:type="dxa"/>
            <w:vAlign w:val="center"/>
          </w:tcPr>
          <w:p w14:paraId="031DAD65" w14:textId="2EEB77DC" w:rsidR="00EC7788" w:rsidRDefault="00A24871"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A24871">
              <w:rPr>
                <w:rFonts w:ascii="Calibri" w:hAnsi="Calibri" w:cs="Calibri"/>
                <w:b/>
                <w:i/>
                <w:sz w:val="22"/>
                <w:szCs w:val="22"/>
              </w:rPr>
              <w:t>Palmetto State Med. Ctr. v. Operation Lifeline</w:t>
            </w:r>
            <w:r>
              <w:rPr>
                <w:rFonts w:ascii="Calibri" w:hAnsi="Calibri" w:cs="Calibri"/>
                <w:b/>
                <w:sz w:val="22"/>
                <w:szCs w:val="22"/>
              </w:rPr>
              <w:t xml:space="preserve"> (4th Cir. 1997, t</w:t>
            </w:r>
            <w:r w:rsidR="00EC7788">
              <w:rPr>
                <w:rFonts w:ascii="Calibri" w:hAnsi="Calibri" w:cs="Calibri"/>
                <w:b/>
                <w:sz w:val="22"/>
                <w:szCs w:val="22"/>
              </w:rPr>
              <w:t xml:space="preserve">he 4th Circuit </w:t>
            </w:r>
            <w:r w:rsidR="00EC7788" w:rsidRPr="00EC7788">
              <w:rPr>
                <w:rFonts w:ascii="Calibri" w:hAnsi="Calibri" w:cs="Calibri"/>
                <w:b/>
                <w:sz w:val="22"/>
                <w:szCs w:val="22"/>
              </w:rPr>
              <w:t>revers</w:t>
            </w:r>
            <w:r w:rsidR="00EC7788">
              <w:rPr>
                <w:rFonts w:ascii="Calibri" w:hAnsi="Calibri" w:cs="Calibri"/>
                <w:b/>
                <w:sz w:val="22"/>
                <w:szCs w:val="22"/>
              </w:rPr>
              <w:t>ed</w:t>
            </w:r>
            <w:r w:rsidR="00EC7788" w:rsidRPr="00EC7788">
              <w:rPr>
                <w:rFonts w:ascii="Calibri" w:hAnsi="Calibri" w:cs="Calibri"/>
                <w:b/>
                <w:sz w:val="22"/>
                <w:szCs w:val="22"/>
              </w:rPr>
              <w:t xml:space="preserve"> </w:t>
            </w:r>
            <w:r w:rsidR="00EC7788">
              <w:rPr>
                <w:rFonts w:ascii="Calibri" w:hAnsi="Calibri" w:cs="Calibri"/>
                <w:b/>
                <w:sz w:val="22"/>
                <w:szCs w:val="22"/>
              </w:rPr>
              <w:t xml:space="preserve">the </w:t>
            </w:r>
            <w:r w:rsidR="00EC7788" w:rsidRPr="00EC7788">
              <w:rPr>
                <w:rFonts w:ascii="Calibri" w:hAnsi="Calibri" w:cs="Calibri"/>
                <w:b/>
                <w:sz w:val="22"/>
                <w:szCs w:val="22"/>
              </w:rPr>
              <w:t>judgments where the court issued erroneous instructions and “no evidence was presented” that</w:t>
            </w:r>
            <w:r w:rsidR="00EC7788">
              <w:rPr>
                <w:rFonts w:ascii="Calibri" w:hAnsi="Calibri" w:cs="Calibri"/>
                <w:b/>
                <w:sz w:val="22"/>
                <w:szCs w:val="22"/>
              </w:rPr>
              <w:t xml:space="preserve"> could have supported liability.</w:t>
            </w:r>
          </w:p>
        </w:tc>
      </w:tr>
      <w:tr w:rsidR="008A5CF4" w:rsidRPr="004929A4" w14:paraId="239B35C7" w14:textId="77777777" w:rsidTr="00D712B1">
        <w:trPr>
          <w:trHeight w:val="4795"/>
        </w:trPr>
        <w:tc>
          <w:tcPr>
            <w:tcW w:w="5805" w:type="dxa"/>
            <w:vAlign w:val="center"/>
          </w:tcPr>
          <w:p w14:paraId="24749B14" w14:textId="77777777" w:rsidR="008A5CF4" w:rsidRPr="004929A4" w:rsidRDefault="008A5CF4" w:rsidP="00525419">
            <w:pPr>
              <w:pStyle w:val="O-BodyText"/>
              <w:spacing w:after="120"/>
              <w:ind w:right="200"/>
              <w:jc w:val="both"/>
              <w:rPr>
                <w:rFonts w:ascii="Calibri" w:hAnsi="Calibri" w:cs="Calibri"/>
                <w:b/>
                <w:sz w:val="28"/>
                <w:szCs w:val="28"/>
              </w:rPr>
            </w:pPr>
            <w:r>
              <w:rPr>
                <w:rFonts w:ascii="Calibri" w:hAnsi="Calibri" w:cs="Calibri"/>
                <w:b/>
                <w:sz w:val="28"/>
                <w:szCs w:val="28"/>
              </w:rPr>
              <w:t>How were the jury instructions wrong?</w:t>
            </w:r>
          </w:p>
        </w:tc>
        <w:tc>
          <w:tcPr>
            <w:tcW w:w="5805" w:type="dxa"/>
            <w:vAlign w:val="center"/>
          </w:tcPr>
          <w:p w14:paraId="286E1EAA" w14:textId="77777777" w:rsidR="008A5CF4" w:rsidRPr="004929A4" w:rsidRDefault="008A5CF4"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The jury instructions told </w:t>
            </w:r>
            <w:r w:rsidRPr="00AD39B1">
              <w:rPr>
                <w:rFonts w:ascii="Calibri" w:hAnsi="Calibri" w:cs="Calibri"/>
                <w:b/>
                <w:sz w:val="22"/>
                <w:szCs w:val="22"/>
              </w:rPr>
              <w:t xml:space="preserve">the jury that two calls to the same </w:t>
            </w:r>
            <w:r w:rsidRPr="00AD39B1">
              <w:rPr>
                <w:rFonts w:ascii="Calibri" w:hAnsi="Calibri" w:cs="Calibri"/>
                <w:b/>
                <w:i/>
                <w:sz w:val="22"/>
                <w:szCs w:val="22"/>
              </w:rPr>
              <w:t>phone number</w:t>
            </w:r>
            <w:r w:rsidRPr="00AD39B1">
              <w:rPr>
                <w:rFonts w:ascii="Calibri" w:hAnsi="Calibri" w:cs="Calibri"/>
                <w:b/>
                <w:sz w:val="22"/>
                <w:szCs w:val="22"/>
              </w:rPr>
              <w:t xml:space="preserve"> establishes the statutory requirement of two calls to the </w:t>
            </w:r>
            <w:r w:rsidRPr="00AD39B1">
              <w:rPr>
                <w:rFonts w:ascii="Calibri" w:hAnsi="Calibri" w:cs="Calibri"/>
                <w:b/>
                <w:i/>
                <w:sz w:val="22"/>
                <w:szCs w:val="22"/>
              </w:rPr>
              <w:t>same person</w:t>
            </w:r>
            <w:r>
              <w:rPr>
                <w:rFonts w:ascii="Calibri" w:hAnsi="Calibri" w:cs="Calibri"/>
                <w:b/>
                <w:sz w:val="22"/>
                <w:szCs w:val="22"/>
              </w:rPr>
              <w:t>.</w:t>
            </w:r>
          </w:p>
        </w:tc>
      </w:tr>
      <w:tr w:rsidR="008A5CF4" w:rsidRPr="004929A4" w14:paraId="2BCFFBCA" w14:textId="77777777" w:rsidTr="00D712B1">
        <w:trPr>
          <w:trHeight w:val="4795"/>
        </w:trPr>
        <w:tc>
          <w:tcPr>
            <w:tcW w:w="5805" w:type="dxa"/>
            <w:vAlign w:val="center"/>
          </w:tcPr>
          <w:p w14:paraId="146ADADA" w14:textId="77777777" w:rsidR="008A5CF4" w:rsidRPr="004929A4" w:rsidRDefault="008A5CF4" w:rsidP="00525419">
            <w:pPr>
              <w:pStyle w:val="O-BodyText"/>
              <w:spacing w:after="120"/>
              <w:ind w:right="200"/>
              <w:jc w:val="both"/>
              <w:rPr>
                <w:rFonts w:ascii="Calibri" w:hAnsi="Calibri" w:cs="Calibri"/>
                <w:b/>
                <w:sz w:val="28"/>
                <w:szCs w:val="28"/>
              </w:rPr>
            </w:pPr>
            <w:r>
              <w:rPr>
                <w:rFonts w:ascii="Calibri" w:hAnsi="Calibri" w:cs="Calibri"/>
                <w:b/>
                <w:sz w:val="28"/>
                <w:szCs w:val="28"/>
              </w:rPr>
              <w:t>If the jury was instructed incorrectly, what is the standard for setting aside the verdict?</w:t>
            </w:r>
          </w:p>
        </w:tc>
        <w:tc>
          <w:tcPr>
            <w:tcW w:w="5805" w:type="dxa"/>
            <w:vAlign w:val="center"/>
          </w:tcPr>
          <w:p w14:paraId="625AA294" w14:textId="3BADD334" w:rsidR="008A5CF4" w:rsidRPr="004929A4" w:rsidRDefault="008A5CF4" w:rsidP="00525419">
            <w:pPr>
              <w:pStyle w:val="O-BodyText"/>
              <w:spacing w:after="120"/>
              <w:ind w:right="65"/>
              <w:jc w:val="both"/>
              <w:rPr>
                <w:rFonts w:ascii="Calibri" w:hAnsi="Calibri" w:cs="Calibri"/>
                <w:b/>
                <w:sz w:val="22"/>
                <w:szCs w:val="22"/>
              </w:rPr>
            </w:pPr>
            <w:r w:rsidRPr="00627489">
              <w:rPr>
                <w:rFonts w:ascii="Calibri" w:hAnsi="Calibri" w:cs="Calibri"/>
                <w:b/>
                <w:sz w:val="22"/>
                <w:szCs w:val="22"/>
                <w:highlight w:val="yellow"/>
              </w:rPr>
              <w:t xml:space="preserve">“Even if a jury was erroneously instructed,” this Court “will not set aside a resulting verdict unless the erroneous instruction seriously prejudiced the challenging party’s case.” </w:t>
            </w:r>
            <w:r w:rsidRPr="00627489">
              <w:rPr>
                <w:rFonts w:ascii="Calibri" w:hAnsi="Calibri" w:cs="Calibri"/>
                <w:b/>
                <w:i/>
                <w:sz w:val="22"/>
                <w:szCs w:val="22"/>
                <w:highlight w:val="yellow"/>
              </w:rPr>
              <w:t>Gentry v. E. W. Partners Club Mgmt. Co.</w:t>
            </w:r>
            <w:r w:rsidRPr="00627489">
              <w:rPr>
                <w:rFonts w:ascii="Calibri" w:hAnsi="Calibri" w:cs="Calibri"/>
                <w:b/>
                <w:sz w:val="22"/>
                <w:szCs w:val="22"/>
                <w:highlight w:val="yellow"/>
              </w:rPr>
              <w:t xml:space="preserve"> (4th Cir. 2016).  AB26.</w:t>
            </w:r>
          </w:p>
          <w:p w14:paraId="4A1BE93F" w14:textId="77777777" w:rsidR="008A5CF4" w:rsidRPr="004929A4" w:rsidRDefault="008A5CF4" w:rsidP="00525419">
            <w:pPr>
              <w:pStyle w:val="O-BodyText"/>
              <w:spacing w:after="120"/>
              <w:ind w:right="65"/>
              <w:jc w:val="both"/>
              <w:rPr>
                <w:rFonts w:ascii="Calibri" w:hAnsi="Calibri" w:cs="Calibri"/>
                <w:b/>
                <w:sz w:val="22"/>
                <w:szCs w:val="22"/>
              </w:rPr>
            </w:pPr>
          </w:p>
        </w:tc>
      </w:tr>
      <w:tr w:rsidR="0031085A" w14:paraId="4ED50350" w14:textId="77777777" w:rsidTr="00D712B1">
        <w:trPr>
          <w:trHeight w:val="4795"/>
        </w:trPr>
        <w:tc>
          <w:tcPr>
            <w:tcW w:w="5805" w:type="dxa"/>
            <w:vAlign w:val="center"/>
          </w:tcPr>
          <w:p w14:paraId="433889E9" w14:textId="77777777" w:rsidR="0031085A" w:rsidRDefault="0031085A"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jury asked to determine in this case?</w:t>
            </w:r>
          </w:p>
        </w:tc>
        <w:tc>
          <w:tcPr>
            <w:tcW w:w="5805" w:type="dxa"/>
            <w:vAlign w:val="center"/>
          </w:tcPr>
          <w:p w14:paraId="6B0F8E5A" w14:textId="77777777" w:rsidR="0031085A" w:rsidRDefault="0031085A" w:rsidP="00525419">
            <w:pPr>
              <w:pStyle w:val="O-BodyText"/>
              <w:spacing w:after="120"/>
              <w:ind w:right="65"/>
              <w:jc w:val="both"/>
              <w:rPr>
                <w:rFonts w:ascii="Calibri" w:hAnsi="Calibri" w:cs="Calibri"/>
                <w:b/>
                <w:sz w:val="22"/>
                <w:szCs w:val="22"/>
              </w:rPr>
            </w:pPr>
            <w:r w:rsidRPr="0009208A">
              <w:rPr>
                <w:rFonts w:ascii="Calibri" w:hAnsi="Calibri" w:cs="Calibri"/>
                <w:b/>
                <w:sz w:val="22"/>
                <w:szCs w:val="22"/>
                <w:highlight w:val="yellow"/>
              </w:rPr>
              <w:t xml:space="preserve">The jury was asked to determine: (1) whether SSN was acting as </w:t>
            </w:r>
            <w:proofErr w:type="spellStart"/>
            <w:r w:rsidRPr="0009208A">
              <w:rPr>
                <w:rFonts w:ascii="Calibri" w:hAnsi="Calibri" w:cs="Calibri"/>
                <w:b/>
                <w:sz w:val="22"/>
                <w:szCs w:val="22"/>
                <w:highlight w:val="yellow"/>
              </w:rPr>
              <w:t>DISH’s</w:t>
            </w:r>
            <w:proofErr w:type="spellEnd"/>
            <w:r w:rsidRPr="0009208A">
              <w:rPr>
                <w:rFonts w:ascii="Calibri" w:hAnsi="Calibri" w:cs="Calibri"/>
                <w:b/>
                <w:sz w:val="22"/>
                <w:szCs w:val="22"/>
                <w:highlight w:val="yellow"/>
              </w:rPr>
              <w:t xml:space="preserve"> agent when it made the calls; (2) whether SSN made and class members received at least two telephone solicitations to a residential number in any 12-month period by or on behalf of DISH, when their telephone numbers were on the National Do Not Call Registry; and (3) if the answer to both questions was yes, the amount per violation (from zero to $500 per call).</w:t>
            </w:r>
          </w:p>
        </w:tc>
      </w:tr>
      <w:tr w:rsidR="0031085A" w14:paraId="72F189CE" w14:textId="77777777" w:rsidTr="00D712B1">
        <w:trPr>
          <w:trHeight w:val="4795"/>
        </w:trPr>
        <w:tc>
          <w:tcPr>
            <w:tcW w:w="5805" w:type="dxa"/>
            <w:vAlign w:val="center"/>
          </w:tcPr>
          <w:p w14:paraId="5CECEE33" w14:textId="77777777" w:rsidR="0031085A" w:rsidRDefault="0031085A" w:rsidP="00525419">
            <w:pPr>
              <w:pStyle w:val="O-BodyText"/>
              <w:spacing w:after="120"/>
              <w:ind w:right="200"/>
              <w:jc w:val="both"/>
              <w:rPr>
                <w:rFonts w:ascii="Calibri" w:hAnsi="Calibri" w:cs="Calibri"/>
                <w:b/>
                <w:sz w:val="28"/>
                <w:szCs w:val="28"/>
              </w:rPr>
            </w:pPr>
            <w:r>
              <w:rPr>
                <w:rFonts w:ascii="Calibri" w:hAnsi="Calibri" w:cs="Calibri"/>
                <w:b/>
                <w:sz w:val="28"/>
                <w:szCs w:val="28"/>
              </w:rPr>
              <w:t>You argue that the jury instructions were erroneous.  Are you challenging the verdict form on appeal?  AB40.</w:t>
            </w:r>
          </w:p>
        </w:tc>
        <w:tc>
          <w:tcPr>
            <w:tcW w:w="5805" w:type="dxa"/>
            <w:vAlign w:val="center"/>
          </w:tcPr>
          <w:p w14:paraId="087B0814" w14:textId="77777777" w:rsidR="0031085A" w:rsidRDefault="0031085A" w:rsidP="00525419">
            <w:pPr>
              <w:pStyle w:val="O-BodyText"/>
              <w:spacing w:after="120"/>
              <w:ind w:right="65"/>
              <w:jc w:val="both"/>
              <w:rPr>
                <w:rFonts w:ascii="Calibri" w:hAnsi="Calibri" w:cs="Calibri"/>
                <w:b/>
                <w:sz w:val="22"/>
                <w:szCs w:val="22"/>
              </w:rPr>
            </w:pPr>
            <w:r w:rsidRPr="0009208A">
              <w:rPr>
                <w:rFonts w:ascii="Calibri" w:hAnsi="Calibri" w:cs="Calibri"/>
                <w:b/>
                <w:sz w:val="22"/>
                <w:szCs w:val="22"/>
                <w:highlight w:val="yellow"/>
              </w:rPr>
              <w:t>[Explain.]</w:t>
            </w:r>
          </w:p>
        </w:tc>
      </w:tr>
      <w:tr w:rsidR="0031085A" w14:paraId="5F04E37C" w14:textId="77777777" w:rsidTr="00D712B1">
        <w:trPr>
          <w:trHeight w:val="4795"/>
        </w:trPr>
        <w:tc>
          <w:tcPr>
            <w:tcW w:w="5805" w:type="dxa"/>
            <w:vAlign w:val="center"/>
          </w:tcPr>
          <w:p w14:paraId="374099EC" w14:textId="333EF8ED" w:rsidR="0031085A" w:rsidRDefault="0031085A" w:rsidP="00525419">
            <w:pPr>
              <w:pStyle w:val="O-BodyText"/>
              <w:spacing w:after="120"/>
              <w:ind w:right="200"/>
              <w:jc w:val="both"/>
              <w:rPr>
                <w:rFonts w:ascii="Calibri" w:hAnsi="Calibri" w:cs="Calibri"/>
                <w:b/>
                <w:sz w:val="28"/>
                <w:szCs w:val="28"/>
              </w:rPr>
            </w:pPr>
            <w:r>
              <w:rPr>
                <w:rFonts w:ascii="Calibri" w:hAnsi="Calibri" w:cs="Calibri"/>
                <w:b/>
                <w:sz w:val="28"/>
                <w:szCs w:val="28"/>
              </w:rPr>
              <w:t>How did the</w:t>
            </w:r>
            <w:r w:rsidRPr="00E32C9A">
              <w:rPr>
                <w:rFonts w:ascii="Calibri" w:hAnsi="Calibri" w:cs="Calibri"/>
                <w:b/>
                <w:sz w:val="28"/>
                <w:szCs w:val="28"/>
              </w:rPr>
              <w:t xml:space="preserve"> district court err by instructing that “[t]here is no issue for you to decide in connection with names and addresses or the identities of class </w:t>
            </w:r>
            <w:proofErr w:type="gramStart"/>
            <w:r w:rsidRPr="00E32C9A">
              <w:rPr>
                <w:rFonts w:ascii="Calibri" w:hAnsi="Calibri" w:cs="Calibri"/>
                <w:b/>
                <w:sz w:val="28"/>
                <w:szCs w:val="28"/>
              </w:rPr>
              <w:t>members.</w:t>
            </w:r>
            <w:proofErr w:type="gramEnd"/>
            <w:r>
              <w:rPr>
                <w:rFonts w:ascii="Calibri" w:hAnsi="Calibri" w:cs="Calibri"/>
                <w:b/>
                <w:sz w:val="28"/>
                <w:szCs w:val="28"/>
              </w:rPr>
              <w:t xml:space="preserve"> </w:t>
            </w:r>
            <w:r w:rsidRPr="00E32C9A">
              <w:rPr>
                <w:rFonts w:ascii="Calibri" w:hAnsi="Calibri" w:cs="Calibri"/>
                <w:b/>
                <w:sz w:val="28"/>
                <w:szCs w:val="28"/>
              </w:rPr>
              <w:t xml:space="preserve"> That is something that may be decided down the road in other proceedings</w:t>
            </w:r>
            <w:r w:rsidR="001839C6">
              <w:rPr>
                <w:rFonts w:ascii="Calibri" w:hAnsi="Calibri" w:cs="Calibri"/>
                <w:b/>
                <w:sz w:val="28"/>
                <w:szCs w:val="28"/>
              </w:rPr>
              <w:t>”?</w:t>
            </w:r>
          </w:p>
        </w:tc>
        <w:tc>
          <w:tcPr>
            <w:tcW w:w="5805" w:type="dxa"/>
            <w:vAlign w:val="center"/>
          </w:tcPr>
          <w:p w14:paraId="445DD6C4" w14:textId="77777777" w:rsidR="0031085A" w:rsidRDefault="0031085A" w:rsidP="00525419">
            <w:pPr>
              <w:pStyle w:val="O-BodyText"/>
              <w:spacing w:after="120"/>
              <w:ind w:right="65"/>
              <w:jc w:val="both"/>
              <w:rPr>
                <w:rFonts w:ascii="Calibri" w:hAnsi="Calibri" w:cs="Calibri"/>
                <w:b/>
                <w:sz w:val="22"/>
                <w:szCs w:val="22"/>
              </w:rPr>
            </w:pPr>
            <w:r>
              <w:rPr>
                <w:rFonts w:ascii="Calibri" w:hAnsi="Calibri" w:cs="Calibri"/>
                <w:b/>
                <w:sz w:val="22"/>
                <w:szCs w:val="22"/>
              </w:rPr>
              <w:t>T</w:t>
            </w:r>
            <w:r w:rsidRPr="00AD39B1">
              <w:rPr>
                <w:rFonts w:ascii="Calibri" w:hAnsi="Calibri" w:cs="Calibri"/>
                <w:b/>
                <w:sz w:val="22"/>
                <w:szCs w:val="22"/>
              </w:rPr>
              <w:t>he TCPA requires each class member to prove, as an element, that she “received more than one telephone call within any 12-month period.”</w:t>
            </w:r>
            <w:r>
              <w:rPr>
                <w:rFonts w:ascii="Calibri" w:hAnsi="Calibri" w:cs="Calibri"/>
                <w:b/>
                <w:sz w:val="22"/>
                <w:szCs w:val="22"/>
              </w:rPr>
              <w:t xml:space="preserve"> </w:t>
            </w:r>
            <w:r w:rsidRPr="00C65542">
              <w:rPr>
                <w:rFonts w:ascii="Calibri" w:hAnsi="Calibri" w:cs="Calibri"/>
                <w:b/>
                <w:sz w:val="22"/>
                <w:szCs w:val="22"/>
              </w:rPr>
              <w:t xml:space="preserve">It was therefore improper to remove from trial any issues as to whether a </w:t>
            </w:r>
            <w:proofErr w:type="gramStart"/>
            <w:r>
              <w:rPr>
                <w:rFonts w:ascii="Calibri" w:hAnsi="Calibri" w:cs="Calibri"/>
                <w:b/>
                <w:sz w:val="22"/>
                <w:szCs w:val="22"/>
              </w:rPr>
              <w:t xml:space="preserve">particular </w:t>
            </w:r>
            <w:r w:rsidRPr="00C65542">
              <w:rPr>
                <w:rFonts w:ascii="Calibri" w:hAnsi="Calibri" w:cs="Calibri"/>
                <w:b/>
                <w:sz w:val="22"/>
                <w:szCs w:val="22"/>
              </w:rPr>
              <w:t>phone</w:t>
            </w:r>
            <w:proofErr w:type="gramEnd"/>
            <w:r w:rsidRPr="00C65542">
              <w:rPr>
                <w:rFonts w:ascii="Calibri" w:hAnsi="Calibri" w:cs="Calibri"/>
                <w:b/>
                <w:sz w:val="22"/>
                <w:szCs w:val="22"/>
              </w:rPr>
              <w:t xml:space="preserve"> number was associated with a particular person</w:t>
            </w:r>
            <w:r>
              <w:rPr>
                <w:rFonts w:ascii="Calibri" w:hAnsi="Calibri" w:cs="Calibri"/>
                <w:b/>
                <w:sz w:val="22"/>
                <w:szCs w:val="22"/>
              </w:rPr>
              <w:t>,</w:t>
            </w:r>
            <w:r w:rsidRPr="00C65542">
              <w:rPr>
                <w:rFonts w:ascii="Calibri" w:hAnsi="Calibri" w:cs="Calibri"/>
                <w:b/>
                <w:sz w:val="22"/>
                <w:szCs w:val="22"/>
              </w:rPr>
              <w:t xml:space="preserve"> and to forbid the jury from considering whether any particular person received multiple calls.</w:t>
            </w:r>
          </w:p>
        </w:tc>
      </w:tr>
      <w:tr w:rsidR="0031085A" w14:paraId="5789E1E4" w14:textId="77777777" w:rsidTr="00D712B1">
        <w:trPr>
          <w:trHeight w:val="4795"/>
        </w:trPr>
        <w:tc>
          <w:tcPr>
            <w:tcW w:w="5805" w:type="dxa"/>
            <w:vAlign w:val="center"/>
          </w:tcPr>
          <w:p w14:paraId="5997F46C" w14:textId="77777777" w:rsidR="0031085A" w:rsidRDefault="0031085A"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Why didn’t the district court have </w:t>
            </w:r>
            <w:r w:rsidRPr="000D6DDA">
              <w:rPr>
                <w:rFonts w:ascii="Calibri" w:hAnsi="Calibri" w:cs="Calibri"/>
                <w:b/>
                <w:sz w:val="28"/>
                <w:szCs w:val="28"/>
              </w:rPr>
              <w:t xml:space="preserve">discretion to reserve class-membership questions for the claims process </w:t>
            </w:r>
            <w:r>
              <w:rPr>
                <w:rFonts w:ascii="Calibri" w:hAnsi="Calibri" w:cs="Calibri"/>
                <w:b/>
                <w:sz w:val="28"/>
                <w:szCs w:val="28"/>
              </w:rPr>
              <w:t xml:space="preserve">and </w:t>
            </w:r>
            <w:r w:rsidRPr="000D6DDA">
              <w:rPr>
                <w:rFonts w:ascii="Calibri" w:hAnsi="Calibri" w:cs="Calibri"/>
                <w:b/>
                <w:sz w:val="28"/>
                <w:szCs w:val="28"/>
              </w:rPr>
              <w:t>removing all “identity” issues from the tria</w:t>
            </w:r>
            <w:r>
              <w:rPr>
                <w:rFonts w:ascii="Calibri" w:hAnsi="Calibri" w:cs="Calibri"/>
                <w:b/>
                <w:sz w:val="28"/>
                <w:szCs w:val="28"/>
              </w:rPr>
              <w:t>l?</w:t>
            </w:r>
          </w:p>
        </w:tc>
        <w:tc>
          <w:tcPr>
            <w:tcW w:w="5805" w:type="dxa"/>
            <w:vAlign w:val="center"/>
          </w:tcPr>
          <w:p w14:paraId="3588AE0C" w14:textId="77777777" w:rsidR="0031085A" w:rsidRDefault="0031085A" w:rsidP="00525419">
            <w:pPr>
              <w:pStyle w:val="O-BodyText"/>
              <w:spacing w:after="120"/>
              <w:ind w:right="65"/>
              <w:jc w:val="both"/>
              <w:rPr>
                <w:rFonts w:ascii="Calibri" w:hAnsi="Calibri" w:cs="Calibri"/>
                <w:b/>
                <w:sz w:val="22"/>
                <w:szCs w:val="22"/>
              </w:rPr>
            </w:pPr>
            <w:r w:rsidRPr="000D6DDA">
              <w:rPr>
                <w:rFonts w:ascii="Calibri" w:hAnsi="Calibri" w:cs="Calibri"/>
                <w:b/>
                <w:sz w:val="22"/>
                <w:szCs w:val="22"/>
              </w:rPr>
              <w:t xml:space="preserve">The two-call requirement is not a class-membership question—it is an element of the claim.  Krakauer does not explain how he could have shown that any single person received two calls without providing evidence of that person’s </w:t>
            </w:r>
            <w:r>
              <w:rPr>
                <w:rFonts w:ascii="Calibri" w:hAnsi="Calibri" w:cs="Calibri"/>
                <w:b/>
                <w:sz w:val="22"/>
                <w:szCs w:val="22"/>
              </w:rPr>
              <w:t>identity.</w:t>
            </w:r>
          </w:p>
        </w:tc>
      </w:tr>
      <w:tr w:rsidR="0031085A" w:rsidRPr="001A4EAC" w14:paraId="1C973002" w14:textId="77777777" w:rsidTr="00D712B1">
        <w:trPr>
          <w:trHeight w:val="4795"/>
        </w:trPr>
        <w:tc>
          <w:tcPr>
            <w:tcW w:w="5805" w:type="dxa"/>
            <w:vAlign w:val="center"/>
          </w:tcPr>
          <w:p w14:paraId="5FABD85E" w14:textId="77777777" w:rsidR="0031085A" w:rsidRDefault="0031085A" w:rsidP="00525419">
            <w:pPr>
              <w:pStyle w:val="O-BodyText"/>
              <w:spacing w:after="120"/>
              <w:ind w:right="200"/>
              <w:jc w:val="both"/>
              <w:rPr>
                <w:rFonts w:ascii="Calibri" w:hAnsi="Calibri" w:cs="Calibri"/>
                <w:b/>
                <w:sz w:val="28"/>
                <w:szCs w:val="28"/>
              </w:rPr>
            </w:pPr>
            <w:r>
              <w:rPr>
                <w:rFonts w:ascii="Calibri" w:hAnsi="Calibri" w:cs="Calibri"/>
                <w:b/>
                <w:sz w:val="28"/>
                <w:szCs w:val="28"/>
              </w:rPr>
              <w:t>How should the district court have instructed the jury regarding class membership?</w:t>
            </w:r>
          </w:p>
        </w:tc>
        <w:tc>
          <w:tcPr>
            <w:tcW w:w="5805" w:type="dxa"/>
            <w:vAlign w:val="center"/>
          </w:tcPr>
          <w:p w14:paraId="5E98879B" w14:textId="77777777" w:rsidR="0031085A" w:rsidRPr="001A4EAC" w:rsidRDefault="0031085A" w:rsidP="00525419">
            <w:pPr>
              <w:pStyle w:val="O-BodyText"/>
              <w:spacing w:after="120"/>
              <w:ind w:right="65"/>
              <w:jc w:val="both"/>
              <w:rPr>
                <w:rFonts w:ascii="Calibri" w:hAnsi="Calibri" w:cs="Calibri"/>
                <w:b/>
                <w:sz w:val="22"/>
                <w:szCs w:val="22"/>
              </w:rPr>
            </w:pPr>
            <w:r w:rsidRPr="001A4EAC">
              <w:rPr>
                <w:rFonts w:ascii="Calibri" w:hAnsi="Calibri" w:cs="Calibri"/>
                <w:b/>
                <w:sz w:val="22"/>
                <w:szCs w:val="22"/>
              </w:rPr>
              <w:t xml:space="preserve">The district court should have instructed the jury that Krakauer needed to prove that each class member received more than one telephone call during the class period.  These are </w:t>
            </w:r>
            <w:r>
              <w:rPr>
                <w:rFonts w:ascii="Calibri" w:hAnsi="Calibri" w:cs="Calibri"/>
                <w:b/>
                <w:sz w:val="22"/>
                <w:szCs w:val="22"/>
              </w:rPr>
              <w:t>the instructions DISH proposed.</w:t>
            </w:r>
          </w:p>
        </w:tc>
      </w:tr>
      <w:tr w:rsidR="0031085A" w14:paraId="4FDB051D" w14:textId="77777777" w:rsidTr="00D712B1">
        <w:trPr>
          <w:trHeight w:val="4795"/>
        </w:trPr>
        <w:tc>
          <w:tcPr>
            <w:tcW w:w="5805" w:type="dxa"/>
            <w:vAlign w:val="center"/>
          </w:tcPr>
          <w:p w14:paraId="6F198960" w14:textId="77777777" w:rsidR="0031085A" w:rsidRDefault="0031085A"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How did the district court err by instructing the jury </w:t>
            </w:r>
            <w:r w:rsidRPr="00EF55D5">
              <w:rPr>
                <w:rFonts w:ascii="Calibri" w:hAnsi="Calibri" w:cs="Calibri"/>
                <w:b/>
                <w:sz w:val="28"/>
                <w:szCs w:val="28"/>
              </w:rPr>
              <w:t>to decide whether SSN made at least two solic</w:t>
            </w:r>
            <w:r>
              <w:rPr>
                <w:rFonts w:ascii="Calibri" w:hAnsi="Calibri" w:cs="Calibri"/>
                <w:b/>
                <w:sz w:val="28"/>
                <w:szCs w:val="28"/>
              </w:rPr>
              <w:t>itation calls to numbers on the Do Not Call list?</w:t>
            </w:r>
          </w:p>
        </w:tc>
        <w:tc>
          <w:tcPr>
            <w:tcW w:w="5805" w:type="dxa"/>
            <w:vAlign w:val="center"/>
          </w:tcPr>
          <w:p w14:paraId="41B8211C" w14:textId="77777777" w:rsidR="0031085A" w:rsidRDefault="0031085A" w:rsidP="00525419">
            <w:pPr>
              <w:pStyle w:val="O-BodyText"/>
              <w:spacing w:after="120"/>
              <w:ind w:right="65"/>
              <w:jc w:val="both"/>
              <w:rPr>
                <w:rFonts w:ascii="Calibri" w:hAnsi="Calibri" w:cs="Calibri"/>
                <w:b/>
                <w:sz w:val="22"/>
                <w:szCs w:val="22"/>
              </w:rPr>
            </w:pPr>
            <w:r w:rsidRPr="00C31CD4">
              <w:rPr>
                <w:rFonts w:ascii="Calibri" w:hAnsi="Calibri" w:cs="Calibri"/>
                <w:b/>
                <w:sz w:val="22"/>
                <w:szCs w:val="22"/>
              </w:rPr>
              <w:t>By equating calls to a</w:t>
            </w:r>
            <w:r w:rsidRPr="00C31CD4">
              <w:rPr>
                <w:rFonts w:ascii="Calibri" w:hAnsi="Calibri" w:cs="Calibri"/>
                <w:b/>
                <w:i/>
                <w:sz w:val="22"/>
                <w:szCs w:val="22"/>
              </w:rPr>
              <w:t xml:space="preserve"> number</w:t>
            </w:r>
            <w:r w:rsidRPr="00C31CD4">
              <w:rPr>
                <w:rFonts w:ascii="Calibri" w:hAnsi="Calibri" w:cs="Calibri"/>
                <w:b/>
                <w:sz w:val="22"/>
                <w:szCs w:val="22"/>
              </w:rPr>
              <w:t xml:space="preserve"> with calls to a</w:t>
            </w:r>
            <w:r w:rsidRPr="00C31CD4">
              <w:rPr>
                <w:rFonts w:ascii="Calibri" w:hAnsi="Calibri" w:cs="Calibri"/>
                <w:b/>
                <w:i/>
                <w:sz w:val="22"/>
                <w:szCs w:val="22"/>
              </w:rPr>
              <w:t xml:space="preserve"> person</w:t>
            </w:r>
            <w:r w:rsidRPr="00C31CD4">
              <w:rPr>
                <w:rFonts w:ascii="Calibri" w:hAnsi="Calibri" w:cs="Calibri"/>
                <w:b/>
                <w:sz w:val="22"/>
                <w:szCs w:val="22"/>
              </w:rPr>
              <w:t xml:space="preserve">, the </w:t>
            </w:r>
            <w:r>
              <w:rPr>
                <w:rFonts w:ascii="Calibri" w:hAnsi="Calibri" w:cs="Calibri"/>
                <w:b/>
                <w:sz w:val="22"/>
                <w:szCs w:val="22"/>
              </w:rPr>
              <w:t xml:space="preserve">court instructed </w:t>
            </w:r>
            <w:r w:rsidRPr="00C31CD4">
              <w:rPr>
                <w:rFonts w:ascii="Calibri" w:hAnsi="Calibri" w:cs="Calibri"/>
                <w:b/>
                <w:sz w:val="22"/>
                <w:szCs w:val="22"/>
              </w:rPr>
              <w:t xml:space="preserve">the jury that Krakauer’s evidence about phone numbers was sufficient, that it should ignore the fact that multiple people in a household could answer the phone, and that it should disregard </w:t>
            </w:r>
            <w:r>
              <w:rPr>
                <w:rFonts w:ascii="Calibri" w:hAnsi="Calibri" w:cs="Calibri"/>
                <w:b/>
                <w:sz w:val="22"/>
                <w:szCs w:val="22"/>
              </w:rPr>
              <w:t xml:space="preserve">expert testimony that </w:t>
            </w:r>
            <w:r w:rsidRPr="00C31CD4">
              <w:rPr>
                <w:rFonts w:ascii="Calibri" w:hAnsi="Calibri" w:cs="Calibri"/>
                <w:b/>
                <w:sz w:val="22"/>
                <w:szCs w:val="22"/>
              </w:rPr>
              <w:t>people change phone numbers with significant frequency in the United States</w:t>
            </w:r>
            <w:r>
              <w:rPr>
                <w:rFonts w:ascii="Calibri" w:hAnsi="Calibri" w:cs="Calibri"/>
                <w:b/>
                <w:sz w:val="22"/>
                <w:szCs w:val="22"/>
              </w:rPr>
              <w:t xml:space="preserve">. </w:t>
            </w:r>
            <w:r w:rsidRPr="00C31CD4">
              <w:rPr>
                <w:rFonts w:ascii="Calibri" w:hAnsi="Calibri" w:cs="Calibri"/>
                <w:b/>
                <w:sz w:val="22"/>
                <w:szCs w:val="22"/>
              </w:rPr>
              <w:t xml:space="preserve"> </w:t>
            </w:r>
            <w:r>
              <w:rPr>
                <w:rFonts w:ascii="Calibri" w:hAnsi="Calibri" w:cs="Calibri"/>
                <w:b/>
                <w:sz w:val="22"/>
                <w:szCs w:val="22"/>
              </w:rPr>
              <w:t xml:space="preserve">That mattered, because </w:t>
            </w:r>
            <w:r w:rsidRPr="00C31CD4">
              <w:rPr>
                <w:rFonts w:ascii="Calibri" w:hAnsi="Calibri" w:cs="Calibri"/>
                <w:b/>
                <w:sz w:val="22"/>
                <w:szCs w:val="22"/>
              </w:rPr>
              <w:t xml:space="preserve">Krakauer introduced no evidence that anyone </w:t>
            </w:r>
            <w:r>
              <w:rPr>
                <w:rFonts w:ascii="Calibri" w:hAnsi="Calibri" w:cs="Calibri"/>
                <w:b/>
                <w:sz w:val="22"/>
                <w:szCs w:val="22"/>
              </w:rPr>
              <w:t>(besides himself) received two calls.</w:t>
            </w:r>
          </w:p>
        </w:tc>
      </w:tr>
      <w:tr w:rsidR="00710652" w:rsidRPr="00907D75" w14:paraId="051053D2" w14:textId="77777777" w:rsidTr="008649A2">
        <w:trPr>
          <w:trHeight w:val="4795"/>
        </w:trPr>
        <w:tc>
          <w:tcPr>
            <w:tcW w:w="5805" w:type="dxa"/>
            <w:vAlign w:val="center"/>
          </w:tcPr>
          <w:p w14:paraId="14596710" w14:textId="1DD6DBFA" w:rsidR="00710652" w:rsidRPr="00710652" w:rsidRDefault="00710652" w:rsidP="00BE50A2">
            <w:pPr>
              <w:pStyle w:val="O-BodyText"/>
              <w:spacing w:after="120"/>
              <w:ind w:right="200"/>
              <w:jc w:val="center"/>
              <w:rPr>
                <w:rFonts w:ascii="Calibri" w:hAnsi="Calibri" w:cs="Calibri"/>
                <w:b/>
                <w:sz w:val="52"/>
                <w:szCs w:val="52"/>
              </w:rPr>
            </w:pPr>
            <w:r w:rsidRPr="00710652">
              <w:rPr>
                <w:rFonts w:ascii="Calibri" w:hAnsi="Calibri" w:cs="Calibri"/>
                <w:b/>
                <w:sz w:val="52"/>
                <w:szCs w:val="52"/>
              </w:rPr>
              <w:lastRenderedPageBreak/>
              <w:t>Argument III: No reasonable jury could find DISH liable for SSN’s calls</w:t>
            </w:r>
          </w:p>
        </w:tc>
        <w:tc>
          <w:tcPr>
            <w:tcW w:w="5805" w:type="dxa"/>
            <w:vAlign w:val="center"/>
          </w:tcPr>
          <w:p w14:paraId="44D39BE4" w14:textId="7A675AF9" w:rsidR="00710652" w:rsidRPr="00710652" w:rsidRDefault="00710652" w:rsidP="00BE50A2">
            <w:pPr>
              <w:pStyle w:val="O-BodyText"/>
              <w:spacing w:after="120"/>
              <w:ind w:left="290" w:right="65"/>
              <w:jc w:val="center"/>
              <w:rPr>
                <w:rFonts w:ascii="Calibri" w:hAnsi="Calibri" w:cs="Calibri"/>
                <w:b/>
                <w:sz w:val="52"/>
                <w:szCs w:val="52"/>
              </w:rPr>
            </w:pPr>
            <w:r w:rsidRPr="00710652">
              <w:rPr>
                <w:rFonts w:ascii="Calibri" w:hAnsi="Calibri" w:cs="Calibri"/>
                <w:b/>
                <w:sz w:val="52"/>
                <w:szCs w:val="52"/>
              </w:rPr>
              <w:t>Color:</w:t>
            </w:r>
          </w:p>
        </w:tc>
      </w:tr>
      <w:tr w:rsidR="00710652" w:rsidRPr="00907D75" w14:paraId="2E3710A5" w14:textId="77777777" w:rsidTr="008649A2">
        <w:trPr>
          <w:trHeight w:val="4795"/>
        </w:trPr>
        <w:tc>
          <w:tcPr>
            <w:tcW w:w="5805" w:type="dxa"/>
            <w:vAlign w:val="center"/>
          </w:tcPr>
          <w:p w14:paraId="0025377A" w14:textId="7C698284" w:rsidR="00710652" w:rsidRDefault="00EE3A1C" w:rsidP="00525419">
            <w:pPr>
              <w:pStyle w:val="O-BodyText"/>
              <w:spacing w:after="120"/>
              <w:ind w:right="200"/>
              <w:jc w:val="both"/>
              <w:rPr>
                <w:rFonts w:ascii="Calibri" w:hAnsi="Calibri" w:cs="Calibri"/>
                <w:b/>
                <w:sz w:val="28"/>
                <w:szCs w:val="28"/>
              </w:rPr>
            </w:pPr>
            <w:r>
              <w:rPr>
                <w:rFonts w:ascii="Calibri" w:hAnsi="Calibri" w:cs="Calibri"/>
                <w:b/>
                <w:sz w:val="28"/>
                <w:szCs w:val="28"/>
              </w:rPr>
              <w:t>Why do you argue that DISH was the wrong defendant?</w:t>
            </w:r>
          </w:p>
        </w:tc>
        <w:tc>
          <w:tcPr>
            <w:tcW w:w="5805" w:type="dxa"/>
            <w:vAlign w:val="center"/>
          </w:tcPr>
          <w:p w14:paraId="2ECDF4DA" w14:textId="5F6BDF29" w:rsidR="00710652" w:rsidRDefault="00A24871"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00EE3A1C">
              <w:rPr>
                <w:rFonts w:ascii="Calibri" w:hAnsi="Calibri" w:cs="Calibri"/>
                <w:b/>
                <w:sz w:val="22"/>
                <w:szCs w:val="22"/>
              </w:rPr>
              <w:t>he c</w:t>
            </w:r>
            <w:r w:rsidR="00EE3A1C" w:rsidRPr="00EE3A1C">
              <w:rPr>
                <w:rFonts w:ascii="Calibri" w:hAnsi="Calibri" w:cs="Calibri"/>
                <w:b/>
                <w:sz w:val="22"/>
                <w:szCs w:val="22"/>
              </w:rPr>
              <w:t>ourt erroneously permitted the jury to hold DISH liable for SSN’s misdeeds.</w:t>
            </w:r>
            <w:r>
              <w:rPr>
                <w:rFonts w:ascii="Calibri" w:hAnsi="Calibri" w:cs="Calibri"/>
                <w:b/>
                <w:sz w:val="22"/>
                <w:szCs w:val="22"/>
              </w:rPr>
              <w:t xml:space="preserve">  SSN was not </w:t>
            </w:r>
            <w:proofErr w:type="spellStart"/>
            <w:r>
              <w:rPr>
                <w:rFonts w:ascii="Calibri" w:hAnsi="Calibri" w:cs="Calibri"/>
                <w:b/>
                <w:sz w:val="22"/>
                <w:szCs w:val="22"/>
              </w:rPr>
              <w:t>DISH’s</w:t>
            </w:r>
            <w:proofErr w:type="spellEnd"/>
            <w:r>
              <w:rPr>
                <w:rFonts w:ascii="Calibri" w:hAnsi="Calibri" w:cs="Calibri"/>
                <w:b/>
                <w:sz w:val="22"/>
                <w:szCs w:val="22"/>
              </w:rPr>
              <w:t xml:space="preserve"> agent.  </w:t>
            </w:r>
          </w:p>
        </w:tc>
      </w:tr>
      <w:tr w:rsidR="00DD12CC" w:rsidRPr="00907D75" w14:paraId="08A42166" w14:textId="77777777" w:rsidTr="008649A2">
        <w:trPr>
          <w:trHeight w:val="4795"/>
        </w:trPr>
        <w:tc>
          <w:tcPr>
            <w:tcW w:w="5805" w:type="dxa"/>
            <w:vAlign w:val="center"/>
          </w:tcPr>
          <w:p w14:paraId="12093179" w14:textId="228BBCEB" w:rsidR="00DD12CC" w:rsidRDefault="00DD12CC" w:rsidP="00525419">
            <w:pPr>
              <w:pStyle w:val="O-BodyText"/>
              <w:spacing w:after="120"/>
              <w:ind w:right="200"/>
              <w:jc w:val="both"/>
              <w:rPr>
                <w:rFonts w:ascii="Calibri" w:hAnsi="Calibri" w:cs="Calibri"/>
                <w:b/>
                <w:sz w:val="28"/>
                <w:szCs w:val="28"/>
              </w:rPr>
            </w:pPr>
            <w:r>
              <w:rPr>
                <w:rFonts w:ascii="Calibri" w:hAnsi="Calibri" w:cs="Calibri"/>
                <w:b/>
                <w:sz w:val="28"/>
                <w:szCs w:val="28"/>
              </w:rPr>
              <w:t>Is the question of agency a factual or legal question?</w:t>
            </w:r>
          </w:p>
        </w:tc>
        <w:tc>
          <w:tcPr>
            <w:tcW w:w="5805" w:type="dxa"/>
            <w:vAlign w:val="center"/>
          </w:tcPr>
          <w:p w14:paraId="05BB9733" w14:textId="75400D0C" w:rsidR="00DD12CC" w:rsidRDefault="0062233B" w:rsidP="00525419">
            <w:pPr>
              <w:pStyle w:val="O-BodyText"/>
              <w:spacing w:after="120"/>
              <w:ind w:left="290" w:right="65"/>
              <w:jc w:val="both"/>
              <w:rPr>
                <w:rFonts w:ascii="Calibri" w:hAnsi="Calibri" w:cs="Calibri"/>
                <w:b/>
                <w:sz w:val="22"/>
                <w:szCs w:val="22"/>
              </w:rPr>
            </w:pPr>
            <w:r>
              <w:rPr>
                <w:rFonts w:ascii="Calibri" w:hAnsi="Calibri" w:cs="Calibri"/>
                <w:b/>
                <w:sz w:val="22"/>
                <w:szCs w:val="22"/>
              </w:rPr>
              <w:t>Here, b</w:t>
            </w:r>
            <w:r w:rsidR="00DD12CC" w:rsidRPr="00DD12CC">
              <w:rPr>
                <w:rFonts w:ascii="Calibri" w:hAnsi="Calibri" w:cs="Calibri"/>
                <w:b/>
                <w:sz w:val="22"/>
                <w:szCs w:val="22"/>
              </w:rPr>
              <w:t xml:space="preserve">ecause the facts </w:t>
            </w:r>
            <w:r>
              <w:rPr>
                <w:rFonts w:ascii="Calibri" w:hAnsi="Calibri" w:cs="Calibri"/>
                <w:b/>
                <w:sz w:val="22"/>
                <w:szCs w:val="22"/>
              </w:rPr>
              <w:t>about</w:t>
            </w:r>
            <w:r w:rsidR="00DD12CC" w:rsidRPr="00DD12CC">
              <w:rPr>
                <w:rFonts w:ascii="Calibri" w:hAnsi="Calibri" w:cs="Calibri"/>
                <w:b/>
                <w:sz w:val="22"/>
                <w:szCs w:val="22"/>
              </w:rPr>
              <w:t xml:space="preserve"> the relationship between DISH and SSN are not meaningfully in dispute, it is a “question of law” whether those facts gave rise to an agency relationship.  </w:t>
            </w:r>
            <w:proofErr w:type="spellStart"/>
            <w:r w:rsidR="00DD12CC" w:rsidRPr="00DD12CC">
              <w:rPr>
                <w:rFonts w:ascii="Calibri" w:hAnsi="Calibri" w:cs="Calibri"/>
                <w:b/>
                <w:i/>
                <w:sz w:val="22"/>
                <w:szCs w:val="22"/>
              </w:rPr>
              <w:t>Cilecek</w:t>
            </w:r>
            <w:proofErr w:type="spellEnd"/>
            <w:r w:rsidR="00DD12CC" w:rsidRPr="00DD12CC">
              <w:rPr>
                <w:rFonts w:ascii="Calibri" w:hAnsi="Calibri" w:cs="Calibri"/>
                <w:b/>
                <w:i/>
                <w:sz w:val="22"/>
                <w:szCs w:val="22"/>
              </w:rPr>
              <w:t xml:space="preserve"> v. Inova Health Sys</w:t>
            </w:r>
            <w:proofErr w:type="gramStart"/>
            <w:r w:rsidR="00DD12CC" w:rsidRPr="00DD12CC">
              <w:rPr>
                <w:rFonts w:ascii="Calibri" w:hAnsi="Calibri" w:cs="Calibri"/>
                <w:b/>
                <w:i/>
                <w:sz w:val="22"/>
                <w:szCs w:val="22"/>
              </w:rPr>
              <w:t xml:space="preserve">. </w:t>
            </w:r>
            <w:proofErr w:type="gramEnd"/>
            <w:r w:rsidR="00DD12CC" w:rsidRPr="00DD12CC">
              <w:rPr>
                <w:rFonts w:ascii="Calibri" w:hAnsi="Calibri" w:cs="Calibri"/>
                <w:b/>
                <w:i/>
                <w:sz w:val="22"/>
                <w:szCs w:val="22"/>
              </w:rPr>
              <w:t>Servs</w:t>
            </w:r>
            <w:r w:rsidR="006122CB" w:rsidRPr="00DD12CC">
              <w:rPr>
                <w:rFonts w:ascii="Calibri" w:hAnsi="Calibri" w:cs="Calibri"/>
                <w:b/>
                <w:i/>
                <w:sz w:val="22"/>
                <w:szCs w:val="22"/>
              </w:rPr>
              <w:t>.</w:t>
            </w:r>
            <w:r w:rsidR="006122CB" w:rsidRPr="00DD12CC">
              <w:rPr>
                <w:rFonts w:ascii="Calibri" w:hAnsi="Calibri" w:cs="Calibri"/>
                <w:b/>
                <w:sz w:val="22"/>
                <w:szCs w:val="22"/>
              </w:rPr>
              <w:t xml:space="preserve">, </w:t>
            </w:r>
            <w:r w:rsidR="006122CB">
              <w:rPr>
                <w:rFonts w:ascii="Calibri" w:hAnsi="Calibri" w:cs="Calibri"/>
                <w:b/>
                <w:sz w:val="22"/>
                <w:szCs w:val="22"/>
              </w:rPr>
              <w:t>(</w:t>
            </w:r>
            <w:r w:rsidR="00DD12CC" w:rsidRPr="00DD12CC">
              <w:rPr>
                <w:rFonts w:ascii="Calibri" w:hAnsi="Calibri" w:cs="Calibri"/>
                <w:b/>
                <w:sz w:val="22"/>
                <w:szCs w:val="22"/>
              </w:rPr>
              <w:t>4th Cir. 1997)</w:t>
            </w:r>
            <w:r w:rsidR="00DD12CC">
              <w:rPr>
                <w:rFonts w:ascii="Calibri" w:hAnsi="Calibri" w:cs="Calibri"/>
                <w:b/>
                <w:sz w:val="22"/>
                <w:szCs w:val="22"/>
              </w:rPr>
              <w:t>.</w:t>
            </w:r>
          </w:p>
        </w:tc>
      </w:tr>
      <w:tr w:rsidR="00A407B2" w:rsidRPr="00907D75" w14:paraId="44B1B8A0" w14:textId="77777777" w:rsidTr="008649A2">
        <w:trPr>
          <w:trHeight w:val="4795"/>
        </w:trPr>
        <w:tc>
          <w:tcPr>
            <w:tcW w:w="5805" w:type="dxa"/>
            <w:vAlign w:val="center"/>
          </w:tcPr>
          <w:p w14:paraId="0EDE9939" w14:textId="4C4E1B4A" w:rsidR="00A407B2" w:rsidRDefault="00A407B2"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Krakauer need to prove for DISH to be vicariously liable for SSN’s calls?</w:t>
            </w:r>
          </w:p>
        </w:tc>
        <w:tc>
          <w:tcPr>
            <w:tcW w:w="5805" w:type="dxa"/>
            <w:vAlign w:val="center"/>
          </w:tcPr>
          <w:p w14:paraId="0CA8D9A1" w14:textId="25C68538" w:rsidR="00A407B2" w:rsidRPr="00DD12CC" w:rsidRDefault="0082314C" w:rsidP="00525419">
            <w:pPr>
              <w:pStyle w:val="O-BodyText"/>
              <w:spacing w:after="120"/>
              <w:ind w:left="290" w:right="65"/>
              <w:jc w:val="both"/>
              <w:rPr>
                <w:rFonts w:ascii="Calibri" w:hAnsi="Calibri" w:cs="Calibri"/>
                <w:b/>
                <w:sz w:val="22"/>
                <w:szCs w:val="22"/>
              </w:rPr>
            </w:pPr>
            <w:r>
              <w:rPr>
                <w:rFonts w:ascii="Calibri" w:hAnsi="Calibri" w:cs="Calibri"/>
                <w:b/>
                <w:sz w:val="22"/>
                <w:szCs w:val="22"/>
              </w:rPr>
              <w:t>For DISH to be vicariously liable for SSN’s calls, Krakauer</w:t>
            </w:r>
            <w:r w:rsidR="00A407B2">
              <w:rPr>
                <w:rFonts w:ascii="Calibri" w:hAnsi="Calibri" w:cs="Calibri"/>
                <w:b/>
                <w:sz w:val="22"/>
                <w:szCs w:val="22"/>
              </w:rPr>
              <w:t xml:space="preserve"> needed to prove</w:t>
            </w:r>
            <w:r w:rsidR="00A407B2" w:rsidRPr="00A407B2">
              <w:rPr>
                <w:rFonts w:ascii="Calibri" w:hAnsi="Calibri" w:cs="Calibri"/>
                <w:b/>
                <w:sz w:val="22"/>
                <w:szCs w:val="22"/>
              </w:rPr>
              <w:t xml:space="preserve"> (1) that DISH authorized SSN to act as its agent, and (2) that SSN acted within the scope of that authority when it made calls violating the TCPA.</w:t>
            </w:r>
          </w:p>
        </w:tc>
      </w:tr>
      <w:tr w:rsidR="00582248" w:rsidRPr="00907D75" w14:paraId="4E960073" w14:textId="77777777" w:rsidTr="008649A2">
        <w:trPr>
          <w:trHeight w:val="4795"/>
        </w:trPr>
        <w:tc>
          <w:tcPr>
            <w:tcW w:w="5805" w:type="dxa"/>
            <w:vAlign w:val="center"/>
          </w:tcPr>
          <w:p w14:paraId="4384BC09" w14:textId="114A83A5" w:rsidR="00582248" w:rsidRDefault="00582248" w:rsidP="00525419">
            <w:pPr>
              <w:pStyle w:val="O-BodyText"/>
              <w:spacing w:after="120"/>
              <w:ind w:right="200"/>
              <w:jc w:val="both"/>
              <w:rPr>
                <w:rFonts w:ascii="Calibri" w:hAnsi="Calibri" w:cs="Calibri"/>
                <w:b/>
                <w:sz w:val="28"/>
                <w:szCs w:val="28"/>
              </w:rPr>
            </w:pPr>
            <w:r>
              <w:rPr>
                <w:rFonts w:ascii="Calibri" w:hAnsi="Calibri" w:cs="Calibri"/>
                <w:b/>
                <w:sz w:val="28"/>
                <w:szCs w:val="28"/>
              </w:rPr>
              <w:t>Did DISH authorize SSN to act as its agent?</w:t>
            </w:r>
          </w:p>
        </w:tc>
        <w:tc>
          <w:tcPr>
            <w:tcW w:w="5805" w:type="dxa"/>
            <w:vAlign w:val="center"/>
          </w:tcPr>
          <w:p w14:paraId="562E7046" w14:textId="640ED1AF" w:rsidR="00582248" w:rsidRDefault="00582248"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82314C">
              <w:rPr>
                <w:rFonts w:ascii="Calibri" w:hAnsi="Calibri" w:cs="Calibri"/>
                <w:b/>
                <w:sz w:val="22"/>
                <w:szCs w:val="22"/>
              </w:rPr>
              <w:t xml:space="preserve"> </w:t>
            </w:r>
            <w:r>
              <w:rPr>
                <w:rFonts w:ascii="Calibri" w:hAnsi="Calibri" w:cs="Calibri"/>
                <w:b/>
                <w:sz w:val="22"/>
                <w:szCs w:val="22"/>
              </w:rPr>
              <w:t>Th</w:t>
            </w:r>
            <w:r w:rsidRPr="00582248">
              <w:rPr>
                <w:rFonts w:ascii="Calibri" w:hAnsi="Calibri" w:cs="Calibri"/>
                <w:b/>
                <w:sz w:val="22"/>
                <w:szCs w:val="22"/>
              </w:rPr>
              <w:t>e contracts between DISH and SSN expressly withheld actual authority, and DISH did not have the day-to-day control necessary to create agency.</w:t>
            </w:r>
          </w:p>
        </w:tc>
      </w:tr>
      <w:tr w:rsidR="008827F3" w:rsidRPr="00907D75" w14:paraId="44F7391F" w14:textId="77777777" w:rsidTr="008649A2">
        <w:trPr>
          <w:trHeight w:val="4795"/>
        </w:trPr>
        <w:tc>
          <w:tcPr>
            <w:tcW w:w="5805" w:type="dxa"/>
            <w:vAlign w:val="center"/>
          </w:tcPr>
          <w:p w14:paraId="1D3CFFE8" w14:textId="7405D012" w:rsidR="008827F3" w:rsidRDefault="004A37E5" w:rsidP="00525419">
            <w:pPr>
              <w:pStyle w:val="O-BodyText"/>
              <w:spacing w:after="120"/>
              <w:ind w:right="200"/>
              <w:jc w:val="both"/>
              <w:rPr>
                <w:rFonts w:ascii="Calibri" w:hAnsi="Calibri" w:cs="Calibri"/>
                <w:b/>
                <w:sz w:val="28"/>
                <w:szCs w:val="28"/>
              </w:rPr>
            </w:pPr>
            <w:r>
              <w:rPr>
                <w:rFonts w:ascii="Calibri" w:hAnsi="Calibri" w:cs="Calibri"/>
                <w:b/>
                <w:sz w:val="28"/>
                <w:szCs w:val="28"/>
              </w:rPr>
              <w:t>What is an agency relationship?</w:t>
            </w:r>
          </w:p>
        </w:tc>
        <w:tc>
          <w:tcPr>
            <w:tcW w:w="5805" w:type="dxa"/>
            <w:vAlign w:val="center"/>
          </w:tcPr>
          <w:p w14:paraId="48321909" w14:textId="43374694" w:rsidR="008827F3" w:rsidRDefault="004A37E5" w:rsidP="00525419">
            <w:pPr>
              <w:pStyle w:val="O-BodyText"/>
              <w:spacing w:after="120"/>
              <w:ind w:left="290" w:right="65"/>
              <w:jc w:val="both"/>
              <w:rPr>
                <w:rFonts w:ascii="Calibri" w:hAnsi="Calibri" w:cs="Calibri"/>
                <w:b/>
                <w:sz w:val="22"/>
                <w:szCs w:val="22"/>
              </w:rPr>
            </w:pPr>
            <w:r w:rsidRPr="004A37E5">
              <w:rPr>
                <w:rFonts w:ascii="Calibri" w:hAnsi="Calibri" w:cs="Calibri"/>
                <w:b/>
                <w:sz w:val="22"/>
                <w:szCs w:val="22"/>
              </w:rPr>
              <w:t>“Agency is the fiduciary relationship that arises when one</w:t>
            </w:r>
            <w:r>
              <w:rPr>
                <w:rFonts w:ascii="Calibri" w:hAnsi="Calibri" w:cs="Calibri"/>
                <w:b/>
                <w:sz w:val="22"/>
                <w:szCs w:val="22"/>
              </w:rPr>
              <w:t xml:space="preserve"> </w:t>
            </w:r>
            <w:r w:rsidRPr="004A37E5">
              <w:rPr>
                <w:rFonts w:ascii="Calibri" w:hAnsi="Calibri" w:cs="Calibri"/>
                <w:b/>
                <w:sz w:val="22"/>
                <w:szCs w:val="22"/>
              </w:rPr>
              <w:t xml:space="preserve">person (a ‘principal’) manifests </w:t>
            </w:r>
            <w:r w:rsidRPr="004A37E5">
              <w:rPr>
                <w:rFonts w:ascii="Calibri" w:hAnsi="Calibri" w:cs="Calibri"/>
                <w:b/>
                <w:i/>
                <w:sz w:val="22"/>
                <w:szCs w:val="22"/>
              </w:rPr>
              <w:t>assent</w:t>
            </w:r>
            <w:r w:rsidRPr="004A37E5">
              <w:rPr>
                <w:rFonts w:ascii="Calibri" w:hAnsi="Calibri" w:cs="Calibri"/>
                <w:b/>
                <w:sz w:val="22"/>
                <w:szCs w:val="22"/>
              </w:rPr>
              <w:t xml:space="preserve"> to another person (an ‘agent’) </w:t>
            </w:r>
            <w:r w:rsidRPr="004A37E5">
              <w:rPr>
                <w:rFonts w:ascii="Calibri" w:hAnsi="Calibri" w:cs="Calibri"/>
                <w:b/>
                <w:i/>
                <w:sz w:val="22"/>
                <w:szCs w:val="22"/>
              </w:rPr>
              <w:t>that the agent shall act on the principal’s behalf and subject to the principal’s control</w:t>
            </w:r>
            <w:r w:rsidRPr="004A37E5">
              <w:rPr>
                <w:rFonts w:ascii="Calibri" w:hAnsi="Calibri" w:cs="Calibri"/>
                <w:b/>
                <w:sz w:val="22"/>
                <w:szCs w:val="22"/>
              </w:rPr>
              <w:t>, and the agent manifests assent or otherwise consents so to act.”  Restatement (Third) of Agency § 1.01 (emphasis added).</w:t>
            </w:r>
          </w:p>
        </w:tc>
      </w:tr>
      <w:tr w:rsidR="008E6446" w:rsidRPr="00907D75" w14:paraId="143F907C" w14:textId="77777777" w:rsidTr="008649A2">
        <w:trPr>
          <w:trHeight w:val="4795"/>
        </w:trPr>
        <w:tc>
          <w:tcPr>
            <w:tcW w:w="5805" w:type="dxa"/>
            <w:vAlign w:val="center"/>
          </w:tcPr>
          <w:p w14:paraId="28CFAA19" w14:textId="4439D7A8" w:rsidR="008E6446" w:rsidRDefault="008E6446"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Supreme Court say in </w:t>
            </w:r>
            <w:r w:rsidRPr="008E6446">
              <w:rPr>
                <w:rFonts w:ascii="Calibri" w:hAnsi="Calibri" w:cs="Calibri"/>
                <w:b/>
                <w:i/>
                <w:sz w:val="28"/>
                <w:szCs w:val="28"/>
              </w:rPr>
              <w:t>Meyer v. Holley</w:t>
            </w:r>
            <w:r>
              <w:rPr>
                <w:rFonts w:ascii="Calibri" w:hAnsi="Calibri" w:cs="Calibri"/>
                <w:b/>
                <w:sz w:val="28"/>
                <w:szCs w:val="28"/>
              </w:rPr>
              <w:t xml:space="preserve"> </w:t>
            </w:r>
            <w:r w:rsidRPr="008E6446">
              <w:rPr>
                <w:rFonts w:ascii="Calibri" w:hAnsi="Calibri" w:cs="Calibri"/>
                <w:b/>
                <w:sz w:val="28"/>
                <w:szCs w:val="28"/>
              </w:rPr>
              <w:t>(</w:t>
            </w:r>
            <w:r>
              <w:rPr>
                <w:rFonts w:ascii="Calibri" w:hAnsi="Calibri" w:cs="Calibri"/>
                <w:b/>
                <w:sz w:val="28"/>
                <w:szCs w:val="28"/>
              </w:rPr>
              <w:t xml:space="preserve">S. Ct. </w:t>
            </w:r>
            <w:r w:rsidRPr="008E6446">
              <w:rPr>
                <w:rFonts w:ascii="Calibri" w:hAnsi="Calibri" w:cs="Calibri"/>
                <w:b/>
                <w:sz w:val="28"/>
                <w:szCs w:val="28"/>
              </w:rPr>
              <w:t>2003)</w:t>
            </w:r>
            <w:r>
              <w:rPr>
                <w:rFonts w:ascii="Calibri" w:hAnsi="Calibri" w:cs="Calibri"/>
                <w:b/>
                <w:sz w:val="28"/>
                <w:szCs w:val="28"/>
              </w:rPr>
              <w:t xml:space="preserve"> about agency?</w:t>
            </w:r>
          </w:p>
        </w:tc>
        <w:tc>
          <w:tcPr>
            <w:tcW w:w="5805" w:type="dxa"/>
            <w:vAlign w:val="center"/>
          </w:tcPr>
          <w:p w14:paraId="41BD3FA6" w14:textId="6989BBD5" w:rsidR="008E6446" w:rsidRPr="004A37E5" w:rsidRDefault="00BD5B0E"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008C1CC8" w:rsidRPr="008C1CC8">
              <w:rPr>
                <w:rFonts w:ascii="Calibri" w:hAnsi="Calibri" w:cs="Calibri"/>
                <w:b/>
                <w:i/>
                <w:sz w:val="22"/>
                <w:szCs w:val="22"/>
              </w:rPr>
              <w:t>Meyer v. Holley (S. Ct. 2003)</w:t>
            </w:r>
            <w:r>
              <w:rPr>
                <w:rFonts w:ascii="Calibri" w:hAnsi="Calibri" w:cs="Calibri"/>
                <w:b/>
                <w:sz w:val="22"/>
                <w:szCs w:val="22"/>
              </w:rPr>
              <w:t xml:space="preserve">, the Supreme Court said that </w:t>
            </w:r>
            <w:r w:rsidRPr="00BD5B0E">
              <w:rPr>
                <w:rFonts w:ascii="Calibri" w:hAnsi="Calibri" w:cs="Calibri"/>
                <w:b/>
                <w:sz w:val="22"/>
                <w:szCs w:val="22"/>
              </w:rPr>
              <w:t>traditional agency-law principles apply to federal statutory torts</w:t>
            </w:r>
            <w:r w:rsidR="006122CB">
              <w:rPr>
                <w:rFonts w:ascii="Calibri" w:hAnsi="Calibri" w:cs="Calibri"/>
                <w:b/>
                <w:sz w:val="22"/>
                <w:szCs w:val="22"/>
              </w:rPr>
              <w:t>.</w:t>
            </w:r>
          </w:p>
        </w:tc>
      </w:tr>
      <w:tr w:rsidR="004A37E5" w:rsidRPr="00907D75" w14:paraId="28F45ECA" w14:textId="77777777" w:rsidTr="008649A2">
        <w:trPr>
          <w:trHeight w:val="4795"/>
        </w:trPr>
        <w:tc>
          <w:tcPr>
            <w:tcW w:w="5805" w:type="dxa"/>
            <w:vAlign w:val="center"/>
          </w:tcPr>
          <w:p w14:paraId="7BA75BBE" w14:textId="60AD4B9A" w:rsidR="004A37E5" w:rsidRDefault="004A37E5" w:rsidP="00525419">
            <w:pPr>
              <w:pStyle w:val="O-BodyText"/>
              <w:spacing w:after="120"/>
              <w:ind w:right="200"/>
              <w:jc w:val="both"/>
              <w:rPr>
                <w:rFonts w:ascii="Calibri" w:hAnsi="Calibri" w:cs="Calibri"/>
                <w:b/>
                <w:sz w:val="28"/>
                <w:szCs w:val="28"/>
              </w:rPr>
            </w:pPr>
            <w:r>
              <w:rPr>
                <w:rFonts w:ascii="Calibri" w:hAnsi="Calibri" w:cs="Calibri"/>
                <w:b/>
                <w:sz w:val="28"/>
                <w:szCs w:val="28"/>
              </w:rPr>
              <w:t>What does it mean to have “assent” for an agency relationship?</w:t>
            </w:r>
          </w:p>
        </w:tc>
        <w:tc>
          <w:tcPr>
            <w:tcW w:w="5805" w:type="dxa"/>
            <w:vAlign w:val="center"/>
          </w:tcPr>
          <w:p w14:paraId="5E777C9C" w14:textId="38455054" w:rsidR="004A37E5" w:rsidRDefault="004A37E5" w:rsidP="00525419">
            <w:pPr>
              <w:pStyle w:val="O-BodyText"/>
              <w:spacing w:after="120"/>
              <w:ind w:left="290" w:right="65"/>
              <w:jc w:val="both"/>
              <w:rPr>
                <w:rFonts w:ascii="Calibri" w:hAnsi="Calibri" w:cs="Calibri"/>
                <w:b/>
                <w:sz w:val="22"/>
                <w:szCs w:val="22"/>
              </w:rPr>
            </w:pPr>
            <w:r w:rsidRPr="004A37E5">
              <w:rPr>
                <w:rFonts w:ascii="Calibri" w:hAnsi="Calibri" w:cs="Calibri"/>
                <w:b/>
                <w:sz w:val="22"/>
                <w:szCs w:val="22"/>
              </w:rPr>
              <w:t>There must be a clear, mutual agreement that the agent has authority to bind the principal</w:t>
            </w:r>
            <w:r w:rsidR="006122CB" w:rsidRPr="004A37E5">
              <w:rPr>
                <w:rFonts w:ascii="Calibri" w:hAnsi="Calibri" w:cs="Calibri"/>
                <w:b/>
                <w:sz w:val="22"/>
                <w:szCs w:val="22"/>
              </w:rPr>
              <w:t>.</w:t>
            </w:r>
            <w:r w:rsidR="006122CB">
              <w:rPr>
                <w:rFonts w:ascii="Calibri" w:hAnsi="Calibri" w:cs="Calibri"/>
                <w:b/>
                <w:sz w:val="22"/>
                <w:szCs w:val="22"/>
              </w:rPr>
              <w:t xml:space="preserve">  </w:t>
            </w:r>
            <w:r w:rsidRPr="004A37E5">
              <w:rPr>
                <w:rFonts w:ascii="Calibri" w:hAnsi="Calibri" w:cs="Calibri"/>
                <w:b/>
                <w:i/>
                <w:sz w:val="22"/>
                <w:szCs w:val="22"/>
              </w:rPr>
              <w:t>Gen</w:t>
            </w:r>
            <w:r w:rsidR="008C1CC8">
              <w:rPr>
                <w:rFonts w:ascii="Calibri" w:hAnsi="Calibri" w:cs="Calibri"/>
                <w:b/>
                <w:i/>
                <w:sz w:val="22"/>
                <w:szCs w:val="22"/>
              </w:rPr>
              <w:t>eral</w:t>
            </w:r>
            <w:r w:rsidRPr="004A37E5">
              <w:rPr>
                <w:rFonts w:ascii="Calibri" w:hAnsi="Calibri" w:cs="Calibri"/>
                <w:b/>
                <w:i/>
                <w:sz w:val="22"/>
                <w:szCs w:val="22"/>
              </w:rPr>
              <w:t xml:space="preserve"> B</w:t>
            </w:r>
            <w:r w:rsidR="008C1CC8">
              <w:rPr>
                <w:rFonts w:ascii="Calibri" w:hAnsi="Calibri" w:cs="Calibri"/>
                <w:b/>
                <w:i/>
                <w:sz w:val="22"/>
                <w:szCs w:val="22"/>
              </w:rPr>
              <w:t xml:space="preserve">uilding </w:t>
            </w:r>
            <w:r w:rsidRPr="004A37E5">
              <w:rPr>
                <w:rFonts w:ascii="Calibri" w:hAnsi="Calibri" w:cs="Calibri"/>
                <w:b/>
                <w:i/>
                <w:sz w:val="22"/>
                <w:szCs w:val="22"/>
              </w:rPr>
              <w:t xml:space="preserve">Contractors </w:t>
            </w:r>
            <w:proofErr w:type="spellStart"/>
            <w:r w:rsidRPr="004A37E5">
              <w:rPr>
                <w:rFonts w:ascii="Calibri" w:hAnsi="Calibri" w:cs="Calibri"/>
                <w:b/>
                <w:i/>
                <w:sz w:val="22"/>
                <w:szCs w:val="22"/>
              </w:rPr>
              <w:t>Ass’n</w:t>
            </w:r>
            <w:proofErr w:type="spellEnd"/>
            <w:r w:rsidRPr="004A37E5">
              <w:rPr>
                <w:rFonts w:ascii="Calibri" w:hAnsi="Calibri" w:cs="Calibri"/>
                <w:b/>
                <w:i/>
                <w:sz w:val="22"/>
                <w:szCs w:val="22"/>
              </w:rPr>
              <w:t xml:space="preserve"> v. Pennsylvania</w:t>
            </w:r>
            <w:r>
              <w:rPr>
                <w:rFonts w:ascii="Calibri" w:hAnsi="Calibri" w:cs="Calibri"/>
                <w:b/>
                <w:sz w:val="22"/>
                <w:szCs w:val="22"/>
              </w:rPr>
              <w:t xml:space="preserve"> </w:t>
            </w:r>
            <w:r w:rsidRPr="004A37E5">
              <w:rPr>
                <w:rFonts w:ascii="Calibri" w:hAnsi="Calibri" w:cs="Calibri"/>
                <w:b/>
                <w:sz w:val="22"/>
                <w:szCs w:val="22"/>
              </w:rPr>
              <w:t>(</w:t>
            </w:r>
            <w:r>
              <w:rPr>
                <w:rFonts w:ascii="Calibri" w:hAnsi="Calibri" w:cs="Calibri"/>
                <w:b/>
                <w:sz w:val="22"/>
                <w:szCs w:val="22"/>
              </w:rPr>
              <w:t xml:space="preserve">S. Ct. </w:t>
            </w:r>
            <w:r w:rsidRPr="004A37E5">
              <w:rPr>
                <w:rFonts w:ascii="Calibri" w:hAnsi="Calibri" w:cs="Calibri"/>
                <w:b/>
                <w:sz w:val="22"/>
                <w:szCs w:val="22"/>
              </w:rPr>
              <w:t>1982)</w:t>
            </w:r>
            <w:r>
              <w:rPr>
                <w:rFonts w:ascii="Calibri" w:hAnsi="Calibri" w:cs="Calibri"/>
                <w:b/>
                <w:sz w:val="22"/>
                <w:szCs w:val="22"/>
              </w:rPr>
              <w:t>.</w:t>
            </w:r>
          </w:p>
        </w:tc>
      </w:tr>
      <w:tr w:rsidR="007108E2" w:rsidRPr="00907D75" w14:paraId="07F6B441" w14:textId="77777777" w:rsidTr="008649A2">
        <w:trPr>
          <w:trHeight w:val="4795"/>
        </w:trPr>
        <w:tc>
          <w:tcPr>
            <w:tcW w:w="5805" w:type="dxa"/>
            <w:vAlign w:val="center"/>
          </w:tcPr>
          <w:p w14:paraId="29B11588" w14:textId="63698A35" w:rsidR="007108E2" w:rsidRDefault="007108E2" w:rsidP="00525419">
            <w:pPr>
              <w:pStyle w:val="O-BodyText"/>
              <w:spacing w:after="120"/>
              <w:ind w:right="200"/>
              <w:jc w:val="both"/>
              <w:rPr>
                <w:rFonts w:ascii="Calibri" w:hAnsi="Calibri" w:cs="Calibri"/>
                <w:b/>
                <w:sz w:val="28"/>
                <w:szCs w:val="28"/>
              </w:rPr>
            </w:pPr>
            <w:r>
              <w:rPr>
                <w:rFonts w:ascii="Calibri" w:hAnsi="Calibri" w:cs="Calibri"/>
                <w:b/>
                <w:sz w:val="28"/>
                <w:szCs w:val="28"/>
              </w:rPr>
              <w:t>Does assent have to be express, or can it be implied?</w:t>
            </w:r>
          </w:p>
        </w:tc>
        <w:tc>
          <w:tcPr>
            <w:tcW w:w="5805" w:type="dxa"/>
            <w:vAlign w:val="center"/>
          </w:tcPr>
          <w:p w14:paraId="0993D8F4" w14:textId="6D2B3980" w:rsidR="007108E2" w:rsidRPr="004A37E5" w:rsidRDefault="007108E2" w:rsidP="00525419">
            <w:pPr>
              <w:pStyle w:val="O-BodyText"/>
              <w:spacing w:after="120"/>
              <w:ind w:left="290" w:right="65"/>
              <w:jc w:val="both"/>
              <w:rPr>
                <w:rFonts w:ascii="Calibri" w:hAnsi="Calibri" w:cs="Calibri"/>
                <w:b/>
                <w:sz w:val="22"/>
                <w:szCs w:val="22"/>
              </w:rPr>
            </w:pPr>
            <w:r w:rsidRPr="007108E2">
              <w:rPr>
                <w:rFonts w:ascii="Calibri" w:hAnsi="Calibri" w:cs="Calibri"/>
                <w:b/>
                <w:sz w:val="22"/>
                <w:szCs w:val="22"/>
              </w:rPr>
              <w:t>Assent may be express or implied</w:t>
            </w:r>
            <w:r w:rsidR="006122CB">
              <w:rPr>
                <w:rFonts w:ascii="Calibri" w:hAnsi="Calibri" w:cs="Calibri"/>
                <w:b/>
                <w:sz w:val="22"/>
                <w:szCs w:val="22"/>
              </w:rPr>
              <w:t>.</w:t>
            </w:r>
            <w:r w:rsidR="006122CB">
              <w:t xml:space="preserve">  </w:t>
            </w:r>
            <w:r w:rsidRPr="007108E2">
              <w:rPr>
                <w:rFonts w:ascii="Calibri" w:hAnsi="Calibri" w:cs="Calibri"/>
                <w:b/>
                <w:i/>
                <w:sz w:val="22"/>
                <w:szCs w:val="22"/>
              </w:rPr>
              <w:t>United States v. Ellis</w:t>
            </w:r>
            <w:r>
              <w:rPr>
                <w:rFonts w:ascii="Calibri" w:hAnsi="Calibri" w:cs="Calibri"/>
                <w:b/>
                <w:sz w:val="22"/>
                <w:szCs w:val="22"/>
              </w:rPr>
              <w:t xml:space="preserve"> (1st Cir. 2008).</w:t>
            </w:r>
          </w:p>
        </w:tc>
      </w:tr>
      <w:tr w:rsidR="007108E2" w:rsidRPr="00907D75" w14:paraId="78D1028D" w14:textId="77777777" w:rsidTr="008649A2">
        <w:trPr>
          <w:trHeight w:val="4795"/>
        </w:trPr>
        <w:tc>
          <w:tcPr>
            <w:tcW w:w="5805" w:type="dxa"/>
            <w:vAlign w:val="center"/>
          </w:tcPr>
          <w:p w14:paraId="0C7C826C" w14:textId="55DAAF60" w:rsidR="007108E2" w:rsidRDefault="007108E2"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kind of control must the principal have over the agent?</w:t>
            </w:r>
          </w:p>
        </w:tc>
        <w:tc>
          <w:tcPr>
            <w:tcW w:w="5805" w:type="dxa"/>
            <w:vAlign w:val="center"/>
          </w:tcPr>
          <w:p w14:paraId="1FA42FF8" w14:textId="43A4FE0B" w:rsidR="007108E2" w:rsidRPr="007108E2" w:rsidRDefault="007108E2"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A </w:t>
            </w:r>
            <w:r w:rsidRPr="007108E2">
              <w:rPr>
                <w:rFonts w:ascii="Calibri" w:hAnsi="Calibri" w:cs="Calibri"/>
                <w:b/>
                <w:sz w:val="22"/>
                <w:szCs w:val="22"/>
              </w:rPr>
              <w:t xml:space="preserve">principal </w:t>
            </w:r>
            <w:r>
              <w:rPr>
                <w:rFonts w:ascii="Calibri" w:hAnsi="Calibri" w:cs="Calibri"/>
                <w:b/>
                <w:sz w:val="22"/>
                <w:szCs w:val="22"/>
              </w:rPr>
              <w:t xml:space="preserve">must have the power to </w:t>
            </w:r>
            <w:r w:rsidRPr="007108E2">
              <w:rPr>
                <w:rFonts w:ascii="Calibri" w:hAnsi="Calibri" w:cs="Calibri"/>
                <w:b/>
                <w:sz w:val="22"/>
                <w:szCs w:val="22"/>
              </w:rPr>
              <w:t xml:space="preserve">control the agent’s day-to-day operations.  </w:t>
            </w:r>
            <w:r w:rsidRPr="007108E2">
              <w:rPr>
                <w:rFonts w:ascii="Calibri" w:hAnsi="Calibri" w:cs="Calibri"/>
                <w:b/>
                <w:i/>
                <w:sz w:val="22"/>
                <w:szCs w:val="22"/>
              </w:rPr>
              <w:t>Carlisle v. Deere &amp; Co</w:t>
            </w:r>
            <w:r>
              <w:rPr>
                <w:rFonts w:ascii="Calibri" w:hAnsi="Calibri" w:cs="Calibri"/>
                <w:b/>
                <w:i/>
                <w:sz w:val="22"/>
                <w:szCs w:val="22"/>
              </w:rPr>
              <w:t>.</w:t>
            </w:r>
            <w:r w:rsidRPr="007108E2">
              <w:rPr>
                <w:rFonts w:ascii="Calibri" w:hAnsi="Calibri" w:cs="Calibri"/>
                <w:b/>
                <w:sz w:val="22"/>
                <w:szCs w:val="22"/>
              </w:rPr>
              <w:t xml:space="preserve"> (7th Cir. 2009); </w:t>
            </w:r>
            <w:proofErr w:type="spellStart"/>
            <w:r w:rsidRPr="007108E2">
              <w:rPr>
                <w:rFonts w:ascii="Calibri" w:hAnsi="Calibri" w:cs="Calibri"/>
                <w:b/>
                <w:i/>
                <w:sz w:val="22"/>
                <w:szCs w:val="22"/>
              </w:rPr>
              <w:t>Hofherr</w:t>
            </w:r>
            <w:proofErr w:type="spellEnd"/>
            <w:r w:rsidRPr="007108E2">
              <w:rPr>
                <w:rFonts w:ascii="Calibri" w:hAnsi="Calibri" w:cs="Calibri"/>
                <w:b/>
                <w:i/>
                <w:sz w:val="22"/>
                <w:szCs w:val="22"/>
              </w:rPr>
              <w:t xml:space="preserve"> v. Dart Indus.</w:t>
            </w:r>
            <w:r>
              <w:rPr>
                <w:rFonts w:ascii="Calibri" w:hAnsi="Calibri" w:cs="Calibri"/>
                <w:b/>
                <w:sz w:val="22"/>
                <w:szCs w:val="22"/>
              </w:rPr>
              <w:t xml:space="preserve"> </w:t>
            </w:r>
            <w:r w:rsidRPr="007108E2">
              <w:rPr>
                <w:rFonts w:ascii="Calibri" w:hAnsi="Calibri" w:cs="Calibri"/>
                <w:b/>
                <w:sz w:val="22"/>
                <w:szCs w:val="22"/>
              </w:rPr>
              <w:t>(4th Cir. 1988)</w:t>
            </w:r>
            <w:r w:rsidR="006122CB" w:rsidRPr="007108E2">
              <w:rPr>
                <w:rFonts w:ascii="Calibri" w:hAnsi="Calibri" w:cs="Calibri"/>
                <w:b/>
                <w:sz w:val="22"/>
                <w:szCs w:val="22"/>
              </w:rPr>
              <w:t>.</w:t>
            </w:r>
            <w:r w:rsidR="006122CB">
              <w:t xml:space="preserve">  </w:t>
            </w:r>
            <w:r w:rsidR="008E6446" w:rsidRPr="008E6446">
              <w:rPr>
                <w:rFonts w:ascii="Calibri" w:hAnsi="Calibri" w:cs="Calibri"/>
                <w:b/>
                <w:sz w:val="22"/>
                <w:szCs w:val="22"/>
              </w:rPr>
              <w:t>For the principal to be bound by the agent’s actions, it must have “the right</w:t>
            </w:r>
            <w:r w:rsidR="008E6446">
              <w:t xml:space="preserve"> </w:t>
            </w:r>
            <w:r w:rsidR="008E6446" w:rsidRPr="008E6446">
              <w:rPr>
                <w:rFonts w:ascii="Calibri" w:hAnsi="Calibri" w:cs="Calibri"/>
                <w:b/>
                <w:sz w:val="22"/>
                <w:szCs w:val="22"/>
              </w:rPr>
              <w:t xml:space="preserve">to control” those actions.  Restatement (Third) of Agency § 1.01 </w:t>
            </w:r>
            <w:proofErr w:type="spellStart"/>
            <w:r w:rsidR="008E6446" w:rsidRPr="008E6446">
              <w:rPr>
                <w:rFonts w:ascii="Calibri" w:hAnsi="Calibri" w:cs="Calibri"/>
                <w:b/>
                <w:sz w:val="22"/>
                <w:szCs w:val="22"/>
              </w:rPr>
              <w:t>cmt</w:t>
            </w:r>
            <w:proofErr w:type="spellEnd"/>
            <w:proofErr w:type="gramStart"/>
            <w:r w:rsidR="008E6446" w:rsidRPr="008E6446">
              <w:rPr>
                <w:rFonts w:ascii="Calibri" w:hAnsi="Calibri" w:cs="Calibri"/>
                <w:b/>
                <w:sz w:val="22"/>
                <w:szCs w:val="22"/>
              </w:rPr>
              <w:t xml:space="preserve">. </w:t>
            </w:r>
            <w:proofErr w:type="gramEnd"/>
            <w:r w:rsidR="008E6446" w:rsidRPr="008E6446">
              <w:rPr>
                <w:rFonts w:ascii="Calibri" w:hAnsi="Calibri" w:cs="Calibri"/>
                <w:b/>
                <w:sz w:val="22"/>
                <w:szCs w:val="22"/>
              </w:rPr>
              <w:t>f.</w:t>
            </w:r>
          </w:p>
        </w:tc>
      </w:tr>
      <w:tr w:rsidR="008E6446" w:rsidRPr="00907D75" w14:paraId="7CD9D796" w14:textId="77777777" w:rsidTr="008649A2">
        <w:trPr>
          <w:trHeight w:val="4795"/>
        </w:trPr>
        <w:tc>
          <w:tcPr>
            <w:tcW w:w="5805" w:type="dxa"/>
            <w:vAlign w:val="center"/>
          </w:tcPr>
          <w:p w14:paraId="04CC92DC" w14:textId="6588A97F" w:rsidR="008E6446" w:rsidRDefault="008E6446" w:rsidP="00525419">
            <w:pPr>
              <w:pStyle w:val="O-BodyText"/>
              <w:spacing w:after="120"/>
              <w:ind w:right="200"/>
              <w:jc w:val="both"/>
              <w:rPr>
                <w:rFonts w:ascii="Calibri" w:hAnsi="Calibri" w:cs="Calibri"/>
                <w:b/>
                <w:sz w:val="28"/>
                <w:szCs w:val="28"/>
              </w:rPr>
            </w:pPr>
            <w:r>
              <w:rPr>
                <w:rFonts w:ascii="Calibri" w:hAnsi="Calibri" w:cs="Calibri"/>
                <w:b/>
                <w:sz w:val="28"/>
                <w:szCs w:val="28"/>
              </w:rPr>
              <w:t>Does the requirement of control apply to the TCPA?</w:t>
            </w:r>
          </w:p>
        </w:tc>
        <w:tc>
          <w:tcPr>
            <w:tcW w:w="5805" w:type="dxa"/>
            <w:vAlign w:val="center"/>
          </w:tcPr>
          <w:p w14:paraId="372AB7CC" w14:textId="10BC8431" w:rsidR="008E6446" w:rsidRDefault="008E6446" w:rsidP="00525419">
            <w:pPr>
              <w:pStyle w:val="O-BodyText"/>
              <w:spacing w:after="120"/>
              <w:ind w:left="290" w:right="65"/>
              <w:jc w:val="both"/>
              <w:rPr>
                <w:rFonts w:ascii="Calibri" w:hAnsi="Calibri" w:cs="Calibri"/>
                <w:b/>
                <w:sz w:val="22"/>
                <w:szCs w:val="22"/>
              </w:rPr>
            </w:pPr>
            <w:r>
              <w:rPr>
                <w:rFonts w:ascii="Calibri" w:hAnsi="Calibri" w:cs="Calibri"/>
                <w:b/>
                <w:sz w:val="22"/>
                <w:szCs w:val="22"/>
              </w:rPr>
              <w:t>Yes</w:t>
            </w:r>
            <w:r w:rsidR="006122CB">
              <w:rPr>
                <w:rFonts w:ascii="Calibri" w:hAnsi="Calibri" w:cs="Calibri"/>
                <w:b/>
                <w:sz w:val="22"/>
                <w:szCs w:val="22"/>
              </w:rPr>
              <w:t xml:space="preserve">.  </w:t>
            </w:r>
            <w:r>
              <w:rPr>
                <w:rFonts w:ascii="Calibri" w:hAnsi="Calibri" w:cs="Calibri"/>
                <w:b/>
                <w:sz w:val="22"/>
                <w:szCs w:val="22"/>
              </w:rPr>
              <w:t>Under the TCPA, a principal must have the right to control its agent’s actions</w:t>
            </w:r>
            <w:r w:rsidR="00956164">
              <w:rPr>
                <w:rFonts w:ascii="Calibri" w:hAnsi="Calibri" w:cs="Calibri"/>
                <w:b/>
                <w:sz w:val="22"/>
                <w:szCs w:val="22"/>
              </w:rPr>
              <w:t>.</w:t>
            </w:r>
          </w:p>
        </w:tc>
      </w:tr>
      <w:tr w:rsidR="00836D2D" w:rsidRPr="00907D75" w14:paraId="22079D61" w14:textId="77777777" w:rsidTr="008649A2">
        <w:trPr>
          <w:trHeight w:val="4795"/>
        </w:trPr>
        <w:tc>
          <w:tcPr>
            <w:tcW w:w="5805" w:type="dxa"/>
            <w:vAlign w:val="center"/>
          </w:tcPr>
          <w:p w14:paraId="128195DC" w14:textId="71EFAAD1" w:rsidR="00836D2D" w:rsidRDefault="00836D2D" w:rsidP="00525419">
            <w:pPr>
              <w:pStyle w:val="O-BodyText"/>
              <w:spacing w:after="120"/>
              <w:ind w:right="200"/>
              <w:jc w:val="both"/>
              <w:rPr>
                <w:rFonts w:ascii="Calibri" w:hAnsi="Calibri" w:cs="Calibri"/>
                <w:b/>
                <w:sz w:val="28"/>
                <w:szCs w:val="28"/>
              </w:rPr>
            </w:pPr>
            <w:r>
              <w:rPr>
                <w:rFonts w:ascii="Calibri" w:hAnsi="Calibri" w:cs="Calibri"/>
                <w:b/>
                <w:sz w:val="28"/>
                <w:szCs w:val="28"/>
              </w:rPr>
              <w:t>What does control look like in a TCPA case?</w:t>
            </w:r>
          </w:p>
        </w:tc>
        <w:tc>
          <w:tcPr>
            <w:tcW w:w="5805" w:type="dxa"/>
            <w:vAlign w:val="center"/>
          </w:tcPr>
          <w:p w14:paraId="105EDB16" w14:textId="4225BF59" w:rsidR="00836D2D" w:rsidRDefault="00064EB0"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As one district court held, a </w:t>
            </w:r>
            <w:r w:rsidR="00836D2D" w:rsidRPr="008E6446">
              <w:rPr>
                <w:rFonts w:ascii="Calibri" w:hAnsi="Calibri" w:cs="Calibri"/>
                <w:b/>
                <w:sz w:val="22"/>
                <w:szCs w:val="22"/>
              </w:rPr>
              <w:t>TCPA plaintiff must show “that the defendant controlled or had the right to control [the caller] and the manner and means of the ... campaign they conducted</w:t>
            </w:r>
            <w:r>
              <w:rPr>
                <w:rFonts w:ascii="Calibri" w:hAnsi="Calibri" w:cs="Calibri"/>
                <w:b/>
                <w:sz w:val="22"/>
                <w:szCs w:val="22"/>
              </w:rPr>
              <w:t>.</w:t>
            </w:r>
            <w:r w:rsidR="00836D2D" w:rsidRPr="008E6446">
              <w:rPr>
                <w:rFonts w:ascii="Calibri" w:hAnsi="Calibri" w:cs="Calibri"/>
                <w:b/>
                <w:sz w:val="22"/>
                <w:szCs w:val="22"/>
              </w:rPr>
              <w:t>”</w:t>
            </w:r>
            <w:r>
              <w:rPr>
                <w:rFonts w:ascii="Calibri" w:hAnsi="Calibri" w:cs="Calibri"/>
                <w:b/>
                <w:sz w:val="22"/>
                <w:szCs w:val="22"/>
              </w:rPr>
              <w:t xml:space="preserve"> </w:t>
            </w:r>
            <w:r w:rsidR="00956164">
              <w:rPr>
                <w:rFonts w:ascii="Calibri" w:hAnsi="Calibri" w:cs="Calibri"/>
                <w:b/>
                <w:sz w:val="22"/>
                <w:szCs w:val="22"/>
              </w:rPr>
              <w:t xml:space="preserve"> </w:t>
            </w:r>
            <w:r w:rsidRPr="008E6446">
              <w:rPr>
                <w:rFonts w:ascii="Calibri" w:hAnsi="Calibri" w:cs="Calibri"/>
                <w:b/>
                <w:i/>
                <w:sz w:val="22"/>
                <w:szCs w:val="22"/>
              </w:rPr>
              <w:t>Keating v. Peterson’s Nelnet</w:t>
            </w:r>
            <w:r>
              <w:rPr>
                <w:rFonts w:ascii="Calibri" w:hAnsi="Calibri" w:cs="Calibri"/>
                <w:b/>
                <w:sz w:val="22"/>
                <w:szCs w:val="22"/>
              </w:rPr>
              <w:t xml:space="preserve"> </w:t>
            </w:r>
            <w:r w:rsidR="00956164">
              <w:rPr>
                <w:rFonts w:ascii="Calibri" w:hAnsi="Calibri" w:cs="Calibri"/>
                <w:b/>
                <w:sz w:val="22"/>
                <w:szCs w:val="22"/>
              </w:rPr>
              <w:t>(N.D. Ohio May 12, 2014)</w:t>
            </w:r>
            <w:r w:rsidR="00836D2D" w:rsidRPr="008E6446">
              <w:rPr>
                <w:rFonts w:ascii="Calibri" w:hAnsi="Calibri" w:cs="Calibri"/>
                <w:b/>
                <w:sz w:val="22"/>
                <w:szCs w:val="22"/>
              </w:rPr>
              <w:t xml:space="preserve">, </w:t>
            </w:r>
            <w:r w:rsidR="00836D2D" w:rsidRPr="008E6446">
              <w:rPr>
                <w:rFonts w:ascii="Calibri" w:hAnsi="Calibri" w:cs="Calibri"/>
                <w:b/>
                <w:i/>
                <w:sz w:val="22"/>
                <w:szCs w:val="22"/>
              </w:rPr>
              <w:t>affirmed</w:t>
            </w:r>
            <w:r w:rsidR="00836D2D">
              <w:rPr>
                <w:rFonts w:ascii="Calibri" w:hAnsi="Calibri" w:cs="Calibri"/>
                <w:b/>
                <w:sz w:val="22"/>
                <w:szCs w:val="22"/>
              </w:rPr>
              <w:t xml:space="preserve"> </w:t>
            </w:r>
            <w:r w:rsidR="00836D2D" w:rsidRPr="008E6446">
              <w:rPr>
                <w:rFonts w:ascii="Calibri" w:hAnsi="Calibri" w:cs="Calibri"/>
                <w:b/>
                <w:sz w:val="22"/>
                <w:szCs w:val="22"/>
              </w:rPr>
              <w:t xml:space="preserve">(6th Cir. 2015); </w:t>
            </w:r>
            <w:r w:rsidR="00836D2D" w:rsidRPr="008E6446">
              <w:rPr>
                <w:rFonts w:ascii="Calibri" w:hAnsi="Calibri" w:cs="Calibri"/>
                <w:b/>
                <w:i/>
                <w:sz w:val="22"/>
                <w:szCs w:val="22"/>
              </w:rPr>
              <w:t>see Meyer v. Holley</w:t>
            </w:r>
            <w:r w:rsidR="00836D2D">
              <w:rPr>
                <w:rFonts w:ascii="Calibri" w:hAnsi="Calibri" w:cs="Calibri"/>
                <w:b/>
                <w:sz w:val="22"/>
                <w:szCs w:val="22"/>
              </w:rPr>
              <w:t xml:space="preserve"> (S. Ct. 2003)</w:t>
            </w:r>
            <w:r w:rsidR="00836D2D" w:rsidRPr="008E6446">
              <w:rPr>
                <w:rFonts w:ascii="Calibri" w:hAnsi="Calibri" w:cs="Calibri"/>
                <w:b/>
                <w:sz w:val="22"/>
                <w:szCs w:val="22"/>
              </w:rPr>
              <w:t xml:space="preserve"> (traditional agency-law principles apply to federal statutory torts)</w:t>
            </w:r>
            <w:r w:rsidR="00836D2D">
              <w:rPr>
                <w:rFonts w:ascii="Calibri" w:hAnsi="Calibri" w:cs="Calibri"/>
                <w:b/>
                <w:sz w:val="22"/>
                <w:szCs w:val="22"/>
              </w:rPr>
              <w:t>.</w:t>
            </w:r>
          </w:p>
        </w:tc>
      </w:tr>
      <w:tr w:rsidR="00D74516" w:rsidRPr="00907D75" w14:paraId="0CE636A0" w14:textId="77777777" w:rsidTr="008649A2">
        <w:trPr>
          <w:trHeight w:val="4795"/>
        </w:trPr>
        <w:tc>
          <w:tcPr>
            <w:tcW w:w="5805" w:type="dxa"/>
            <w:vAlign w:val="center"/>
          </w:tcPr>
          <w:p w14:paraId="0DF396F6" w14:textId="1304DB63" w:rsidR="00D74516" w:rsidRDefault="0014509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Krakauer show assent </w:t>
            </w:r>
            <w:r w:rsidR="00EE5F03">
              <w:rPr>
                <w:rFonts w:ascii="Calibri" w:hAnsi="Calibri" w:cs="Calibri"/>
                <w:b/>
                <w:sz w:val="28"/>
                <w:szCs w:val="28"/>
              </w:rPr>
              <w:t xml:space="preserve">to an agency relationship </w:t>
            </w:r>
            <w:r>
              <w:rPr>
                <w:rFonts w:ascii="Calibri" w:hAnsi="Calibri" w:cs="Calibri"/>
                <w:b/>
                <w:sz w:val="28"/>
                <w:szCs w:val="28"/>
              </w:rPr>
              <w:t>in this case?</w:t>
            </w:r>
          </w:p>
        </w:tc>
        <w:tc>
          <w:tcPr>
            <w:tcW w:w="5805" w:type="dxa"/>
            <w:vAlign w:val="center"/>
          </w:tcPr>
          <w:p w14:paraId="54F317D5" w14:textId="7DFF7756" w:rsidR="00D74516" w:rsidRDefault="0014509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956164">
              <w:rPr>
                <w:rFonts w:ascii="Calibri" w:hAnsi="Calibri" w:cs="Calibri"/>
                <w:b/>
                <w:sz w:val="22"/>
                <w:szCs w:val="22"/>
              </w:rPr>
              <w:t xml:space="preserve"> T</w:t>
            </w:r>
            <w:r w:rsidRPr="00145095">
              <w:rPr>
                <w:rFonts w:ascii="Calibri" w:hAnsi="Calibri" w:cs="Calibri"/>
                <w:b/>
                <w:sz w:val="22"/>
                <w:szCs w:val="22"/>
              </w:rPr>
              <w:t xml:space="preserve">he companies’ express understanding was that SSN—like the thousands of other companies authorized to market </w:t>
            </w:r>
            <w:proofErr w:type="spellStart"/>
            <w:r w:rsidRPr="00145095">
              <w:rPr>
                <w:rFonts w:ascii="Calibri" w:hAnsi="Calibri" w:cs="Calibri"/>
                <w:b/>
                <w:sz w:val="22"/>
                <w:szCs w:val="22"/>
              </w:rPr>
              <w:t>DISH’s</w:t>
            </w:r>
            <w:proofErr w:type="spellEnd"/>
            <w:r w:rsidRPr="00145095">
              <w:rPr>
                <w:rFonts w:ascii="Calibri" w:hAnsi="Calibri" w:cs="Calibri"/>
                <w:b/>
                <w:sz w:val="22"/>
                <w:szCs w:val="22"/>
              </w:rPr>
              <w:t xml:space="preserve"> services—was an independent contractor</w:t>
            </w:r>
            <w:r>
              <w:rPr>
                <w:rFonts w:ascii="Calibri" w:hAnsi="Calibri" w:cs="Calibri"/>
                <w:b/>
                <w:sz w:val="22"/>
                <w:szCs w:val="22"/>
              </w:rPr>
              <w:t>.</w:t>
            </w:r>
            <w:r w:rsidR="00EE5F03">
              <w:rPr>
                <w:rFonts w:ascii="Calibri" w:hAnsi="Calibri" w:cs="Calibri"/>
                <w:b/>
                <w:sz w:val="22"/>
                <w:szCs w:val="22"/>
              </w:rPr>
              <w:t xml:space="preserve">  T</w:t>
            </w:r>
            <w:r w:rsidR="00EE5F03" w:rsidRPr="00EE5F03">
              <w:rPr>
                <w:rFonts w:ascii="Calibri" w:hAnsi="Calibri" w:cs="Calibri"/>
                <w:b/>
                <w:sz w:val="22"/>
                <w:szCs w:val="22"/>
              </w:rPr>
              <w:t>o overcome the parties’ express agreement</w:t>
            </w:r>
            <w:r w:rsidR="00EE5F03">
              <w:rPr>
                <w:rFonts w:ascii="Calibri" w:hAnsi="Calibri" w:cs="Calibri"/>
                <w:b/>
                <w:sz w:val="22"/>
                <w:szCs w:val="22"/>
              </w:rPr>
              <w:t xml:space="preserve">, Krakauer would </w:t>
            </w:r>
            <w:r w:rsidR="00EE5F03" w:rsidRPr="00EE5F03">
              <w:rPr>
                <w:rFonts w:ascii="Calibri" w:hAnsi="Calibri" w:cs="Calibri"/>
                <w:b/>
                <w:sz w:val="22"/>
                <w:szCs w:val="22"/>
              </w:rPr>
              <w:t xml:space="preserve">have to present “clear, unequivocal, and convincing” proof that they intended to override </w:t>
            </w:r>
            <w:r w:rsidR="00956164">
              <w:rPr>
                <w:rFonts w:ascii="Calibri" w:hAnsi="Calibri" w:cs="Calibri"/>
                <w:b/>
                <w:sz w:val="22"/>
                <w:szCs w:val="22"/>
              </w:rPr>
              <w:t>it</w:t>
            </w:r>
            <w:r w:rsidR="00EE5F03" w:rsidRPr="00EE5F03">
              <w:rPr>
                <w:rFonts w:ascii="Calibri" w:hAnsi="Calibri" w:cs="Calibri"/>
                <w:b/>
                <w:sz w:val="22"/>
                <w:szCs w:val="22"/>
              </w:rPr>
              <w:t xml:space="preserve">.  </w:t>
            </w:r>
            <w:r w:rsidR="00EE5F03" w:rsidRPr="00EE5F03">
              <w:rPr>
                <w:rFonts w:ascii="Calibri" w:hAnsi="Calibri" w:cs="Calibri"/>
                <w:b/>
                <w:i/>
                <w:sz w:val="22"/>
                <w:szCs w:val="22"/>
              </w:rPr>
              <w:t>Stanley’s Cafeteria, Inc. v. Abramson</w:t>
            </w:r>
            <w:r w:rsidR="00956164">
              <w:rPr>
                <w:rFonts w:ascii="Calibri" w:hAnsi="Calibri" w:cs="Calibri"/>
                <w:b/>
                <w:sz w:val="22"/>
                <w:szCs w:val="22"/>
              </w:rPr>
              <w:t xml:space="preserve"> </w:t>
            </w:r>
            <w:r w:rsidR="00EE5F03">
              <w:rPr>
                <w:rFonts w:ascii="Calibri" w:hAnsi="Calibri" w:cs="Calibri"/>
                <w:b/>
                <w:sz w:val="22"/>
                <w:szCs w:val="22"/>
              </w:rPr>
              <w:t>(Va. 1983).</w:t>
            </w:r>
          </w:p>
        </w:tc>
      </w:tr>
      <w:tr w:rsidR="00B1060E" w:rsidRPr="00907D75" w14:paraId="581C6F7E" w14:textId="77777777" w:rsidTr="008649A2">
        <w:trPr>
          <w:trHeight w:val="4795"/>
        </w:trPr>
        <w:tc>
          <w:tcPr>
            <w:tcW w:w="5805" w:type="dxa"/>
            <w:vAlign w:val="center"/>
          </w:tcPr>
          <w:p w14:paraId="780C722C" w14:textId="44F1EE9F" w:rsidR="00B1060E" w:rsidRDefault="00B1060E"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Krakauer argues that contract language is not dispositive of the parties’ relationship.  AB42–43 (quoting </w:t>
            </w:r>
            <w:r w:rsidRPr="00B1060E">
              <w:rPr>
                <w:rFonts w:ascii="Calibri" w:hAnsi="Calibri" w:cs="Calibri"/>
                <w:b/>
                <w:i/>
                <w:sz w:val="28"/>
                <w:szCs w:val="28"/>
              </w:rPr>
              <w:t>Robb v. United States</w:t>
            </w:r>
            <w:r w:rsidRPr="00B1060E">
              <w:rPr>
                <w:rFonts w:ascii="Calibri" w:hAnsi="Calibri" w:cs="Calibri"/>
                <w:b/>
                <w:sz w:val="28"/>
                <w:szCs w:val="28"/>
              </w:rPr>
              <w:t xml:space="preserve"> (4th Cir. 1996)).</w:t>
            </w:r>
          </w:p>
        </w:tc>
        <w:tc>
          <w:tcPr>
            <w:tcW w:w="5805" w:type="dxa"/>
            <w:vAlign w:val="center"/>
          </w:tcPr>
          <w:p w14:paraId="1084F7A0" w14:textId="63F7D782" w:rsidR="00B1060E" w:rsidRDefault="00B1060E"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B1060E">
              <w:rPr>
                <w:rFonts w:ascii="Calibri" w:hAnsi="Calibri" w:cs="Calibri"/>
                <w:b/>
                <w:sz w:val="22"/>
                <w:szCs w:val="22"/>
              </w:rPr>
              <w:t xml:space="preserve">he case Krakauer </w:t>
            </w:r>
            <w:r>
              <w:rPr>
                <w:rFonts w:ascii="Calibri" w:hAnsi="Calibri" w:cs="Calibri"/>
                <w:b/>
                <w:sz w:val="22"/>
                <w:szCs w:val="22"/>
              </w:rPr>
              <w:t xml:space="preserve">cites, </w:t>
            </w:r>
            <w:r w:rsidRPr="00B1060E">
              <w:rPr>
                <w:rFonts w:ascii="Calibri" w:hAnsi="Calibri" w:cs="Calibri"/>
                <w:b/>
                <w:i/>
                <w:sz w:val="22"/>
                <w:szCs w:val="22"/>
              </w:rPr>
              <w:t>Robb v. United States</w:t>
            </w:r>
            <w:r w:rsidRPr="00B1060E">
              <w:rPr>
                <w:rFonts w:ascii="Calibri" w:hAnsi="Calibri" w:cs="Calibri"/>
                <w:b/>
                <w:sz w:val="22"/>
                <w:szCs w:val="22"/>
              </w:rPr>
              <w:t xml:space="preserve"> (4th Cir. 1996)</w:t>
            </w:r>
            <w:r>
              <w:rPr>
                <w:rFonts w:ascii="Calibri" w:hAnsi="Calibri" w:cs="Calibri"/>
                <w:b/>
                <w:sz w:val="22"/>
                <w:szCs w:val="22"/>
              </w:rPr>
              <w:t xml:space="preserve">, </w:t>
            </w:r>
            <w:r w:rsidRPr="00B1060E">
              <w:rPr>
                <w:rFonts w:ascii="Calibri" w:hAnsi="Calibri" w:cs="Calibri"/>
                <w:b/>
                <w:sz w:val="22"/>
                <w:szCs w:val="22"/>
              </w:rPr>
              <w:t>emphasizes that contract language “demonstrates the parties’ belief about the nature of their relationship.”</w:t>
            </w:r>
            <w:r w:rsidR="00032A29">
              <w:rPr>
                <w:rFonts w:ascii="Calibri" w:hAnsi="Calibri" w:cs="Calibri"/>
                <w:b/>
                <w:sz w:val="22"/>
                <w:szCs w:val="22"/>
              </w:rPr>
              <w:t xml:space="preserve"> </w:t>
            </w:r>
            <w:r w:rsidR="0007765E" w:rsidRPr="0007765E">
              <w:rPr>
                <w:rFonts w:ascii="Calibri" w:hAnsi="Calibri" w:cs="Calibri"/>
                <w:b/>
                <w:sz w:val="22"/>
                <w:szCs w:val="22"/>
              </w:rPr>
              <w:t xml:space="preserve">Thus, </w:t>
            </w:r>
            <w:r w:rsidR="0007765E">
              <w:rPr>
                <w:rFonts w:ascii="Calibri" w:hAnsi="Calibri" w:cs="Calibri"/>
                <w:b/>
                <w:sz w:val="22"/>
                <w:szCs w:val="22"/>
              </w:rPr>
              <w:t xml:space="preserve">a prominent </w:t>
            </w:r>
            <w:r w:rsidR="0007765E" w:rsidRPr="0007765E">
              <w:rPr>
                <w:rFonts w:ascii="Calibri" w:hAnsi="Calibri" w:cs="Calibri"/>
                <w:b/>
                <w:sz w:val="22"/>
                <w:szCs w:val="22"/>
              </w:rPr>
              <w:t>agency disclaimer in a formal governing document</w:t>
            </w:r>
            <w:r w:rsidR="0007765E">
              <w:rPr>
                <w:rFonts w:ascii="Calibri" w:hAnsi="Calibri" w:cs="Calibri"/>
                <w:b/>
                <w:sz w:val="22"/>
                <w:szCs w:val="22"/>
              </w:rPr>
              <w:t xml:space="preserve"> is highly significant.</w:t>
            </w:r>
          </w:p>
        </w:tc>
      </w:tr>
      <w:tr w:rsidR="00F76739" w:rsidRPr="00907D75" w14:paraId="3ED5A902" w14:textId="77777777" w:rsidTr="008649A2">
        <w:trPr>
          <w:trHeight w:val="4795"/>
        </w:trPr>
        <w:tc>
          <w:tcPr>
            <w:tcW w:w="5805" w:type="dxa"/>
            <w:vAlign w:val="center"/>
          </w:tcPr>
          <w:p w14:paraId="4221C989" w14:textId="42F569B6" w:rsidR="00F76739" w:rsidRDefault="00F76739" w:rsidP="00525419">
            <w:pPr>
              <w:pStyle w:val="O-BodyText"/>
              <w:spacing w:after="120"/>
              <w:ind w:right="200"/>
              <w:jc w:val="both"/>
              <w:rPr>
                <w:rFonts w:ascii="Calibri" w:hAnsi="Calibri" w:cs="Calibri"/>
                <w:b/>
                <w:sz w:val="28"/>
                <w:szCs w:val="28"/>
              </w:rPr>
            </w:pPr>
            <w:r w:rsidRPr="00F76739">
              <w:rPr>
                <w:rFonts w:ascii="Calibri" w:hAnsi="Calibri" w:cs="Calibri"/>
                <w:b/>
                <w:sz w:val="28"/>
                <w:szCs w:val="28"/>
              </w:rPr>
              <w:t xml:space="preserve">Krakauer cites </w:t>
            </w:r>
            <w:proofErr w:type="spellStart"/>
            <w:r w:rsidRPr="00F76739">
              <w:rPr>
                <w:rFonts w:ascii="Calibri" w:hAnsi="Calibri" w:cs="Calibri"/>
                <w:b/>
                <w:i/>
                <w:sz w:val="28"/>
                <w:szCs w:val="28"/>
              </w:rPr>
              <w:t>Valenti</w:t>
            </w:r>
            <w:proofErr w:type="spellEnd"/>
            <w:r w:rsidRPr="00F76739">
              <w:rPr>
                <w:rFonts w:ascii="Calibri" w:hAnsi="Calibri" w:cs="Calibri"/>
                <w:b/>
                <w:i/>
                <w:sz w:val="28"/>
                <w:szCs w:val="28"/>
              </w:rPr>
              <w:t xml:space="preserve"> v. Qualex</w:t>
            </w:r>
            <w:r w:rsidRPr="00F76739">
              <w:rPr>
                <w:rFonts w:ascii="Calibri" w:hAnsi="Calibri" w:cs="Calibri"/>
                <w:b/>
                <w:sz w:val="28"/>
                <w:szCs w:val="28"/>
              </w:rPr>
              <w:t xml:space="preserve"> </w:t>
            </w:r>
            <w:r w:rsidR="00956164">
              <w:rPr>
                <w:rFonts w:ascii="Calibri" w:hAnsi="Calibri" w:cs="Calibri"/>
                <w:b/>
                <w:sz w:val="28"/>
                <w:szCs w:val="28"/>
              </w:rPr>
              <w:t xml:space="preserve">(7th Cir. 1992) </w:t>
            </w:r>
            <w:r w:rsidRPr="00F76739">
              <w:rPr>
                <w:rFonts w:ascii="Calibri" w:hAnsi="Calibri" w:cs="Calibri"/>
                <w:b/>
                <w:sz w:val="28"/>
                <w:szCs w:val="28"/>
              </w:rPr>
              <w:t>for the principle that “self-serving characterizations” are not relevant to determining agency.  AB43</w:t>
            </w:r>
            <w:r>
              <w:rPr>
                <w:rFonts w:ascii="Calibri" w:hAnsi="Calibri" w:cs="Calibri"/>
                <w:b/>
                <w:sz w:val="28"/>
                <w:szCs w:val="28"/>
              </w:rPr>
              <w:t>.  What is your response?</w:t>
            </w:r>
          </w:p>
        </w:tc>
        <w:tc>
          <w:tcPr>
            <w:tcW w:w="5805" w:type="dxa"/>
            <w:vAlign w:val="center"/>
          </w:tcPr>
          <w:p w14:paraId="253D6197" w14:textId="392B084A" w:rsidR="00F76739" w:rsidRPr="00B1060E" w:rsidRDefault="00F76739" w:rsidP="00525419">
            <w:pPr>
              <w:pStyle w:val="O-BodyText"/>
              <w:spacing w:after="120"/>
              <w:ind w:left="290" w:right="65"/>
              <w:jc w:val="both"/>
              <w:rPr>
                <w:rFonts w:ascii="Calibri" w:hAnsi="Calibri" w:cs="Calibri"/>
                <w:b/>
                <w:sz w:val="22"/>
                <w:szCs w:val="22"/>
                <w:highlight w:val="yellow"/>
              </w:rPr>
            </w:pPr>
            <w:proofErr w:type="spellStart"/>
            <w:r w:rsidRPr="00F76739">
              <w:rPr>
                <w:rFonts w:ascii="Calibri" w:hAnsi="Calibri" w:cs="Calibri"/>
                <w:b/>
                <w:i/>
                <w:sz w:val="22"/>
                <w:szCs w:val="22"/>
              </w:rPr>
              <w:t>Valenti</w:t>
            </w:r>
            <w:proofErr w:type="spellEnd"/>
            <w:r w:rsidRPr="00F76739">
              <w:rPr>
                <w:rFonts w:ascii="Calibri" w:hAnsi="Calibri" w:cs="Calibri"/>
                <w:b/>
                <w:i/>
                <w:sz w:val="22"/>
                <w:szCs w:val="22"/>
              </w:rPr>
              <w:t xml:space="preserve"> v. Qualex</w:t>
            </w:r>
            <w:r w:rsidRPr="00F76739">
              <w:rPr>
                <w:rFonts w:ascii="Calibri" w:hAnsi="Calibri" w:cs="Calibri"/>
                <w:b/>
                <w:sz w:val="22"/>
                <w:szCs w:val="22"/>
              </w:rPr>
              <w:t xml:space="preserve"> (7th Cir. 1992)</w:t>
            </w:r>
            <w:r w:rsidRPr="00F76739">
              <w:rPr>
                <w:rFonts w:ascii="Calibri" w:eastAsiaTheme="minorHAnsi" w:hAnsi="Calibri" w:cs="Calibri"/>
                <w:b/>
                <w:sz w:val="22"/>
                <w:szCs w:val="22"/>
              </w:rPr>
              <w:t xml:space="preserve"> </w:t>
            </w:r>
            <w:r w:rsidRPr="00F76739">
              <w:rPr>
                <w:rFonts w:ascii="Calibri" w:hAnsi="Calibri" w:cs="Calibri"/>
                <w:b/>
                <w:sz w:val="22"/>
                <w:szCs w:val="22"/>
              </w:rPr>
              <w:t xml:space="preserve">concerns a conclusory assertion in a summary judgment filing, not contractual language.  </w:t>
            </w:r>
          </w:p>
        </w:tc>
      </w:tr>
      <w:tr w:rsidR="00532532" w:rsidRPr="00907D75" w14:paraId="1E7830ED" w14:textId="77777777" w:rsidTr="008649A2">
        <w:trPr>
          <w:trHeight w:val="4795"/>
        </w:trPr>
        <w:tc>
          <w:tcPr>
            <w:tcW w:w="5805" w:type="dxa"/>
            <w:vAlign w:val="center"/>
          </w:tcPr>
          <w:p w14:paraId="10D93FD0" w14:textId="72A9BC9D" w:rsidR="00532532" w:rsidRDefault="00727CC2"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evidence is there that SSN was an independent contractor?</w:t>
            </w:r>
          </w:p>
        </w:tc>
        <w:tc>
          <w:tcPr>
            <w:tcW w:w="5805" w:type="dxa"/>
            <w:vAlign w:val="center"/>
          </w:tcPr>
          <w:p w14:paraId="7971D152" w14:textId="1820C7D9" w:rsidR="00532532" w:rsidRDefault="00727CC2"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contract between SSN and DISH is </w:t>
            </w:r>
            <w:r w:rsidRPr="00727CC2">
              <w:rPr>
                <w:rFonts w:ascii="Calibri" w:hAnsi="Calibri" w:cs="Calibri"/>
                <w:b/>
                <w:sz w:val="22"/>
                <w:szCs w:val="22"/>
              </w:rPr>
              <w:t>the strongest evidence of the</w:t>
            </w:r>
            <w:r>
              <w:rPr>
                <w:rFonts w:ascii="Calibri" w:hAnsi="Calibri" w:cs="Calibri"/>
                <w:b/>
                <w:sz w:val="22"/>
                <w:szCs w:val="22"/>
              </w:rPr>
              <w:t>ir re</w:t>
            </w:r>
            <w:r w:rsidRPr="00727CC2">
              <w:rPr>
                <w:rFonts w:ascii="Calibri" w:hAnsi="Calibri" w:cs="Calibri"/>
                <w:b/>
                <w:sz w:val="22"/>
                <w:szCs w:val="22"/>
              </w:rPr>
              <w:t>lationship between DISH and SSN</w:t>
            </w:r>
            <w:r w:rsidR="006122CB">
              <w:rPr>
                <w:rFonts w:ascii="Calibri" w:hAnsi="Calibri" w:cs="Calibri"/>
                <w:b/>
                <w:sz w:val="22"/>
                <w:szCs w:val="22"/>
              </w:rPr>
              <w:t>.</w:t>
            </w:r>
            <w:r w:rsidR="006122CB" w:rsidRPr="00727CC2">
              <w:rPr>
                <w:rFonts w:ascii="Calibri" w:hAnsi="Calibri" w:cs="Calibri"/>
                <w:b/>
                <w:sz w:val="22"/>
                <w:szCs w:val="22"/>
              </w:rPr>
              <w:t xml:space="preserve">  </w:t>
            </w:r>
            <w:r>
              <w:rPr>
                <w:rFonts w:ascii="Calibri" w:hAnsi="Calibri" w:cs="Calibri"/>
                <w:b/>
                <w:i/>
                <w:sz w:val="22"/>
                <w:szCs w:val="22"/>
              </w:rPr>
              <w:t xml:space="preserve">See </w:t>
            </w:r>
            <w:r w:rsidRPr="00727CC2">
              <w:rPr>
                <w:rFonts w:ascii="Calibri" w:hAnsi="Calibri" w:cs="Calibri"/>
                <w:b/>
                <w:i/>
                <w:sz w:val="22"/>
                <w:szCs w:val="22"/>
              </w:rPr>
              <w:t>Logue v. United States</w:t>
            </w:r>
            <w:r>
              <w:rPr>
                <w:rFonts w:ascii="Calibri" w:hAnsi="Calibri" w:cs="Calibri"/>
                <w:b/>
                <w:sz w:val="22"/>
                <w:szCs w:val="22"/>
              </w:rPr>
              <w:t xml:space="preserve"> </w:t>
            </w:r>
            <w:r w:rsidRPr="00727CC2">
              <w:rPr>
                <w:rFonts w:ascii="Calibri" w:hAnsi="Calibri" w:cs="Calibri"/>
                <w:b/>
                <w:sz w:val="22"/>
                <w:szCs w:val="22"/>
              </w:rPr>
              <w:t>(</w:t>
            </w:r>
            <w:r>
              <w:rPr>
                <w:rFonts w:ascii="Calibri" w:hAnsi="Calibri" w:cs="Calibri"/>
                <w:b/>
                <w:sz w:val="22"/>
                <w:szCs w:val="22"/>
              </w:rPr>
              <w:t xml:space="preserve">S. Ct. </w:t>
            </w:r>
            <w:r w:rsidRPr="00727CC2">
              <w:rPr>
                <w:rFonts w:ascii="Calibri" w:hAnsi="Calibri" w:cs="Calibri"/>
                <w:b/>
                <w:sz w:val="22"/>
                <w:szCs w:val="22"/>
              </w:rPr>
              <w:t>1973)</w:t>
            </w:r>
            <w:r>
              <w:rPr>
                <w:rFonts w:ascii="Calibri" w:hAnsi="Calibri" w:cs="Calibri"/>
                <w:b/>
                <w:sz w:val="22"/>
                <w:szCs w:val="22"/>
              </w:rPr>
              <w:t xml:space="preserve"> (strongest evidence of relationship is </w:t>
            </w:r>
            <w:r w:rsidRPr="00727CC2">
              <w:rPr>
                <w:rFonts w:ascii="Calibri" w:hAnsi="Calibri" w:cs="Calibri"/>
                <w:b/>
                <w:sz w:val="22"/>
                <w:szCs w:val="22"/>
              </w:rPr>
              <w:t>the “contract actually executed between the parties”</w:t>
            </w:r>
            <w:r w:rsidR="006122CB">
              <w:rPr>
                <w:rFonts w:ascii="Calibri" w:hAnsi="Calibri" w:cs="Calibri"/>
                <w:b/>
                <w:sz w:val="22"/>
                <w:szCs w:val="22"/>
              </w:rPr>
              <w:t>)</w:t>
            </w:r>
            <w:r w:rsidR="006122CB" w:rsidRPr="00727CC2">
              <w:rPr>
                <w:rFonts w:ascii="Calibri" w:hAnsi="Calibri" w:cs="Calibri"/>
                <w:b/>
                <w:sz w:val="22"/>
                <w:szCs w:val="22"/>
              </w:rPr>
              <w:t>;</w:t>
            </w:r>
            <w:r w:rsidRPr="00727CC2">
              <w:rPr>
                <w:rFonts w:ascii="Calibri" w:hAnsi="Calibri" w:cs="Calibri"/>
                <w:b/>
                <w:sz w:val="22"/>
                <w:szCs w:val="22"/>
              </w:rPr>
              <w:t xml:space="preserve"> Restatement (Third) of Agency § 1.03 (manifestations of intent determine whether an agency relationship was formed).</w:t>
            </w:r>
          </w:p>
        </w:tc>
      </w:tr>
      <w:tr w:rsidR="00D30578" w:rsidRPr="00907D75" w14:paraId="10DE1D8B" w14:textId="77777777" w:rsidTr="008649A2">
        <w:trPr>
          <w:trHeight w:val="4795"/>
        </w:trPr>
        <w:tc>
          <w:tcPr>
            <w:tcW w:w="5805" w:type="dxa"/>
            <w:vAlign w:val="center"/>
          </w:tcPr>
          <w:p w14:paraId="738A3434" w14:textId="20FB2130" w:rsidR="00D30578" w:rsidRDefault="00894AF3" w:rsidP="00525419">
            <w:pPr>
              <w:pStyle w:val="O-BodyText"/>
              <w:spacing w:after="120"/>
              <w:ind w:right="200"/>
              <w:jc w:val="both"/>
              <w:rPr>
                <w:rFonts w:ascii="Calibri" w:hAnsi="Calibri" w:cs="Calibri"/>
                <w:b/>
                <w:sz w:val="28"/>
                <w:szCs w:val="28"/>
              </w:rPr>
            </w:pPr>
            <w:r>
              <w:rPr>
                <w:rFonts w:ascii="Calibri" w:hAnsi="Calibri" w:cs="Calibri"/>
                <w:b/>
                <w:sz w:val="28"/>
                <w:szCs w:val="28"/>
              </w:rPr>
              <w:t>Why should the contract control the nature of the relationship between the parties?</w:t>
            </w:r>
          </w:p>
        </w:tc>
        <w:tc>
          <w:tcPr>
            <w:tcW w:w="5805" w:type="dxa"/>
            <w:vAlign w:val="center"/>
          </w:tcPr>
          <w:p w14:paraId="18019C83" w14:textId="61610CB2" w:rsidR="00D30578" w:rsidRDefault="00894AF3" w:rsidP="00525419">
            <w:pPr>
              <w:pStyle w:val="O-BodyText"/>
              <w:spacing w:after="120"/>
              <w:ind w:left="290" w:right="65"/>
              <w:jc w:val="both"/>
              <w:rPr>
                <w:rFonts w:ascii="Calibri" w:hAnsi="Calibri" w:cs="Calibri"/>
                <w:b/>
                <w:sz w:val="22"/>
                <w:szCs w:val="22"/>
              </w:rPr>
            </w:pPr>
            <w:r w:rsidRPr="00894AF3">
              <w:rPr>
                <w:rFonts w:ascii="Calibri" w:hAnsi="Calibri" w:cs="Calibri"/>
                <w:b/>
                <w:sz w:val="22"/>
                <w:szCs w:val="22"/>
              </w:rPr>
              <w:t xml:space="preserve">Such “formal written” instructions are “often dispositive,” Restatement (Third) of Agency § 2.02 </w:t>
            </w:r>
            <w:proofErr w:type="spellStart"/>
            <w:r w:rsidRPr="00894AF3">
              <w:rPr>
                <w:rFonts w:ascii="Calibri" w:hAnsi="Calibri" w:cs="Calibri"/>
                <w:b/>
                <w:sz w:val="22"/>
                <w:szCs w:val="22"/>
              </w:rPr>
              <w:t>cmts</w:t>
            </w:r>
            <w:proofErr w:type="spellEnd"/>
            <w:r w:rsidR="006122CB" w:rsidRPr="00894AF3">
              <w:rPr>
                <w:rFonts w:ascii="Calibri" w:hAnsi="Calibri" w:cs="Calibri"/>
                <w:b/>
                <w:sz w:val="22"/>
                <w:szCs w:val="22"/>
              </w:rPr>
              <w:t xml:space="preserve">.  </w:t>
            </w:r>
            <w:r w:rsidRPr="00894AF3">
              <w:rPr>
                <w:rFonts w:ascii="Calibri" w:hAnsi="Calibri" w:cs="Calibri"/>
                <w:b/>
                <w:sz w:val="22"/>
                <w:szCs w:val="22"/>
              </w:rPr>
              <w:t>c, f, g, because an “agent has no authority to act</w:t>
            </w:r>
            <w:r>
              <w:rPr>
                <w:rFonts w:ascii="Calibri" w:hAnsi="Calibri" w:cs="Calibri"/>
                <w:b/>
                <w:sz w:val="22"/>
                <w:szCs w:val="22"/>
              </w:rPr>
              <w:t xml:space="preserve"> </w:t>
            </w:r>
            <w:r w:rsidRPr="00894AF3">
              <w:rPr>
                <w:rFonts w:ascii="Calibri" w:hAnsi="Calibri" w:cs="Calibri"/>
                <w:b/>
                <w:sz w:val="22"/>
                <w:szCs w:val="22"/>
              </w:rPr>
              <w:t xml:space="preserve">contrary to the known wishes and instructions of his principal,” </w:t>
            </w:r>
            <w:r w:rsidRPr="00894AF3">
              <w:rPr>
                <w:rFonts w:ascii="Calibri" w:hAnsi="Calibri" w:cs="Calibri"/>
                <w:b/>
                <w:i/>
                <w:sz w:val="22"/>
                <w:szCs w:val="22"/>
              </w:rPr>
              <w:t>Old Sec. Life Ins. Co. v. Cont’l Ill. Nat’l Bank and Tr. Co.</w:t>
            </w:r>
            <w:r w:rsidRPr="00894AF3">
              <w:rPr>
                <w:rFonts w:ascii="Calibri" w:hAnsi="Calibri" w:cs="Calibri"/>
                <w:b/>
                <w:sz w:val="22"/>
                <w:szCs w:val="22"/>
              </w:rPr>
              <w:t>, (7th Cir. 1984)</w:t>
            </w:r>
            <w:r>
              <w:rPr>
                <w:rFonts w:ascii="Calibri" w:hAnsi="Calibri" w:cs="Calibri"/>
                <w:b/>
                <w:sz w:val="22"/>
                <w:szCs w:val="22"/>
              </w:rPr>
              <w:t>.</w:t>
            </w:r>
          </w:p>
        </w:tc>
      </w:tr>
      <w:tr w:rsidR="00894AF3" w:rsidRPr="00907D75" w14:paraId="5C3AF0A0" w14:textId="77777777" w:rsidTr="008649A2">
        <w:trPr>
          <w:trHeight w:val="4795"/>
        </w:trPr>
        <w:tc>
          <w:tcPr>
            <w:tcW w:w="5805" w:type="dxa"/>
            <w:vAlign w:val="center"/>
          </w:tcPr>
          <w:p w14:paraId="625891FF" w14:textId="61B8C806" w:rsidR="00894AF3" w:rsidRDefault="00894AF3" w:rsidP="00525419">
            <w:pPr>
              <w:pStyle w:val="O-BodyText"/>
              <w:spacing w:after="120"/>
              <w:ind w:right="200"/>
              <w:jc w:val="both"/>
              <w:rPr>
                <w:rFonts w:ascii="Calibri" w:hAnsi="Calibri" w:cs="Calibri"/>
                <w:b/>
                <w:sz w:val="28"/>
                <w:szCs w:val="28"/>
              </w:rPr>
            </w:pPr>
            <w:r>
              <w:rPr>
                <w:rFonts w:ascii="Calibri" w:hAnsi="Calibri" w:cs="Calibri"/>
                <w:b/>
                <w:sz w:val="28"/>
                <w:szCs w:val="28"/>
              </w:rPr>
              <w:t>What did the agreements between DISH and SSN say?</w:t>
            </w:r>
          </w:p>
        </w:tc>
        <w:tc>
          <w:tcPr>
            <w:tcW w:w="5805" w:type="dxa"/>
            <w:vAlign w:val="center"/>
          </w:tcPr>
          <w:p w14:paraId="7AE5C81D" w14:textId="7807E103" w:rsidR="00264559" w:rsidRPr="00894AF3" w:rsidRDefault="00264559"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00894AF3" w:rsidRPr="00894AF3">
              <w:rPr>
                <w:rFonts w:ascii="Calibri" w:hAnsi="Calibri" w:cs="Calibri"/>
                <w:b/>
                <w:sz w:val="22"/>
                <w:szCs w:val="22"/>
              </w:rPr>
              <w:t>he Retailer Agreements between DISH and SSN</w:t>
            </w:r>
            <w:r w:rsidR="00894AF3">
              <w:rPr>
                <w:rFonts w:ascii="Calibri" w:hAnsi="Calibri" w:cs="Calibri"/>
                <w:b/>
                <w:sz w:val="22"/>
                <w:szCs w:val="22"/>
              </w:rPr>
              <w:t xml:space="preserve"> </w:t>
            </w:r>
            <w:r w:rsidR="00894AF3" w:rsidRPr="00894AF3">
              <w:rPr>
                <w:rFonts w:ascii="Calibri" w:hAnsi="Calibri" w:cs="Calibri"/>
                <w:b/>
                <w:sz w:val="22"/>
                <w:szCs w:val="22"/>
              </w:rPr>
              <w:t>made clear that SSN was acting, not as</w:t>
            </w:r>
            <w:r w:rsidR="00956164">
              <w:rPr>
                <w:rFonts w:ascii="Calibri" w:hAnsi="Calibri" w:cs="Calibri"/>
                <w:b/>
                <w:sz w:val="22"/>
                <w:szCs w:val="22"/>
              </w:rPr>
              <w:t xml:space="preserve"> an agent, but </w:t>
            </w:r>
            <w:r w:rsidR="00894AF3" w:rsidRPr="00894AF3">
              <w:rPr>
                <w:rFonts w:ascii="Calibri" w:hAnsi="Calibri" w:cs="Calibri"/>
                <w:b/>
                <w:sz w:val="22"/>
                <w:szCs w:val="22"/>
              </w:rPr>
              <w:t>as an indepen</w:t>
            </w:r>
            <w:r w:rsidR="00956164">
              <w:rPr>
                <w:rFonts w:ascii="Calibri" w:hAnsi="Calibri" w:cs="Calibri"/>
                <w:b/>
                <w:sz w:val="22"/>
                <w:szCs w:val="22"/>
              </w:rPr>
              <w:t>dent contractor.</w:t>
            </w:r>
          </w:p>
        </w:tc>
      </w:tr>
      <w:tr w:rsidR="00F05F1F" w:rsidRPr="00907D75" w14:paraId="038E133E" w14:textId="77777777" w:rsidTr="008649A2">
        <w:trPr>
          <w:trHeight w:val="4795"/>
        </w:trPr>
        <w:tc>
          <w:tcPr>
            <w:tcW w:w="5805" w:type="dxa"/>
            <w:vAlign w:val="center"/>
          </w:tcPr>
          <w:p w14:paraId="01AB4CFF" w14:textId="547AA8C4" w:rsidR="00F05F1F" w:rsidRDefault="00F05F1F"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the contracts </w:t>
            </w:r>
            <w:r w:rsidR="00956164">
              <w:rPr>
                <w:rFonts w:ascii="Calibri" w:hAnsi="Calibri" w:cs="Calibri"/>
                <w:b/>
                <w:sz w:val="28"/>
                <w:szCs w:val="28"/>
              </w:rPr>
              <w:t xml:space="preserve">between DISH and SSN </w:t>
            </w:r>
            <w:r>
              <w:rPr>
                <w:rFonts w:ascii="Calibri" w:hAnsi="Calibri" w:cs="Calibri"/>
                <w:b/>
                <w:sz w:val="28"/>
                <w:szCs w:val="28"/>
              </w:rPr>
              <w:t xml:space="preserve">say anything specifically about </w:t>
            </w:r>
            <w:r w:rsidR="001555AF">
              <w:rPr>
                <w:rFonts w:ascii="Calibri" w:hAnsi="Calibri" w:cs="Calibri"/>
                <w:b/>
                <w:sz w:val="28"/>
                <w:szCs w:val="28"/>
              </w:rPr>
              <w:t>agency?</w:t>
            </w:r>
          </w:p>
        </w:tc>
        <w:tc>
          <w:tcPr>
            <w:tcW w:w="5805" w:type="dxa"/>
            <w:vAlign w:val="center"/>
          </w:tcPr>
          <w:p w14:paraId="4CC9B1AB" w14:textId="481C050E" w:rsidR="001555AF" w:rsidRDefault="001555AF" w:rsidP="00525419">
            <w:pPr>
              <w:pStyle w:val="O-BodyText"/>
              <w:spacing w:after="120"/>
              <w:ind w:left="290" w:right="65"/>
              <w:jc w:val="both"/>
              <w:rPr>
                <w:rFonts w:ascii="Calibri" w:hAnsi="Calibri" w:cs="Calibri"/>
                <w:b/>
                <w:sz w:val="22"/>
                <w:szCs w:val="22"/>
              </w:rPr>
            </w:pPr>
            <w:r>
              <w:rPr>
                <w:rFonts w:ascii="Calibri" w:hAnsi="Calibri" w:cs="Calibri"/>
                <w:b/>
                <w:sz w:val="22"/>
                <w:szCs w:val="22"/>
              </w:rPr>
              <w:t>Yes</w:t>
            </w:r>
            <w:r w:rsidR="006122CB">
              <w:rPr>
                <w:rFonts w:ascii="Calibri" w:hAnsi="Calibri" w:cs="Calibri"/>
                <w:b/>
                <w:sz w:val="22"/>
                <w:szCs w:val="22"/>
              </w:rPr>
              <w:t xml:space="preserve">.  </w:t>
            </w:r>
            <w:r w:rsidRPr="00264559">
              <w:rPr>
                <w:rFonts w:ascii="Calibri" w:hAnsi="Calibri" w:cs="Calibri"/>
                <w:b/>
                <w:sz w:val="22"/>
                <w:szCs w:val="22"/>
              </w:rPr>
              <w:t xml:space="preserve">Section 11 </w:t>
            </w:r>
            <w:r>
              <w:rPr>
                <w:rFonts w:ascii="Calibri" w:hAnsi="Calibri" w:cs="Calibri"/>
                <w:b/>
                <w:sz w:val="22"/>
                <w:szCs w:val="22"/>
              </w:rPr>
              <w:t xml:space="preserve">of the Retailer Agreements specifically states </w:t>
            </w:r>
            <w:r w:rsidRPr="00264559">
              <w:rPr>
                <w:rFonts w:ascii="Calibri" w:hAnsi="Calibri" w:cs="Calibri"/>
                <w:b/>
                <w:sz w:val="22"/>
                <w:szCs w:val="22"/>
              </w:rPr>
              <w:t xml:space="preserve">that SSN is not, and may not claim to be, </w:t>
            </w:r>
            <w:proofErr w:type="spellStart"/>
            <w:r w:rsidRPr="00264559">
              <w:rPr>
                <w:rFonts w:ascii="Calibri" w:hAnsi="Calibri" w:cs="Calibri"/>
                <w:b/>
                <w:sz w:val="22"/>
                <w:szCs w:val="22"/>
              </w:rPr>
              <w:t>DISH’s</w:t>
            </w:r>
            <w:proofErr w:type="spellEnd"/>
            <w:r w:rsidRPr="00264559">
              <w:rPr>
                <w:rFonts w:ascii="Calibri" w:hAnsi="Calibri" w:cs="Calibri"/>
                <w:b/>
                <w:sz w:val="22"/>
                <w:szCs w:val="22"/>
              </w:rPr>
              <w:t xml:space="preserve"> agent</w:t>
            </w:r>
            <w:r>
              <w:rPr>
                <w:rFonts w:ascii="Calibri" w:hAnsi="Calibri" w:cs="Calibri"/>
                <w:b/>
                <w:sz w:val="22"/>
                <w:szCs w:val="22"/>
              </w:rPr>
              <w:t xml:space="preserve">: </w:t>
            </w:r>
          </w:p>
          <w:p w14:paraId="23B57674" w14:textId="36137D1B" w:rsidR="00F05F1F" w:rsidRDefault="001555AF" w:rsidP="001839C6">
            <w:pPr>
              <w:pStyle w:val="O-BodyText"/>
              <w:spacing w:after="120"/>
              <w:ind w:left="720" w:right="65"/>
              <w:jc w:val="both"/>
              <w:rPr>
                <w:rFonts w:ascii="Calibri" w:hAnsi="Calibri" w:cs="Calibri"/>
                <w:b/>
                <w:sz w:val="22"/>
                <w:szCs w:val="22"/>
              </w:rPr>
            </w:pPr>
            <w:r w:rsidRPr="00264559">
              <w:rPr>
                <w:rFonts w:ascii="Calibri" w:hAnsi="Calibri" w:cs="Calibri"/>
                <w:b/>
                <w:sz w:val="22"/>
                <w:szCs w:val="22"/>
              </w:rPr>
              <w:t>INDEPENDENT CONTRACTOR.  The relationship of the</w:t>
            </w:r>
            <w:r>
              <w:rPr>
                <w:rFonts w:ascii="Calibri" w:hAnsi="Calibri" w:cs="Calibri"/>
                <w:b/>
                <w:sz w:val="22"/>
                <w:szCs w:val="22"/>
              </w:rPr>
              <w:t xml:space="preserve"> </w:t>
            </w:r>
            <w:r w:rsidRPr="00264559">
              <w:rPr>
                <w:rFonts w:ascii="Calibri" w:hAnsi="Calibri" w:cs="Calibri"/>
                <w:b/>
                <w:sz w:val="22"/>
                <w:szCs w:val="22"/>
              </w:rPr>
              <w:t>parties hereto is that of independent contractors.  Retailer shall conduct its business as an independent contractor ...</w:t>
            </w:r>
            <w:r w:rsidR="006122CB" w:rsidRPr="00264559">
              <w:rPr>
                <w:rFonts w:ascii="Calibri" w:hAnsi="Calibri" w:cs="Calibri"/>
                <w:b/>
                <w:sz w:val="22"/>
                <w:szCs w:val="22"/>
              </w:rPr>
              <w:t xml:space="preserve">.  </w:t>
            </w:r>
            <w:r w:rsidRPr="00264559">
              <w:rPr>
                <w:rFonts w:ascii="Calibri" w:hAnsi="Calibri" w:cs="Calibri"/>
                <w:b/>
                <w:i/>
                <w:sz w:val="22"/>
                <w:szCs w:val="22"/>
              </w:rPr>
              <w:t>Retailer ... shall not</w:t>
            </w:r>
            <w:r w:rsidRPr="00264559">
              <w:rPr>
                <w:rFonts w:ascii="Calibri" w:hAnsi="Calibri" w:cs="Calibri"/>
                <w:b/>
                <w:sz w:val="22"/>
                <w:szCs w:val="22"/>
              </w:rPr>
              <w:t xml:space="preserve">, under any circumstances, </w:t>
            </w:r>
            <w:r w:rsidRPr="00264559">
              <w:rPr>
                <w:rFonts w:ascii="Calibri" w:hAnsi="Calibri" w:cs="Calibri"/>
                <w:b/>
                <w:i/>
                <w:sz w:val="22"/>
                <w:szCs w:val="22"/>
              </w:rPr>
              <w:t>hold itself out to the public or represent that it is EchoStar or an ... agent, or sub-agent of EchoStar</w:t>
            </w:r>
            <w:r w:rsidRPr="00264559">
              <w:rPr>
                <w:rFonts w:ascii="Calibri" w:hAnsi="Calibri" w:cs="Calibri"/>
                <w:b/>
                <w:sz w:val="22"/>
                <w:szCs w:val="22"/>
              </w:rPr>
              <w:t>....</w:t>
            </w:r>
          </w:p>
        </w:tc>
      </w:tr>
      <w:tr w:rsidR="001555AF" w:rsidRPr="00907D75" w14:paraId="27F51734" w14:textId="77777777" w:rsidTr="008649A2">
        <w:trPr>
          <w:trHeight w:val="4795"/>
        </w:trPr>
        <w:tc>
          <w:tcPr>
            <w:tcW w:w="5805" w:type="dxa"/>
            <w:vAlign w:val="center"/>
          </w:tcPr>
          <w:p w14:paraId="7FB6D3FA" w14:textId="037B86A7" w:rsidR="001555AF" w:rsidRDefault="001555AF" w:rsidP="00525419">
            <w:pPr>
              <w:pStyle w:val="O-BodyText"/>
              <w:spacing w:after="120"/>
              <w:ind w:right="200"/>
              <w:jc w:val="both"/>
              <w:rPr>
                <w:rFonts w:ascii="Calibri" w:hAnsi="Calibri" w:cs="Calibri"/>
                <w:b/>
                <w:sz w:val="28"/>
                <w:szCs w:val="28"/>
              </w:rPr>
            </w:pPr>
            <w:r>
              <w:rPr>
                <w:rFonts w:ascii="Calibri" w:hAnsi="Calibri" w:cs="Calibri"/>
                <w:b/>
                <w:sz w:val="28"/>
                <w:szCs w:val="28"/>
              </w:rPr>
              <w:t>Did DISH make sure that SSN understood that it wasn’t an agent?</w:t>
            </w:r>
          </w:p>
        </w:tc>
        <w:tc>
          <w:tcPr>
            <w:tcW w:w="5805" w:type="dxa"/>
            <w:vAlign w:val="center"/>
          </w:tcPr>
          <w:p w14:paraId="79F99D5A" w14:textId="13524664" w:rsidR="001555AF" w:rsidRDefault="001555AF" w:rsidP="00525419">
            <w:pPr>
              <w:pStyle w:val="O-BodyText"/>
              <w:spacing w:after="120"/>
              <w:ind w:left="290" w:right="65"/>
              <w:jc w:val="both"/>
              <w:rPr>
                <w:rFonts w:ascii="Calibri" w:hAnsi="Calibri" w:cs="Calibri"/>
                <w:b/>
                <w:sz w:val="22"/>
                <w:szCs w:val="22"/>
              </w:rPr>
            </w:pPr>
            <w:r>
              <w:rPr>
                <w:rFonts w:ascii="Calibri" w:hAnsi="Calibri" w:cs="Calibri"/>
                <w:b/>
                <w:sz w:val="22"/>
                <w:szCs w:val="22"/>
              </w:rPr>
              <w:t>Yes</w:t>
            </w:r>
            <w:r w:rsidR="006122CB">
              <w:rPr>
                <w:rFonts w:ascii="Calibri" w:hAnsi="Calibri" w:cs="Calibri"/>
                <w:b/>
                <w:sz w:val="22"/>
                <w:szCs w:val="22"/>
              </w:rPr>
              <w:t xml:space="preserve">.  </w:t>
            </w:r>
            <w:r w:rsidRPr="001555AF">
              <w:rPr>
                <w:rFonts w:ascii="Calibri" w:hAnsi="Calibri" w:cs="Calibri"/>
                <w:b/>
                <w:sz w:val="22"/>
                <w:szCs w:val="22"/>
              </w:rPr>
              <w:t>DISH repeatedly confirmed th</w:t>
            </w:r>
            <w:r>
              <w:rPr>
                <w:rFonts w:ascii="Calibri" w:hAnsi="Calibri" w:cs="Calibri"/>
                <w:b/>
                <w:sz w:val="22"/>
                <w:szCs w:val="22"/>
              </w:rPr>
              <w:t>e</w:t>
            </w:r>
            <w:r w:rsidRPr="001555AF">
              <w:rPr>
                <w:rFonts w:ascii="Calibri" w:hAnsi="Calibri" w:cs="Calibri"/>
                <w:b/>
                <w:sz w:val="22"/>
                <w:szCs w:val="22"/>
              </w:rPr>
              <w:t xml:space="preserve"> </w:t>
            </w:r>
            <w:r>
              <w:rPr>
                <w:rFonts w:ascii="Calibri" w:hAnsi="Calibri" w:cs="Calibri"/>
                <w:b/>
                <w:sz w:val="22"/>
                <w:szCs w:val="22"/>
              </w:rPr>
              <w:t>parties</w:t>
            </w:r>
            <w:r w:rsidR="00956164">
              <w:rPr>
                <w:rFonts w:ascii="Calibri" w:hAnsi="Calibri" w:cs="Calibri"/>
                <w:b/>
                <w:sz w:val="22"/>
                <w:szCs w:val="22"/>
              </w:rPr>
              <w:t>’ understanding</w:t>
            </w:r>
            <w:r w:rsidRPr="001555AF">
              <w:rPr>
                <w:rFonts w:ascii="Calibri" w:hAnsi="Calibri" w:cs="Calibri"/>
                <w:b/>
                <w:sz w:val="22"/>
                <w:szCs w:val="22"/>
              </w:rPr>
              <w:t>.  In 2006, for instance, DISH reminded SSN that</w:t>
            </w:r>
            <w:r>
              <w:rPr>
                <w:rFonts w:ascii="Calibri" w:hAnsi="Calibri" w:cs="Calibri"/>
                <w:b/>
                <w:sz w:val="22"/>
                <w:szCs w:val="22"/>
              </w:rPr>
              <w:t xml:space="preserve">: </w:t>
            </w:r>
          </w:p>
          <w:p w14:paraId="23EF21EC" w14:textId="0A5F1033" w:rsidR="001555AF" w:rsidRDefault="00956164" w:rsidP="001839C6">
            <w:pPr>
              <w:pStyle w:val="O-BodyText"/>
              <w:spacing w:after="120"/>
              <w:ind w:left="720" w:right="65"/>
              <w:jc w:val="both"/>
              <w:rPr>
                <w:rFonts w:ascii="Calibri" w:hAnsi="Calibri" w:cs="Calibri"/>
                <w:b/>
                <w:sz w:val="22"/>
                <w:szCs w:val="22"/>
              </w:rPr>
            </w:pPr>
            <w:r>
              <w:rPr>
                <w:rFonts w:ascii="Calibri" w:hAnsi="Calibri" w:cs="Calibri"/>
                <w:b/>
                <w:sz w:val="22"/>
                <w:szCs w:val="22"/>
              </w:rPr>
              <w:t>T</w:t>
            </w:r>
            <w:r w:rsidR="001555AF" w:rsidRPr="001555AF">
              <w:rPr>
                <w:rFonts w:ascii="Calibri" w:hAnsi="Calibri" w:cs="Calibri"/>
                <w:b/>
                <w:sz w:val="22"/>
                <w:szCs w:val="22"/>
              </w:rPr>
              <w:t>he Retailer Agreement clearly provides that your</w:t>
            </w:r>
            <w:r w:rsidR="001555AF">
              <w:rPr>
                <w:rFonts w:ascii="Calibri" w:hAnsi="Calibri" w:cs="Calibri"/>
                <w:b/>
                <w:sz w:val="22"/>
                <w:szCs w:val="22"/>
              </w:rPr>
              <w:t xml:space="preserve"> </w:t>
            </w:r>
            <w:r w:rsidR="001555AF" w:rsidRPr="001555AF">
              <w:rPr>
                <w:rFonts w:ascii="Calibri" w:hAnsi="Calibri" w:cs="Calibri"/>
                <w:b/>
                <w:sz w:val="22"/>
                <w:szCs w:val="22"/>
              </w:rPr>
              <w:t>relationship with EchoStar is that of an independent contractor.  Your outbound and inbound call agents MUST identify the company that they work for.  AGENTS MAY NOT SAY THAT THEY WORK FOR DISH NETWORK</w:t>
            </w:r>
            <w:r w:rsidR="001555AF">
              <w:rPr>
                <w:rFonts w:ascii="Calibri" w:hAnsi="Calibri" w:cs="Calibri"/>
                <w:b/>
                <w:sz w:val="22"/>
                <w:szCs w:val="22"/>
              </w:rPr>
              <w:t>.</w:t>
            </w:r>
          </w:p>
        </w:tc>
      </w:tr>
      <w:tr w:rsidR="00B6640A" w:rsidRPr="00907D75" w14:paraId="40EB5B57" w14:textId="77777777" w:rsidTr="008649A2">
        <w:trPr>
          <w:trHeight w:val="4795"/>
        </w:trPr>
        <w:tc>
          <w:tcPr>
            <w:tcW w:w="5805" w:type="dxa"/>
            <w:vAlign w:val="center"/>
          </w:tcPr>
          <w:p w14:paraId="28CFF388" w14:textId="4609C450" w:rsidR="00B6640A" w:rsidRDefault="00EF60BF" w:rsidP="00525419">
            <w:pPr>
              <w:pStyle w:val="O-BodyText"/>
              <w:spacing w:after="120"/>
              <w:ind w:right="200"/>
              <w:jc w:val="both"/>
              <w:rPr>
                <w:rFonts w:ascii="Calibri" w:hAnsi="Calibri" w:cs="Calibri"/>
                <w:b/>
                <w:sz w:val="28"/>
                <w:szCs w:val="28"/>
              </w:rPr>
            </w:pPr>
            <w:r>
              <w:rPr>
                <w:rFonts w:ascii="Calibri" w:hAnsi="Calibri" w:cs="Calibri"/>
                <w:b/>
                <w:sz w:val="28"/>
                <w:szCs w:val="28"/>
              </w:rPr>
              <w:t>What weight do courts give written</w:t>
            </w:r>
            <w:r w:rsidR="00E9344E">
              <w:rPr>
                <w:rFonts w:ascii="Calibri" w:hAnsi="Calibri" w:cs="Calibri"/>
                <w:b/>
                <w:sz w:val="28"/>
                <w:szCs w:val="28"/>
              </w:rPr>
              <w:t xml:space="preserve"> contracts in deciding whether there was an agency relationship between parties?</w:t>
            </w:r>
          </w:p>
        </w:tc>
        <w:tc>
          <w:tcPr>
            <w:tcW w:w="5805" w:type="dxa"/>
            <w:vAlign w:val="center"/>
          </w:tcPr>
          <w:p w14:paraId="4CBE7069" w14:textId="14B0AF5F" w:rsidR="00B6640A" w:rsidRDefault="00E9344E" w:rsidP="00525419">
            <w:pPr>
              <w:pStyle w:val="O-BodyText"/>
              <w:spacing w:after="120"/>
              <w:ind w:left="290" w:right="65"/>
              <w:jc w:val="both"/>
              <w:rPr>
                <w:rFonts w:ascii="Calibri" w:hAnsi="Calibri" w:cs="Calibri"/>
                <w:b/>
                <w:sz w:val="22"/>
                <w:szCs w:val="22"/>
              </w:rPr>
            </w:pPr>
            <w:r w:rsidRPr="00E9344E">
              <w:rPr>
                <w:rFonts w:ascii="Calibri" w:hAnsi="Calibri" w:cs="Calibri"/>
                <w:b/>
                <w:sz w:val="22"/>
                <w:szCs w:val="22"/>
              </w:rPr>
              <w:t xml:space="preserve">The written understanding of contracting parties is powerful evidence of their relationship.  </w:t>
            </w:r>
            <w:r w:rsidRPr="00E9344E">
              <w:rPr>
                <w:rFonts w:ascii="Calibri" w:hAnsi="Calibri" w:cs="Calibri"/>
                <w:b/>
                <w:i/>
                <w:sz w:val="22"/>
                <w:szCs w:val="22"/>
              </w:rPr>
              <w:t>E.g.</w:t>
            </w:r>
            <w:r w:rsidRPr="00E9344E">
              <w:rPr>
                <w:rFonts w:ascii="Calibri" w:hAnsi="Calibri" w:cs="Calibri"/>
                <w:b/>
                <w:sz w:val="22"/>
                <w:szCs w:val="22"/>
              </w:rPr>
              <w:t xml:space="preserve">, </w:t>
            </w:r>
            <w:r w:rsidR="00956164" w:rsidRPr="00E9344E">
              <w:rPr>
                <w:rFonts w:ascii="Calibri" w:hAnsi="Calibri" w:cs="Calibri"/>
                <w:b/>
                <w:i/>
                <w:sz w:val="22"/>
                <w:szCs w:val="22"/>
              </w:rPr>
              <w:t>CFTC v. Gibraltar Monetary Corp.</w:t>
            </w:r>
            <w:r w:rsidR="00956164">
              <w:rPr>
                <w:rFonts w:ascii="Calibri" w:hAnsi="Calibri" w:cs="Calibri"/>
                <w:b/>
                <w:sz w:val="22"/>
                <w:szCs w:val="22"/>
              </w:rPr>
              <w:t xml:space="preserve"> (11th Cir. 2009); </w:t>
            </w:r>
            <w:r w:rsidRPr="00E9344E">
              <w:rPr>
                <w:rFonts w:ascii="Calibri" w:hAnsi="Calibri" w:cs="Calibri"/>
                <w:b/>
                <w:i/>
                <w:sz w:val="22"/>
                <w:szCs w:val="22"/>
              </w:rPr>
              <w:t>Children’s Broad</w:t>
            </w:r>
            <w:proofErr w:type="gramStart"/>
            <w:r w:rsidRPr="00E9344E">
              <w:rPr>
                <w:rFonts w:ascii="Calibri" w:hAnsi="Calibri" w:cs="Calibri"/>
                <w:b/>
                <w:i/>
                <w:sz w:val="22"/>
                <w:szCs w:val="22"/>
              </w:rPr>
              <w:t xml:space="preserve">. </w:t>
            </w:r>
            <w:proofErr w:type="gramEnd"/>
            <w:r w:rsidRPr="00E9344E">
              <w:rPr>
                <w:rFonts w:ascii="Calibri" w:hAnsi="Calibri" w:cs="Calibri"/>
                <w:b/>
                <w:i/>
                <w:sz w:val="22"/>
                <w:szCs w:val="22"/>
              </w:rPr>
              <w:t>Corp. v. Walt Disney Co.</w:t>
            </w:r>
            <w:r>
              <w:rPr>
                <w:rFonts w:ascii="Calibri" w:hAnsi="Calibri" w:cs="Calibri"/>
                <w:b/>
                <w:sz w:val="22"/>
                <w:szCs w:val="22"/>
              </w:rPr>
              <w:t xml:space="preserve"> </w:t>
            </w:r>
            <w:r w:rsidRPr="00E9344E">
              <w:rPr>
                <w:rFonts w:ascii="Calibri" w:hAnsi="Calibri" w:cs="Calibri"/>
                <w:b/>
                <w:sz w:val="22"/>
                <w:szCs w:val="22"/>
              </w:rPr>
              <w:t xml:space="preserve">(8th Cir. 2001) (decisive that parties “expressly disclaimed” agency relationship); </w:t>
            </w:r>
            <w:r w:rsidRPr="00E9344E">
              <w:rPr>
                <w:rFonts w:ascii="Calibri" w:hAnsi="Calibri" w:cs="Calibri"/>
                <w:b/>
                <w:i/>
                <w:sz w:val="22"/>
                <w:szCs w:val="22"/>
              </w:rPr>
              <w:t>NLRB v. Local Union 1058</w:t>
            </w:r>
            <w:r>
              <w:rPr>
                <w:rFonts w:ascii="Calibri" w:hAnsi="Calibri" w:cs="Calibri"/>
                <w:b/>
                <w:sz w:val="22"/>
                <w:szCs w:val="22"/>
              </w:rPr>
              <w:t xml:space="preserve"> </w:t>
            </w:r>
            <w:r w:rsidRPr="00E9344E">
              <w:rPr>
                <w:rFonts w:ascii="Calibri" w:hAnsi="Calibri" w:cs="Calibri"/>
                <w:b/>
                <w:sz w:val="22"/>
                <w:szCs w:val="22"/>
              </w:rPr>
              <w:t>(4th Cir. 1992) (written constitution and bylaws show that “individuals clearly did not have the actual authority” to act as agents)</w:t>
            </w:r>
            <w:r>
              <w:rPr>
                <w:rFonts w:ascii="Calibri" w:hAnsi="Calibri" w:cs="Calibri"/>
                <w:b/>
                <w:sz w:val="22"/>
                <w:szCs w:val="22"/>
              </w:rPr>
              <w:t>.</w:t>
            </w:r>
          </w:p>
        </w:tc>
      </w:tr>
      <w:tr w:rsidR="00F86469" w:rsidRPr="00907D75" w14:paraId="33BE7550" w14:textId="77777777" w:rsidTr="008649A2">
        <w:trPr>
          <w:trHeight w:val="4795"/>
        </w:trPr>
        <w:tc>
          <w:tcPr>
            <w:tcW w:w="5805" w:type="dxa"/>
            <w:vAlign w:val="center"/>
          </w:tcPr>
          <w:p w14:paraId="18D28F7A" w14:textId="12BEE609" w:rsidR="00F86469" w:rsidRDefault="00F86469"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Was there any evidence presented at trial that the contracts </w:t>
            </w:r>
            <w:r w:rsidR="00EF60BF">
              <w:rPr>
                <w:rFonts w:ascii="Calibri" w:hAnsi="Calibri" w:cs="Calibri"/>
                <w:b/>
                <w:sz w:val="28"/>
                <w:szCs w:val="28"/>
              </w:rPr>
              <w:t xml:space="preserve">between DISH and SSN </w:t>
            </w:r>
            <w:r>
              <w:rPr>
                <w:rFonts w:ascii="Calibri" w:hAnsi="Calibri" w:cs="Calibri"/>
                <w:b/>
                <w:sz w:val="28"/>
                <w:szCs w:val="28"/>
              </w:rPr>
              <w:t>created an agency relationship?</w:t>
            </w:r>
          </w:p>
        </w:tc>
        <w:tc>
          <w:tcPr>
            <w:tcW w:w="5805" w:type="dxa"/>
            <w:vAlign w:val="center"/>
          </w:tcPr>
          <w:p w14:paraId="60D703ED" w14:textId="474949B8" w:rsidR="00F86469" w:rsidRDefault="00F86469"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6122CB">
              <w:rPr>
                <w:rFonts w:ascii="Calibri" w:hAnsi="Calibri" w:cs="Calibri"/>
                <w:b/>
                <w:sz w:val="22"/>
                <w:szCs w:val="22"/>
              </w:rPr>
              <w:t xml:space="preserve"> </w:t>
            </w:r>
            <w:r w:rsidRPr="00F86469">
              <w:rPr>
                <w:rFonts w:ascii="Calibri" w:hAnsi="Calibri" w:cs="Calibri"/>
                <w:b/>
                <w:sz w:val="22"/>
                <w:szCs w:val="22"/>
              </w:rPr>
              <w:t>Krakauer presented no evidence at trial</w:t>
            </w:r>
            <w:r w:rsidR="00C21016">
              <w:rPr>
                <w:rFonts w:ascii="Calibri" w:hAnsi="Calibri" w:cs="Calibri"/>
                <w:b/>
                <w:sz w:val="22"/>
                <w:szCs w:val="22"/>
              </w:rPr>
              <w:t xml:space="preserve"> </w:t>
            </w:r>
            <w:r w:rsidRPr="00F86469">
              <w:rPr>
                <w:rFonts w:ascii="Calibri" w:hAnsi="Calibri" w:cs="Calibri"/>
                <w:b/>
                <w:sz w:val="22"/>
                <w:szCs w:val="22"/>
              </w:rPr>
              <w:t xml:space="preserve">that DISH or SSN </w:t>
            </w:r>
            <w:r w:rsidR="00EF60BF">
              <w:rPr>
                <w:rFonts w:ascii="Calibri" w:hAnsi="Calibri" w:cs="Calibri"/>
                <w:b/>
                <w:sz w:val="22"/>
                <w:szCs w:val="22"/>
              </w:rPr>
              <w:t xml:space="preserve">thought the contracts </w:t>
            </w:r>
            <w:r w:rsidRPr="00F86469">
              <w:rPr>
                <w:rFonts w:ascii="Calibri" w:hAnsi="Calibri" w:cs="Calibri"/>
                <w:b/>
                <w:sz w:val="22"/>
                <w:szCs w:val="22"/>
              </w:rPr>
              <w:t>creat</w:t>
            </w:r>
            <w:r w:rsidR="00EF60BF">
              <w:rPr>
                <w:rFonts w:ascii="Calibri" w:hAnsi="Calibri" w:cs="Calibri"/>
                <w:b/>
                <w:sz w:val="22"/>
                <w:szCs w:val="22"/>
              </w:rPr>
              <w:t xml:space="preserve">ed </w:t>
            </w:r>
            <w:r w:rsidRPr="00F86469">
              <w:rPr>
                <w:rFonts w:ascii="Calibri" w:hAnsi="Calibri" w:cs="Calibri"/>
                <w:b/>
                <w:sz w:val="22"/>
                <w:szCs w:val="22"/>
              </w:rPr>
              <w:t>an agency relationship</w:t>
            </w:r>
            <w:r w:rsidR="006122CB">
              <w:rPr>
                <w:rFonts w:ascii="Calibri" w:hAnsi="Calibri" w:cs="Calibri"/>
                <w:b/>
                <w:sz w:val="22"/>
                <w:szCs w:val="22"/>
              </w:rPr>
              <w:t xml:space="preserve">.  </w:t>
            </w:r>
            <w:r>
              <w:rPr>
                <w:rFonts w:ascii="Calibri" w:hAnsi="Calibri" w:cs="Calibri"/>
                <w:b/>
                <w:sz w:val="22"/>
                <w:szCs w:val="22"/>
              </w:rPr>
              <w:t xml:space="preserve">On the contrary, </w:t>
            </w:r>
            <w:r w:rsidRPr="00F86469">
              <w:rPr>
                <w:rFonts w:ascii="Calibri" w:hAnsi="Calibri" w:cs="Calibri"/>
                <w:b/>
                <w:sz w:val="22"/>
                <w:szCs w:val="22"/>
              </w:rPr>
              <w:t xml:space="preserve">the testimony was consistent with the </w:t>
            </w:r>
            <w:r w:rsidRPr="00C21016">
              <w:rPr>
                <w:rFonts w:ascii="Calibri" w:hAnsi="Calibri" w:cs="Calibri"/>
                <w:b/>
                <w:i/>
                <w:sz w:val="22"/>
                <w:szCs w:val="22"/>
              </w:rPr>
              <w:t>express disclaimer of an agency relationship</w:t>
            </w:r>
            <w:r w:rsidR="00EF60BF">
              <w:rPr>
                <w:rFonts w:ascii="Calibri" w:hAnsi="Calibri" w:cs="Calibri"/>
                <w:b/>
                <w:sz w:val="22"/>
                <w:szCs w:val="22"/>
              </w:rPr>
              <w:t>.</w:t>
            </w:r>
          </w:p>
        </w:tc>
      </w:tr>
      <w:tr w:rsidR="00F86469" w:rsidRPr="00907D75" w14:paraId="7240544B" w14:textId="77777777" w:rsidTr="008649A2">
        <w:trPr>
          <w:trHeight w:val="4795"/>
        </w:trPr>
        <w:tc>
          <w:tcPr>
            <w:tcW w:w="5805" w:type="dxa"/>
            <w:vAlign w:val="center"/>
          </w:tcPr>
          <w:p w14:paraId="627942C9" w14:textId="3521F663" w:rsidR="00F86469" w:rsidRDefault="00C21016" w:rsidP="00525419">
            <w:pPr>
              <w:pStyle w:val="O-BodyText"/>
              <w:spacing w:after="120"/>
              <w:ind w:right="200"/>
              <w:jc w:val="both"/>
              <w:rPr>
                <w:rFonts w:ascii="Calibri" w:hAnsi="Calibri" w:cs="Calibri"/>
                <w:b/>
                <w:sz w:val="28"/>
                <w:szCs w:val="28"/>
              </w:rPr>
            </w:pPr>
            <w:r>
              <w:rPr>
                <w:rFonts w:ascii="Calibri" w:hAnsi="Calibri" w:cs="Calibri"/>
                <w:b/>
                <w:sz w:val="28"/>
                <w:szCs w:val="28"/>
              </w:rPr>
              <w:t>Would an agency relationship have helped either party?</w:t>
            </w:r>
          </w:p>
        </w:tc>
        <w:tc>
          <w:tcPr>
            <w:tcW w:w="5805" w:type="dxa"/>
            <w:vAlign w:val="center"/>
          </w:tcPr>
          <w:p w14:paraId="610404FD" w14:textId="0C705DB9" w:rsidR="00F86469" w:rsidRDefault="00C21016"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EF60BF">
              <w:rPr>
                <w:rFonts w:ascii="Calibri" w:hAnsi="Calibri" w:cs="Calibri"/>
                <w:b/>
                <w:sz w:val="22"/>
                <w:szCs w:val="22"/>
              </w:rPr>
              <w:t xml:space="preserve"> </w:t>
            </w:r>
            <w:r w:rsidRPr="00C21016">
              <w:rPr>
                <w:rFonts w:ascii="Calibri" w:hAnsi="Calibri" w:cs="Calibri"/>
                <w:b/>
                <w:sz w:val="22"/>
                <w:szCs w:val="22"/>
              </w:rPr>
              <w:t>DISH and SSN had no reason to create a fiduciary relationship.  DISH wanted SSN to market its services</w:t>
            </w:r>
            <w:r w:rsidR="00EF60BF">
              <w:rPr>
                <w:rFonts w:ascii="Calibri" w:hAnsi="Calibri" w:cs="Calibri"/>
                <w:b/>
                <w:sz w:val="22"/>
                <w:szCs w:val="22"/>
              </w:rPr>
              <w:t>, SSN wanted to work with DISH,</w:t>
            </w:r>
            <w:r w:rsidRPr="00C21016">
              <w:rPr>
                <w:rFonts w:ascii="Calibri" w:hAnsi="Calibri" w:cs="Calibri"/>
                <w:b/>
                <w:sz w:val="22"/>
                <w:szCs w:val="22"/>
              </w:rPr>
              <w:t xml:space="preserve"> and neither needed an agency relationship to do that.  They just needed to enter into an ordinary contract, like companies do all the time in the marketing context</w:t>
            </w:r>
            <w:r>
              <w:rPr>
                <w:rFonts w:ascii="Calibri" w:hAnsi="Calibri" w:cs="Calibri"/>
                <w:b/>
                <w:sz w:val="22"/>
                <w:szCs w:val="22"/>
              </w:rPr>
              <w:t>.</w:t>
            </w:r>
          </w:p>
        </w:tc>
      </w:tr>
      <w:tr w:rsidR="003419BD" w:rsidRPr="00907D75" w14:paraId="7DACBBB4" w14:textId="77777777" w:rsidTr="008649A2">
        <w:trPr>
          <w:trHeight w:val="4795"/>
        </w:trPr>
        <w:tc>
          <w:tcPr>
            <w:tcW w:w="5805" w:type="dxa"/>
            <w:vAlign w:val="center"/>
          </w:tcPr>
          <w:p w14:paraId="75FC1EDE" w14:textId="1A898AE2"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did the district court rely on to find that SSN was an agent of DISH?</w:t>
            </w:r>
          </w:p>
        </w:tc>
        <w:tc>
          <w:tcPr>
            <w:tcW w:w="5805" w:type="dxa"/>
            <w:vAlign w:val="center"/>
          </w:tcPr>
          <w:p w14:paraId="64391A24" w14:textId="629434C1" w:rsidR="003419BD" w:rsidRPr="00112B1E" w:rsidRDefault="003419BD" w:rsidP="00525419">
            <w:pPr>
              <w:pStyle w:val="O-BodyText"/>
              <w:spacing w:after="120"/>
              <w:ind w:left="290" w:right="65"/>
              <w:jc w:val="both"/>
              <w:rPr>
                <w:rFonts w:ascii="Calibri" w:hAnsi="Calibri" w:cs="Calibri"/>
                <w:b/>
                <w:sz w:val="22"/>
                <w:szCs w:val="22"/>
              </w:rPr>
            </w:pPr>
            <w:r w:rsidRPr="00024D80">
              <w:rPr>
                <w:rFonts w:ascii="Calibri" w:hAnsi="Calibri" w:cs="Calibri"/>
                <w:b/>
                <w:sz w:val="22"/>
                <w:szCs w:val="22"/>
              </w:rPr>
              <w:t>(1</w:t>
            </w:r>
            <w:r>
              <w:rPr>
                <w:rFonts w:ascii="Calibri" w:hAnsi="Calibri" w:cs="Calibri"/>
                <w:b/>
                <w:sz w:val="22"/>
                <w:szCs w:val="22"/>
              </w:rPr>
              <w:t>) Certain provisions in the Retailer Agreements; (2) </w:t>
            </w:r>
            <w:r w:rsidR="002877E5">
              <w:rPr>
                <w:rFonts w:ascii="Calibri" w:hAnsi="Calibri" w:cs="Calibri"/>
                <w:b/>
                <w:sz w:val="22"/>
                <w:szCs w:val="22"/>
              </w:rPr>
              <w:t>T</w:t>
            </w:r>
            <w:r>
              <w:rPr>
                <w:rFonts w:ascii="Calibri" w:hAnsi="Calibri" w:cs="Calibri"/>
                <w:b/>
                <w:sz w:val="22"/>
                <w:szCs w:val="22"/>
              </w:rPr>
              <w:t>he parties’ conduct; and (3</w:t>
            </w:r>
            <w:r w:rsidR="002877E5">
              <w:rPr>
                <w:rFonts w:ascii="Calibri" w:hAnsi="Calibri" w:cs="Calibri"/>
                <w:b/>
                <w:sz w:val="22"/>
                <w:szCs w:val="22"/>
              </w:rPr>
              <w:t>) T</w:t>
            </w:r>
            <w:r>
              <w:rPr>
                <w:rFonts w:ascii="Calibri" w:hAnsi="Calibri" w:cs="Calibri"/>
                <w:b/>
                <w:sz w:val="22"/>
                <w:szCs w:val="22"/>
              </w:rPr>
              <w:t xml:space="preserve">he </w:t>
            </w:r>
            <w:r w:rsidRPr="00076F42">
              <w:rPr>
                <w:rFonts w:ascii="Calibri" w:hAnsi="Calibri" w:cs="Calibri"/>
                <w:b/>
                <w:sz w:val="22"/>
                <w:szCs w:val="22"/>
              </w:rPr>
              <w:t xml:space="preserve">2009 </w:t>
            </w:r>
            <w:proofErr w:type="spellStart"/>
            <w:r>
              <w:rPr>
                <w:rFonts w:ascii="Calibri" w:hAnsi="Calibri" w:cs="Calibri"/>
                <w:b/>
                <w:sz w:val="22"/>
                <w:szCs w:val="22"/>
              </w:rPr>
              <w:t>AVC</w:t>
            </w:r>
            <w:proofErr w:type="spellEnd"/>
            <w:r w:rsidRPr="00076F42">
              <w:rPr>
                <w:rFonts w:ascii="Calibri" w:hAnsi="Calibri" w:cs="Calibri"/>
                <w:b/>
                <w:sz w:val="22"/>
                <w:szCs w:val="22"/>
              </w:rPr>
              <w:t xml:space="preserve"> between DISH and state attorneys general.</w:t>
            </w:r>
          </w:p>
        </w:tc>
      </w:tr>
      <w:tr w:rsidR="003419BD" w:rsidRPr="00907D75" w14:paraId="4B4BF8EB" w14:textId="77777777" w:rsidTr="008649A2">
        <w:trPr>
          <w:trHeight w:val="4795"/>
        </w:trPr>
        <w:tc>
          <w:tcPr>
            <w:tcW w:w="5805" w:type="dxa"/>
            <w:vAlign w:val="center"/>
          </w:tcPr>
          <w:p w14:paraId="367F262A" w14:textId="28162E2B"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district court rely on to find an agency relationship between DISH and SSN?</w:t>
            </w:r>
          </w:p>
        </w:tc>
        <w:tc>
          <w:tcPr>
            <w:tcW w:w="5805" w:type="dxa"/>
            <w:vAlign w:val="center"/>
          </w:tcPr>
          <w:p w14:paraId="46E7F26C" w14:textId="330D6BF5" w:rsidR="003419BD" w:rsidRDefault="003419BD" w:rsidP="00525419">
            <w:pPr>
              <w:pStyle w:val="O-BodyText"/>
              <w:spacing w:after="120"/>
              <w:ind w:left="290" w:right="65"/>
              <w:jc w:val="both"/>
              <w:rPr>
                <w:rFonts w:ascii="Calibri" w:hAnsi="Calibri" w:cs="Calibri"/>
                <w:b/>
                <w:sz w:val="22"/>
                <w:szCs w:val="22"/>
              </w:rPr>
            </w:pPr>
            <w:r w:rsidRPr="00112B1E">
              <w:rPr>
                <w:rFonts w:ascii="Calibri" w:hAnsi="Calibri" w:cs="Calibri"/>
                <w:b/>
                <w:sz w:val="22"/>
                <w:szCs w:val="22"/>
              </w:rPr>
              <w:t>Notwithstanding the parties’ express agreement, the court</w:t>
            </w:r>
            <w:r>
              <w:rPr>
                <w:rFonts w:ascii="Calibri" w:hAnsi="Calibri" w:cs="Calibri"/>
                <w:b/>
                <w:sz w:val="22"/>
                <w:szCs w:val="22"/>
              </w:rPr>
              <w:t xml:space="preserve"> </w:t>
            </w:r>
            <w:r w:rsidRPr="00112B1E">
              <w:rPr>
                <w:rFonts w:ascii="Calibri" w:hAnsi="Calibri" w:cs="Calibri"/>
                <w:b/>
                <w:sz w:val="22"/>
                <w:szCs w:val="22"/>
              </w:rPr>
              <w:t>thought other contractual provisions implicitly created the agency relationship</w:t>
            </w:r>
            <w:proofErr w:type="gramStart"/>
            <w:r>
              <w:rPr>
                <w:rFonts w:ascii="Calibri" w:hAnsi="Calibri" w:cs="Calibri"/>
                <w:b/>
                <w:sz w:val="22"/>
                <w:szCs w:val="22"/>
              </w:rPr>
              <w:t xml:space="preserve">. </w:t>
            </w:r>
            <w:proofErr w:type="gramEnd"/>
          </w:p>
        </w:tc>
      </w:tr>
      <w:tr w:rsidR="003419BD" w:rsidRPr="00907D75" w14:paraId="3540139E" w14:textId="77777777" w:rsidTr="008649A2">
        <w:trPr>
          <w:trHeight w:val="4795"/>
        </w:trPr>
        <w:tc>
          <w:tcPr>
            <w:tcW w:w="5805" w:type="dxa"/>
            <w:vAlign w:val="center"/>
          </w:tcPr>
          <w:p w14:paraId="6380DFFE" w14:textId="55CCDD5B"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Why shouldn’t the district court have considered other provisions of the contracts?</w:t>
            </w:r>
          </w:p>
        </w:tc>
        <w:tc>
          <w:tcPr>
            <w:tcW w:w="5805" w:type="dxa"/>
            <w:vAlign w:val="center"/>
          </w:tcPr>
          <w:p w14:paraId="621E08AF" w14:textId="51233C6D"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Interpreting </w:t>
            </w:r>
            <w:r w:rsidRPr="00112B1E">
              <w:rPr>
                <w:rFonts w:ascii="Calibri" w:hAnsi="Calibri" w:cs="Calibri"/>
                <w:b/>
                <w:sz w:val="22"/>
                <w:szCs w:val="22"/>
              </w:rPr>
              <w:t>other provisions to nullify the contracts’ express disavowals of agency</w:t>
            </w:r>
            <w:r>
              <w:rPr>
                <w:rFonts w:ascii="Calibri" w:hAnsi="Calibri" w:cs="Calibri"/>
                <w:b/>
                <w:sz w:val="22"/>
                <w:szCs w:val="22"/>
              </w:rPr>
              <w:t xml:space="preserve"> </w:t>
            </w:r>
            <w:r w:rsidRPr="00112B1E">
              <w:rPr>
                <w:rFonts w:ascii="Calibri" w:hAnsi="Calibri" w:cs="Calibri"/>
                <w:b/>
                <w:sz w:val="22"/>
                <w:szCs w:val="22"/>
              </w:rPr>
              <w:t>violate</w:t>
            </w:r>
            <w:r>
              <w:rPr>
                <w:rFonts w:ascii="Calibri" w:hAnsi="Calibri" w:cs="Calibri"/>
                <w:b/>
                <w:sz w:val="22"/>
                <w:szCs w:val="22"/>
              </w:rPr>
              <w:t>s</w:t>
            </w:r>
            <w:r w:rsidRPr="00112B1E">
              <w:rPr>
                <w:rFonts w:ascii="Calibri" w:hAnsi="Calibri" w:cs="Calibri"/>
                <w:b/>
                <w:sz w:val="22"/>
                <w:szCs w:val="22"/>
              </w:rPr>
              <w:t xml:space="preserve"> the “cardinal principle of contract construction: that a document should be read to give effect to all its provisions and to render them consistent with each other.”  </w:t>
            </w:r>
            <w:proofErr w:type="spellStart"/>
            <w:r w:rsidRPr="00112B1E">
              <w:rPr>
                <w:rFonts w:ascii="Calibri" w:hAnsi="Calibri" w:cs="Calibri"/>
                <w:b/>
                <w:i/>
                <w:sz w:val="22"/>
                <w:szCs w:val="22"/>
              </w:rPr>
              <w:t>Mastrobuono</w:t>
            </w:r>
            <w:proofErr w:type="spellEnd"/>
            <w:r w:rsidRPr="00112B1E">
              <w:rPr>
                <w:rFonts w:ascii="Calibri" w:hAnsi="Calibri" w:cs="Calibri"/>
                <w:b/>
                <w:i/>
                <w:sz w:val="22"/>
                <w:szCs w:val="22"/>
              </w:rPr>
              <w:t xml:space="preserve"> v. Shearson Lehman Hutton</w:t>
            </w:r>
            <w:r w:rsidRPr="00112B1E">
              <w:rPr>
                <w:rFonts w:ascii="Calibri" w:hAnsi="Calibri" w:cs="Calibri"/>
                <w:b/>
                <w:sz w:val="22"/>
                <w:szCs w:val="22"/>
              </w:rPr>
              <w:t xml:space="preserve"> (</w:t>
            </w:r>
            <w:r>
              <w:rPr>
                <w:rFonts w:ascii="Calibri" w:hAnsi="Calibri" w:cs="Calibri"/>
                <w:b/>
                <w:sz w:val="22"/>
                <w:szCs w:val="22"/>
              </w:rPr>
              <w:t xml:space="preserve">S. Ct. </w:t>
            </w:r>
            <w:r w:rsidRPr="00112B1E">
              <w:rPr>
                <w:rFonts w:ascii="Calibri" w:hAnsi="Calibri" w:cs="Calibri"/>
                <w:b/>
                <w:sz w:val="22"/>
                <w:szCs w:val="22"/>
              </w:rPr>
              <w:t>1995).</w:t>
            </w:r>
          </w:p>
        </w:tc>
      </w:tr>
      <w:tr w:rsidR="003419BD" w:rsidRPr="00907D75" w14:paraId="4A24012D" w14:textId="77777777" w:rsidTr="008649A2">
        <w:trPr>
          <w:trHeight w:val="4795"/>
        </w:trPr>
        <w:tc>
          <w:tcPr>
            <w:tcW w:w="5805" w:type="dxa"/>
            <w:vAlign w:val="center"/>
          </w:tcPr>
          <w:p w14:paraId="0E7A6D54" w14:textId="09B74B8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standard of review for interpreting contracts?</w:t>
            </w:r>
          </w:p>
        </w:tc>
        <w:tc>
          <w:tcPr>
            <w:tcW w:w="5805" w:type="dxa"/>
            <w:vAlign w:val="center"/>
          </w:tcPr>
          <w:p w14:paraId="09C0F281" w14:textId="5206F27D" w:rsidR="003419BD" w:rsidRPr="00112B1E"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This court </w:t>
            </w:r>
            <w:r w:rsidRPr="00A21A47">
              <w:rPr>
                <w:rFonts w:ascii="Calibri" w:hAnsi="Calibri" w:cs="Calibri"/>
                <w:b/>
                <w:sz w:val="22"/>
                <w:szCs w:val="22"/>
              </w:rPr>
              <w:t>interpret</w:t>
            </w:r>
            <w:r>
              <w:rPr>
                <w:rFonts w:ascii="Calibri" w:hAnsi="Calibri" w:cs="Calibri"/>
                <w:b/>
                <w:sz w:val="22"/>
                <w:szCs w:val="22"/>
              </w:rPr>
              <w:t>s</w:t>
            </w:r>
            <w:r w:rsidRPr="00A21A47">
              <w:rPr>
                <w:rFonts w:ascii="Calibri" w:hAnsi="Calibri" w:cs="Calibri"/>
                <w:b/>
                <w:sz w:val="22"/>
                <w:szCs w:val="22"/>
              </w:rPr>
              <w:t xml:space="preserve"> contract</w:t>
            </w:r>
            <w:r>
              <w:rPr>
                <w:rFonts w:ascii="Calibri" w:hAnsi="Calibri" w:cs="Calibri"/>
                <w:b/>
                <w:sz w:val="22"/>
                <w:szCs w:val="22"/>
              </w:rPr>
              <w:t>s</w:t>
            </w:r>
            <w:r w:rsidRPr="00A21A47">
              <w:rPr>
                <w:rFonts w:ascii="Calibri" w:hAnsi="Calibri" w:cs="Calibri"/>
                <w:b/>
                <w:sz w:val="22"/>
                <w:szCs w:val="22"/>
              </w:rPr>
              <w:t xml:space="preserve"> de novo</w:t>
            </w:r>
            <w:r>
              <w:rPr>
                <w:rFonts w:ascii="Calibri" w:hAnsi="Calibri" w:cs="Calibri"/>
                <w:b/>
                <w:sz w:val="22"/>
                <w:szCs w:val="22"/>
              </w:rPr>
              <w:t xml:space="preserve">.  </w:t>
            </w:r>
            <w:r w:rsidRPr="00A21A47">
              <w:rPr>
                <w:rFonts w:ascii="Calibri" w:hAnsi="Calibri" w:cs="Calibri"/>
                <w:b/>
                <w:i/>
                <w:sz w:val="22"/>
                <w:szCs w:val="22"/>
              </w:rPr>
              <w:t>Sky Angel U.S. v. Discovery Commc’ns</w:t>
            </w:r>
            <w:r>
              <w:rPr>
                <w:rFonts w:ascii="Calibri" w:hAnsi="Calibri" w:cs="Calibri"/>
                <w:b/>
                <w:i/>
                <w:sz w:val="22"/>
                <w:szCs w:val="22"/>
              </w:rPr>
              <w:t xml:space="preserve"> </w:t>
            </w:r>
            <w:r w:rsidRPr="00A21A47">
              <w:rPr>
                <w:rFonts w:ascii="Calibri" w:hAnsi="Calibri" w:cs="Calibri"/>
                <w:b/>
                <w:sz w:val="22"/>
                <w:szCs w:val="22"/>
              </w:rPr>
              <w:t>(4th Cir. 2018)</w:t>
            </w:r>
            <w:r>
              <w:rPr>
                <w:rFonts w:ascii="Calibri" w:hAnsi="Calibri" w:cs="Calibri"/>
                <w:b/>
                <w:sz w:val="22"/>
                <w:szCs w:val="22"/>
              </w:rPr>
              <w:t>.</w:t>
            </w:r>
          </w:p>
        </w:tc>
      </w:tr>
      <w:tr w:rsidR="003419BD" w:rsidRPr="00907D75" w14:paraId="33D4F306" w14:textId="77777777" w:rsidTr="008649A2">
        <w:trPr>
          <w:trHeight w:val="4795"/>
        </w:trPr>
        <w:tc>
          <w:tcPr>
            <w:tcW w:w="5805" w:type="dxa"/>
            <w:vAlign w:val="center"/>
          </w:tcPr>
          <w:p w14:paraId="3CEFF773" w14:textId="6ADEB72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district court rely on in the contracts to find an agency relationship?</w:t>
            </w:r>
          </w:p>
        </w:tc>
        <w:tc>
          <w:tcPr>
            <w:tcW w:w="5805" w:type="dxa"/>
            <w:vAlign w:val="center"/>
          </w:tcPr>
          <w:p w14:paraId="5CF4BBC9" w14:textId="62338EED" w:rsidR="003419BD" w:rsidRPr="00112B1E"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6A232A">
              <w:rPr>
                <w:rFonts w:ascii="Calibri" w:hAnsi="Calibri" w:cs="Calibri"/>
                <w:b/>
                <w:sz w:val="22"/>
                <w:szCs w:val="22"/>
              </w:rPr>
              <w:t xml:space="preserve">he </w:t>
            </w:r>
            <w:r>
              <w:rPr>
                <w:rFonts w:ascii="Calibri" w:hAnsi="Calibri" w:cs="Calibri"/>
                <w:b/>
                <w:sz w:val="22"/>
                <w:szCs w:val="22"/>
              </w:rPr>
              <w:t xml:space="preserve">court relied on </w:t>
            </w:r>
            <w:r w:rsidRPr="006A232A">
              <w:rPr>
                <w:rFonts w:ascii="Calibri" w:hAnsi="Calibri" w:cs="Calibri"/>
                <w:b/>
                <w:sz w:val="22"/>
                <w:szCs w:val="22"/>
              </w:rPr>
              <w:t xml:space="preserve">provisions </w:t>
            </w:r>
            <w:r>
              <w:rPr>
                <w:rFonts w:ascii="Calibri" w:hAnsi="Calibri" w:cs="Calibri"/>
                <w:b/>
                <w:sz w:val="22"/>
                <w:szCs w:val="22"/>
              </w:rPr>
              <w:t>authorizing</w:t>
            </w:r>
            <w:r w:rsidRPr="006A232A">
              <w:rPr>
                <w:rFonts w:ascii="Calibri" w:hAnsi="Calibri" w:cs="Calibri"/>
                <w:b/>
                <w:sz w:val="22"/>
                <w:szCs w:val="22"/>
              </w:rPr>
              <w:t xml:space="preserve"> DISH to enforce performance standar</w:t>
            </w:r>
            <w:r>
              <w:rPr>
                <w:rFonts w:ascii="Calibri" w:hAnsi="Calibri" w:cs="Calibri"/>
                <w:b/>
                <w:sz w:val="22"/>
                <w:szCs w:val="22"/>
              </w:rPr>
              <w:t xml:space="preserve">ds and exercise quality control.  Such </w:t>
            </w:r>
            <w:r w:rsidRPr="006A232A">
              <w:rPr>
                <w:rFonts w:ascii="Calibri" w:hAnsi="Calibri" w:cs="Calibri"/>
                <w:b/>
                <w:sz w:val="22"/>
                <w:szCs w:val="22"/>
              </w:rPr>
              <w:t xml:space="preserve">provisions are routine in independent contractor and franchisee relationships.  </w:t>
            </w:r>
            <w:r w:rsidRPr="006A232A">
              <w:rPr>
                <w:rFonts w:ascii="Calibri" w:hAnsi="Calibri" w:cs="Calibri"/>
                <w:b/>
                <w:i/>
                <w:sz w:val="22"/>
                <w:szCs w:val="22"/>
              </w:rPr>
              <w:t xml:space="preserve">E.g., </w:t>
            </w:r>
            <w:proofErr w:type="spellStart"/>
            <w:r w:rsidRPr="006A232A">
              <w:rPr>
                <w:rFonts w:ascii="Calibri" w:hAnsi="Calibri" w:cs="Calibri"/>
                <w:b/>
                <w:i/>
                <w:sz w:val="22"/>
                <w:szCs w:val="22"/>
              </w:rPr>
              <w:t>Hoffnagle</w:t>
            </w:r>
            <w:proofErr w:type="spellEnd"/>
            <w:r w:rsidRPr="006A232A">
              <w:rPr>
                <w:rFonts w:ascii="Calibri" w:hAnsi="Calibri" w:cs="Calibri"/>
                <w:b/>
                <w:i/>
                <w:sz w:val="22"/>
                <w:szCs w:val="22"/>
              </w:rPr>
              <w:t xml:space="preserve"> v. McDonald’s Corp.</w:t>
            </w:r>
            <w:r w:rsidRPr="006A232A">
              <w:rPr>
                <w:rFonts w:ascii="Calibri" w:hAnsi="Calibri" w:cs="Calibri"/>
                <w:b/>
                <w:sz w:val="22"/>
                <w:szCs w:val="22"/>
              </w:rPr>
              <w:t xml:space="preserve"> (Iowa 1994) (detailing McDonald’s extensive control over franchisees); </w:t>
            </w:r>
            <w:r w:rsidRPr="006A232A">
              <w:rPr>
                <w:rFonts w:ascii="Calibri" w:hAnsi="Calibri" w:cs="Calibri"/>
                <w:b/>
                <w:i/>
                <w:sz w:val="22"/>
                <w:szCs w:val="22"/>
              </w:rPr>
              <w:t>see</w:t>
            </w:r>
            <w:r w:rsidRPr="006A232A">
              <w:rPr>
                <w:rFonts w:ascii="Calibri" w:hAnsi="Calibri" w:cs="Calibri"/>
                <w:b/>
                <w:sz w:val="22"/>
                <w:szCs w:val="22"/>
              </w:rPr>
              <w:t xml:space="preserve"> Restatement (Third) of Agency § 1.01 </w:t>
            </w:r>
            <w:proofErr w:type="spellStart"/>
            <w:r w:rsidRPr="006A232A">
              <w:rPr>
                <w:rFonts w:ascii="Calibri" w:hAnsi="Calibri" w:cs="Calibri"/>
                <w:b/>
                <w:sz w:val="22"/>
                <w:szCs w:val="22"/>
              </w:rPr>
              <w:t>cmt</w:t>
            </w:r>
            <w:proofErr w:type="spellEnd"/>
            <w:proofErr w:type="gramStart"/>
            <w:r w:rsidRPr="006A232A">
              <w:rPr>
                <w:rFonts w:ascii="Calibri" w:hAnsi="Calibri" w:cs="Calibri"/>
                <w:b/>
                <w:sz w:val="22"/>
                <w:szCs w:val="22"/>
              </w:rPr>
              <w:t xml:space="preserve">. </w:t>
            </w:r>
            <w:proofErr w:type="gramEnd"/>
            <w:r w:rsidRPr="006A232A">
              <w:rPr>
                <w:rFonts w:ascii="Calibri" w:hAnsi="Calibri" w:cs="Calibri"/>
                <w:b/>
                <w:sz w:val="22"/>
                <w:szCs w:val="22"/>
              </w:rPr>
              <w:t>f.</w:t>
            </w:r>
          </w:p>
        </w:tc>
      </w:tr>
      <w:tr w:rsidR="003419BD" w:rsidRPr="00907D75" w14:paraId="0E994A34" w14:textId="77777777" w:rsidTr="008649A2">
        <w:trPr>
          <w:trHeight w:val="4795"/>
        </w:trPr>
        <w:tc>
          <w:tcPr>
            <w:tcW w:w="5805" w:type="dxa"/>
            <w:vAlign w:val="center"/>
          </w:tcPr>
          <w:p w14:paraId="0DD69E2E" w14:textId="2A289CA4"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specific provisions in the contracts did the district court rely on to find an agency relationship?</w:t>
            </w:r>
          </w:p>
        </w:tc>
        <w:tc>
          <w:tcPr>
            <w:tcW w:w="5805" w:type="dxa"/>
            <w:vAlign w:val="center"/>
          </w:tcPr>
          <w:p w14:paraId="7D7F1017" w14:textId="4B0594A1" w:rsidR="003419BD" w:rsidRDefault="003419BD" w:rsidP="00525419">
            <w:pPr>
              <w:pStyle w:val="O-BodyText"/>
              <w:spacing w:after="120"/>
              <w:ind w:left="290" w:right="65"/>
              <w:jc w:val="both"/>
              <w:rPr>
                <w:rFonts w:ascii="Calibri" w:hAnsi="Calibri" w:cs="Calibri"/>
                <w:b/>
                <w:sz w:val="22"/>
                <w:szCs w:val="22"/>
              </w:rPr>
            </w:pPr>
            <w:r w:rsidRPr="00BD07D1">
              <w:rPr>
                <w:rFonts w:ascii="Calibri" w:hAnsi="Calibri" w:cs="Calibri"/>
                <w:b/>
                <w:sz w:val="22"/>
                <w:szCs w:val="22"/>
              </w:rPr>
              <w:t>The court pointed to Section 2.3, which requires SSN “to use its</w:t>
            </w:r>
            <w:r>
              <w:rPr>
                <w:rFonts w:ascii="Calibri" w:hAnsi="Calibri" w:cs="Calibri"/>
                <w:b/>
                <w:sz w:val="22"/>
                <w:szCs w:val="22"/>
              </w:rPr>
              <w:t xml:space="preserve"> </w:t>
            </w:r>
            <w:r w:rsidRPr="00BD07D1">
              <w:rPr>
                <w:rFonts w:ascii="Calibri" w:hAnsi="Calibri" w:cs="Calibri"/>
                <w:b/>
                <w:sz w:val="22"/>
                <w:szCs w:val="22"/>
              </w:rPr>
              <w:t>best efforts to continuously and actively advertise, promote and market Programming.”  The court cited no support for the idea that requiring a party to perform its contractual obligations shows day-to- day control.</w:t>
            </w:r>
          </w:p>
        </w:tc>
      </w:tr>
      <w:tr w:rsidR="003419BD" w:rsidRPr="00907D75" w14:paraId="72EA3CAE" w14:textId="77777777" w:rsidTr="008649A2">
        <w:trPr>
          <w:trHeight w:val="4795"/>
        </w:trPr>
        <w:tc>
          <w:tcPr>
            <w:tcW w:w="5805" w:type="dxa"/>
            <w:vAlign w:val="center"/>
          </w:tcPr>
          <w:p w14:paraId="08119454" w14:textId="210FEF25"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other provisions</w:t>
            </w:r>
            <w:r>
              <w:t xml:space="preserve"> </w:t>
            </w:r>
            <w:r w:rsidRPr="009176F9">
              <w:rPr>
                <w:rFonts w:ascii="Calibri" w:hAnsi="Calibri" w:cs="Calibri"/>
                <w:b/>
                <w:sz w:val="28"/>
                <w:szCs w:val="28"/>
              </w:rPr>
              <w:t>in the contracts did the district court rely on to find an agency relationship?</w:t>
            </w:r>
          </w:p>
        </w:tc>
        <w:tc>
          <w:tcPr>
            <w:tcW w:w="5805" w:type="dxa"/>
            <w:vAlign w:val="center"/>
          </w:tcPr>
          <w:p w14:paraId="25741F87" w14:textId="3F0A6832" w:rsidR="003419BD" w:rsidRPr="00BD07D1" w:rsidRDefault="003419BD" w:rsidP="00525419">
            <w:pPr>
              <w:pStyle w:val="O-BodyText"/>
              <w:spacing w:after="120"/>
              <w:ind w:left="290" w:right="65"/>
              <w:jc w:val="both"/>
              <w:rPr>
                <w:rFonts w:ascii="Calibri" w:hAnsi="Calibri" w:cs="Calibri"/>
                <w:b/>
                <w:sz w:val="22"/>
                <w:szCs w:val="22"/>
              </w:rPr>
            </w:pPr>
            <w:r w:rsidRPr="00897C4A">
              <w:rPr>
                <w:rFonts w:ascii="Calibri" w:hAnsi="Calibri" w:cs="Calibri"/>
                <w:b/>
                <w:sz w:val="22"/>
                <w:szCs w:val="22"/>
              </w:rPr>
              <w:t xml:space="preserve">Paragraph 7.4 </w:t>
            </w:r>
            <w:r>
              <w:rPr>
                <w:rFonts w:ascii="Calibri" w:hAnsi="Calibri" w:cs="Calibri"/>
                <w:b/>
                <w:sz w:val="22"/>
                <w:szCs w:val="22"/>
              </w:rPr>
              <w:t xml:space="preserve">states that </w:t>
            </w:r>
            <w:r w:rsidRPr="00897C4A">
              <w:rPr>
                <w:rFonts w:ascii="Calibri" w:hAnsi="Calibri" w:cs="Calibri"/>
                <w:b/>
                <w:sz w:val="22"/>
                <w:szCs w:val="22"/>
              </w:rPr>
              <w:t xml:space="preserve">any “records created or maintained by, or on behalf of, EchoStar relating to any DISH Network Subscriber” belong to DISH.  </w:t>
            </w:r>
            <w:r>
              <w:rPr>
                <w:rFonts w:ascii="Calibri" w:hAnsi="Calibri" w:cs="Calibri"/>
                <w:b/>
                <w:sz w:val="22"/>
                <w:szCs w:val="22"/>
              </w:rPr>
              <w:t>But i</w:t>
            </w:r>
            <w:r w:rsidRPr="0009020A">
              <w:rPr>
                <w:rFonts w:ascii="Calibri" w:hAnsi="Calibri" w:cs="Calibri"/>
                <w:b/>
                <w:sz w:val="22"/>
                <w:szCs w:val="22"/>
              </w:rPr>
              <w:t>t stands to reason that DISH would own the</w:t>
            </w:r>
            <w:r>
              <w:rPr>
                <w:rFonts w:ascii="Calibri" w:hAnsi="Calibri" w:cs="Calibri"/>
                <w:b/>
                <w:sz w:val="22"/>
                <w:szCs w:val="22"/>
              </w:rPr>
              <w:t xml:space="preserve"> </w:t>
            </w:r>
            <w:r w:rsidRPr="0009020A">
              <w:rPr>
                <w:rFonts w:ascii="Calibri" w:hAnsi="Calibri" w:cs="Calibri"/>
                <w:b/>
                <w:sz w:val="22"/>
                <w:szCs w:val="22"/>
              </w:rPr>
              <w:t>records concerning its subscribers</w:t>
            </w:r>
            <w:r>
              <w:rPr>
                <w:rFonts w:ascii="Calibri" w:hAnsi="Calibri" w:cs="Calibri"/>
                <w:b/>
                <w:sz w:val="22"/>
                <w:szCs w:val="22"/>
              </w:rPr>
              <w:t>,</w:t>
            </w:r>
            <w:r w:rsidRPr="0009020A">
              <w:rPr>
                <w:rFonts w:ascii="Calibri" w:hAnsi="Calibri" w:cs="Calibri"/>
                <w:b/>
                <w:sz w:val="22"/>
                <w:szCs w:val="22"/>
              </w:rPr>
              <w:t xml:space="preserve"> and SSN would control the records regarding its prospects.  </w:t>
            </w:r>
            <w:r>
              <w:rPr>
                <w:rFonts w:ascii="Calibri" w:hAnsi="Calibri" w:cs="Calibri"/>
                <w:b/>
                <w:sz w:val="22"/>
                <w:szCs w:val="22"/>
              </w:rPr>
              <w:t xml:space="preserve">This doesn’t show </w:t>
            </w:r>
            <w:r w:rsidRPr="0009020A">
              <w:rPr>
                <w:rFonts w:ascii="Calibri" w:hAnsi="Calibri" w:cs="Calibri"/>
                <w:b/>
                <w:sz w:val="22"/>
                <w:szCs w:val="22"/>
              </w:rPr>
              <w:t>assent to an agency relationship, much less operational control.</w:t>
            </w:r>
          </w:p>
        </w:tc>
      </w:tr>
      <w:tr w:rsidR="003419BD" w:rsidRPr="00907D75" w14:paraId="34E9B387" w14:textId="77777777" w:rsidTr="008649A2">
        <w:trPr>
          <w:trHeight w:val="4795"/>
        </w:trPr>
        <w:tc>
          <w:tcPr>
            <w:tcW w:w="5805" w:type="dxa"/>
            <w:vAlign w:val="center"/>
          </w:tcPr>
          <w:p w14:paraId="6A7B2D0B" w14:textId="45108B1C" w:rsidR="003419BD" w:rsidRDefault="003419BD" w:rsidP="00525419">
            <w:pPr>
              <w:pStyle w:val="O-BodyText"/>
              <w:spacing w:after="120"/>
              <w:ind w:right="200"/>
              <w:jc w:val="both"/>
              <w:rPr>
                <w:rFonts w:ascii="Calibri" w:hAnsi="Calibri" w:cs="Calibri"/>
                <w:b/>
                <w:sz w:val="28"/>
                <w:szCs w:val="28"/>
              </w:rPr>
            </w:pPr>
            <w:r w:rsidRPr="0009020A">
              <w:rPr>
                <w:rFonts w:ascii="Calibri" w:hAnsi="Calibri" w:cs="Calibri"/>
                <w:b/>
                <w:sz w:val="28"/>
                <w:szCs w:val="28"/>
              </w:rPr>
              <w:lastRenderedPageBreak/>
              <w:t>What other provisions in the contracts did the district court rely on to find an agency relationship?</w:t>
            </w:r>
          </w:p>
        </w:tc>
        <w:tc>
          <w:tcPr>
            <w:tcW w:w="5805" w:type="dxa"/>
            <w:vAlign w:val="center"/>
          </w:tcPr>
          <w:p w14:paraId="6411C63F" w14:textId="65B6AA89" w:rsidR="003419BD" w:rsidRPr="00897C4A"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The court thought the contract gave DISH “nearly unlimited power to impose additional requirements on SSN via ‘business rules.’”</w:t>
            </w:r>
          </w:p>
          <w:p w14:paraId="127BDD69" w14:textId="6D29C383" w:rsidR="003419BD" w:rsidRPr="00897C4A" w:rsidRDefault="003419BD" w:rsidP="00525419">
            <w:pPr>
              <w:pStyle w:val="O-BodyText"/>
              <w:spacing w:after="120"/>
              <w:ind w:left="290" w:right="65"/>
              <w:jc w:val="both"/>
              <w:rPr>
                <w:rFonts w:ascii="Calibri" w:hAnsi="Calibri" w:cs="Calibri"/>
                <w:b/>
                <w:sz w:val="22"/>
                <w:szCs w:val="22"/>
              </w:rPr>
            </w:pPr>
          </w:p>
        </w:tc>
      </w:tr>
      <w:tr w:rsidR="003419BD" w:rsidRPr="00907D75" w14:paraId="2F389B01" w14:textId="77777777" w:rsidTr="008649A2">
        <w:trPr>
          <w:trHeight w:val="4795"/>
        </w:trPr>
        <w:tc>
          <w:tcPr>
            <w:tcW w:w="5805" w:type="dxa"/>
            <w:vAlign w:val="center"/>
          </w:tcPr>
          <w:p w14:paraId="7A7286A3" w14:textId="0BB4202B" w:rsidR="003419BD" w:rsidRPr="0009020A"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does Section 7.3 of the Retailer Agreements require?</w:t>
            </w:r>
          </w:p>
        </w:tc>
        <w:tc>
          <w:tcPr>
            <w:tcW w:w="5805" w:type="dxa"/>
            <w:vAlign w:val="center"/>
          </w:tcPr>
          <w:p w14:paraId="16A4114E" w14:textId="024AE795" w:rsidR="003419BD" w:rsidRDefault="003419BD" w:rsidP="00525419">
            <w:pPr>
              <w:pStyle w:val="O-BodyText"/>
              <w:spacing w:after="120"/>
              <w:ind w:left="290" w:right="65"/>
              <w:jc w:val="both"/>
              <w:rPr>
                <w:rFonts w:ascii="Calibri" w:hAnsi="Calibri" w:cs="Calibri"/>
                <w:b/>
                <w:sz w:val="22"/>
                <w:szCs w:val="22"/>
              </w:rPr>
            </w:pPr>
            <w:r w:rsidRPr="000123E8">
              <w:rPr>
                <w:rFonts w:ascii="Calibri" w:hAnsi="Calibri" w:cs="Calibri"/>
                <w:b/>
                <w:sz w:val="22"/>
                <w:szCs w:val="22"/>
              </w:rPr>
              <w:t xml:space="preserve">Section 7.3 requires retailers to follow </w:t>
            </w:r>
            <w:proofErr w:type="spellStart"/>
            <w:r w:rsidRPr="000123E8">
              <w:rPr>
                <w:rFonts w:ascii="Calibri" w:hAnsi="Calibri" w:cs="Calibri"/>
                <w:b/>
                <w:sz w:val="22"/>
                <w:szCs w:val="22"/>
              </w:rPr>
              <w:t>DISH’s</w:t>
            </w:r>
            <w:proofErr w:type="spellEnd"/>
            <w:r w:rsidRPr="000123E8">
              <w:rPr>
                <w:rFonts w:ascii="Calibri" w:hAnsi="Calibri" w:cs="Calibri"/>
                <w:b/>
                <w:sz w:val="22"/>
                <w:szCs w:val="22"/>
              </w:rPr>
              <w:t xml:space="preserve"> pricing and terms for promotional programming</w:t>
            </w:r>
            <w:r>
              <w:rPr>
                <w:rFonts w:ascii="Calibri" w:hAnsi="Calibri" w:cs="Calibri"/>
                <w:b/>
                <w:sz w:val="22"/>
                <w:szCs w:val="22"/>
              </w:rPr>
              <w:t xml:space="preserve"> and </w:t>
            </w:r>
            <w:r w:rsidRPr="000123E8">
              <w:rPr>
                <w:rFonts w:ascii="Calibri" w:hAnsi="Calibri" w:cs="Calibri"/>
                <w:b/>
                <w:sz w:val="22"/>
                <w:szCs w:val="22"/>
              </w:rPr>
              <w:t>make accurate disclosures to customers</w:t>
            </w:r>
            <w:r>
              <w:rPr>
                <w:rFonts w:ascii="Calibri" w:hAnsi="Calibri" w:cs="Calibri"/>
                <w:b/>
                <w:sz w:val="22"/>
                <w:szCs w:val="22"/>
              </w:rPr>
              <w:t>.</w:t>
            </w:r>
          </w:p>
        </w:tc>
      </w:tr>
      <w:tr w:rsidR="003419BD" w:rsidRPr="00907D75" w14:paraId="2F05188A" w14:textId="77777777" w:rsidTr="008649A2">
        <w:trPr>
          <w:trHeight w:val="4795"/>
        </w:trPr>
        <w:tc>
          <w:tcPr>
            <w:tcW w:w="5805" w:type="dxa"/>
            <w:vAlign w:val="center"/>
          </w:tcPr>
          <w:p w14:paraId="3D21B5DB" w14:textId="4C37974C"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does Section 7.3 of the Retailer Agreements mean when it requires retailers to follow </w:t>
            </w:r>
            <w:proofErr w:type="spellStart"/>
            <w:r>
              <w:rPr>
                <w:rFonts w:ascii="Calibri" w:hAnsi="Calibri" w:cs="Calibri"/>
                <w:b/>
                <w:sz w:val="28"/>
                <w:szCs w:val="28"/>
              </w:rPr>
              <w:t>DISH’s</w:t>
            </w:r>
            <w:proofErr w:type="spellEnd"/>
            <w:r>
              <w:rPr>
                <w:rFonts w:ascii="Calibri" w:hAnsi="Calibri" w:cs="Calibri"/>
                <w:b/>
                <w:sz w:val="28"/>
                <w:szCs w:val="28"/>
              </w:rPr>
              <w:t xml:space="preserve"> pricing and terms for promotional programming?</w:t>
            </w:r>
          </w:p>
        </w:tc>
        <w:tc>
          <w:tcPr>
            <w:tcW w:w="5805" w:type="dxa"/>
            <w:vAlign w:val="center"/>
          </w:tcPr>
          <w:p w14:paraId="514A6B59" w14:textId="77342D67" w:rsidR="003419BD" w:rsidRPr="000123E8" w:rsidRDefault="003419BD" w:rsidP="00525419">
            <w:pPr>
              <w:pStyle w:val="O-BodyText"/>
              <w:spacing w:after="120"/>
              <w:ind w:left="290" w:right="65"/>
              <w:jc w:val="both"/>
              <w:rPr>
                <w:rFonts w:ascii="Calibri" w:hAnsi="Calibri" w:cs="Calibri"/>
                <w:b/>
                <w:sz w:val="22"/>
                <w:szCs w:val="22"/>
              </w:rPr>
            </w:pPr>
            <w:r w:rsidRPr="002E26FB">
              <w:rPr>
                <w:rFonts w:ascii="Calibri" w:hAnsi="Calibri" w:cs="Calibri"/>
                <w:b/>
                <w:sz w:val="22"/>
                <w:szCs w:val="22"/>
              </w:rPr>
              <w:t>Section 7.3 means that retailers cannot promise customers promotional packages, prices, or terms that DISH does not offer (e.g., “$1 HBO!”).</w:t>
            </w:r>
            <w:r>
              <w:rPr>
                <w:rFonts w:ascii="Calibri" w:hAnsi="Calibri" w:cs="Calibri"/>
                <w:b/>
                <w:sz w:val="22"/>
                <w:szCs w:val="22"/>
              </w:rPr>
              <w:t xml:space="preserve">  </w:t>
            </w:r>
            <w:r w:rsidRPr="002E26FB">
              <w:rPr>
                <w:rFonts w:ascii="Calibri" w:hAnsi="Calibri" w:cs="Calibri"/>
                <w:b/>
                <w:sz w:val="22"/>
                <w:szCs w:val="22"/>
              </w:rPr>
              <w:t>And if DISH directs the retailer to stop making an</w:t>
            </w:r>
            <w:r>
              <w:rPr>
                <w:rFonts w:ascii="Calibri" w:hAnsi="Calibri" w:cs="Calibri"/>
                <w:b/>
                <w:sz w:val="22"/>
                <w:szCs w:val="22"/>
              </w:rPr>
              <w:t xml:space="preserve"> </w:t>
            </w:r>
            <w:r w:rsidRPr="002E26FB">
              <w:rPr>
                <w:rFonts w:ascii="Calibri" w:hAnsi="Calibri" w:cs="Calibri"/>
                <w:b/>
                <w:sz w:val="22"/>
                <w:szCs w:val="22"/>
              </w:rPr>
              <w:t>offer, or to correct erroneous advertising, the retailer must comply.</w:t>
            </w:r>
          </w:p>
        </w:tc>
      </w:tr>
      <w:tr w:rsidR="003419BD" w:rsidRPr="00907D75" w14:paraId="44E7C82D" w14:textId="77777777" w:rsidTr="008649A2">
        <w:trPr>
          <w:trHeight w:val="4795"/>
        </w:trPr>
        <w:tc>
          <w:tcPr>
            <w:tcW w:w="5805" w:type="dxa"/>
            <w:vAlign w:val="center"/>
          </w:tcPr>
          <w:p w14:paraId="59A1D297" w14:textId="7A590C84"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Is the district court’s reading of Section 7.3 of the Retailer Agreements consistent with the rest of the agreements?</w:t>
            </w:r>
          </w:p>
        </w:tc>
        <w:tc>
          <w:tcPr>
            <w:tcW w:w="5805" w:type="dxa"/>
            <w:vAlign w:val="center"/>
          </w:tcPr>
          <w:p w14:paraId="3018DD1F" w14:textId="6D52B956" w:rsidR="003419BD" w:rsidRPr="002E26FB"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F759D1">
              <w:rPr>
                <w:rFonts w:ascii="Calibri" w:hAnsi="Calibri" w:cs="Calibri"/>
                <w:b/>
                <w:sz w:val="22"/>
                <w:szCs w:val="22"/>
              </w:rPr>
              <w:t xml:space="preserve">The district court’s interpretation of Section 7.3 </w:t>
            </w:r>
            <w:r>
              <w:rPr>
                <w:rFonts w:ascii="Calibri" w:hAnsi="Calibri" w:cs="Calibri"/>
                <w:b/>
                <w:sz w:val="22"/>
                <w:szCs w:val="22"/>
              </w:rPr>
              <w:t xml:space="preserve">as giving DISH control over SSN </w:t>
            </w:r>
            <w:r w:rsidRPr="00F759D1">
              <w:rPr>
                <w:rFonts w:ascii="Calibri" w:hAnsi="Calibri" w:cs="Calibri"/>
                <w:b/>
                <w:sz w:val="22"/>
                <w:szCs w:val="22"/>
              </w:rPr>
              <w:t>nullifies Section</w:t>
            </w:r>
            <w:r>
              <w:rPr>
                <w:rFonts w:ascii="Calibri" w:hAnsi="Calibri" w:cs="Calibri"/>
                <w:b/>
                <w:sz w:val="22"/>
                <w:szCs w:val="22"/>
              </w:rPr>
              <w:t xml:space="preserve"> </w:t>
            </w:r>
            <w:r w:rsidRPr="00F759D1">
              <w:rPr>
                <w:rFonts w:ascii="Calibri" w:hAnsi="Calibri" w:cs="Calibri"/>
                <w:b/>
                <w:sz w:val="22"/>
                <w:szCs w:val="22"/>
              </w:rPr>
              <w:t>11’s express statement about agency</w:t>
            </w:r>
            <w:r>
              <w:rPr>
                <w:rFonts w:ascii="Calibri" w:hAnsi="Calibri" w:cs="Calibri"/>
                <w:b/>
                <w:sz w:val="22"/>
                <w:szCs w:val="22"/>
              </w:rPr>
              <w:t>.</w:t>
            </w:r>
            <w:r w:rsidRPr="00F759D1">
              <w:rPr>
                <w:rFonts w:ascii="Calibri" w:hAnsi="Calibri" w:cs="Calibri"/>
                <w:b/>
                <w:sz w:val="22"/>
                <w:szCs w:val="22"/>
              </w:rPr>
              <w:t xml:space="preserve">  It also </w:t>
            </w:r>
            <w:r>
              <w:rPr>
                <w:rFonts w:ascii="Calibri" w:hAnsi="Calibri" w:cs="Calibri"/>
                <w:b/>
                <w:sz w:val="22"/>
                <w:szCs w:val="22"/>
              </w:rPr>
              <w:t>disregards</w:t>
            </w:r>
            <w:r w:rsidRPr="00F759D1">
              <w:rPr>
                <w:rFonts w:ascii="Calibri" w:hAnsi="Calibri" w:cs="Calibri"/>
                <w:b/>
                <w:sz w:val="22"/>
                <w:szCs w:val="22"/>
              </w:rPr>
              <w:t xml:space="preserve"> the contract’s clear direction that Section 11 applies</w:t>
            </w:r>
            <w:r>
              <w:t xml:space="preserve"> </w:t>
            </w:r>
            <w:r w:rsidRPr="00F759D1">
              <w:rPr>
                <w:rFonts w:ascii="Calibri" w:hAnsi="Calibri" w:cs="Calibri"/>
                <w:b/>
                <w:sz w:val="22"/>
                <w:szCs w:val="22"/>
              </w:rPr>
              <w:t>“[n]</w:t>
            </w:r>
            <w:proofErr w:type="spellStart"/>
            <w:r w:rsidRPr="00F759D1">
              <w:rPr>
                <w:rFonts w:ascii="Calibri" w:hAnsi="Calibri" w:cs="Calibri"/>
                <w:b/>
                <w:sz w:val="22"/>
                <w:szCs w:val="22"/>
              </w:rPr>
              <w:t>otwithstanding</w:t>
            </w:r>
            <w:proofErr w:type="spellEnd"/>
            <w:r w:rsidRPr="00F759D1">
              <w:rPr>
                <w:rFonts w:ascii="Calibri" w:hAnsi="Calibri" w:cs="Calibri"/>
                <w:b/>
                <w:sz w:val="22"/>
                <w:szCs w:val="22"/>
              </w:rPr>
              <w:t xml:space="preserve"> anything … in this Agreement to the contrary.”</w:t>
            </w:r>
          </w:p>
        </w:tc>
      </w:tr>
      <w:tr w:rsidR="003419BD" w:rsidRPr="00907D75" w14:paraId="31ED3474" w14:textId="77777777" w:rsidTr="008649A2">
        <w:trPr>
          <w:trHeight w:val="4795"/>
        </w:trPr>
        <w:tc>
          <w:tcPr>
            <w:tcW w:w="5805" w:type="dxa"/>
            <w:vAlign w:val="center"/>
          </w:tcPr>
          <w:p w14:paraId="3AF2B231" w14:textId="1D84E4D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How do you reconcile Section 7.3 with Section 11 of the Retailer Agreements?</w:t>
            </w:r>
          </w:p>
        </w:tc>
        <w:tc>
          <w:tcPr>
            <w:tcW w:w="5805" w:type="dxa"/>
            <w:vAlign w:val="center"/>
          </w:tcPr>
          <w:p w14:paraId="0BAAC8FC" w14:textId="2838BF1E" w:rsidR="003419BD" w:rsidRDefault="003419BD" w:rsidP="00525419">
            <w:pPr>
              <w:pStyle w:val="O-BodyText"/>
              <w:spacing w:after="120"/>
              <w:ind w:left="290" w:right="65"/>
              <w:jc w:val="both"/>
              <w:rPr>
                <w:rFonts w:ascii="Calibri" w:hAnsi="Calibri" w:cs="Calibri"/>
                <w:b/>
                <w:sz w:val="22"/>
                <w:szCs w:val="22"/>
              </w:rPr>
            </w:pPr>
            <w:r w:rsidRPr="00253F84">
              <w:rPr>
                <w:rFonts w:ascii="Calibri" w:hAnsi="Calibri" w:cs="Calibri"/>
                <w:b/>
                <w:sz w:val="22"/>
                <w:szCs w:val="22"/>
              </w:rPr>
              <w:t>Section 7.3 shows at most that DISH</w:t>
            </w:r>
            <w:r>
              <w:rPr>
                <w:rFonts w:ascii="Calibri" w:hAnsi="Calibri" w:cs="Calibri"/>
                <w:b/>
                <w:sz w:val="22"/>
                <w:szCs w:val="22"/>
              </w:rPr>
              <w:t xml:space="preserve"> </w:t>
            </w:r>
            <w:r w:rsidRPr="00253F84">
              <w:rPr>
                <w:rFonts w:ascii="Calibri" w:hAnsi="Calibri" w:cs="Calibri"/>
                <w:b/>
                <w:sz w:val="22"/>
                <w:szCs w:val="22"/>
              </w:rPr>
              <w:t>“</w:t>
            </w:r>
            <w:proofErr w:type="spellStart"/>
            <w:r w:rsidRPr="00253F84">
              <w:rPr>
                <w:rFonts w:ascii="Calibri" w:hAnsi="Calibri" w:cs="Calibri"/>
                <w:b/>
                <w:sz w:val="22"/>
                <w:szCs w:val="22"/>
              </w:rPr>
              <w:t>specif</w:t>
            </w:r>
            <w:proofErr w:type="spellEnd"/>
            <w:r w:rsidRPr="00253F84">
              <w:rPr>
                <w:rFonts w:ascii="Calibri" w:hAnsi="Calibri" w:cs="Calibri"/>
                <w:b/>
                <w:sz w:val="22"/>
                <w:szCs w:val="22"/>
              </w:rPr>
              <w:t>[</w:t>
            </w:r>
            <w:proofErr w:type="spellStart"/>
            <w:r w:rsidRPr="00253F84">
              <w:rPr>
                <w:rFonts w:ascii="Calibri" w:hAnsi="Calibri" w:cs="Calibri"/>
                <w:b/>
                <w:sz w:val="22"/>
                <w:szCs w:val="22"/>
              </w:rPr>
              <w:t>ied</w:t>
            </w:r>
            <w:proofErr w:type="spellEnd"/>
            <w:r w:rsidRPr="00253F84">
              <w:rPr>
                <w:rFonts w:ascii="Calibri" w:hAnsi="Calibri" w:cs="Calibri"/>
                <w:b/>
                <w:sz w:val="22"/>
                <w:szCs w:val="22"/>
              </w:rPr>
              <w:t xml:space="preserve">] standards” for SSN to follow, </w:t>
            </w:r>
            <w:r w:rsidRPr="00253F84">
              <w:rPr>
                <w:rFonts w:ascii="Calibri" w:hAnsi="Calibri" w:cs="Calibri"/>
                <w:b/>
                <w:i/>
                <w:sz w:val="22"/>
                <w:szCs w:val="22"/>
              </w:rPr>
              <w:t>Logue</w:t>
            </w:r>
            <w:r>
              <w:rPr>
                <w:rFonts w:ascii="Calibri" w:hAnsi="Calibri" w:cs="Calibri"/>
                <w:b/>
                <w:i/>
                <w:sz w:val="22"/>
                <w:szCs w:val="22"/>
              </w:rPr>
              <w:t xml:space="preserve"> v. United States</w:t>
            </w:r>
            <w:r>
              <w:rPr>
                <w:rFonts w:ascii="Calibri" w:hAnsi="Calibri" w:cs="Calibri"/>
                <w:b/>
                <w:sz w:val="22"/>
                <w:szCs w:val="22"/>
              </w:rPr>
              <w:t xml:space="preserve"> (S. Ct. 1973)</w:t>
            </w:r>
            <w:r w:rsidRPr="00253F84">
              <w:rPr>
                <w:rFonts w:ascii="Calibri" w:hAnsi="Calibri" w:cs="Calibri"/>
                <w:b/>
                <w:sz w:val="22"/>
                <w:szCs w:val="22"/>
              </w:rPr>
              <w:t xml:space="preserve">, and “demand[ed] compliance with” them, </w:t>
            </w:r>
            <w:r>
              <w:rPr>
                <w:rFonts w:ascii="Calibri" w:hAnsi="Calibri" w:cs="Calibri"/>
                <w:b/>
                <w:i/>
                <w:sz w:val="22"/>
                <w:szCs w:val="22"/>
              </w:rPr>
              <w:t xml:space="preserve">Williams v. United States </w:t>
            </w:r>
            <w:r>
              <w:rPr>
                <w:rFonts w:ascii="Calibri" w:hAnsi="Calibri" w:cs="Calibri"/>
                <w:b/>
                <w:sz w:val="22"/>
                <w:szCs w:val="22"/>
              </w:rPr>
              <w:t xml:space="preserve">(4th Cir. 1995).  </w:t>
            </w:r>
          </w:p>
        </w:tc>
      </w:tr>
      <w:tr w:rsidR="003419BD" w:rsidRPr="00907D75" w14:paraId="05D7822F" w14:textId="77777777" w:rsidTr="008649A2">
        <w:trPr>
          <w:trHeight w:val="4795"/>
        </w:trPr>
        <w:tc>
          <w:tcPr>
            <w:tcW w:w="5805" w:type="dxa"/>
            <w:vAlign w:val="center"/>
          </w:tcPr>
          <w:p w14:paraId="1ECA2699" w14:textId="0505D7E1"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Does Section 7.3 of the Retailer Agreements show that DISH had day-to-day control over SSN?</w:t>
            </w:r>
          </w:p>
        </w:tc>
        <w:tc>
          <w:tcPr>
            <w:tcW w:w="5805" w:type="dxa"/>
            <w:vAlign w:val="center"/>
          </w:tcPr>
          <w:p w14:paraId="4C37702E" w14:textId="518D73BB" w:rsidR="003419BD" w:rsidRPr="00253F84"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Section 7.3 is about quality control, which is not </w:t>
            </w:r>
            <w:proofErr w:type="gramStart"/>
            <w:r>
              <w:rPr>
                <w:rFonts w:ascii="Calibri" w:hAnsi="Calibri" w:cs="Calibri"/>
                <w:b/>
                <w:sz w:val="22"/>
                <w:szCs w:val="22"/>
              </w:rPr>
              <w:t>s</w:t>
            </w:r>
            <w:r w:rsidRPr="00253F84">
              <w:rPr>
                <w:rFonts w:ascii="Calibri" w:hAnsi="Calibri" w:cs="Calibri"/>
                <w:b/>
                <w:sz w:val="22"/>
                <w:szCs w:val="22"/>
              </w:rPr>
              <w:t>ufficient</w:t>
            </w:r>
            <w:proofErr w:type="gramEnd"/>
            <w:r w:rsidRPr="00253F84">
              <w:rPr>
                <w:rFonts w:ascii="Calibri" w:hAnsi="Calibri" w:cs="Calibri"/>
                <w:b/>
                <w:sz w:val="22"/>
                <w:szCs w:val="22"/>
              </w:rPr>
              <w:t xml:space="preserve"> to show the day-to-day control necessary for agency.  </w:t>
            </w:r>
            <w:r w:rsidRPr="00253F84">
              <w:rPr>
                <w:rFonts w:ascii="Calibri" w:hAnsi="Calibri" w:cs="Calibri"/>
                <w:b/>
                <w:i/>
                <w:sz w:val="22"/>
                <w:szCs w:val="22"/>
              </w:rPr>
              <w:t>Williams</w:t>
            </w:r>
            <w:r>
              <w:rPr>
                <w:rFonts w:ascii="Calibri" w:hAnsi="Calibri" w:cs="Calibri"/>
                <w:b/>
                <w:i/>
                <w:sz w:val="22"/>
                <w:szCs w:val="22"/>
              </w:rPr>
              <w:t xml:space="preserve"> v. United States </w:t>
            </w:r>
            <w:r>
              <w:rPr>
                <w:rFonts w:ascii="Calibri" w:hAnsi="Calibri" w:cs="Calibri"/>
                <w:b/>
                <w:sz w:val="22"/>
                <w:szCs w:val="22"/>
              </w:rPr>
              <w:t>(4th Cir. 1995)</w:t>
            </w:r>
            <w:r w:rsidRPr="00253F84">
              <w:rPr>
                <w:rFonts w:ascii="Calibri" w:hAnsi="Calibri" w:cs="Calibri"/>
                <w:b/>
                <w:sz w:val="22"/>
                <w:szCs w:val="22"/>
              </w:rPr>
              <w:t xml:space="preserve">; Restatement (Third) of Agency § 1.01 </w:t>
            </w:r>
            <w:proofErr w:type="spellStart"/>
            <w:r w:rsidRPr="00253F84">
              <w:rPr>
                <w:rFonts w:ascii="Calibri" w:hAnsi="Calibri" w:cs="Calibri"/>
                <w:b/>
                <w:sz w:val="22"/>
                <w:szCs w:val="22"/>
              </w:rPr>
              <w:t>cmt</w:t>
            </w:r>
            <w:proofErr w:type="spellEnd"/>
            <w:proofErr w:type="gramStart"/>
            <w:r w:rsidRPr="00253F84">
              <w:rPr>
                <w:rFonts w:ascii="Calibri" w:hAnsi="Calibri" w:cs="Calibri"/>
                <w:b/>
                <w:sz w:val="22"/>
                <w:szCs w:val="22"/>
              </w:rPr>
              <w:t xml:space="preserve">. </w:t>
            </w:r>
            <w:proofErr w:type="gramEnd"/>
            <w:r w:rsidRPr="00253F84">
              <w:rPr>
                <w:rFonts w:ascii="Calibri" w:hAnsi="Calibri" w:cs="Calibri"/>
                <w:b/>
                <w:sz w:val="22"/>
                <w:szCs w:val="22"/>
              </w:rPr>
              <w:t xml:space="preserve">f; </w:t>
            </w:r>
            <w:r w:rsidRPr="00253F84">
              <w:rPr>
                <w:rFonts w:ascii="Calibri" w:hAnsi="Calibri" w:cs="Calibri"/>
                <w:b/>
                <w:i/>
                <w:sz w:val="22"/>
                <w:szCs w:val="22"/>
              </w:rPr>
              <w:t>see also Thomas v. Freeway Foods</w:t>
            </w:r>
            <w:r>
              <w:rPr>
                <w:rFonts w:ascii="Calibri" w:hAnsi="Calibri" w:cs="Calibri"/>
                <w:b/>
                <w:i/>
                <w:sz w:val="22"/>
                <w:szCs w:val="22"/>
              </w:rPr>
              <w:t xml:space="preserve"> </w:t>
            </w:r>
            <w:r w:rsidRPr="00253F84">
              <w:rPr>
                <w:rFonts w:ascii="Calibri" w:hAnsi="Calibri" w:cs="Calibri"/>
                <w:b/>
                <w:sz w:val="22"/>
                <w:szCs w:val="22"/>
              </w:rPr>
              <w:t>(</w:t>
            </w:r>
            <w:proofErr w:type="spellStart"/>
            <w:r w:rsidRPr="00253F84">
              <w:rPr>
                <w:rFonts w:ascii="Calibri" w:hAnsi="Calibri" w:cs="Calibri"/>
                <w:b/>
                <w:sz w:val="22"/>
                <w:szCs w:val="22"/>
              </w:rPr>
              <w:t>M.D.N.C</w:t>
            </w:r>
            <w:proofErr w:type="spellEnd"/>
            <w:r w:rsidRPr="00253F84">
              <w:rPr>
                <w:rFonts w:ascii="Calibri" w:hAnsi="Calibri" w:cs="Calibri"/>
                <w:b/>
                <w:sz w:val="22"/>
                <w:szCs w:val="22"/>
              </w:rPr>
              <w:t>. 2005) (mere fact that a franchisor was contractually allowed to visit and inspect franchisees did not create agency).</w:t>
            </w:r>
          </w:p>
        </w:tc>
      </w:tr>
      <w:tr w:rsidR="003419BD" w:rsidRPr="00907D75" w14:paraId="352A1428" w14:textId="77777777" w:rsidTr="008649A2">
        <w:trPr>
          <w:trHeight w:val="4795"/>
        </w:trPr>
        <w:tc>
          <w:tcPr>
            <w:tcW w:w="5805" w:type="dxa"/>
            <w:vAlign w:val="center"/>
          </w:tcPr>
          <w:p w14:paraId="462AD737" w14:textId="69F52B63"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else did the district court rely on to find that SSN was an agent of DISH?</w:t>
            </w:r>
          </w:p>
        </w:tc>
        <w:tc>
          <w:tcPr>
            <w:tcW w:w="5805" w:type="dxa"/>
            <w:vAlign w:val="center"/>
          </w:tcPr>
          <w:p w14:paraId="748F367B" w14:textId="63332CB6"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2927F4">
              <w:rPr>
                <w:rFonts w:ascii="Calibri" w:hAnsi="Calibri" w:cs="Calibri"/>
                <w:b/>
                <w:sz w:val="22"/>
                <w:szCs w:val="22"/>
              </w:rPr>
              <w:t xml:space="preserve">he court indicated that the parties’ </w:t>
            </w:r>
            <w:r w:rsidRPr="002927F4">
              <w:rPr>
                <w:rFonts w:ascii="Calibri" w:hAnsi="Calibri" w:cs="Calibri"/>
                <w:b/>
                <w:i/>
                <w:sz w:val="22"/>
                <w:szCs w:val="22"/>
              </w:rPr>
              <w:t>conduct</w:t>
            </w:r>
            <w:r>
              <w:rPr>
                <w:rFonts w:ascii="Calibri" w:hAnsi="Calibri" w:cs="Calibri"/>
                <w:b/>
                <w:i/>
                <w:sz w:val="22"/>
                <w:szCs w:val="22"/>
              </w:rPr>
              <w:t xml:space="preserve"> </w:t>
            </w:r>
            <w:r w:rsidRPr="002927F4">
              <w:rPr>
                <w:rFonts w:ascii="Calibri" w:hAnsi="Calibri" w:cs="Calibri"/>
                <w:b/>
                <w:sz w:val="22"/>
                <w:szCs w:val="22"/>
              </w:rPr>
              <w:t>established agency.</w:t>
            </w:r>
          </w:p>
        </w:tc>
      </w:tr>
      <w:tr w:rsidR="003419BD" w:rsidRPr="00907D75" w14:paraId="60CE06F6" w14:textId="77777777" w:rsidTr="008649A2">
        <w:trPr>
          <w:trHeight w:val="4795"/>
        </w:trPr>
        <w:tc>
          <w:tcPr>
            <w:tcW w:w="5805" w:type="dxa"/>
            <w:vAlign w:val="center"/>
          </w:tcPr>
          <w:p w14:paraId="5995B5B8" w14:textId="6B54A7B4"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Can an agency relationship be implied rather than express?</w:t>
            </w:r>
          </w:p>
        </w:tc>
        <w:tc>
          <w:tcPr>
            <w:tcW w:w="5805" w:type="dxa"/>
            <w:vAlign w:val="center"/>
          </w:tcPr>
          <w:p w14:paraId="5F692C1C" w14:textId="76A9B16E"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an agency relationship can be implied.  But given DISH and SSN’s </w:t>
            </w:r>
            <w:r w:rsidRPr="002927F4">
              <w:rPr>
                <w:rFonts w:ascii="Calibri" w:hAnsi="Calibri" w:cs="Calibri"/>
                <w:b/>
                <w:sz w:val="22"/>
                <w:szCs w:val="22"/>
              </w:rPr>
              <w:t>express contractual understanding, any implied agency relationship could be established only through “clear and convincing evidence.”</w:t>
            </w:r>
            <w:r>
              <w:rPr>
                <w:rFonts w:ascii="Calibri" w:hAnsi="Calibri" w:cs="Calibri"/>
                <w:b/>
                <w:sz w:val="22"/>
                <w:szCs w:val="22"/>
              </w:rPr>
              <w:t xml:space="preserve">  </w:t>
            </w:r>
            <w:r w:rsidRPr="00BC5275">
              <w:rPr>
                <w:rFonts w:ascii="Calibri" w:hAnsi="Calibri" w:cs="Calibri"/>
                <w:b/>
                <w:i/>
                <w:sz w:val="22"/>
                <w:szCs w:val="22"/>
              </w:rPr>
              <w:t>Standard Accident Ins. Co. v. Simpson</w:t>
            </w:r>
            <w:r>
              <w:rPr>
                <w:rFonts w:ascii="Calibri" w:hAnsi="Calibri" w:cs="Calibri"/>
                <w:b/>
                <w:sz w:val="22"/>
                <w:szCs w:val="22"/>
              </w:rPr>
              <w:t xml:space="preserve"> (4th Cir. 1933).</w:t>
            </w:r>
          </w:p>
        </w:tc>
      </w:tr>
      <w:tr w:rsidR="003419BD" w:rsidRPr="00907D75" w14:paraId="7C5F003F" w14:textId="77777777" w:rsidTr="008649A2">
        <w:trPr>
          <w:trHeight w:val="4795"/>
        </w:trPr>
        <w:tc>
          <w:tcPr>
            <w:tcW w:w="5805" w:type="dxa"/>
            <w:vAlign w:val="center"/>
          </w:tcPr>
          <w:p w14:paraId="7CB83176" w14:textId="28F898B9"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is required to find an implied agency relationship?</w:t>
            </w:r>
          </w:p>
        </w:tc>
        <w:tc>
          <w:tcPr>
            <w:tcW w:w="5805" w:type="dxa"/>
            <w:vAlign w:val="center"/>
          </w:tcPr>
          <w:p w14:paraId="414E855C" w14:textId="59C1A463"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7th Circuit has explained that, </w:t>
            </w:r>
            <w:r w:rsidRPr="002927F4">
              <w:rPr>
                <w:rFonts w:ascii="Calibri" w:hAnsi="Calibri" w:cs="Calibri"/>
                <w:b/>
                <w:sz w:val="22"/>
                <w:szCs w:val="22"/>
              </w:rPr>
              <w:t xml:space="preserve">where “language in [a contract] … expressly disavows an agency relationship,” evidence of the </w:t>
            </w:r>
            <w:r w:rsidRPr="0091777C">
              <w:rPr>
                <w:rFonts w:ascii="Calibri" w:hAnsi="Calibri" w:cs="Calibri"/>
                <w:b/>
                <w:sz w:val="22"/>
                <w:szCs w:val="22"/>
              </w:rPr>
              <w:t>parties’ conduct “falls short” unless it provides an especially powerful indication of a contrary intent.</w:t>
            </w:r>
            <w:r w:rsidRPr="0091777C">
              <w:t xml:space="preserve">  </w:t>
            </w:r>
            <w:r w:rsidRPr="002927F4">
              <w:rPr>
                <w:rFonts w:ascii="Calibri" w:hAnsi="Calibri" w:cs="Calibri"/>
                <w:b/>
                <w:i/>
                <w:sz w:val="22"/>
                <w:szCs w:val="22"/>
              </w:rPr>
              <w:t>Leon v. Caterpillar Indus.</w:t>
            </w:r>
            <w:r>
              <w:rPr>
                <w:rFonts w:ascii="Calibri" w:hAnsi="Calibri" w:cs="Calibri"/>
                <w:b/>
                <w:sz w:val="22"/>
                <w:szCs w:val="22"/>
              </w:rPr>
              <w:t xml:space="preserve"> (7th Cir. 1995).</w:t>
            </w:r>
          </w:p>
        </w:tc>
      </w:tr>
      <w:tr w:rsidR="003419BD" w:rsidRPr="00907D75" w14:paraId="5630D688" w14:textId="77777777" w:rsidTr="008649A2">
        <w:trPr>
          <w:trHeight w:val="4795"/>
        </w:trPr>
        <w:tc>
          <w:tcPr>
            <w:tcW w:w="5805" w:type="dxa"/>
            <w:vAlign w:val="center"/>
          </w:tcPr>
          <w:p w14:paraId="61069F92" w14:textId="7BDD1C72"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evidence was presented about </w:t>
            </w:r>
            <w:proofErr w:type="spellStart"/>
            <w:r>
              <w:rPr>
                <w:rFonts w:ascii="Calibri" w:hAnsi="Calibri" w:cs="Calibri"/>
                <w:b/>
                <w:sz w:val="28"/>
                <w:szCs w:val="28"/>
              </w:rPr>
              <w:t>DISH’s</w:t>
            </w:r>
            <w:proofErr w:type="spellEnd"/>
            <w:r>
              <w:rPr>
                <w:rFonts w:ascii="Calibri" w:hAnsi="Calibri" w:cs="Calibri"/>
                <w:b/>
                <w:sz w:val="28"/>
                <w:szCs w:val="28"/>
              </w:rPr>
              <w:t xml:space="preserve"> control over SSN?</w:t>
            </w:r>
          </w:p>
        </w:tc>
        <w:tc>
          <w:tcPr>
            <w:tcW w:w="5805" w:type="dxa"/>
            <w:vAlign w:val="center"/>
          </w:tcPr>
          <w:p w14:paraId="5624A092" w14:textId="2BB944A7" w:rsidR="003419BD" w:rsidRDefault="003419BD" w:rsidP="001839C6">
            <w:pPr>
              <w:pStyle w:val="O-BodyText"/>
              <w:spacing w:after="120"/>
              <w:ind w:left="290" w:right="65"/>
              <w:jc w:val="both"/>
              <w:rPr>
                <w:rFonts w:ascii="Calibri" w:hAnsi="Calibri" w:cs="Calibri"/>
                <w:b/>
                <w:sz w:val="22"/>
                <w:szCs w:val="22"/>
              </w:rPr>
            </w:pPr>
            <w:r w:rsidRPr="00694BD4">
              <w:rPr>
                <w:rFonts w:ascii="Calibri" w:hAnsi="Calibri" w:cs="Calibri"/>
                <w:b/>
                <w:sz w:val="22"/>
                <w:szCs w:val="22"/>
              </w:rPr>
              <w:t xml:space="preserve">The evidence was clear that </w:t>
            </w:r>
            <w:r>
              <w:rPr>
                <w:rFonts w:ascii="Calibri" w:hAnsi="Calibri" w:cs="Calibri"/>
                <w:b/>
                <w:sz w:val="22"/>
                <w:szCs w:val="22"/>
              </w:rPr>
              <w:t xml:space="preserve">DISH didn’t want </w:t>
            </w:r>
            <w:r w:rsidRPr="00694BD4">
              <w:rPr>
                <w:rFonts w:ascii="Calibri" w:hAnsi="Calibri" w:cs="Calibri"/>
                <w:b/>
                <w:sz w:val="22"/>
                <w:szCs w:val="22"/>
              </w:rPr>
              <w:t>to control t</w:t>
            </w:r>
            <w:r>
              <w:rPr>
                <w:rFonts w:ascii="Calibri" w:hAnsi="Calibri" w:cs="Calibri"/>
                <w:b/>
                <w:sz w:val="22"/>
                <w:szCs w:val="22"/>
              </w:rPr>
              <w:t xml:space="preserve">he day-to-day activities of SSN; doing so </w:t>
            </w:r>
            <w:r w:rsidRPr="00694BD4">
              <w:rPr>
                <w:rFonts w:ascii="Calibri" w:hAnsi="Calibri" w:cs="Calibri"/>
                <w:b/>
                <w:sz w:val="22"/>
                <w:szCs w:val="22"/>
              </w:rPr>
              <w:t xml:space="preserve">wasn’t practical.  </w:t>
            </w:r>
            <w:r>
              <w:rPr>
                <w:rFonts w:ascii="Calibri" w:hAnsi="Calibri" w:cs="Calibri"/>
                <w:b/>
                <w:sz w:val="22"/>
                <w:szCs w:val="22"/>
              </w:rPr>
              <w:t>G</w:t>
            </w:r>
            <w:r w:rsidRPr="00694BD4">
              <w:rPr>
                <w:rFonts w:ascii="Calibri" w:hAnsi="Calibri" w:cs="Calibri"/>
                <w:b/>
                <w:sz w:val="22"/>
                <w:szCs w:val="22"/>
              </w:rPr>
              <w:t>iven the sheer number o</w:t>
            </w:r>
            <w:r>
              <w:rPr>
                <w:rFonts w:ascii="Calibri" w:hAnsi="Calibri" w:cs="Calibri"/>
                <w:b/>
                <w:sz w:val="22"/>
                <w:szCs w:val="22"/>
              </w:rPr>
              <w:t>f</w:t>
            </w:r>
            <w:r>
              <w:t xml:space="preserve"> </w:t>
            </w:r>
            <w:r w:rsidRPr="00694BD4">
              <w:rPr>
                <w:rFonts w:ascii="Calibri" w:hAnsi="Calibri" w:cs="Calibri"/>
                <w:b/>
                <w:sz w:val="22"/>
                <w:szCs w:val="22"/>
              </w:rPr>
              <w:t>independent retailers around the country—some 3,500 in all—such co</w:t>
            </w:r>
            <w:r>
              <w:rPr>
                <w:rFonts w:ascii="Calibri" w:hAnsi="Calibri" w:cs="Calibri"/>
                <w:b/>
                <w:sz w:val="22"/>
                <w:szCs w:val="22"/>
              </w:rPr>
              <w:t>ntrol was out of the question.</w:t>
            </w:r>
          </w:p>
        </w:tc>
      </w:tr>
      <w:tr w:rsidR="003419BD" w:rsidRPr="00907D75" w14:paraId="51DE77C8" w14:textId="77777777" w:rsidTr="008649A2">
        <w:trPr>
          <w:trHeight w:val="4795"/>
        </w:trPr>
        <w:tc>
          <w:tcPr>
            <w:tcW w:w="5805" w:type="dxa"/>
            <w:vAlign w:val="center"/>
          </w:tcPr>
          <w:p w14:paraId="48B13787" w14:textId="6ABCE527"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evidence was there that SSN was an independent contractor rather than an agent of DISH?</w:t>
            </w:r>
          </w:p>
        </w:tc>
        <w:tc>
          <w:tcPr>
            <w:tcW w:w="5805" w:type="dxa"/>
            <w:vAlign w:val="center"/>
          </w:tcPr>
          <w:p w14:paraId="51AC1640" w14:textId="52A292C9" w:rsidR="003419BD" w:rsidRPr="00694BD4"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SSN </w:t>
            </w:r>
            <w:r w:rsidRPr="001C051E">
              <w:rPr>
                <w:rFonts w:ascii="Calibri" w:hAnsi="Calibri" w:cs="Calibri"/>
                <w:b/>
                <w:sz w:val="22"/>
                <w:szCs w:val="22"/>
              </w:rPr>
              <w:t>made its own hiring decisions, paid its own employees, set hours and terms of employment, and obtained its own office space, t</w:t>
            </w:r>
            <w:r>
              <w:rPr>
                <w:rFonts w:ascii="Calibri" w:hAnsi="Calibri" w:cs="Calibri"/>
                <w:b/>
                <w:sz w:val="22"/>
                <w:szCs w:val="22"/>
              </w:rPr>
              <w:t>elephone lines, and equipment.</w:t>
            </w:r>
          </w:p>
        </w:tc>
      </w:tr>
      <w:tr w:rsidR="003419BD" w:rsidRPr="00907D75" w14:paraId="49813BB1" w14:textId="77777777" w:rsidTr="008649A2">
        <w:trPr>
          <w:trHeight w:val="4795"/>
        </w:trPr>
        <w:tc>
          <w:tcPr>
            <w:tcW w:w="5805" w:type="dxa"/>
            <w:vAlign w:val="center"/>
          </w:tcPr>
          <w:p w14:paraId="29563DC0" w14:textId="5B9FA583"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district court say about </w:t>
            </w:r>
            <w:proofErr w:type="spellStart"/>
            <w:r>
              <w:rPr>
                <w:rFonts w:ascii="Calibri" w:hAnsi="Calibri" w:cs="Calibri"/>
                <w:b/>
                <w:sz w:val="28"/>
                <w:szCs w:val="28"/>
              </w:rPr>
              <w:t>DISH’s</w:t>
            </w:r>
            <w:proofErr w:type="spellEnd"/>
            <w:r>
              <w:rPr>
                <w:rFonts w:ascii="Calibri" w:hAnsi="Calibri" w:cs="Calibri"/>
                <w:b/>
                <w:sz w:val="28"/>
                <w:szCs w:val="28"/>
              </w:rPr>
              <w:t xml:space="preserve"> day-to-day control over SSN?</w:t>
            </w:r>
          </w:p>
        </w:tc>
        <w:tc>
          <w:tcPr>
            <w:tcW w:w="5805" w:type="dxa"/>
            <w:vAlign w:val="center"/>
          </w:tcPr>
          <w:p w14:paraId="6C8BC7EA" w14:textId="2CA6F738"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813EA2">
              <w:rPr>
                <w:rFonts w:ascii="Calibri" w:hAnsi="Calibri" w:cs="Calibri"/>
                <w:b/>
                <w:sz w:val="22"/>
                <w:szCs w:val="22"/>
              </w:rPr>
              <w:t xml:space="preserve">he court </w:t>
            </w:r>
            <w:r>
              <w:rPr>
                <w:rFonts w:ascii="Calibri" w:hAnsi="Calibri" w:cs="Calibri"/>
                <w:b/>
                <w:sz w:val="22"/>
                <w:szCs w:val="22"/>
              </w:rPr>
              <w:t>correctly</w:t>
            </w:r>
            <w:r w:rsidRPr="00813EA2">
              <w:rPr>
                <w:rFonts w:ascii="Calibri" w:hAnsi="Calibri" w:cs="Calibri"/>
                <w:b/>
                <w:sz w:val="22"/>
                <w:szCs w:val="22"/>
              </w:rPr>
              <w:t xml:space="preserve"> found that “Dish did not own SSN or direct its day-to-day operations.”</w:t>
            </w:r>
          </w:p>
        </w:tc>
      </w:tr>
      <w:tr w:rsidR="003419BD" w:rsidRPr="00907D75" w14:paraId="7CDCD8A0" w14:textId="77777777" w:rsidTr="008649A2">
        <w:trPr>
          <w:trHeight w:val="4795"/>
        </w:trPr>
        <w:tc>
          <w:tcPr>
            <w:tcW w:w="5805" w:type="dxa"/>
            <w:vAlign w:val="center"/>
          </w:tcPr>
          <w:p w14:paraId="7886AC90" w14:textId="14D80653"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evidence show about SSN’s daily activities?</w:t>
            </w:r>
          </w:p>
        </w:tc>
        <w:tc>
          <w:tcPr>
            <w:tcW w:w="5805" w:type="dxa"/>
            <w:vAlign w:val="center"/>
          </w:tcPr>
          <w:p w14:paraId="61971A67" w14:textId="433A8225" w:rsidR="003419BD" w:rsidRDefault="003419BD" w:rsidP="00525419">
            <w:pPr>
              <w:pStyle w:val="O-BodyText"/>
              <w:spacing w:after="120"/>
              <w:ind w:left="290" w:right="65"/>
              <w:jc w:val="both"/>
              <w:rPr>
                <w:rFonts w:ascii="Calibri" w:hAnsi="Calibri" w:cs="Calibri"/>
                <w:b/>
                <w:sz w:val="22"/>
                <w:szCs w:val="22"/>
              </w:rPr>
            </w:pPr>
            <w:r w:rsidRPr="00813EA2">
              <w:rPr>
                <w:rFonts w:ascii="Calibri" w:hAnsi="Calibri" w:cs="Calibri"/>
                <w:b/>
                <w:sz w:val="22"/>
                <w:szCs w:val="22"/>
              </w:rPr>
              <w:t>Uncontroverted testimony established that SSN, not DISH, determined what pho</w:t>
            </w:r>
            <w:r>
              <w:rPr>
                <w:rFonts w:ascii="Calibri" w:hAnsi="Calibri" w:cs="Calibri"/>
                <w:b/>
                <w:sz w:val="22"/>
                <w:szCs w:val="22"/>
              </w:rPr>
              <w:t xml:space="preserve">ne numbers SSN would call and </w:t>
            </w:r>
            <w:r w:rsidRPr="00813EA2">
              <w:rPr>
                <w:rFonts w:ascii="Calibri" w:hAnsi="Calibri" w:cs="Calibri"/>
                <w:b/>
                <w:sz w:val="22"/>
                <w:szCs w:val="22"/>
              </w:rPr>
              <w:t>whether SSN would engage in telemarketing at all.</w:t>
            </w:r>
            <w:r>
              <w:rPr>
                <w:rFonts w:ascii="Calibri" w:hAnsi="Calibri" w:cs="Calibri"/>
                <w:b/>
                <w:sz w:val="22"/>
                <w:szCs w:val="22"/>
              </w:rPr>
              <w:t xml:space="preserve">  </w:t>
            </w:r>
            <w:r w:rsidRPr="00813EA2">
              <w:rPr>
                <w:rFonts w:ascii="Calibri" w:hAnsi="Calibri" w:cs="Calibri"/>
                <w:b/>
                <w:sz w:val="22"/>
                <w:szCs w:val="22"/>
              </w:rPr>
              <w:t xml:space="preserve">DISH did not </w:t>
            </w:r>
            <w:r>
              <w:rPr>
                <w:rFonts w:ascii="Calibri" w:hAnsi="Calibri" w:cs="Calibri"/>
                <w:b/>
                <w:sz w:val="22"/>
                <w:szCs w:val="22"/>
              </w:rPr>
              <w:t xml:space="preserve">have </w:t>
            </w:r>
            <w:r w:rsidRPr="00813EA2">
              <w:rPr>
                <w:rFonts w:ascii="Calibri" w:hAnsi="Calibri" w:cs="Calibri"/>
                <w:b/>
                <w:sz w:val="22"/>
                <w:szCs w:val="22"/>
              </w:rPr>
              <w:t>the right to control SSN’s sales pitch</w:t>
            </w:r>
            <w:r>
              <w:rPr>
                <w:rFonts w:ascii="Calibri" w:hAnsi="Calibri" w:cs="Calibri"/>
                <w:b/>
                <w:sz w:val="22"/>
                <w:szCs w:val="22"/>
              </w:rPr>
              <w:t xml:space="preserve">.  </w:t>
            </w:r>
            <w:r w:rsidRPr="00813EA2">
              <w:rPr>
                <w:rFonts w:ascii="Calibri" w:hAnsi="Calibri" w:cs="Calibri"/>
                <w:b/>
                <w:sz w:val="22"/>
                <w:szCs w:val="22"/>
              </w:rPr>
              <w:t>SSN’s marketing strat</w:t>
            </w:r>
            <w:r>
              <w:rPr>
                <w:rFonts w:ascii="Calibri" w:hAnsi="Calibri" w:cs="Calibri"/>
                <w:b/>
                <w:sz w:val="22"/>
                <w:szCs w:val="22"/>
              </w:rPr>
              <w:t xml:space="preserve">egies were proprietary, and SSN </w:t>
            </w:r>
            <w:r w:rsidRPr="00813EA2">
              <w:rPr>
                <w:rFonts w:ascii="Calibri" w:hAnsi="Calibri" w:cs="Calibri"/>
                <w:b/>
                <w:sz w:val="22"/>
                <w:szCs w:val="22"/>
              </w:rPr>
              <w:t>didn’t want anyone to have information about their actual sales script</w:t>
            </w:r>
            <w:r>
              <w:rPr>
                <w:rFonts w:ascii="Calibri" w:hAnsi="Calibri" w:cs="Calibri"/>
                <w:b/>
                <w:sz w:val="22"/>
                <w:szCs w:val="22"/>
              </w:rPr>
              <w:t>s</w:t>
            </w:r>
            <w:r w:rsidRPr="00813EA2">
              <w:rPr>
                <w:rFonts w:ascii="Calibri" w:hAnsi="Calibri" w:cs="Calibri"/>
                <w:b/>
                <w:sz w:val="22"/>
                <w:szCs w:val="22"/>
              </w:rPr>
              <w:t xml:space="preserve"> and </w:t>
            </w:r>
            <w:r>
              <w:rPr>
                <w:rFonts w:ascii="Calibri" w:hAnsi="Calibri" w:cs="Calibri"/>
                <w:b/>
                <w:sz w:val="22"/>
                <w:szCs w:val="22"/>
              </w:rPr>
              <w:t>how they were selling.</w:t>
            </w:r>
          </w:p>
        </w:tc>
      </w:tr>
      <w:tr w:rsidR="003419BD" w:rsidRPr="00907D75" w14:paraId="428034ED" w14:textId="77777777" w:rsidTr="008649A2">
        <w:trPr>
          <w:trHeight w:val="4795"/>
        </w:trPr>
        <w:tc>
          <w:tcPr>
            <w:tcW w:w="5805" w:type="dxa"/>
            <w:vAlign w:val="center"/>
          </w:tcPr>
          <w:p w14:paraId="59E0B56B" w14:textId="2B79C86D"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Did DISH require that SSN market only its products?</w:t>
            </w:r>
          </w:p>
        </w:tc>
        <w:tc>
          <w:tcPr>
            <w:tcW w:w="5805" w:type="dxa"/>
            <w:vAlign w:val="center"/>
          </w:tcPr>
          <w:p w14:paraId="1C9CB2B3" w14:textId="7E9CA3F4" w:rsidR="003419BD" w:rsidRPr="00813EA2"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DISH did not require exclusivity.  At one time, SSN </w:t>
            </w:r>
            <w:r w:rsidRPr="00374F70">
              <w:rPr>
                <w:rFonts w:ascii="Calibri" w:hAnsi="Calibri" w:cs="Calibri"/>
                <w:b/>
                <w:sz w:val="22"/>
                <w:szCs w:val="22"/>
              </w:rPr>
              <w:t xml:space="preserve">marketed </w:t>
            </w:r>
            <w:proofErr w:type="spellStart"/>
            <w:r w:rsidRPr="00374F70">
              <w:rPr>
                <w:rFonts w:ascii="Calibri" w:hAnsi="Calibri" w:cs="Calibri"/>
                <w:b/>
                <w:sz w:val="22"/>
                <w:szCs w:val="22"/>
              </w:rPr>
              <w:t>DISH’s</w:t>
            </w:r>
            <w:proofErr w:type="spellEnd"/>
            <w:r w:rsidRPr="00374F70">
              <w:rPr>
                <w:rFonts w:ascii="Calibri" w:hAnsi="Calibri" w:cs="Calibri"/>
                <w:b/>
                <w:sz w:val="22"/>
                <w:szCs w:val="22"/>
              </w:rPr>
              <w:t xml:space="preserve"> biggest competitor, DirecTV.</w:t>
            </w:r>
          </w:p>
        </w:tc>
      </w:tr>
      <w:tr w:rsidR="003419BD" w:rsidRPr="00907D75" w14:paraId="66E1DDF8" w14:textId="77777777" w:rsidTr="008649A2">
        <w:trPr>
          <w:trHeight w:val="4795"/>
        </w:trPr>
        <w:tc>
          <w:tcPr>
            <w:tcW w:w="5805" w:type="dxa"/>
            <w:vAlign w:val="center"/>
          </w:tcPr>
          <w:p w14:paraId="678AC85C" w14:textId="22B0A791"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does </w:t>
            </w:r>
            <w:r w:rsidRPr="00FE0CB2">
              <w:rPr>
                <w:rFonts w:ascii="Calibri" w:hAnsi="Calibri" w:cs="Calibri"/>
                <w:b/>
                <w:i/>
                <w:sz w:val="28"/>
                <w:szCs w:val="28"/>
              </w:rPr>
              <w:t>Leon</w:t>
            </w:r>
            <w:r>
              <w:rPr>
                <w:rFonts w:ascii="Calibri" w:hAnsi="Calibri" w:cs="Calibri"/>
                <w:b/>
                <w:i/>
                <w:sz w:val="28"/>
                <w:szCs w:val="28"/>
              </w:rPr>
              <w:t xml:space="preserve"> v. Caterpillar Industrial</w:t>
            </w:r>
            <w:r>
              <w:rPr>
                <w:rFonts w:ascii="Calibri" w:hAnsi="Calibri" w:cs="Calibri"/>
                <w:b/>
                <w:sz w:val="28"/>
                <w:szCs w:val="28"/>
              </w:rPr>
              <w:t xml:space="preserve"> (7th Cir. 1995) say about agents vs. independent contractors?</w:t>
            </w:r>
          </w:p>
        </w:tc>
        <w:tc>
          <w:tcPr>
            <w:tcW w:w="5805" w:type="dxa"/>
            <w:vAlign w:val="center"/>
          </w:tcPr>
          <w:p w14:paraId="52356EA0" w14:textId="0FE63844"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FE0CB2">
              <w:rPr>
                <w:rFonts w:ascii="Calibri" w:hAnsi="Calibri" w:cs="Calibri"/>
                <w:b/>
                <w:i/>
                <w:sz w:val="22"/>
                <w:szCs w:val="22"/>
              </w:rPr>
              <w:t>Leon</w:t>
            </w:r>
            <w:r>
              <w:rPr>
                <w:rFonts w:ascii="Calibri" w:hAnsi="Calibri" w:cs="Calibri"/>
                <w:b/>
                <w:sz w:val="22"/>
                <w:szCs w:val="22"/>
              </w:rPr>
              <w:t xml:space="preserve"> </w:t>
            </w:r>
            <w:r w:rsidRPr="00EC215C">
              <w:rPr>
                <w:rFonts w:ascii="Calibri" w:hAnsi="Calibri" w:cs="Calibri"/>
                <w:b/>
                <w:i/>
                <w:sz w:val="22"/>
                <w:szCs w:val="22"/>
              </w:rPr>
              <w:t>v. Caterpillar Indus</w:t>
            </w:r>
            <w:r>
              <w:rPr>
                <w:rFonts w:ascii="Calibri" w:hAnsi="Calibri" w:cs="Calibri"/>
                <w:b/>
                <w:i/>
                <w:sz w:val="22"/>
                <w:szCs w:val="22"/>
              </w:rPr>
              <w:t>trial</w:t>
            </w:r>
            <w:r w:rsidRPr="00EC215C">
              <w:rPr>
                <w:rFonts w:ascii="Calibri" w:hAnsi="Calibri" w:cs="Calibri"/>
                <w:b/>
                <w:sz w:val="22"/>
                <w:szCs w:val="22"/>
              </w:rPr>
              <w:t xml:space="preserve"> </w:t>
            </w:r>
            <w:r>
              <w:rPr>
                <w:rFonts w:ascii="Calibri" w:hAnsi="Calibri" w:cs="Calibri"/>
                <w:b/>
                <w:sz w:val="22"/>
                <w:szCs w:val="22"/>
              </w:rPr>
              <w:t xml:space="preserve">(7th Cir. 1995), the court stated: </w:t>
            </w:r>
            <w:r w:rsidRPr="00374F70">
              <w:rPr>
                <w:rFonts w:ascii="Calibri" w:hAnsi="Calibri" w:cs="Calibri"/>
                <w:b/>
                <w:sz w:val="22"/>
                <w:szCs w:val="22"/>
              </w:rPr>
              <w:t>“[T]hat Calumet could sell Caterpillar’s competitors’ equipment is further evidence that Calumet was not acting principally for Caterpillar’s benefit, but rather as an independent sales repr</w:t>
            </w:r>
            <w:r>
              <w:rPr>
                <w:rFonts w:ascii="Calibri" w:hAnsi="Calibri" w:cs="Calibri"/>
                <w:b/>
                <w:sz w:val="22"/>
                <w:szCs w:val="22"/>
              </w:rPr>
              <w:t>esentative, to make a profit.”</w:t>
            </w:r>
          </w:p>
        </w:tc>
      </w:tr>
      <w:tr w:rsidR="003419BD" w:rsidRPr="00907D75" w14:paraId="4A0B8D1D" w14:textId="77777777" w:rsidTr="008649A2">
        <w:trPr>
          <w:trHeight w:val="4795"/>
        </w:trPr>
        <w:tc>
          <w:tcPr>
            <w:tcW w:w="5805" w:type="dxa"/>
            <w:vAlign w:val="center"/>
          </w:tcPr>
          <w:p w14:paraId="592F6FB6" w14:textId="34E59967"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distinguishes an agency agreement from other agreements?</w:t>
            </w:r>
          </w:p>
        </w:tc>
        <w:tc>
          <w:tcPr>
            <w:tcW w:w="5805" w:type="dxa"/>
            <w:vAlign w:val="center"/>
          </w:tcPr>
          <w:p w14:paraId="0BDD762E" w14:textId="43A2B070" w:rsidR="003419BD" w:rsidRPr="00BD07D1"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What </w:t>
            </w:r>
            <w:r w:rsidRPr="00BD07D1">
              <w:rPr>
                <w:rFonts w:ascii="Calibri" w:hAnsi="Calibri" w:cs="Calibri"/>
                <w:b/>
                <w:sz w:val="22"/>
                <w:szCs w:val="22"/>
              </w:rPr>
              <w:t xml:space="preserve">distinguishes </w:t>
            </w:r>
            <w:r>
              <w:rPr>
                <w:rFonts w:ascii="Calibri" w:hAnsi="Calibri" w:cs="Calibri"/>
                <w:b/>
                <w:sz w:val="22"/>
                <w:szCs w:val="22"/>
              </w:rPr>
              <w:t>an</w:t>
            </w:r>
            <w:r w:rsidRPr="00BD07D1">
              <w:rPr>
                <w:rFonts w:ascii="Calibri" w:hAnsi="Calibri" w:cs="Calibri"/>
                <w:b/>
                <w:sz w:val="22"/>
                <w:szCs w:val="22"/>
              </w:rPr>
              <w:t xml:space="preserve"> agency agreement from other agreements is “the element of </w:t>
            </w:r>
            <w:r w:rsidRPr="00BD07D1">
              <w:rPr>
                <w:rFonts w:ascii="Calibri" w:hAnsi="Calibri" w:cs="Calibri"/>
                <w:b/>
                <w:i/>
                <w:sz w:val="22"/>
                <w:szCs w:val="22"/>
              </w:rPr>
              <w:t>continuous subjection to the will of the principal</w:t>
            </w:r>
            <w:r w:rsidRPr="00BD07D1">
              <w:rPr>
                <w:rFonts w:ascii="Calibri" w:hAnsi="Calibri" w:cs="Calibri"/>
                <w:b/>
                <w:sz w:val="22"/>
                <w:szCs w:val="22"/>
              </w:rPr>
              <w:t xml:space="preserve">.”  Restatement (Second) of Agency § 1 </w:t>
            </w:r>
            <w:proofErr w:type="spellStart"/>
            <w:r w:rsidRPr="00BD07D1">
              <w:rPr>
                <w:rFonts w:ascii="Calibri" w:hAnsi="Calibri" w:cs="Calibri"/>
                <w:b/>
                <w:sz w:val="22"/>
                <w:szCs w:val="22"/>
              </w:rPr>
              <w:t>cmt</w:t>
            </w:r>
            <w:proofErr w:type="spellEnd"/>
            <w:proofErr w:type="gramStart"/>
            <w:r w:rsidRPr="00BD07D1">
              <w:rPr>
                <w:rFonts w:ascii="Calibri" w:hAnsi="Calibri" w:cs="Calibri"/>
                <w:b/>
                <w:sz w:val="22"/>
                <w:szCs w:val="22"/>
              </w:rPr>
              <w:t xml:space="preserve">. </w:t>
            </w:r>
            <w:proofErr w:type="gramEnd"/>
            <w:r w:rsidRPr="00BD07D1">
              <w:rPr>
                <w:rFonts w:ascii="Calibri" w:hAnsi="Calibri" w:cs="Calibri"/>
                <w:b/>
                <w:sz w:val="22"/>
                <w:szCs w:val="22"/>
              </w:rPr>
              <w:t>B</w:t>
            </w:r>
            <w:r>
              <w:rPr>
                <w:rFonts w:ascii="Calibri" w:hAnsi="Calibri" w:cs="Calibri"/>
                <w:b/>
                <w:sz w:val="22"/>
                <w:szCs w:val="22"/>
              </w:rPr>
              <w:t xml:space="preserve"> (emphasis added).</w:t>
            </w:r>
          </w:p>
        </w:tc>
      </w:tr>
      <w:tr w:rsidR="003419BD" w:rsidRPr="00907D75" w14:paraId="5288E7EB" w14:textId="77777777" w:rsidTr="008649A2">
        <w:trPr>
          <w:trHeight w:val="4795"/>
        </w:trPr>
        <w:tc>
          <w:tcPr>
            <w:tcW w:w="5805" w:type="dxa"/>
            <w:vAlign w:val="center"/>
          </w:tcPr>
          <w:p w14:paraId="0549ACFB" w14:textId="49BF33B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What else did the district court rely on to find that SSN was an agent of DISH?</w:t>
            </w:r>
          </w:p>
        </w:tc>
        <w:tc>
          <w:tcPr>
            <w:tcW w:w="5805" w:type="dxa"/>
            <w:vAlign w:val="center"/>
          </w:tcPr>
          <w:p w14:paraId="767DC8AF" w14:textId="0DBB5204" w:rsidR="003419BD" w:rsidRDefault="003419BD" w:rsidP="00525419">
            <w:pPr>
              <w:pStyle w:val="O-BodyText"/>
              <w:spacing w:after="120"/>
              <w:ind w:left="290" w:right="65"/>
              <w:jc w:val="both"/>
              <w:rPr>
                <w:rFonts w:ascii="Calibri" w:hAnsi="Calibri" w:cs="Calibri"/>
                <w:b/>
                <w:sz w:val="22"/>
                <w:szCs w:val="22"/>
              </w:rPr>
            </w:pPr>
            <w:r w:rsidRPr="00BD361B">
              <w:rPr>
                <w:rFonts w:ascii="Calibri" w:hAnsi="Calibri" w:cs="Calibri"/>
                <w:b/>
                <w:sz w:val="22"/>
                <w:szCs w:val="22"/>
              </w:rPr>
              <w:t>DISH requir</w:t>
            </w:r>
            <w:r>
              <w:rPr>
                <w:rFonts w:ascii="Calibri" w:hAnsi="Calibri" w:cs="Calibri"/>
                <w:b/>
                <w:sz w:val="22"/>
                <w:szCs w:val="22"/>
              </w:rPr>
              <w:t>ed</w:t>
            </w:r>
            <w:r w:rsidRPr="00BD361B">
              <w:rPr>
                <w:rFonts w:ascii="Calibri" w:hAnsi="Calibri" w:cs="Calibri"/>
                <w:b/>
                <w:sz w:val="22"/>
                <w:szCs w:val="22"/>
              </w:rPr>
              <w:t xml:space="preserve"> SSN to comply with telemarketing laws and scrub its call lists with </w:t>
            </w:r>
            <w:proofErr w:type="spellStart"/>
            <w:r w:rsidRPr="00BD361B">
              <w:rPr>
                <w:rFonts w:ascii="Calibri" w:hAnsi="Calibri" w:cs="Calibri"/>
                <w:b/>
                <w:sz w:val="22"/>
                <w:szCs w:val="22"/>
              </w:rPr>
              <w:t>PossibleNow</w:t>
            </w:r>
            <w:proofErr w:type="spellEnd"/>
            <w:r w:rsidRPr="00BD361B">
              <w:rPr>
                <w:rFonts w:ascii="Calibri" w:hAnsi="Calibri" w:cs="Calibri"/>
                <w:b/>
                <w:sz w:val="22"/>
                <w:szCs w:val="22"/>
              </w:rPr>
              <w:t xml:space="preserve"> (a company specializing in TCPA compliance) to ensure they contained no numbers on the Registry.</w:t>
            </w:r>
          </w:p>
        </w:tc>
      </w:tr>
      <w:tr w:rsidR="003419BD" w:rsidRPr="00907D75" w14:paraId="4FE7800A" w14:textId="77777777" w:rsidTr="008649A2">
        <w:trPr>
          <w:trHeight w:val="4795"/>
        </w:trPr>
        <w:tc>
          <w:tcPr>
            <w:tcW w:w="5805" w:type="dxa"/>
            <w:vAlign w:val="center"/>
          </w:tcPr>
          <w:p w14:paraId="352A61F8" w14:textId="2630FA41"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Do performance requirements create an agency relationship?</w:t>
            </w:r>
          </w:p>
        </w:tc>
        <w:tc>
          <w:tcPr>
            <w:tcW w:w="5805" w:type="dxa"/>
            <w:vAlign w:val="center"/>
          </w:tcPr>
          <w:p w14:paraId="35FD425B" w14:textId="0ACC78FA"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No.  J</w:t>
            </w:r>
            <w:r w:rsidRPr="00BD361B">
              <w:rPr>
                <w:rFonts w:ascii="Calibri" w:hAnsi="Calibri" w:cs="Calibri"/>
                <w:b/>
                <w:sz w:val="22"/>
                <w:szCs w:val="22"/>
              </w:rPr>
              <w:t>ust like imposing quality-control standards, requiring compliance with government laws and regulations does not create an agency relationship.</w:t>
            </w:r>
            <w:r>
              <w:rPr>
                <w:rFonts w:ascii="Calibri" w:hAnsi="Calibri" w:cs="Calibri"/>
                <w:b/>
                <w:sz w:val="22"/>
                <w:szCs w:val="22"/>
              </w:rPr>
              <w:t xml:space="preserve">  DISH isn’t controlling SSN – the law is.</w:t>
            </w:r>
            <w:r w:rsidRPr="00BD361B">
              <w:rPr>
                <w:rFonts w:ascii="Calibri" w:hAnsi="Calibri" w:cs="Calibri"/>
                <w:b/>
                <w:sz w:val="22"/>
                <w:szCs w:val="22"/>
              </w:rPr>
              <w:t xml:space="preserve">  </w:t>
            </w:r>
            <w:r w:rsidRPr="00BD361B">
              <w:rPr>
                <w:rFonts w:ascii="Calibri" w:hAnsi="Calibri" w:cs="Calibri"/>
                <w:b/>
                <w:i/>
                <w:sz w:val="22"/>
                <w:szCs w:val="22"/>
              </w:rPr>
              <w:t>See FedEx Home Delivery v. NLRB</w:t>
            </w:r>
            <w:r>
              <w:rPr>
                <w:rFonts w:ascii="Calibri" w:hAnsi="Calibri" w:cs="Calibri"/>
                <w:b/>
                <w:i/>
                <w:sz w:val="22"/>
                <w:szCs w:val="22"/>
              </w:rPr>
              <w:t xml:space="preserve"> </w:t>
            </w:r>
            <w:r>
              <w:rPr>
                <w:rFonts w:ascii="Calibri" w:hAnsi="Calibri" w:cs="Calibri"/>
                <w:b/>
                <w:sz w:val="22"/>
                <w:szCs w:val="22"/>
              </w:rPr>
              <w:t>(D.C. Cir. 2009).</w:t>
            </w:r>
          </w:p>
        </w:tc>
      </w:tr>
      <w:tr w:rsidR="003419BD" w:rsidRPr="00907D75" w14:paraId="0D3F3A9B" w14:textId="77777777" w:rsidTr="008649A2">
        <w:trPr>
          <w:trHeight w:val="4795"/>
        </w:trPr>
        <w:tc>
          <w:tcPr>
            <w:tcW w:w="5805" w:type="dxa"/>
            <w:vAlign w:val="center"/>
          </w:tcPr>
          <w:p w14:paraId="543D59AC" w14:textId="67EEC198"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else did the district court rely on to find that SSN was an agent of DISH?</w:t>
            </w:r>
          </w:p>
        </w:tc>
        <w:tc>
          <w:tcPr>
            <w:tcW w:w="5805" w:type="dxa"/>
            <w:vAlign w:val="center"/>
          </w:tcPr>
          <w:p w14:paraId="50A60CA0" w14:textId="69781A4A" w:rsidR="003419BD" w:rsidRDefault="003419BD" w:rsidP="00525419">
            <w:pPr>
              <w:pStyle w:val="O-BodyText"/>
              <w:spacing w:after="120"/>
              <w:ind w:left="290" w:right="65"/>
              <w:jc w:val="both"/>
              <w:rPr>
                <w:rFonts w:ascii="Calibri" w:hAnsi="Calibri" w:cs="Calibri"/>
                <w:b/>
                <w:sz w:val="22"/>
                <w:szCs w:val="22"/>
              </w:rPr>
            </w:pPr>
            <w:r w:rsidRPr="00076F42">
              <w:rPr>
                <w:rFonts w:ascii="Calibri" w:hAnsi="Calibri" w:cs="Calibri"/>
                <w:b/>
                <w:sz w:val="22"/>
                <w:szCs w:val="22"/>
              </w:rPr>
              <w:t>The court pointed to a 2009 Assurance of Voluntary</w:t>
            </w:r>
            <w:r>
              <w:rPr>
                <w:rFonts w:ascii="Calibri" w:hAnsi="Calibri" w:cs="Calibri"/>
                <w:b/>
                <w:sz w:val="22"/>
                <w:szCs w:val="22"/>
              </w:rPr>
              <w:t xml:space="preserve"> </w:t>
            </w:r>
            <w:r w:rsidRPr="00076F42">
              <w:rPr>
                <w:rFonts w:ascii="Calibri" w:hAnsi="Calibri" w:cs="Calibri"/>
                <w:b/>
                <w:sz w:val="22"/>
                <w:szCs w:val="22"/>
              </w:rPr>
              <w:t>Compliance (</w:t>
            </w:r>
            <w:proofErr w:type="spellStart"/>
            <w:r w:rsidRPr="00076F42">
              <w:rPr>
                <w:rFonts w:ascii="Calibri" w:hAnsi="Calibri" w:cs="Calibri"/>
                <w:b/>
                <w:sz w:val="22"/>
                <w:szCs w:val="22"/>
              </w:rPr>
              <w:t>AVC</w:t>
            </w:r>
            <w:proofErr w:type="spellEnd"/>
            <w:r w:rsidRPr="00076F42">
              <w:rPr>
                <w:rFonts w:ascii="Calibri" w:hAnsi="Calibri" w:cs="Calibri"/>
                <w:b/>
                <w:sz w:val="22"/>
                <w:szCs w:val="22"/>
              </w:rPr>
              <w:t>) between DISH and state attorneys general</w:t>
            </w:r>
            <w:r w:rsidR="00EC3D26">
              <w:rPr>
                <w:rFonts w:ascii="Calibri" w:hAnsi="Calibri" w:cs="Calibri"/>
                <w:b/>
                <w:sz w:val="22"/>
                <w:szCs w:val="22"/>
              </w:rPr>
              <w:t>, in which</w:t>
            </w:r>
            <w:r w:rsidRPr="00076F42">
              <w:rPr>
                <w:rFonts w:ascii="Calibri" w:hAnsi="Calibri" w:cs="Calibri"/>
                <w:b/>
                <w:sz w:val="22"/>
                <w:szCs w:val="22"/>
              </w:rPr>
              <w:t xml:space="preserve"> DISH agreed to monitor and discipline retailers for telemarketing violations.</w:t>
            </w:r>
            <w:r>
              <w:rPr>
                <w:rFonts w:ascii="Calibri" w:hAnsi="Calibri" w:cs="Calibri"/>
                <w:b/>
                <w:sz w:val="22"/>
                <w:szCs w:val="22"/>
              </w:rPr>
              <w:t xml:space="preserve">  </w:t>
            </w:r>
            <w:r w:rsidRPr="005365D1">
              <w:rPr>
                <w:rFonts w:ascii="Calibri" w:hAnsi="Calibri" w:cs="Calibri"/>
                <w:b/>
                <w:sz w:val="22"/>
                <w:szCs w:val="22"/>
              </w:rPr>
              <w:t xml:space="preserve">The court found this to be evidence of </w:t>
            </w:r>
            <w:proofErr w:type="spellStart"/>
            <w:r w:rsidRPr="005365D1">
              <w:rPr>
                <w:rFonts w:ascii="Calibri" w:hAnsi="Calibri" w:cs="Calibri"/>
                <w:b/>
                <w:sz w:val="22"/>
                <w:szCs w:val="22"/>
              </w:rPr>
              <w:t>DISH’s</w:t>
            </w:r>
            <w:proofErr w:type="spellEnd"/>
            <w:r w:rsidRPr="005365D1">
              <w:rPr>
                <w:rFonts w:ascii="Calibri" w:hAnsi="Calibri" w:cs="Calibri"/>
                <w:b/>
                <w:sz w:val="22"/>
                <w:szCs w:val="22"/>
              </w:rPr>
              <w:t xml:space="preserve"> ability to control SSN’s day-to-day marketing operations.</w:t>
            </w:r>
          </w:p>
        </w:tc>
      </w:tr>
      <w:tr w:rsidR="003419BD" w:rsidRPr="00907D75" w14:paraId="732552E7" w14:textId="77777777" w:rsidTr="008649A2">
        <w:trPr>
          <w:trHeight w:val="4795"/>
        </w:trPr>
        <w:tc>
          <w:tcPr>
            <w:tcW w:w="5805" w:type="dxa"/>
            <w:vAlign w:val="center"/>
          </w:tcPr>
          <w:p w14:paraId="0FA8DC9D" w14:textId="053DB955"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Does the </w:t>
            </w:r>
            <w:proofErr w:type="spellStart"/>
            <w:r>
              <w:rPr>
                <w:rFonts w:ascii="Calibri" w:hAnsi="Calibri" w:cs="Calibri"/>
                <w:b/>
                <w:sz w:val="28"/>
                <w:szCs w:val="28"/>
              </w:rPr>
              <w:t>AVC</w:t>
            </w:r>
            <w:proofErr w:type="spellEnd"/>
            <w:r>
              <w:rPr>
                <w:rFonts w:ascii="Calibri" w:hAnsi="Calibri" w:cs="Calibri"/>
                <w:b/>
                <w:sz w:val="28"/>
                <w:szCs w:val="28"/>
              </w:rPr>
              <w:t xml:space="preserve"> say anything about retailers like SSN?</w:t>
            </w:r>
          </w:p>
        </w:tc>
        <w:tc>
          <w:tcPr>
            <w:tcW w:w="5805" w:type="dxa"/>
            <w:vAlign w:val="center"/>
          </w:tcPr>
          <w:p w14:paraId="5C242ED4" w14:textId="1C66E69A" w:rsidR="003419BD" w:rsidRPr="00076F42"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5365D1">
              <w:rPr>
                <w:rFonts w:ascii="Calibri" w:hAnsi="Calibri" w:cs="Calibri"/>
                <w:b/>
                <w:sz w:val="22"/>
                <w:szCs w:val="22"/>
              </w:rPr>
              <w:t xml:space="preserve">he </w:t>
            </w:r>
            <w:proofErr w:type="spellStart"/>
            <w:r w:rsidRPr="005365D1">
              <w:rPr>
                <w:rFonts w:ascii="Calibri" w:hAnsi="Calibri" w:cs="Calibri"/>
                <w:b/>
                <w:sz w:val="22"/>
                <w:szCs w:val="22"/>
              </w:rPr>
              <w:t>AVC</w:t>
            </w:r>
            <w:proofErr w:type="spellEnd"/>
            <w:r w:rsidRPr="005365D1">
              <w:rPr>
                <w:rFonts w:ascii="Calibri" w:hAnsi="Calibri" w:cs="Calibri"/>
                <w:b/>
                <w:sz w:val="22"/>
                <w:szCs w:val="22"/>
              </w:rPr>
              <w:t xml:space="preserve"> expressly recognizes that retailers like SSN are “independent.” </w:t>
            </w:r>
          </w:p>
        </w:tc>
      </w:tr>
      <w:tr w:rsidR="00093A2A" w:rsidRPr="00907D75" w14:paraId="52762BBF" w14:textId="77777777" w:rsidTr="008649A2">
        <w:trPr>
          <w:trHeight w:val="4795"/>
        </w:trPr>
        <w:tc>
          <w:tcPr>
            <w:tcW w:w="5805" w:type="dxa"/>
            <w:vAlign w:val="center"/>
          </w:tcPr>
          <w:p w14:paraId="208D7A9A" w14:textId="7A9D0C3D" w:rsidR="00093A2A" w:rsidRDefault="00093A2A"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Does the </w:t>
            </w:r>
            <w:proofErr w:type="spellStart"/>
            <w:r>
              <w:rPr>
                <w:rFonts w:ascii="Calibri" w:hAnsi="Calibri" w:cs="Calibri"/>
                <w:b/>
                <w:sz w:val="28"/>
                <w:szCs w:val="28"/>
              </w:rPr>
              <w:t>AVC</w:t>
            </w:r>
            <w:proofErr w:type="spellEnd"/>
            <w:r>
              <w:rPr>
                <w:rFonts w:ascii="Calibri" w:hAnsi="Calibri" w:cs="Calibri"/>
                <w:b/>
                <w:sz w:val="28"/>
                <w:szCs w:val="28"/>
              </w:rPr>
              <w:t xml:space="preserve"> establish </w:t>
            </w:r>
            <w:proofErr w:type="spellStart"/>
            <w:r>
              <w:rPr>
                <w:rFonts w:ascii="Calibri" w:hAnsi="Calibri" w:cs="Calibri"/>
                <w:b/>
                <w:sz w:val="28"/>
                <w:szCs w:val="28"/>
              </w:rPr>
              <w:t>DISH’s</w:t>
            </w:r>
            <w:proofErr w:type="spellEnd"/>
            <w:r>
              <w:rPr>
                <w:rFonts w:ascii="Calibri" w:hAnsi="Calibri" w:cs="Calibri"/>
                <w:b/>
                <w:sz w:val="28"/>
                <w:szCs w:val="28"/>
              </w:rPr>
              <w:t xml:space="preserve"> control over SSN?</w:t>
            </w:r>
          </w:p>
        </w:tc>
        <w:tc>
          <w:tcPr>
            <w:tcW w:w="5805" w:type="dxa"/>
            <w:vAlign w:val="center"/>
          </w:tcPr>
          <w:p w14:paraId="6EA531D8" w14:textId="44D7B49E" w:rsidR="00093A2A" w:rsidRDefault="00093A2A" w:rsidP="00525419">
            <w:pPr>
              <w:pStyle w:val="O-BodyText"/>
              <w:spacing w:after="120"/>
              <w:ind w:left="290" w:right="65"/>
              <w:jc w:val="both"/>
              <w:rPr>
                <w:rFonts w:ascii="Calibri" w:hAnsi="Calibri" w:cs="Calibri"/>
                <w:b/>
                <w:sz w:val="22"/>
                <w:szCs w:val="22"/>
              </w:rPr>
            </w:pPr>
            <w:r>
              <w:rPr>
                <w:rFonts w:ascii="Calibri" w:hAnsi="Calibri" w:cs="Calibri"/>
                <w:b/>
                <w:sz w:val="22"/>
                <w:szCs w:val="22"/>
              </w:rPr>
              <w:t>No.  A</w:t>
            </w:r>
            <w:r w:rsidRPr="00093A2A">
              <w:rPr>
                <w:rFonts w:ascii="Calibri" w:hAnsi="Calibri" w:cs="Calibri"/>
                <w:b/>
                <w:sz w:val="22"/>
                <w:szCs w:val="22"/>
              </w:rPr>
              <w:t xml:space="preserve"> third-party covenant to look for contractor violations does not establish the control that is necessary for an agency relationship.  Including this commonplace requirement did not convert an independent contractor into an agent.</w:t>
            </w:r>
          </w:p>
        </w:tc>
      </w:tr>
      <w:tr w:rsidR="003419BD" w:rsidRPr="00907D75" w14:paraId="1DF4A2FD" w14:textId="77777777" w:rsidTr="008649A2">
        <w:trPr>
          <w:trHeight w:val="4795"/>
        </w:trPr>
        <w:tc>
          <w:tcPr>
            <w:tcW w:w="5805" w:type="dxa"/>
            <w:vAlign w:val="center"/>
          </w:tcPr>
          <w:p w14:paraId="1470C9F5" w14:textId="0D1D7E82"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If we conclude that SSN was acting as </w:t>
            </w:r>
            <w:proofErr w:type="spellStart"/>
            <w:r>
              <w:rPr>
                <w:rFonts w:ascii="Calibri" w:hAnsi="Calibri" w:cs="Calibri"/>
                <w:b/>
                <w:sz w:val="28"/>
                <w:szCs w:val="28"/>
              </w:rPr>
              <w:t>DISH’s</w:t>
            </w:r>
            <w:proofErr w:type="spellEnd"/>
            <w:r>
              <w:rPr>
                <w:rFonts w:ascii="Calibri" w:hAnsi="Calibri" w:cs="Calibri"/>
                <w:b/>
                <w:sz w:val="28"/>
                <w:szCs w:val="28"/>
              </w:rPr>
              <w:t xml:space="preserve"> agent, was SSN acting within the scope of its authority?</w:t>
            </w:r>
          </w:p>
        </w:tc>
        <w:tc>
          <w:tcPr>
            <w:tcW w:w="5805" w:type="dxa"/>
            <w:vAlign w:val="center"/>
          </w:tcPr>
          <w:p w14:paraId="46008B81" w14:textId="0E9D0DD4"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AF65B9">
              <w:rPr>
                <w:rFonts w:ascii="Calibri" w:hAnsi="Calibri" w:cs="Calibri"/>
                <w:b/>
                <w:sz w:val="22"/>
                <w:szCs w:val="22"/>
              </w:rPr>
              <w:t xml:space="preserve"> </w:t>
            </w:r>
            <w:r>
              <w:rPr>
                <w:rFonts w:ascii="Calibri" w:hAnsi="Calibri" w:cs="Calibri"/>
                <w:b/>
                <w:sz w:val="22"/>
                <w:szCs w:val="22"/>
              </w:rPr>
              <w:t>E</w:t>
            </w:r>
            <w:r w:rsidRPr="00D006B4">
              <w:rPr>
                <w:rFonts w:ascii="Calibri" w:hAnsi="Calibri" w:cs="Calibri"/>
                <w:b/>
                <w:sz w:val="22"/>
                <w:szCs w:val="22"/>
              </w:rPr>
              <w:t xml:space="preserve">ven if SSN had been </w:t>
            </w:r>
            <w:r w:rsidR="00351071">
              <w:rPr>
                <w:rFonts w:ascii="Calibri" w:hAnsi="Calibri" w:cs="Calibri"/>
                <w:b/>
                <w:sz w:val="22"/>
                <w:szCs w:val="22"/>
              </w:rPr>
              <w:t>given</w:t>
            </w:r>
            <w:r w:rsidRPr="00D006B4">
              <w:rPr>
                <w:rFonts w:ascii="Calibri" w:hAnsi="Calibri" w:cs="Calibri"/>
                <w:b/>
                <w:sz w:val="22"/>
                <w:szCs w:val="22"/>
              </w:rPr>
              <w:t xml:space="preserve"> actual authority, SSN exceeded its scope when it violated </w:t>
            </w:r>
            <w:proofErr w:type="spellStart"/>
            <w:r w:rsidRPr="00D006B4">
              <w:rPr>
                <w:rFonts w:ascii="Calibri" w:hAnsi="Calibri" w:cs="Calibri"/>
                <w:b/>
                <w:sz w:val="22"/>
                <w:szCs w:val="22"/>
              </w:rPr>
              <w:t>DISH’s</w:t>
            </w:r>
            <w:proofErr w:type="spellEnd"/>
            <w:r w:rsidRPr="00D006B4">
              <w:rPr>
                <w:rFonts w:ascii="Calibri" w:hAnsi="Calibri" w:cs="Calibri"/>
                <w:b/>
                <w:sz w:val="22"/>
                <w:szCs w:val="22"/>
              </w:rPr>
              <w:t xml:space="preserve"> express instructions, including not to call Krakauer.</w:t>
            </w:r>
          </w:p>
        </w:tc>
      </w:tr>
      <w:tr w:rsidR="003419BD" w:rsidRPr="00907D75" w14:paraId="78F1D06A" w14:textId="77777777" w:rsidTr="008649A2">
        <w:trPr>
          <w:trHeight w:val="4795"/>
        </w:trPr>
        <w:tc>
          <w:tcPr>
            <w:tcW w:w="5805" w:type="dxa"/>
            <w:vAlign w:val="center"/>
          </w:tcPr>
          <w:p w14:paraId="45B6EE7B" w14:textId="67B975C6"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When is a principal liable for the acts of its agent?</w:t>
            </w:r>
          </w:p>
        </w:tc>
        <w:tc>
          <w:tcPr>
            <w:tcW w:w="5805" w:type="dxa"/>
            <w:vAlign w:val="center"/>
          </w:tcPr>
          <w:p w14:paraId="15E7CEB6" w14:textId="35A8CD4C" w:rsidR="003419BD" w:rsidRDefault="00351071" w:rsidP="00525419">
            <w:pPr>
              <w:pStyle w:val="O-BodyText"/>
              <w:spacing w:after="120"/>
              <w:ind w:left="290" w:right="65"/>
              <w:jc w:val="both"/>
              <w:rPr>
                <w:rFonts w:ascii="Calibri" w:hAnsi="Calibri" w:cs="Calibri"/>
                <w:b/>
                <w:sz w:val="22"/>
                <w:szCs w:val="22"/>
              </w:rPr>
            </w:pPr>
            <w:r>
              <w:rPr>
                <w:rFonts w:ascii="Calibri" w:hAnsi="Calibri" w:cs="Calibri"/>
                <w:b/>
                <w:sz w:val="22"/>
                <w:szCs w:val="22"/>
              </w:rPr>
              <w:t>A</w:t>
            </w:r>
            <w:r w:rsidR="003419BD" w:rsidRPr="00A11111">
              <w:rPr>
                <w:rFonts w:ascii="Calibri" w:hAnsi="Calibri" w:cs="Calibri"/>
                <w:b/>
                <w:sz w:val="22"/>
                <w:szCs w:val="22"/>
              </w:rPr>
              <w:t xml:space="preserve"> principal is liable only for acts within</w:t>
            </w:r>
            <w:r w:rsidR="003419BD">
              <w:rPr>
                <w:rFonts w:ascii="Calibri" w:hAnsi="Calibri" w:cs="Calibri"/>
                <w:b/>
                <w:sz w:val="22"/>
                <w:szCs w:val="22"/>
              </w:rPr>
              <w:t xml:space="preserve"> </w:t>
            </w:r>
            <w:r w:rsidR="003419BD" w:rsidRPr="00A11111">
              <w:rPr>
                <w:rFonts w:ascii="Calibri" w:hAnsi="Calibri" w:cs="Calibri"/>
                <w:b/>
                <w:sz w:val="22"/>
                <w:szCs w:val="22"/>
              </w:rPr>
              <w:t xml:space="preserve">the scope of the agent’s authority.  </w:t>
            </w:r>
            <w:r w:rsidR="003419BD" w:rsidRPr="00A11111">
              <w:rPr>
                <w:rFonts w:ascii="Calibri" w:hAnsi="Calibri" w:cs="Calibri"/>
                <w:b/>
                <w:i/>
                <w:sz w:val="22"/>
                <w:szCs w:val="22"/>
              </w:rPr>
              <w:t>Meyer</w:t>
            </w:r>
            <w:r w:rsidR="003419BD">
              <w:rPr>
                <w:rFonts w:ascii="Calibri" w:hAnsi="Calibri" w:cs="Calibri"/>
                <w:b/>
                <w:i/>
                <w:sz w:val="22"/>
                <w:szCs w:val="22"/>
              </w:rPr>
              <w:t xml:space="preserve"> v. Holley</w:t>
            </w:r>
            <w:r w:rsidR="003419BD">
              <w:rPr>
                <w:rFonts w:ascii="Calibri" w:hAnsi="Calibri" w:cs="Calibri"/>
                <w:b/>
                <w:sz w:val="22"/>
                <w:szCs w:val="22"/>
              </w:rPr>
              <w:t xml:space="preserve"> (S. Ct. 2003)</w:t>
            </w:r>
            <w:r w:rsidR="003419BD" w:rsidRPr="00A11111">
              <w:rPr>
                <w:rFonts w:ascii="Calibri" w:hAnsi="Calibri" w:cs="Calibri"/>
                <w:b/>
                <w:sz w:val="22"/>
                <w:szCs w:val="22"/>
              </w:rPr>
              <w:t xml:space="preserve">; </w:t>
            </w:r>
            <w:r w:rsidR="003419BD" w:rsidRPr="00A11111">
              <w:rPr>
                <w:rFonts w:ascii="Calibri" w:hAnsi="Calibri" w:cs="Calibri"/>
                <w:b/>
                <w:i/>
                <w:sz w:val="22"/>
                <w:szCs w:val="22"/>
              </w:rPr>
              <w:t>United States v. Hilton</w:t>
            </w:r>
            <w:r w:rsidR="003419BD">
              <w:rPr>
                <w:rFonts w:ascii="Calibri" w:hAnsi="Calibri" w:cs="Calibri"/>
                <w:b/>
                <w:i/>
                <w:sz w:val="22"/>
                <w:szCs w:val="22"/>
              </w:rPr>
              <w:t xml:space="preserve"> </w:t>
            </w:r>
            <w:r w:rsidR="003419BD" w:rsidRPr="00A11111">
              <w:rPr>
                <w:rFonts w:ascii="Calibri" w:hAnsi="Calibri" w:cs="Calibri"/>
                <w:b/>
                <w:sz w:val="22"/>
                <w:szCs w:val="22"/>
              </w:rPr>
              <w:t>(4th Cir. 2012); Restatement (Third) of Agency § 2.02.</w:t>
            </w:r>
          </w:p>
        </w:tc>
      </w:tr>
      <w:tr w:rsidR="003419BD" w:rsidRPr="00907D75" w14:paraId="2B50BEA2" w14:textId="77777777" w:rsidTr="008649A2">
        <w:trPr>
          <w:trHeight w:val="4795"/>
        </w:trPr>
        <w:tc>
          <w:tcPr>
            <w:tcW w:w="5805" w:type="dxa"/>
            <w:vAlign w:val="center"/>
          </w:tcPr>
          <w:p w14:paraId="5E635141" w14:textId="2367089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Can unlawful acts ever be within the scope of an agent’s authority?</w:t>
            </w:r>
          </w:p>
        </w:tc>
        <w:tc>
          <w:tcPr>
            <w:tcW w:w="5805" w:type="dxa"/>
            <w:vAlign w:val="center"/>
          </w:tcPr>
          <w:p w14:paraId="233109C6" w14:textId="7F43ABFA" w:rsidR="003419BD" w:rsidRPr="00A11111" w:rsidRDefault="003419BD" w:rsidP="00525419">
            <w:pPr>
              <w:pStyle w:val="O-BodyText"/>
              <w:spacing w:after="120"/>
              <w:ind w:left="290" w:right="65"/>
              <w:jc w:val="both"/>
              <w:rPr>
                <w:rFonts w:ascii="Calibri" w:hAnsi="Calibri" w:cs="Calibri"/>
                <w:b/>
                <w:sz w:val="22"/>
                <w:szCs w:val="22"/>
              </w:rPr>
            </w:pPr>
            <w:r w:rsidRPr="00D96734">
              <w:rPr>
                <w:rFonts w:ascii="Calibri" w:hAnsi="Calibri" w:cs="Calibri"/>
                <w:b/>
                <w:sz w:val="22"/>
                <w:szCs w:val="22"/>
              </w:rPr>
              <w:t>Unlawful acts are almost never within the scope of an agent’s authority, except where the principal issue</w:t>
            </w:r>
            <w:r w:rsidR="00351071">
              <w:rPr>
                <w:rFonts w:ascii="Calibri" w:hAnsi="Calibri" w:cs="Calibri"/>
                <w:b/>
                <w:sz w:val="22"/>
                <w:szCs w:val="22"/>
              </w:rPr>
              <w:t>s</w:t>
            </w:r>
            <w:r w:rsidRPr="00D96734">
              <w:rPr>
                <w:rFonts w:ascii="Calibri" w:hAnsi="Calibri" w:cs="Calibri"/>
                <w:b/>
                <w:sz w:val="22"/>
                <w:szCs w:val="22"/>
              </w:rPr>
              <w:t xml:space="preserve"> clear instructions to break the law.  Restatement (Third) of Agency § 2.02 </w:t>
            </w:r>
            <w:proofErr w:type="spellStart"/>
            <w:r w:rsidRPr="00D96734">
              <w:rPr>
                <w:rFonts w:ascii="Calibri" w:hAnsi="Calibri" w:cs="Calibri"/>
                <w:b/>
                <w:sz w:val="22"/>
                <w:szCs w:val="22"/>
              </w:rPr>
              <w:t>cmt</w:t>
            </w:r>
            <w:proofErr w:type="spellEnd"/>
            <w:proofErr w:type="gramStart"/>
            <w:r w:rsidRPr="00D96734">
              <w:rPr>
                <w:rFonts w:ascii="Calibri" w:hAnsi="Calibri" w:cs="Calibri"/>
                <w:b/>
                <w:sz w:val="22"/>
                <w:szCs w:val="22"/>
              </w:rPr>
              <w:t xml:space="preserve">. </w:t>
            </w:r>
            <w:proofErr w:type="gramEnd"/>
            <w:r w:rsidRPr="00D96734">
              <w:rPr>
                <w:rFonts w:ascii="Calibri" w:hAnsi="Calibri" w:cs="Calibri"/>
                <w:b/>
                <w:sz w:val="22"/>
                <w:szCs w:val="22"/>
              </w:rPr>
              <w:t>h</w:t>
            </w:r>
            <w:r w:rsidR="00351071">
              <w:rPr>
                <w:rFonts w:ascii="Calibri" w:hAnsi="Calibri" w:cs="Calibri"/>
                <w:b/>
                <w:sz w:val="22"/>
                <w:szCs w:val="22"/>
              </w:rPr>
              <w:t>.</w:t>
            </w:r>
          </w:p>
        </w:tc>
      </w:tr>
      <w:tr w:rsidR="003419BD" w:rsidRPr="00907D75" w14:paraId="6CB6586B" w14:textId="77777777" w:rsidTr="008649A2">
        <w:trPr>
          <w:trHeight w:val="4795"/>
        </w:trPr>
        <w:tc>
          <w:tcPr>
            <w:tcW w:w="5805" w:type="dxa"/>
            <w:vAlign w:val="center"/>
          </w:tcPr>
          <w:p w14:paraId="41C9E1C9" w14:textId="6E73C082"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DISH limit SSN’s authority in any way?</w:t>
            </w:r>
          </w:p>
        </w:tc>
        <w:tc>
          <w:tcPr>
            <w:tcW w:w="5805" w:type="dxa"/>
            <w:vAlign w:val="center"/>
          </w:tcPr>
          <w:p w14:paraId="78E7B922" w14:textId="53F63249" w:rsidR="003419BD" w:rsidRPr="00D96734"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860048">
              <w:rPr>
                <w:rFonts w:ascii="Calibri" w:hAnsi="Calibri" w:cs="Calibri"/>
                <w:b/>
                <w:sz w:val="22"/>
                <w:szCs w:val="22"/>
              </w:rPr>
              <w:t xml:space="preserve">DISH expressly limited SSN’s authority by instructing it not to call numbers on the </w:t>
            </w:r>
            <w:r w:rsidR="00206E03">
              <w:rPr>
                <w:rFonts w:ascii="Calibri" w:hAnsi="Calibri" w:cs="Calibri"/>
                <w:b/>
                <w:sz w:val="22"/>
                <w:szCs w:val="22"/>
              </w:rPr>
              <w:t xml:space="preserve">Do Not Call </w:t>
            </w:r>
            <w:r w:rsidRPr="00860048">
              <w:rPr>
                <w:rFonts w:ascii="Calibri" w:hAnsi="Calibri" w:cs="Calibri"/>
                <w:b/>
                <w:sz w:val="22"/>
                <w:szCs w:val="22"/>
              </w:rPr>
              <w:t>Registry.  And it instructed SSN not to call Krakauer himself.</w:t>
            </w:r>
            <w:r>
              <w:rPr>
                <w:rFonts w:ascii="Calibri" w:hAnsi="Calibri" w:cs="Calibri"/>
                <w:b/>
                <w:sz w:val="22"/>
                <w:szCs w:val="22"/>
              </w:rPr>
              <w:t xml:space="preserve">  </w:t>
            </w:r>
            <w:r w:rsidRPr="00103040">
              <w:rPr>
                <w:rFonts w:ascii="Calibri" w:hAnsi="Calibri" w:cs="Calibri"/>
                <w:b/>
                <w:sz w:val="22"/>
                <w:szCs w:val="22"/>
              </w:rPr>
              <w:t>SSN acted outside the scope of any authority by disregarding those instructions</w:t>
            </w:r>
            <w:r>
              <w:rPr>
                <w:rFonts w:ascii="Calibri" w:hAnsi="Calibri" w:cs="Calibri"/>
                <w:b/>
                <w:sz w:val="22"/>
                <w:szCs w:val="22"/>
              </w:rPr>
              <w:t>.</w:t>
            </w:r>
          </w:p>
        </w:tc>
      </w:tr>
      <w:tr w:rsidR="003419BD" w:rsidRPr="00907D75" w14:paraId="5BA846BF" w14:textId="77777777" w:rsidTr="008649A2">
        <w:trPr>
          <w:trHeight w:val="4795"/>
        </w:trPr>
        <w:tc>
          <w:tcPr>
            <w:tcW w:w="5805" w:type="dxa"/>
            <w:vAlign w:val="center"/>
          </w:tcPr>
          <w:p w14:paraId="1582C705" w14:textId="75A02529"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Why did the district court conclude that SSN acted within the scope of its authority as an agent of DISH?</w:t>
            </w:r>
          </w:p>
        </w:tc>
        <w:tc>
          <w:tcPr>
            <w:tcW w:w="5805" w:type="dxa"/>
            <w:vAlign w:val="center"/>
          </w:tcPr>
          <w:p w14:paraId="5519D90A" w14:textId="300078AF" w:rsidR="003419BD" w:rsidRDefault="003419BD" w:rsidP="00525419">
            <w:pPr>
              <w:pStyle w:val="O-BodyText"/>
              <w:spacing w:after="120"/>
              <w:ind w:left="290" w:right="65"/>
              <w:jc w:val="both"/>
              <w:rPr>
                <w:rFonts w:ascii="Calibri" w:hAnsi="Calibri" w:cs="Calibri"/>
                <w:b/>
                <w:sz w:val="22"/>
                <w:szCs w:val="22"/>
              </w:rPr>
            </w:pPr>
            <w:r w:rsidRPr="0082553A">
              <w:rPr>
                <w:rFonts w:ascii="Calibri" w:hAnsi="Calibri" w:cs="Calibri"/>
                <w:b/>
                <w:sz w:val="22"/>
                <w:szCs w:val="22"/>
              </w:rPr>
              <w:t>The district court concluded that SSN acted within the scope of</w:t>
            </w:r>
            <w:r>
              <w:rPr>
                <w:rFonts w:ascii="Calibri" w:hAnsi="Calibri" w:cs="Calibri"/>
                <w:b/>
                <w:sz w:val="22"/>
                <w:szCs w:val="22"/>
              </w:rPr>
              <w:t xml:space="preserve"> </w:t>
            </w:r>
            <w:r w:rsidRPr="0082553A">
              <w:rPr>
                <w:rFonts w:ascii="Calibri" w:hAnsi="Calibri" w:cs="Calibri"/>
                <w:b/>
                <w:sz w:val="22"/>
                <w:szCs w:val="22"/>
              </w:rPr>
              <w:t xml:space="preserve">its authority because </w:t>
            </w:r>
            <w:r>
              <w:rPr>
                <w:rFonts w:ascii="Calibri" w:hAnsi="Calibri" w:cs="Calibri"/>
                <w:b/>
                <w:sz w:val="22"/>
                <w:szCs w:val="22"/>
              </w:rPr>
              <w:t xml:space="preserve">it said that </w:t>
            </w:r>
            <w:r w:rsidR="00206E03">
              <w:rPr>
                <w:rFonts w:ascii="Calibri" w:hAnsi="Calibri" w:cs="Calibri"/>
                <w:b/>
                <w:sz w:val="22"/>
                <w:szCs w:val="22"/>
              </w:rPr>
              <w:t xml:space="preserve">DISH </w:t>
            </w:r>
            <w:r w:rsidRPr="0082553A">
              <w:rPr>
                <w:rFonts w:ascii="Calibri" w:hAnsi="Calibri" w:cs="Calibri"/>
                <w:b/>
                <w:sz w:val="22"/>
                <w:szCs w:val="22"/>
              </w:rPr>
              <w:t>consented or acquiesced to the conduct.</w:t>
            </w:r>
          </w:p>
        </w:tc>
      </w:tr>
      <w:tr w:rsidR="003419BD" w:rsidRPr="00907D75" w14:paraId="290B0B0E" w14:textId="77777777" w:rsidTr="008649A2">
        <w:trPr>
          <w:trHeight w:val="4795"/>
        </w:trPr>
        <w:tc>
          <w:tcPr>
            <w:tcW w:w="5805" w:type="dxa"/>
            <w:vAlign w:val="center"/>
          </w:tcPr>
          <w:p w14:paraId="6D4129D7" w14:textId="3CBB4762"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Did DISH consent or acquiesce to SSN’s conduct?</w:t>
            </w:r>
          </w:p>
        </w:tc>
        <w:tc>
          <w:tcPr>
            <w:tcW w:w="5805" w:type="dxa"/>
            <w:vAlign w:val="center"/>
          </w:tcPr>
          <w:p w14:paraId="45570774" w14:textId="1D22AE30"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9417CD">
              <w:rPr>
                <w:rFonts w:ascii="Calibri" w:hAnsi="Calibri" w:cs="Calibri"/>
                <w:b/>
                <w:sz w:val="22"/>
                <w:szCs w:val="22"/>
              </w:rPr>
              <w:t>DISH repeatedly i</w:t>
            </w:r>
            <w:r>
              <w:rPr>
                <w:rFonts w:ascii="Calibri" w:hAnsi="Calibri" w:cs="Calibri"/>
                <w:b/>
                <w:sz w:val="22"/>
                <w:szCs w:val="22"/>
              </w:rPr>
              <w:t xml:space="preserve">nstructed SSN to follow the law.  The Retailer Agreement states: </w:t>
            </w:r>
          </w:p>
          <w:p w14:paraId="77EF0E78" w14:textId="0253E453" w:rsidR="003419BD" w:rsidRPr="0082553A" w:rsidRDefault="003419BD" w:rsidP="00557E27">
            <w:pPr>
              <w:pStyle w:val="O-BodyText"/>
              <w:spacing w:after="120"/>
              <w:ind w:left="720" w:right="65"/>
              <w:jc w:val="both"/>
              <w:rPr>
                <w:rFonts w:ascii="Calibri" w:hAnsi="Calibri" w:cs="Calibri"/>
                <w:b/>
                <w:sz w:val="22"/>
                <w:szCs w:val="22"/>
              </w:rPr>
            </w:pPr>
            <w:r w:rsidRPr="009417CD">
              <w:rPr>
                <w:rFonts w:ascii="Calibri" w:hAnsi="Calibri" w:cs="Calibri"/>
                <w:b/>
                <w:sz w:val="22"/>
                <w:szCs w:val="22"/>
              </w:rPr>
              <w:t>Retailer shall comply with all applicable governmental statutes, laws, rules, regulations, ordinances, codes,</w:t>
            </w:r>
            <w:r>
              <w:t xml:space="preserve"> </w:t>
            </w:r>
            <w:r w:rsidRPr="009417CD">
              <w:rPr>
                <w:rFonts w:ascii="Calibri" w:hAnsi="Calibri" w:cs="Calibri"/>
                <w:b/>
                <w:sz w:val="22"/>
                <w:szCs w:val="22"/>
              </w:rPr>
              <w:t>directives, and orders …, and Retailer is solely responsible for its compliance ….</w:t>
            </w:r>
          </w:p>
        </w:tc>
      </w:tr>
      <w:tr w:rsidR="003419BD" w:rsidRPr="00907D75" w14:paraId="5EED8838" w14:textId="77777777" w:rsidTr="008649A2">
        <w:trPr>
          <w:trHeight w:val="4795"/>
        </w:trPr>
        <w:tc>
          <w:tcPr>
            <w:tcW w:w="5805" w:type="dxa"/>
            <w:vAlign w:val="center"/>
          </w:tcPr>
          <w:p w14:paraId="270162D5" w14:textId="22E16F7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Is it common for contracts to instruct independent contractors to follow the law?</w:t>
            </w:r>
          </w:p>
        </w:tc>
        <w:tc>
          <w:tcPr>
            <w:tcW w:w="5805" w:type="dxa"/>
            <w:vAlign w:val="center"/>
          </w:tcPr>
          <w:p w14:paraId="7B3943DE" w14:textId="66CF725F"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407B5F">
              <w:rPr>
                <w:rFonts w:ascii="Calibri" w:hAnsi="Calibri" w:cs="Calibri"/>
                <w:b/>
                <w:sz w:val="22"/>
                <w:szCs w:val="22"/>
              </w:rPr>
              <w:t>Such contractual provisions are c</w:t>
            </w:r>
            <w:r w:rsidR="00206E03">
              <w:rPr>
                <w:rFonts w:ascii="Calibri" w:hAnsi="Calibri" w:cs="Calibri"/>
                <w:b/>
                <w:sz w:val="22"/>
                <w:szCs w:val="22"/>
              </w:rPr>
              <w:t xml:space="preserve">ommon and essential; it is not </w:t>
            </w:r>
            <w:r w:rsidRPr="00407B5F">
              <w:rPr>
                <w:rFonts w:ascii="Calibri" w:hAnsi="Calibri" w:cs="Calibri"/>
                <w:b/>
                <w:sz w:val="22"/>
                <w:szCs w:val="22"/>
              </w:rPr>
              <w:t>possible to scrutinize every action taken by a nationwide network of independent contractors.</w:t>
            </w:r>
          </w:p>
        </w:tc>
      </w:tr>
      <w:tr w:rsidR="003419BD" w:rsidRPr="00907D75" w14:paraId="6DD7E642" w14:textId="77777777" w:rsidTr="008649A2">
        <w:trPr>
          <w:trHeight w:val="4795"/>
        </w:trPr>
        <w:tc>
          <w:tcPr>
            <w:tcW w:w="5805" w:type="dxa"/>
            <w:vAlign w:val="center"/>
          </w:tcPr>
          <w:p w14:paraId="6DB10FF7" w14:textId="2306B1F7"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Were</w:t>
            </w:r>
            <w:r w:rsidR="00206E03">
              <w:rPr>
                <w:rFonts w:ascii="Calibri" w:hAnsi="Calibri" w:cs="Calibri"/>
                <w:b/>
                <w:sz w:val="28"/>
                <w:szCs w:val="28"/>
              </w:rPr>
              <w:t xml:space="preserve"> </w:t>
            </w:r>
            <w:proofErr w:type="spellStart"/>
            <w:r w:rsidR="00206E03">
              <w:rPr>
                <w:rFonts w:ascii="Calibri" w:hAnsi="Calibri" w:cs="Calibri"/>
                <w:b/>
                <w:sz w:val="28"/>
                <w:szCs w:val="28"/>
              </w:rPr>
              <w:t>DISH’s</w:t>
            </w:r>
            <w:proofErr w:type="spellEnd"/>
            <w:r>
              <w:rPr>
                <w:rFonts w:ascii="Calibri" w:hAnsi="Calibri" w:cs="Calibri"/>
                <w:b/>
                <w:sz w:val="28"/>
                <w:szCs w:val="28"/>
              </w:rPr>
              <w:t xml:space="preserve"> retailers told anything specifically about telemarketing laws?</w:t>
            </w:r>
          </w:p>
        </w:tc>
        <w:tc>
          <w:tcPr>
            <w:tcW w:w="5805" w:type="dxa"/>
            <w:vAlign w:val="center"/>
          </w:tcPr>
          <w:p w14:paraId="3CBE5BE3" w14:textId="676496F7"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5D5D1A">
              <w:rPr>
                <w:rFonts w:ascii="Calibri" w:hAnsi="Calibri" w:cs="Calibri"/>
                <w:b/>
                <w:sz w:val="22"/>
                <w:szCs w:val="22"/>
              </w:rPr>
              <w:t xml:space="preserve">DISH repeatedly stressed that it does “not tolerate or condone marketing activities that fail to comply with … applicable state and federal laws.”  </w:t>
            </w:r>
            <w:r w:rsidR="00206E03">
              <w:rPr>
                <w:rFonts w:ascii="Calibri" w:hAnsi="Calibri" w:cs="Calibri"/>
                <w:b/>
                <w:sz w:val="22"/>
                <w:szCs w:val="22"/>
              </w:rPr>
              <w:t>M</w:t>
            </w:r>
            <w:r>
              <w:rPr>
                <w:rFonts w:ascii="Calibri" w:hAnsi="Calibri" w:cs="Calibri"/>
                <w:b/>
                <w:sz w:val="22"/>
                <w:szCs w:val="22"/>
              </w:rPr>
              <w:t xml:space="preserve">ore specifically, </w:t>
            </w:r>
            <w:r w:rsidRPr="005D5D1A">
              <w:rPr>
                <w:rFonts w:ascii="Calibri" w:hAnsi="Calibri" w:cs="Calibri"/>
                <w:b/>
                <w:sz w:val="22"/>
                <w:szCs w:val="22"/>
              </w:rPr>
              <w:t xml:space="preserve">DISH required retailers to </w:t>
            </w:r>
            <w:r>
              <w:rPr>
                <w:rFonts w:ascii="Calibri" w:hAnsi="Calibri" w:cs="Calibri"/>
                <w:b/>
                <w:sz w:val="22"/>
                <w:szCs w:val="22"/>
              </w:rPr>
              <w:t>c</w:t>
            </w:r>
            <w:r w:rsidRPr="005D5D1A">
              <w:rPr>
                <w:rFonts w:ascii="Calibri" w:hAnsi="Calibri" w:cs="Calibri"/>
                <w:b/>
                <w:sz w:val="22"/>
                <w:szCs w:val="22"/>
              </w:rPr>
              <w:t xml:space="preserve">omply with all applicable state and federal </w:t>
            </w:r>
            <w:r>
              <w:rPr>
                <w:rFonts w:ascii="Calibri" w:hAnsi="Calibri" w:cs="Calibri"/>
                <w:b/>
                <w:sz w:val="22"/>
                <w:szCs w:val="22"/>
              </w:rPr>
              <w:t>“</w:t>
            </w:r>
            <w:r w:rsidRPr="005D5D1A">
              <w:rPr>
                <w:rFonts w:ascii="Calibri" w:hAnsi="Calibri" w:cs="Calibri"/>
                <w:b/>
                <w:sz w:val="22"/>
                <w:szCs w:val="22"/>
              </w:rPr>
              <w:t>Do Not Call</w:t>
            </w:r>
            <w:r>
              <w:rPr>
                <w:rFonts w:ascii="Calibri" w:hAnsi="Calibri" w:cs="Calibri"/>
                <w:b/>
                <w:sz w:val="22"/>
                <w:szCs w:val="22"/>
              </w:rPr>
              <w:t>”</w:t>
            </w:r>
            <w:r w:rsidRPr="005D5D1A">
              <w:rPr>
                <w:rFonts w:ascii="Calibri" w:hAnsi="Calibri" w:cs="Calibri"/>
                <w:b/>
                <w:sz w:val="22"/>
                <w:szCs w:val="22"/>
              </w:rPr>
              <w:t xml:space="preserve"> laws, including</w:t>
            </w:r>
            <w:r>
              <w:rPr>
                <w:rFonts w:ascii="Calibri" w:hAnsi="Calibri" w:cs="Calibri"/>
                <w:b/>
                <w:sz w:val="22"/>
                <w:szCs w:val="22"/>
              </w:rPr>
              <w:t xml:space="preserve"> </w:t>
            </w:r>
            <w:r w:rsidRPr="005D5D1A">
              <w:rPr>
                <w:rFonts w:ascii="Calibri" w:hAnsi="Calibri" w:cs="Calibri"/>
                <w:b/>
                <w:sz w:val="22"/>
                <w:szCs w:val="22"/>
              </w:rPr>
              <w:t xml:space="preserve">the </w:t>
            </w:r>
            <w:r>
              <w:rPr>
                <w:rFonts w:ascii="Calibri" w:hAnsi="Calibri" w:cs="Calibri"/>
                <w:b/>
                <w:sz w:val="22"/>
                <w:szCs w:val="22"/>
              </w:rPr>
              <w:t>TCPA.</w:t>
            </w:r>
          </w:p>
        </w:tc>
      </w:tr>
      <w:tr w:rsidR="003419BD" w:rsidRPr="00907D75" w14:paraId="5BD735BF" w14:textId="77777777" w:rsidTr="008649A2">
        <w:trPr>
          <w:trHeight w:val="4795"/>
        </w:trPr>
        <w:tc>
          <w:tcPr>
            <w:tcW w:w="5805" w:type="dxa"/>
            <w:vAlign w:val="center"/>
          </w:tcPr>
          <w:p w14:paraId="16BEEE60" w14:textId="0632378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Did DISH tell SSN anything about Krakauer specifically?</w:t>
            </w:r>
          </w:p>
        </w:tc>
        <w:tc>
          <w:tcPr>
            <w:tcW w:w="5805" w:type="dxa"/>
            <w:vAlign w:val="center"/>
          </w:tcPr>
          <w:p w14:paraId="35CB85C2" w14:textId="2CFF656C"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861E03">
              <w:rPr>
                <w:rFonts w:ascii="Calibri" w:hAnsi="Calibri" w:cs="Calibri"/>
                <w:b/>
                <w:sz w:val="22"/>
                <w:szCs w:val="22"/>
              </w:rPr>
              <w:t>DISH told SSN not to call Krakauer.</w:t>
            </w:r>
            <w:r>
              <w:t xml:space="preserve">  </w:t>
            </w:r>
            <w:r w:rsidR="00206E03">
              <w:rPr>
                <w:rFonts w:ascii="Calibri" w:hAnsi="Calibri" w:cs="Calibri"/>
                <w:b/>
                <w:sz w:val="22"/>
                <w:szCs w:val="22"/>
              </w:rPr>
              <w:t>After</w:t>
            </w:r>
            <w:r w:rsidRPr="00F77CF9">
              <w:rPr>
                <w:rFonts w:ascii="Calibri" w:hAnsi="Calibri" w:cs="Calibri"/>
                <w:b/>
                <w:sz w:val="22"/>
                <w:szCs w:val="22"/>
              </w:rPr>
              <w:t xml:space="preserve"> Krakauer complained to DISH</w:t>
            </w:r>
            <w:r w:rsidR="00206E03">
              <w:rPr>
                <w:rFonts w:ascii="Calibri" w:hAnsi="Calibri" w:cs="Calibri"/>
                <w:b/>
                <w:sz w:val="22"/>
                <w:szCs w:val="22"/>
              </w:rPr>
              <w:t xml:space="preserve">, </w:t>
            </w:r>
            <w:r w:rsidRPr="00F77CF9">
              <w:rPr>
                <w:rFonts w:ascii="Calibri" w:hAnsi="Calibri" w:cs="Calibri"/>
                <w:b/>
                <w:sz w:val="22"/>
                <w:szCs w:val="22"/>
              </w:rPr>
              <w:t xml:space="preserve">DISH instructed SSN to “immediately </w:t>
            </w:r>
            <w:proofErr w:type="gramStart"/>
            <w:r w:rsidRPr="00F77CF9">
              <w:rPr>
                <w:rFonts w:ascii="Calibri" w:hAnsi="Calibri" w:cs="Calibri"/>
                <w:b/>
                <w:sz w:val="22"/>
                <w:szCs w:val="22"/>
              </w:rPr>
              <w:t>insure</w:t>
            </w:r>
            <w:proofErr w:type="gramEnd"/>
            <w:r w:rsidRPr="00F77CF9">
              <w:rPr>
                <w:rFonts w:ascii="Calibri" w:hAnsi="Calibri" w:cs="Calibri"/>
                <w:b/>
                <w:sz w:val="22"/>
                <w:szCs w:val="22"/>
              </w:rPr>
              <w:t xml:space="preserve"> that this phone number has been added to your int</w:t>
            </w:r>
            <w:r w:rsidR="00206E03">
              <w:rPr>
                <w:rFonts w:ascii="Calibri" w:hAnsi="Calibri" w:cs="Calibri"/>
                <w:b/>
                <w:sz w:val="22"/>
                <w:szCs w:val="22"/>
              </w:rPr>
              <w:t>ernal [Do Not Call] Registry.”</w:t>
            </w:r>
          </w:p>
        </w:tc>
      </w:tr>
      <w:tr w:rsidR="003419BD" w:rsidRPr="00907D75" w14:paraId="305D9B2B" w14:textId="77777777" w:rsidTr="008649A2">
        <w:trPr>
          <w:trHeight w:val="4795"/>
        </w:trPr>
        <w:tc>
          <w:tcPr>
            <w:tcW w:w="5805" w:type="dxa"/>
            <w:vAlign w:val="center"/>
          </w:tcPr>
          <w:p w14:paraId="6492E572" w14:textId="52E93AAB"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How did SSN respond to </w:t>
            </w:r>
            <w:proofErr w:type="spellStart"/>
            <w:r>
              <w:rPr>
                <w:rFonts w:ascii="Calibri" w:hAnsi="Calibri" w:cs="Calibri"/>
                <w:b/>
                <w:sz w:val="28"/>
                <w:szCs w:val="28"/>
              </w:rPr>
              <w:t>DISH’s</w:t>
            </w:r>
            <w:proofErr w:type="spellEnd"/>
            <w:r>
              <w:rPr>
                <w:rFonts w:ascii="Calibri" w:hAnsi="Calibri" w:cs="Calibri"/>
                <w:b/>
                <w:sz w:val="28"/>
                <w:szCs w:val="28"/>
              </w:rPr>
              <w:t xml:space="preserve"> instruction to not call Krakauer?</w:t>
            </w:r>
          </w:p>
        </w:tc>
        <w:tc>
          <w:tcPr>
            <w:tcW w:w="5805" w:type="dxa"/>
            <w:vAlign w:val="center"/>
          </w:tcPr>
          <w:p w14:paraId="72793E72" w14:textId="183F9F57" w:rsidR="003419BD" w:rsidRDefault="003419BD" w:rsidP="00525419">
            <w:pPr>
              <w:pStyle w:val="O-BodyText"/>
              <w:spacing w:after="120"/>
              <w:ind w:left="290" w:right="65"/>
              <w:jc w:val="both"/>
              <w:rPr>
                <w:rFonts w:ascii="Calibri" w:hAnsi="Calibri" w:cs="Calibri"/>
                <w:b/>
                <w:sz w:val="22"/>
                <w:szCs w:val="22"/>
              </w:rPr>
            </w:pPr>
            <w:r w:rsidRPr="00F77CF9">
              <w:rPr>
                <w:rFonts w:ascii="Calibri" w:hAnsi="Calibri" w:cs="Calibri"/>
                <w:b/>
                <w:sz w:val="22"/>
                <w:szCs w:val="22"/>
              </w:rPr>
              <w:t xml:space="preserve">SSN </w:t>
            </w:r>
            <w:r>
              <w:rPr>
                <w:rFonts w:ascii="Calibri" w:hAnsi="Calibri" w:cs="Calibri"/>
                <w:b/>
                <w:sz w:val="22"/>
                <w:szCs w:val="22"/>
              </w:rPr>
              <w:t>told</w:t>
            </w:r>
            <w:r w:rsidRPr="00F77CF9">
              <w:rPr>
                <w:rFonts w:ascii="Calibri" w:hAnsi="Calibri" w:cs="Calibri"/>
                <w:b/>
                <w:sz w:val="22"/>
                <w:szCs w:val="22"/>
              </w:rPr>
              <w:t xml:space="preserve"> DISH that it had addressed the</w:t>
            </w:r>
            <w:r>
              <w:rPr>
                <w:rFonts w:ascii="Calibri" w:hAnsi="Calibri" w:cs="Calibri"/>
                <w:b/>
                <w:sz w:val="22"/>
                <w:szCs w:val="22"/>
              </w:rPr>
              <w:t xml:space="preserve"> </w:t>
            </w:r>
            <w:r w:rsidRPr="00F77CF9">
              <w:rPr>
                <w:rFonts w:ascii="Calibri" w:hAnsi="Calibri" w:cs="Calibri"/>
                <w:b/>
                <w:sz w:val="22"/>
                <w:szCs w:val="22"/>
              </w:rPr>
              <w:t xml:space="preserve">issue, removed Krakauer’s phone number from its list of numbers to be called, and added Krakauer’s phone number to </w:t>
            </w:r>
            <w:r w:rsidR="00206E03">
              <w:rPr>
                <w:rFonts w:ascii="Calibri" w:hAnsi="Calibri" w:cs="Calibri"/>
                <w:b/>
                <w:sz w:val="22"/>
                <w:szCs w:val="22"/>
              </w:rPr>
              <w:t>its internal Do Not Call list.</w:t>
            </w:r>
          </w:p>
        </w:tc>
      </w:tr>
      <w:tr w:rsidR="003419BD" w:rsidRPr="00907D75" w14:paraId="4423E74B" w14:textId="77777777" w:rsidTr="008649A2">
        <w:trPr>
          <w:trHeight w:val="4795"/>
        </w:trPr>
        <w:tc>
          <w:tcPr>
            <w:tcW w:w="5805" w:type="dxa"/>
            <w:vAlign w:val="center"/>
          </w:tcPr>
          <w:p w14:paraId="797336A5" w14:textId="6BC354FB" w:rsidR="003419BD" w:rsidRDefault="001403BC" w:rsidP="00525419">
            <w:pPr>
              <w:pStyle w:val="O-BodyText"/>
              <w:spacing w:after="120"/>
              <w:ind w:right="200"/>
              <w:jc w:val="both"/>
              <w:rPr>
                <w:rFonts w:ascii="Calibri" w:hAnsi="Calibri" w:cs="Calibri"/>
                <w:b/>
                <w:sz w:val="28"/>
                <w:szCs w:val="28"/>
              </w:rPr>
            </w:pPr>
            <w:r>
              <w:rPr>
                <w:rFonts w:ascii="Calibri" w:hAnsi="Calibri" w:cs="Calibri"/>
                <w:b/>
                <w:sz w:val="28"/>
                <w:szCs w:val="28"/>
              </w:rPr>
              <w:t>If SSN exceeded the scope of its authority, how would that</w:t>
            </w:r>
            <w:r w:rsidR="003419BD">
              <w:rPr>
                <w:rFonts w:ascii="Calibri" w:hAnsi="Calibri" w:cs="Calibri"/>
                <w:b/>
                <w:sz w:val="28"/>
                <w:szCs w:val="28"/>
              </w:rPr>
              <w:t xml:space="preserve"> affect the jury verdict?</w:t>
            </w:r>
          </w:p>
        </w:tc>
        <w:tc>
          <w:tcPr>
            <w:tcW w:w="5805" w:type="dxa"/>
            <w:vAlign w:val="center"/>
          </w:tcPr>
          <w:p w14:paraId="54044DA7" w14:textId="7414960F" w:rsidR="003419BD" w:rsidRPr="00F77CF9" w:rsidRDefault="001403BC" w:rsidP="00525419">
            <w:pPr>
              <w:pStyle w:val="O-BodyText"/>
              <w:spacing w:after="120"/>
              <w:ind w:left="290" w:right="65"/>
              <w:jc w:val="both"/>
              <w:rPr>
                <w:rFonts w:ascii="Calibri" w:hAnsi="Calibri" w:cs="Calibri"/>
                <w:b/>
                <w:sz w:val="22"/>
                <w:szCs w:val="22"/>
              </w:rPr>
            </w:pPr>
            <w:r>
              <w:rPr>
                <w:rFonts w:ascii="Calibri" w:hAnsi="Calibri" w:cs="Calibri"/>
                <w:b/>
                <w:sz w:val="22"/>
                <w:szCs w:val="22"/>
              </w:rPr>
              <w:t>It would be</w:t>
            </w:r>
            <w:r w:rsidR="003419BD">
              <w:rPr>
                <w:rFonts w:ascii="Calibri" w:hAnsi="Calibri" w:cs="Calibri"/>
                <w:b/>
                <w:sz w:val="22"/>
                <w:szCs w:val="22"/>
              </w:rPr>
              <w:t xml:space="preserve"> </w:t>
            </w:r>
            <w:r w:rsidR="003419BD" w:rsidRPr="00F77CF9">
              <w:rPr>
                <w:rFonts w:ascii="Calibri" w:hAnsi="Calibri" w:cs="Calibri"/>
                <w:b/>
                <w:sz w:val="22"/>
                <w:szCs w:val="22"/>
              </w:rPr>
              <w:t>critical because, as the court instructed the jury, if Krakauer “fails to establish any essential part of his claim by a preponderance of the evidence, then you should find against him and the class ….”</w:t>
            </w:r>
          </w:p>
        </w:tc>
      </w:tr>
      <w:tr w:rsidR="003419BD" w:rsidRPr="00907D75" w14:paraId="263A8A8D" w14:textId="77777777" w:rsidTr="008649A2">
        <w:trPr>
          <w:trHeight w:val="4795"/>
        </w:trPr>
        <w:tc>
          <w:tcPr>
            <w:tcW w:w="5805" w:type="dxa"/>
            <w:vAlign w:val="center"/>
          </w:tcPr>
          <w:p w14:paraId="3905B97C" w14:textId="6CDB95FB"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When does an agent exceed his authority?</w:t>
            </w:r>
          </w:p>
        </w:tc>
        <w:tc>
          <w:tcPr>
            <w:tcW w:w="5805" w:type="dxa"/>
            <w:vAlign w:val="center"/>
          </w:tcPr>
          <w:p w14:paraId="2BA9A563" w14:textId="1BBB9863" w:rsidR="003419BD" w:rsidRPr="00F77CF9"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00A32094" w:rsidRPr="00BC5275">
              <w:rPr>
                <w:rFonts w:ascii="Calibri" w:hAnsi="Calibri" w:cs="Calibri"/>
                <w:b/>
                <w:i/>
                <w:sz w:val="22"/>
                <w:szCs w:val="22"/>
              </w:rPr>
              <w:t>Standard Accident Ins. Co. v. Simpson</w:t>
            </w:r>
            <w:r w:rsidR="00A32094">
              <w:rPr>
                <w:rFonts w:ascii="Calibri" w:hAnsi="Calibri" w:cs="Calibri"/>
                <w:b/>
                <w:sz w:val="22"/>
                <w:szCs w:val="22"/>
              </w:rPr>
              <w:t xml:space="preserve"> (4th Cir. 1933)</w:t>
            </w:r>
            <w:r>
              <w:rPr>
                <w:rFonts w:ascii="Calibri" w:hAnsi="Calibri" w:cs="Calibri"/>
                <w:b/>
                <w:sz w:val="22"/>
                <w:szCs w:val="22"/>
              </w:rPr>
              <w:t xml:space="preserve">, the 4th Circuit stated that an </w:t>
            </w:r>
            <w:r w:rsidRPr="000D5399">
              <w:rPr>
                <w:rFonts w:ascii="Calibri" w:hAnsi="Calibri" w:cs="Calibri"/>
                <w:b/>
                <w:sz w:val="22"/>
                <w:szCs w:val="22"/>
              </w:rPr>
              <w:t>agent exceeded his authority when the principal “expressly forbade” the conduct</w:t>
            </w:r>
            <w:r>
              <w:rPr>
                <w:rFonts w:ascii="Calibri" w:hAnsi="Calibri" w:cs="Calibri"/>
                <w:b/>
                <w:sz w:val="22"/>
                <w:szCs w:val="22"/>
              </w:rPr>
              <w:t xml:space="preserve">.  The Restatement also explains: </w:t>
            </w:r>
            <w:r w:rsidRPr="000D5399">
              <w:rPr>
                <w:rFonts w:ascii="Calibri" w:hAnsi="Calibri" w:cs="Calibri"/>
                <w:b/>
                <w:sz w:val="22"/>
                <w:szCs w:val="22"/>
              </w:rPr>
              <w:t>“[A]n agent’s actual authority extends only to acts that the agent reasonably believes the principal has authorized o</w:t>
            </w:r>
            <w:r>
              <w:rPr>
                <w:rFonts w:ascii="Calibri" w:hAnsi="Calibri" w:cs="Calibri"/>
                <w:b/>
                <w:sz w:val="22"/>
                <w:szCs w:val="22"/>
              </w:rPr>
              <w:t xml:space="preserve">r wishes the agent to perform.” </w:t>
            </w:r>
            <w:r w:rsidRPr="000D5399">
              <w:rPr>
                <w:rFonts w:ascii="Calibri" w:hAnsi="Calibri" w:cs="Calibri"/>
                <w:b/>
                <w:sz w:val="22"/>
                <w:szCs w:val="22"/>
              </w:rPr>
              <w:t>Restatement</w:t>
            </w:r>
            <w:r w:rsidR="00A32094">
              <w:rPr>
                <w:rFonts w:ascii="Calibri" w:hAnsi="Calibri" w:cs="Calibri"/>
                <w:b/>
                <w:sz w:val="22"/>
                <w:szCs w:val="22"/>
              </w:rPr>
              <w:t xml:space="preserve"> (Third) of Agency § 2.02 </w:t>
            </w:r>
            <w:proofErr w:type="spellStart"/>
            <w:r w:rsidR="00A32094">
              <w:rPr>
                <w:rFonts w:ascii="Calibri" w:hAnsi="Calibri" w:cs="Calibri"/>
                <w:b/>
                <w:sz w:val="22"/>
                <w:szCs w:val="22"/>
              </w:rPr>
              <w:t>cmt</w:t>
            </w:r>
            <w:proofErr w:type="spellEnd"/>
            <w:proofErr w:type="gramStart"/>
            <w:r w:rsidR="00A32094">
              <w:rPr>
                <w:rFonts w:ascii="Calibri" w:hAnsi="Calibri" w:cs="Calibri"/>
                <w:b/>
                <w:sz w:val="22"/>
                <w:szCs w:val="22"/>
              </w:rPr>
              <w:t xml:space="preserve">. </w:t>
            </w:r>
            <w:proofErr w:type="gramEnd"/>
            <w:r w:rsidR="00A32094">
              <w:rPr>
                <w:rFonts w:ascii="Calibri" w:hAnsi="Calibri" w:cs="Calibri"/>
                <w:b/>
                <w:sz w:val="22"/>
                <w:szCs w:val="22"/>
              </w:rPr>
              <w:t>g</w:t>
            </w:r>
            <w:r>
              <w:rPr>
                <w:rFonts w:ascii="Calibri" w:hAnsi="Calibri" w:cs="Calibri"/>
                <w:b/>
                <w:sz w:val="22"/>
                <w:szCs w:val="22"/>
              </w:rPr>
              <w:t>.</w:t>
            </w:r>
          </w:p>
        </w:tc>
      </w:tr>
      <w:tr w:rsidR="003419BD" w:rsidRPr="00907D75" w14:paraId="4D9092DA" w14:textId="77777777" w:rsidTr="008649A2">
        <w:trPr>
          <w:trHeight w:val="4795"/>
        </w:trPr>
        <w:tc>
          <w:tcPr>
            <w:tcW w:w="5805" w:type="dxa"/>
            <w:vAlign w:val="center"/>
          </w:tcPr>
          <w:p w14:paraId="657DF2A6" w14:textId="1810B2CC"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evidence is there that SSN exceeded its authority?</w:t>
            </w:r>
          </w:p>
        </w:tc>
        <w:tc>
          <w:tcPr>
            <w:tcW w:w="5805" w:type="dxa"/>
            <w:vAlign w:val="center"/>
          </w:tcPr>
          <w:p w14:paraId="2BD2B5AE" w14:textId="139E18EE" w:rsidR="003419BD" w:rsidRDefault="002877E5" w:rsidP="00525419">
            <w:pPr>
              <w:pStyle w:val="O-BodyText"/>
              <w:spacing w:after="120"/>
              <w:ind w:left="290" w:right="65"/>
              <w:jc w:val="both"/>
              <w:rPr>
                <w:rFonts w:ascii="Calibri" w:hAnsi="Calibri" w:cs="Calibri"/>
                <w:b/>
                <w:sz w:val="22"/>
                <w:szCs w:val="22"/>
              </w:rPr>
            </w:pPr>
            <w:r w:rsidRPr="002877E5">
              <w:rPr>
                <w:rFonts w:ascii="Calibri" w:hAnsi="Calibri" w:cs="Calibri"/>
                <w:b/>
                <w:sz w:val="22"/>
                <w:szCs w:val="22"/>
              </w:rPr>
              <w:t>(1</w:t>
            </w:r>
            <w:r>
              <w:rPr>
                <w:rFonts w:ascii="Calibri" w:hAnsi="Calibri" w:cs="Calibri"/>
                <w:b/>
                <w:sz w:val="22"/>
                <w:szCs w:val="22"/>
              </w:rPr>
              <w:t>) SSN</w:t>
            </w:r>
            <w:r w:rsidR="003419BD">
              <w:rPr>
                <w:rFonts w:ascii="Calibri" w:hAnsi="Calibri" w:cs="Calibri"/>
                <w:b/>
                <w:sz w:val="22"/>
                <w:szCs w:val="22"/>
              </w:rPr>
              <w:t xml:space="preserve"> disregarded </w:t>
            </w:r>
            <w:proofErr w:type="spellStart"/>
            <w:r w:rsidR="003419BD" w:rsidRPr="0004705D">
              <w:rPr>
                <w:rFonts w:ascii="Calibri" w:hAnsi="Calibri" w:cs="Calibri"/>
                <w:b/>
                <w:sz w:val="22"/>
                <w:szCs w:val="22"/>
              </w:rPr>
              <w:t>DISH’s</w:t>
            </w:r>
            <w:proofErr w:type="spellEnd"/>
            <w:r w:rsidR="003419BD" w:rsidRPr="0004705D">
              <w:rPr>
                <w:rFonts w:ascii="Calibri" w:hAnsi="Calibri" w:cs="Calibri"/>
                <w:b/>
                <w:sz w:val="22"/>
                <w:szCs w:val="22"/>
              </w:rPr>
              <w:t xml:space="preserve"> instructions </w:t>
            </w:r>
            <w:r>
              <w:rPr>
                <w:rFonts w:ascii="Calibri" w:hAnsi="Calibri" w:cs="Calibri"/>
                <w:b/>
                <w:sz w:val="22"/>
                <w:szCs w:val="22"/>
              </w:rPr>
              <w:t xml:space="preserve">to not call </w:t>
            </w:r>
            <w:r w:rsidR="003419BD" w:rsidRPr="0004705D">
              <w:rPr>
                <w:rFonts w:ascii="Calibri" w:hAnsi="Calibri" w:cs="Calibri"/>
                <w:b/>
                <w:sz w:val="22"/>
                <w:szCs w:val="22"/>
              </w:rPr>
              <w:t>Kra</w:t>
            </w:r>
            <w:r w:rsidR="003419BD">
              <w:rPr>
                <w:rFonts w:ascii="Calibri" w:hAnsi="Calibri" w:cs="Calibri"/>
                <w:b/>
                <w:sz w:val="22"/>
                <w:szCs w:val="22"/>
              </w:rPr>
              <w:t>kauer</w:t>
            </w:r>
            <w:r>
              <w:rPr>
                <w:rFonts w:ascii="Calibri" w:hAnsi="Calibri" w:cs="Calibri"/>
                <w:b/>
                <w:sz w:val="22"/>
                <w:szCs w:val="22"/>
              </w:rPr>
              <w:t xml:space="preserve">; and (2) </w:t>
            </w:r>
            <w:proofErr w:type="gramStart"/>
            <w:r>
              <w:rPr>
                <w:rFonts w:ascii="Calibri" w:hAnsi="Calibri" w:cs="Calibri"/>
                <w:b/>
                <w:sz w:val="22"/>
                <w:szCs w:val="22"/>
              </w:rPr>
              <w:t>It</w:t>
            </w:r>
            <w:proofErr w:type="gramEnd"/>
            <w:r>
              <w:rPr>
                <w:rFonts w:ascii="Calibri" w:hAnsi="Calibri" w:cs="Calibri"/>
                <w:b/>
                <w:sz w:val="22"/>
                <w:szCs w:val="22"/>
              </w:rPr>
              <w:t xml:space="preserve"> </w:t>
            </w:r>
            <w:r w:rsidR="003419BD" w:rsidRPr="0004705D">
              <w:rPr>
                <w:rFonts w:ascii="Calibri" w:hAnsi="Calibri" w:cs="Calibri"/>
                <w:b/>
                <w:sz w:val="22"/>
                <w:szCs w:val="22"/>
              </w:rPr>
              <w:t>disregard</w:t>
            </w:r>
            <w:r w:rsidR="003419BD">
              <w:rPr>
                <w:rFonts w:ascii="Calibri" w:hAnsi="Calibri" w:cs="Calibri"/>
                <w:b/>
                <w:sz w:val="22"/>
                <w:szCs w:val="22"/>
              </w:rPr>
              <w:t>ed</w:t>
            </w:r>
            <w:r w:rsidR="003419BD" w:rsidRPr="0004705D">
              <w:rPr>
                <w:rFonts w:ascii="Calibri" w:hAnsi="Calibri" w:cs="Calibri"/>
                <w:b/>
                <w:sz w:val="22"/>
                <w:szCs w:val="22"/>
              </w:rPr>
              <w:t xml:space="preserve"> </w:t>
            </w:r>
            <w:proofErr w:type="spellStart"/>
            <w:r w:rsidR="003419BD" w:rsidRPr="0004705D">
              <w:rPr>
                <w:rFonts w:ascii="Calibri" w:hAnsi="Calibri" w:cs="Calibri"/>
                <w:b/>
                <w:sz w:val="22"/>
                <w:szCs w:val="22"/>
              </w:rPr>
              <w:t>DISH’s</w:t>
            </w:r>
            <w:proofErr w:type="spellEnd"/>
            <w:r w:rsidR="003419BD" w:rsidRPr="0004705D">
              <w:rPr>
                <w:rFonts w:ascii="Calibri" w:hAnsi="Calibri" w:cs="Calibri"/>
                <w:b/>
                <w:sz w:val="22"/>
                <w:szCs w:val="22"/>
              </w:rPr>
              <w:t xml:space="preserve"> other, repeated instructions to comply with the law, including telemarketing laws</w:t>
            </w:r>
            <w:r>
              <w:rPr>
                <w:rFonts w:ascii="Calibri" w:hAnsi="Calibri" w:cs="Calibri"/>
                <w:b/>
                <w:sz w:val="22"/>
                <w:szCs w:val="22"/>
              </w:rPr>
              <w:t>.</w:t>
            </w:r>
          </w:p>
        </w:tc>
      </w:tr>
      <w:tr w:rsidR="002877E5" w:rsidRPr="00907D75" w14:paraId="17175394" w14:textId="77777777" w:rsidTr="008649A2">
        <w:trPr>
          <w:trHeight w:val="4795"/>
        </w:trPr>
        <w:tc>
          <w:tcPr>
            <w:tcW w:w="5805" w:type="dxa"/>
            <w:vAlign w:val="center"/>
          </w:tcPr>
          <w:p w14:paraId="55F82740" w14:textId="30AD2198" w:rsidR="002877E5" w:rsidRDefault="002877E5" w:rsidP="00525419">
            <w:pPr>
              <w:pStyle w:val="O-BodyText"/>
              <w:spacing w:after="120"/>
              <w:ind w:right="200"/>
              <w:jc w:val="both"/>
              <w:rPr>
                <w:rFonts w:ascii="Calibri" w:hAnsi="Calibri" w:cs="Calibri"/>
                <w:b/>
                <w:sz w:val="28"/>
                <w:szCs w:val="28"/>
              </w:rPr>
            </w:pPr>
            <w:r>
              <w:rPr>
                <w:rFonts w:ascii="Calibri" w:hAnsi="Calibri" w:cs="Calibri"/>
                <w:b/>
                <w:sz w:val="28"/>
                <w:szCs w:val="28"/>
              </w:rPr>
              <w:t>What does it mean when an agent goes against the principal’s instructions?</w:t>
            </w:r>
          </w:p>
        </w:tc>
        <w:tc>
          <w:tcPr>
            <w:tcW w:w="5805" w:type="dxa"/>
            <w:vAlign w:val="center"/>
          </w:tcPr>
          <w:p w14:paraId="2C06AC93" w14:textId="53412E2F" w:rsidR="002877E5" w:rsidRPr="002877E5" w:rsidRDefault="002877E5" w:rsidP="00525419">
            <w:pPr>
              <w:pStyle w:val="O-BodyText"/>
              <w:spacing w:after="120"/>
              <w:ind w:left="290" w:right="65"/>
              <w:jc w:val="both"/>
              <w:rPr>
                <w:rFonts w:ascii="Calibri" w:hAnsi="Calibri" w:cs="Calibri"/>
                <w:b/>
                <w:sz w:val="22"/>
                <w:szCs w:val="22"/>
              </w:rPr>
            </w:pPr>
            <w:r w:rsidRPr="0004705D">
              <w:rPr>
                <w:rFonts w:ascii="Calibri" w:hAnsi="Calibri" w:cs="Calibri"/>
                <w:b/>
                <w:sz w:val="22"/>
                <w:szCs w:val="22"/>
              </w:rPr>
              <w:t xml:space="preserve">When an agent “expressly contradict[s]” the principal’s “actual instructions, this is clearly not express … agency.”  </w:t>
            </w:r>
            <w:r w:rsidRPr="0004705D">
              <w:rPr>
                <w:rFonts w:ascii="Calibri" w:hAnsi="Calibri" w:cs="Calibri"/>
                <w:b/>
                <w:i/>
                <w:sz w:val="22"/>
                <w:szCs w:val="22"/>
              </w:rPr>
              <w:t>Bridgeview Health</w:t>
            </w:r>
            <w:r w:rsidRPr="0004705D">
              <w:rPr>
                <w:i/>
              </w:rPr>
              <w:t xml:space="preserve"> </w:t>
            </w:r>
            <w:r w:rsidRPr="0004705D">
              <w:rPr>
                <w:rFonts w:ascii="Calibri" w:hAnsi="Calibri" w:cs="Calibri"/>
                <w:b/>
                <w:i/>
                <w:sz w:val="22"/>
                <w:szCs w:val="22"/>
              </w:rPr>
              <w:t>Care Ctr. v. Clark</w:t>
            </w:r>
            <w:r w:rsidRPr="0004705D">
              <w:rPr>
                <w:rFonts w:ascii="Calibri" w:hAnsi="Calibri" w:cs="Calibri"/>
                <w:b/>
                <w:sz w:val="22"/>
                <w:szCs w:val="22"/>
              </w:rPr>
              <w:t xml:space="preserve"> (7th Cir.</w:t>
            </w:r>
            <w:r>
              <w:rPr>
                <w:rFonts w:ascii="Calibri" w:hAnsi="Calibri" w:cs="Calibri"/>
                <w:b/>
                <w:sz w:val="22"/>
                <w:szCs w:val="22"/>
              </w:rPr>
              <w:t xml:space="preserve"> 2016</w:t>
            </w:r>
            <w:r w:rsidRPr="0004705D">
              <w:rPr>
                <w:rFonts w:ascii="Calibri" w:hAnsi="Calibri" w:cs="Calibri"/>
                <w:b/>
                <w:sz w:val="22"/>
                <w:szCs w:val="22"/>
              </w:rPr>
              <w:t xml:space="preserve">), </w:t>
            </w:r>
            <w:r w:rsidRPr="0004705D">
              <w:rPr>
                <w:rFonts w:ascii="Calibri" w:hAnsi="Calibri" w:cs="Calibri"/>
                <w:b/>
                <w:i/>
                <w:sz w:val="22"/>
                <w:szCs w:val="22"/>
              </w:rPr>
              <w:t>cert. denied</w:t>
            </w:r>
            <w:r>
              <w:rPr>
                <w:rFonts w:ascii="Calibri" w:hAnsi="Calibri" w:cs="Calibri"/>
                <w:b/>
                <w:sz w:val="22"/>
                <w:szCs w:val="22"/>
              </w:rPr>
              <w:t xml:space="preserve"> (</w:t>
            </w:r>
            <w:r w:rsidRPr="0004705D">
              <w:rPr>
                <w:rFonts w:ascii="Calibri" w:hAnsi="Calibri" w:cs="Calibri"/>
                <w:b/>
                <w:sz w:val="22"/>
                <w:szCs w:val="22"/>
              </w:rPr>
              <w:t>S. Ct. 2016)</w:t>
            </w:r>
            <w:r>
              <w:rPr>
                <w:rFonts w:ascii="Calibri" w:hAnsi="Calibri" w:cs="Calibri"/>
                <w:b/>
                <w:sz w:val="22"/>
                <w:szCs w:val="22"/>
              </w:rPr>
              <w:t>.</w:t>
            </w:r>
          </w:p>
        </w:tc>
      </w:tr>
      <w:tr w:rsidR="003419BD" w:rsidRPr="00907D75" w14:paraId="473D5D6D" w14:textId="77777777" w:rsidTr="008649A2">
        <w:trPr>
          <w:trHeight w:val="4795"/>
        </w:trPr>
        <w:tc>
          <w:tcPr>
            <w:tcW w:w="5805" w:type="dxa"/>
            <w:vAlign w:val="center"/>
          </w:tcPr>
          <w:p w14:paraId="408252DA" w14:textId="49D1E687"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happened in </w:t>
            </w:r>
            <w:r w:rsidRPr="007325C8">
              <w:rPr>
                <w:rFonts w:ascii="Calibri" w:hAnsi="Calibri" w:cs="Calibri"/>
                <w:b/>
                <w:i/>
                <w:sz w:val="28"/>
                <w:szCs w:val="28"/>
              </w:rPr>
              <w:t>Bridgeview Health Care Ctr. v. Clark</w:t>
            </w:r>
            <w:r w:rsidRPr="007325C8">
              <w:rPr>
                <w:rFonts w:ascii="Calibri" w:hAnsi="Calibri" w:cs="Calibri"/>
                <w:b/>
                <w:sz w:val="28"/>
                <w:szCs w:val="28"/>
              </w:rPr>
              <w:t xml:space="preserve"> (7th Cir. 2016</w:t>
            </w:r>
            <w:r>
              <w:rPr>
                <w:rFonts w:ascii="Calibri" w:hAnsi="Calibri" w:cs="Calibri"/>
                <w:b/>
                <w:sz w:val="28"/>
                <w:szCs w:val="28"/>
              </w:rPr>
              <w:t>)?</w:t>
            </w:r>
          </w:p>
        </w:tc>
        <w:tc>
          <w:tcPr>
            <w:tcW w:w="5805" w:type="dxa"/>
            <w:vAlign w:val="center"/>
          </w:tcPr>
          <w:p w14:paraId="62B14F55" w14:textId="2CF04AF5" w:rsidR="003419BD" w:rsidRDefault="00886C10" w:rsidP="00525419">
            <w:pPr>
              <w:pStyle w:val="O-BodyText"/>
              <w:spacing w:after="120"/>
              <w:ind w:left="290" w:right="65"/>
              <w:jc w:val="both"/>
              <w:rPr>
                <w:rFonts w:ascii="Calibri" w:hAnsi="Calibri" w:cs="Calibri"/>
                <w:b/>
                <w:sz w:val="22"/>
                <w:szCs w:val="22"/>
              </w:rPr>
            </w:pPr>
            <w:r w:rsidRPr="00886C10">
              <w:rPr>
                <w:rFonts w:ascii="Calibri" w:hAnsi="Calibri" w:cs="Calibri"/>
                <w:b/>
                <w:i/>
                <w:sz w:val="22"/>
                <w:szCs w:val="22"/>
              </w:rPr>
              <w:t>Bridgeview Health Care Ctr. v. Clark</w:t>
            </w:r>
            <w:r w:rsidR="003419BD" w:rsidRPr="007325C8">
              <w:rPr>
                <w:rFonts w:ascii="Calibri" w:hAnsi="Calibri" w:cs="Calibri"/>
                <w:b/>
                <w:sz w:val="22"/>
                <w:szCs w:val="22"/>
              </w:rPr>
              <w:t xml:space="preserve"> </w:t>
            </w:r>
            <w:r w:rsidR="003419BD">
              <w:rPr>
                <w:rFonts w:ascii="Calibri" w:hAnsi="Calibri" w:cs="Calibri"/>
                <w:b/>
                <w:sz w:val="22"/>
                <w:szCs w:val="22"/>
              </w:rPr>
              <w:t xml:space="preserve">(7th Cir. 2016) </w:t>
            </w:r>
            <w:r w:rsidR="003419BD" w:rsidRPr="007325C8">
              <w:rPr>
                <w:rFonts w:ascii="Calibri" w:hAnsi="Calibri" w:cs="Calibri"/>
                <w:b/>
                <w:sz w:val="22"/>
                <w:szCs w:val="22"/>
              </w:rPr>
              <w:t>is closely analogous</w:t>
            </w:r>
            <w:r>
              <w:rPr>
                <w:rFonts w:ascii="Calibri" w:hAnsi="Calibri" w:cs="Calibri"/>
                <w:b/>
                <w:sz w:val="22"/>
                <w:szCs w:val="22"/>
              </w:rPr>
              <w:t xml:space="preserve"> to this case</w:t>
            </w:r>
            <w:r w:rsidR="003419BD" w:rsidRPr="007325C8">
              <w:rPr>
                <w:rFonts w:ascii="Calibri" w:hAnsi="Calibri" w:cs="Calibri"/>
                <w:b/>
                <w:sz w:val="22"/>
                <w:szCs w:val="22"/>
              </w:rPr>
              <w:t xml:space="preserve">.  In </w:t>
            </w:r>
            <w:r w:rsidRPr="00886C10">
              <w:rPr>
                <w:rFonts w:ascii="Calibri" w:hAnsi="Calibri" w:cs="Calibri"/>
                <w:b/>
                <w:i/>
                <w:sz w:val="22"/>
                <w:szCs w:val="22"/>
              </w:rPr>
              <w:t>Bridgeview</w:t>
            </w:r>
            <w:r w:rsidR="003419BD" w:rsidRPr="007325C8">
              <w:rPr>
                <w:rFonts w:ascii="Calibri" w:hAnsi="Calibri" w:cs="Calibri"/>
                <w:b/>
                <w:sz w:val="22"/>
                <w:szCs w:val="22"/>
              </w:rPr>
              <w:t>, the defendant</w:t>
            </w:r>
            <w:r w:rsidR="003419BD">
              <w:rPr>
                <w:rFonts w:ascii="Calibri" w:hAnsi="Calibri" w:cs="Calibri"/>
                <w:b/>
                <w:sz w:val="22"/>
                <w:szCs w:val="22"/>
              </w:rPr>
              <w:t xml:space="preserve"> </w:t>
            </w:r>
            <w:r w:rsidR="003419BD" w:rsidRPr="007325C8">
              <w:rPr>
                <w:rFonts w:ascii="Calibri" w:hAnsi="Calibri" w:cs="Calibri"/>
                <w:b/>
                <w:sz w:val="22"/>
                <w:szCs w:val="22"/>
              </w:rPr>
              <w:t xml:space="preserve">contracted with a marketer to send about 100 faxes to local businesses within a 20-mile radius.  Instead, the marketer sent nearly 5,000 faxes across three states in violation of the TCPA.  The </w:t>
            </w:r>
            <w:r>
              <w:rPr>
                <w:rFonts w:ascii="Calibri" w:hAnsi="Calibri" w:cs="Calibri"/>
                <w:b/>
                <w:sz w:val="22"/>
                <w:szCs w:val="22"/>
              </w:rPr>
              <w:t>7th</w:t>
            </w:r>
            <w:r w:rsidR="003419BD" w:rsidRPr="007325C8">
              <w:rPr>
                <w:rFonts w:ascii="Calibri" w:hAnsi="Calibri" w:cs="Calibri"/>
                <w:b/>
                <w:sz w:val="22"/>
                <w:szCs w:val="22"/>
              </w:rPr>
              <w:t xml:space="preserve"> Circuit held that the defendant could not be held liable for faxes sent outside the scope of </w:t>
            </w:r>
            <w:r>
              <w:rPr>
                <w:rFonts w:ascii="Calibri" w:hAnsi="Calibri" w:cs="Calibri"/>
                <w:b/>
                <w:sz w:val="22"/>
                <w:szCs w:val="22"/>
              </w:rPr>
              <w:t>its</w:t>
            </w:r>
            <w:r w:rsidR="003419BD">
              <w:rPr>
                <w:rFonts w:ascii="Calibri" w:hAnsi="Calibri" w:cs="Calibri"/>
                <w:b/>
                <w:sz w:val="22"/>
                <w:szCs w:val="22"/>
              </w:rPr>
              <w:t xml:space="preserve"> authorization.</w:t>
            </w:r>
          </w:p>
        </w:tc>
      </w:tr>
      <w:tr w:rsidR="003419BD" w:rsidRPr="00907D75" w14:paraId="74EA3823" w14:textId="77777777" w:rsidTr="008649A2">
        <w:trPr>
          <w:trHeight w:val="4795"/>
        </w:trPr>
        <w:tc>
          <w:tcPr>
            <w:tcW w:w="5805" w:type="dxa"/>
            <w:vAlign w:val="center"/>
          </w:tcPr>
          <w:p w14:paraId="34DE1621" w14:textId="72FAFE8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court say in </w:t>
            </w:r>
            <w:r w:rsidRPr="0089000D">
              <w:rPr>
                <w:rFonts w:ascii="Calibri" w:hAnsi="Calibri" w:cs="Calibri"/>
                <w:b/>
                <w:i/>
                <w:sz w:val="28"/>
                <w:szCs w:val="28"/>
              </w:rPr>
              <w:t xml:space="preserve">Jones v. Royal Admin. </w:t>
            </w:r>
            <w:proofErr w:type="gramStart"/>
            <w:r w:rsidRPr="0089000D">
              <w:rPr>
                <w:rFonts w:ascii="Calibri" w:hAnsi="Calibri" w:cs="Calibri"/>
                <w:b/>
                <w:i/>
                <w:sz w:val="28"/>
                <w:szCs w:val="28"/>
              </w:rPr>
              <w:t>Servs.</w:t>
            </w:r>
            <w:proofErr w:type="gramEnd"/>
            <w:r w:rsidRPr="0089000D">
              <w:rPr>
                <w:rFonts w:ascii="Calibri" w:hAnsi="Calibri" w:cs="Calibri"/>
                <w:b/>
                <w:sz w:val="28"/>
                <w:szCs w:val="28"/>
              </w:rPr>
              <w:t xml:space="preserve"> </w:t>
            </w:r>
            <w:r>
              <w:rPr>
                <w:rFonts w:ascii="Calibri" w:hAnsi="Calibri" w:cs="Calibri"/>
                <w:b/>
                <w:sz w:val="28"/>
                <w:szCs w:val="28"/>
              </w:rPr>
              <w:t>(9th Cir. 2018)?</w:t>
            </w:r>
          </w:p>
        </w:tc>
        <w:tc>
          <w:tcPr>
            <w:tcW w:w="5805" w:type="dxa"/>
            <w:vAlign w:val="center"/>
          </w:tcPr>
          <w:p w14:paraId="4703B958" w14:textId="6DECF652" w:rsidR="003419BD" w:rsidRPr="0089000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4C5074">
              <w:rPr>
                <w:rFonts w:ascii="Calibri" w:hAnsi="Calibri" w:cs="Calibri"/>
                <w:b/>
                <w:i/>
                <w:sz w:val="22"/>
                <w:szCs w:val="22"/>
              </w:rPr>
              <w:t>Jones v. Royal Admin. Servs</w:t>
            </w:r>
            <w:proofErr w:type="gramStart"/>
            <w:r w:rsidRPr="004C5074">
              <w:rPr>
                <w:rFonts w:ascii="Calibri" w:hAnsi="Calibri" w:cs="Calibri"/>
                <w:b/>
                <w:i/>
                <w:sz w:val="22"/>
                <w:szCs w:val="22"/>
              </w:rPr>
              <w:t>.</w:t>
            </w:r>
            <w:r>
              <w:rPr>
                <w:rFonts w:ascii="Calibri" w:hAnsi="Calibri" w:cs="Calibri"/>
                <w:b/>
                <w:sz w:val="22"/>
                <w:szCs w:val="22"/>
              </w:rPr>
              <w:t xml:space="preserve"> </w:t>
            </w:r>
            <w:proofErr w:type="gramEnd"/>
            <w:r>
              <w:rPr>
                <w:rFonts w:ascii="Calibri" w:hAnsi="Calibri" w:cs="Calibri"/>
                <w:b/>
                <w:sz w:val="22"/>
                <w:szCs w:val="22"/>
              </w:rPr>
              <w:t xml:space="preserve">(9th Cir. 2018), the 9th Circuit said that a </w:t>
            </w:r>
            <w:r w:rsidRPr="0089000D">
              <w:rPr>
                <w:rFonts w:ascii="Calibri" w:hAnsi="Calibri" w:cs="Calibri"/>
                <w:b/>
                <w:sz w:val="22"/>
                <w:szCs w:val="22"/>
              </w:rPr>
              <w:t>contract between a company</w:t>
            </w:r>
            <w:r>
              <w:rPr>
                <w:rFonts w:ascii="Calibri" w:hAnsi="Calibri" w:cs="Calibri"/>
                <w:b/>
                <w:sz w:val="22"/>
                <w:szCs w:val="22"/>
              </w:rPr>
              <w:t xml:space="preserve"> </w:t>
            </w:r>
            <w:r w:rsidR="00886C10">
              <w:rPr>
                <w:rFonts w:ascii="Calibri" w:hAnsi="Calibri" w:cs="Calibri"/>
                <w:b/>
                <w:sz w:val="22"/>
                <w:szCs w:val="22"/>
              </w:rPr>
              <w:t xml:space="preserve">and its marketer </w:t>
            </w:r>
            <w:r w:rsidRPr="0089000D">
              <w:rPr>
                <w:rFonts w:ascii="Calibri" w:hAnsi="Calibri" w:cs="Calibri"/>
                <w:b/>
                <w:sz w:val="22"/>
                <w:szCs w:val="22"/>
              </w:rPr>
              <w:t>prohibiting telemarketing methods that would violate state or federal</w:t>
            </w:r>
            <w:r>
              <w:rPr>
                <w:rFonts w:ascii="Calibri" w:hAnsi="Calibri" w:cs="Calibri"/>
                <w:b/>
                <w:sz w:val="22"/>
                <w:szCs w:val="22"/>
              </w:rPr>
              <w:t xml:space="preserve"> law</w:t>
            </w:r>
            <w:r w:rsidR="00886C10">
              <w:rPr>
                <w:rFonts w:ascii="Calibri" w:hAnsi="Calibri" w:cs="Calibri"/>
                <w:b/>
                <w:sz w:val="22"/>
                <w:szCs w:val="22"/>
              </w:rPr>
              <w:t xml:space="preserve"> </w:t>
            </w:r>
            <w:r>
              <w:rPr>
                <w:rFonts w:ascii="Calibri" w:hAnsi="Calibri" w:cs="Calibri"/>
                <w:b/>
                <w:sz w:val="22"/>
                <w:szCs w:val="22"/>
              </w:rPr>
              <w:t>preclude</w:t>
            </w:r>
            <w:r w:rsidR="00886C10">
              <w:rPr>
                <w:rFonts w:ascii="Calibri" w:hAnsi="Calibri" w:cs="Calibri"/>
                <w:b/>
                <w:sz w:val="22"/>
                <w:szCs w:val="22"/>
              </w:rPr>
              <w:t>s</w:t>
            </w:r>
            <w:r>
              <w:rPr>
                <w:rFonts w:ascii="Calibri" w:hAnsi="Calibri" w:cs="Calibri"/>
                <w:b/>
                <w:sz w:val="22"/>
                <w:szCs w:val="22"/>
              </w:rPr>
              <w:t xml:space="preserve"> liability.</w:t>
            </w:r>
          </w:p>
        </w:tc>
      </w:tr>
      <w:tr w:rsidR="003419BD" w:rsidRPr="00907D75" w14:paraId="31092D37" w14:textId="77777777" w:rsidTr="008649A2">
        <w:trPr>
          <w:trHeight w:val="4795"/>
        </w:trPr>
        <w:tc>
          <w:tcPr>
            <w:tcW w:w="5805" w:type="dxa"/>
            <w:vAlign w:val="center"/>
          </w:tcPr>
          <w:p w14:paraId="693F8D47" w14:textId="17A81C29"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Why did the district court conclude that DISH could be liable actions taken outside of SSN’s authority?</w:t>
            </w:r>
          </w:p>
        </w:tc>
        <w:tc>
          <w:tcPr>
            <w:tcW w:w="5805" w:type="dxa"/>
            <w:vAlign w:val="center"/>
          </w:tcPr>
          <w:p w14:paraId="461BBC07" w14:textId="713420F8"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911AFA">
              <w:rPr>
                <w:rFonts w:ascii="Calibri" w:hAnsi="Calibri" w:cs="Calibri"/>
                <w:b/>
                <w:sz w:val="22"/>
                <w:szCs w:val="22"/>
              </w:rPr>
              <w:t>he court</w:t>
            </w:r>
            <w:r w:rsidR="00203E24">
              <w:rPr>
                <w:rFonts w:ascii="Calibri" w:hAnsi="Calibri" w:cs="Calibri"/>
                <w:b/>
                <w:sz w:val="22"/>
                <w:szCs w:val="22"/>
              </w:rPr>
              <w:t xml:space="preserve"> said </w:t>
            </w:r>
            <w:r w:rsidR="005E3D60">
              <w:rPr>
                <w:rFonts w:ascii="Calibri" w:hAnsi="Calibri" w:cs="Calibri"/>
                <w:b/>
                <w:sz w:val="22"/>
                <w:szCs w:val="22"/>
              </w:rPr>
              <w:t xml:space="preserve">that DISH </w:t>
            </w:r>
            <w:r>
              <w:rPr>
                <w:rFonts w:ascii="Calibri" w:hAnsi="Calibri" w:cs="Calibri"/>
                <w:b/>
                <w:sz w:val="22"/>
                <w:szCs w:val="22"/>
              </w:rPr>
              <w:t>fail</w:t>
            </w:r>
            <w:r w:rsidR="005E3D60">
              <w:rPr>
                <w:rFonts w:ascii="Calibri" w:hAnsi="Calibri" w:cs="Calibri"/>
                <w:b/>
                <w:sz w:val="22"/>
                <w:szCs w:val="22"/>
              </w:rPr>
              <w:t>ed</w:t>
            </w:r>
            <w:r>
              <w:rPr>
                <w:rFonts w:ascii="Calibri" w:hAnsi="Calibri" w:cs="Calibri"/>
                <w:b/>
                <w:sz w:val="22"/>
                <w:szCs w:val="22"/>
              </w:rPr>
              <w:t xml:space="preserve"> </w:t>
            </w:r>
            <w:r w:rsidRPr="00911AFA">
              <w:rPr>
                <w:rFonts w:ascii="Calibri" w:hAnsi="Calibri" w:cs="Calibri"/>
                <w:b/>
                <w:sz w:val="22"/>
                <w:szCs w:val="22"/>
              </w:rPr>
              <w:t>to adequately monitor SSN’s telemarketing compliance</w:t>
            </w:r>
            <w:r w:rsidR="005E3D60">
              <w:rPr>
                <w:rFonts w:ascii="Calibri" w:hAnsi="Calibri" w:cs="Calibri"/>
                <w:b/>
                <w:sz w:val="22"/>
                <w:szCs w:val="22"/>
              </w:rPr>
              <w:t xml:space="preserve"> and, therefore,</w:t>
            </w:r>
            <w:r w:rsidRPr="00911AFA">
              <w:rPr>
                <w:rFonts w:ascii="Calibri" w:hAnsi="Calibri" w:cs="Calibri"/>
                <w:b/>
                <w:sz w:val="22"/>
                <w:szCs w:val="22"/>
              </w:rPr>
              <w:t xml:space="preserve"> implicitly overruled its express instruction that SSN did have to comply with the law</w:t>
            </w:r>
            <w:proofErr w:type="gramStart"/>
            <w:r w:rsidRPr="00911AFA">
              <w:rPr>
                <w:rFonts w:ascii="Calibri" w:hAnsi="Calibri" w:cs="Calibri"/>
                <w:b/>
                <w:sz w:val="22"/>
                <w:szCs w:val="22"/>
              </w:rPr>
              <w:t xml:space="preserve">. </w:t>
            </w:r>
            <w:proofErr w:type="gramEnd"/>
          </w:p>
        </w:tc>
      </w:tr>
      <w:tr w:rsidR="003419BD" w:rsidRPr="00907D75" w14:paraId="78E840EA" w14:textId="77777777" w:rsidTr="008649A2">
        <w:trPr>
          <w:trHeight w:val="4795"/>
        </w:trPr>
        <w:tc>
          <w:tcPr>
            <w:tcW w:w="5805" w:type="dxa"/>
            <w:vAlign w:val="center"/>
          </w:tcPr>
          <w:p w14:paraId="3284D1F4" w14:textId="7767DBB0"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5E3D60">
              <w:rPr>
                <w:rFonts w:ascii="Calibri" w:hAnsi="Calibri" w:cs="Calibri"/>
                <w:b/>
                <w:sz w:val="28"/>
                <w:szCs w:val="28"/>
              </w:rPr>
              <w:t xml:space="preserve">authority </w:t>
            </w:r>
            <w:r>
              <w:rPr>
                <w:rFonts w:ascii="Calibri" w:hAnsi="Calibri" w:cs="Calibri"/>
                <w:b/>
                <w:sz w:val="28"/>
                <w:szCs w:val="28"/>
              </w:rPr>
              <w:t xml:space="preserve">did the court rely on </w:t>
            </w:r>
            <w:r w:rsidR="005E3D60">
              <w:rPr>
                <w:rFonts w:ascii="Calibri" w:hAnsi="Calibri" w:cs="Calibri"/>
                <w:b/>
                <w:sz w:val="28"/>
                <w:szCs w:val="28"/>
              </w:rPr>
              <w:t>in concluding</w:t>
            </w:r>
            <w:r>
              <w:rPr>
                <w:rFonts w:ascii="Calibri" w:hAnsi="Calibri" w:cs="Calibri"/>
                <w:b/>
                <w:sz w:val="28"/>
                <w:szCs w:val="28"/>
              </w:rPr>
              <w:t xml:space="preserve"> that </w:t>
            </w:r>
            <w:proofErr w:type="spellStart"/>
            <w:r>
              <w:rPr>
                <w:rFonts w:ascii="Calibri" w:hAnsi="Calibri" w:cs="Calibri"/>
                <w:b/>
                <w:sz w:val="28"/>
                <w:szCs w:val="28"/>
              </w:rPr>
              <w:t>DISH’s</w:t>
            </w:r>
            <w:proofErr w:type="spellEnd"/>
            <w:r>
              <w:rPr>
                <w:rFonts w:ascii="Calibri" w:hAnsi="Calibri" w:cs="Calibri"/>
                <w:b/>
                <w:sz w:val="28"/>
                <w:szCs w:val="28"/>
              </w:rPr>
              <w:t xml:space="preserve"> failure to supervise created authority for SSN to act?</w:t>
            </w:r>
          </w:p>
        </w:tc>
        <w:tc>
          <w:tcPr>
            <w:tcW w:w="5805" w:type="dxa"/>
            <w:vAlign w:val="center"/>
          </w:tcPr>
          <w:p w14:paraId="2C775442" w14:textId="68200741" w:rsidR="003419BD" w:rsidRDefault="003419BD" w:rsidP="00525419">
            <w:pPr>
              <w:pStyle w:val="O-BodyText"/>
              <w:spacing w:after="120"/>
              <w:ind w:left="290" w:right="65"/>
              <w:jc w:val="both"/>
              <w:rPr>
                <w:rFonts w:ascii="Calibri" w:hAnsi="Calibri" w:cs="Calibri"/>
                <w:b/>
                <w:sz w:val="22"/>
                <w:szCs w:val="22"/>
              </w:rPr>
            </w:pPr>
            <w:r w:rsidRPr="00DA59FA">
              <w:rPr>
                <w:rFonts w:ascii="Calibri" w:hAnsi="Calibri" w:cs="Calibri"/>
                <w:b/>
                <w:sz w:val="22"/>
                <w:szCs w:val="22"/>
              </w:rPr>
              <w:t>Neither Krakauer nor the court cited any authority holding that a principal’s mere failure to supervise</w:t>
            </w:r>
            <w:r>
              <w:rPr>
                <w:rFonts w:ascii="Calibri" w:hAnsi="Calibri" w:cs="Calibri"/>
                <w:b/>
                <w:sz w:val="22"/>
                <w:szCs w:val="22"/>
              </w:rPr>
              <w:t xml:space="preserve"> </w:t>
            </w:r>
            <w:r w:rsidRPr="00DA59FA">
              <w:rPr>
                <w:rFonts w:ascii="Calibri" w:hAnsi="Calibri" w:cs="Calibri"/>
                <w:b/>
                <w:sz w:val="22"/>
                <w:szCs w:val="22"/>
              </w:rPr>
              <w:t>creates actual authority for an agent to act.</w:t>
            </w:r>
            <w:r>
              <w:rPr>
                <w:rFonts w:ascii="Calibri" w:hAnsi="Calibri" w:cs="Calibri"/>
                <w:b/>
                <w:sz w:val="22"/>
                <w:szCs w:val="22"/>
              </w:rPr>
              <w:t xml:space="preserve">  </w:t>
            </w:r>
          </w:p>
        </w:tc>
      </w:tr>
      <w:tr w:rsidR="003419BD" w:rsidRPr="00907D75" w14:paraId="770B7E18" w14:textId="77777777" w:rsidTr="008649A2">
        <w:trPr>
          <w:trHeight w:val="4795"/>
        </w:trPr>
        <w:tc>
          <w:tcPr>
            <w:tcW w:w="5805" w:type="dxa"/>
            <w:vAlign w:val="center"/>
          </w:tcPr>
          <w:p w14:paraId="34BED96C" w14:textId="1DC1D1F1"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Was there any evidence that </w:t>
            </w:r>
            <w:proofErr w:type="spellStart"/>
            <w:r>
              <w:rPr>
                <w:rFonts w:ascii="Calibri" w:hAnsi="Calibri" w:cs="Calibri"/>
                <w:b/>
                <w:sz w:val="28"/>
                <w:szCs w:val="28"/>
              </w:rPr>
              <w:t>DISH’s</w:t>
            </w:r>
            <w:proofErr w:type="spellEnd"/>
            <w:r>
              <w:rPr>
                <w:rFonts w:ascii="Calibri" w:hAnsi="Calibri" w:cs="Calibri"/>
                <w:b/>
                <w:sz w:val="28"/>
                <w:szCs w:val="28"/>
              </w:rPr>
              <w:t xml:space="preserve"> instructions not to violate the TCPA were not serious?</w:t>
            </w:r>
          </w:p>
        </w:tc>
        <w:tc>
          <w:tcPr>
            <w:tcW w:w="5805" w:type="dxa"/>
            <w:vAlign w:val="center"/>
          </w:tcPr>
          <w:p w14:paraId="18A7C3B4" w14:textId="034D65AD" w:rsidR="003419BD" w:rsidRPr="00DA59FA" w:rsidRDefault="005E3D60" w:rsidP="00525419">
            <w:pPr>
              <w:pStyle w:val="O-BodyText"/>
              <w:spacing w:after="120"/>
              <w:ind w:left="290" w:right="65"/>
              <w:jc w:val="both"/>
              <w:rPr>
                <w:rFonts w:ascii="Calibri" w:hAnsi="Calibri" w:cs="Calibri"/>
                <w:b/>
                <w:sz w:val="22"/>
                <w:szCs w:val="22"/>
              </w:rPr>
            </w:pPr>
            <w:r>
              <w:rPr>
                <w:rFonts w:ascii="Calibri" w:hAnsi="Calibri" w:cs="Calibri"/>
                <w:b/>
                <w:sz w:val="22"/>
                <w:szCs w:val="22"/>
              </w:rPr>
              <w:t>No.  T</w:t>
            </w:r>
            <w:r w:rsidR="003419BD">
              <w:rPr>
                <w:rFonts w:ascii="Calibri" w:hAnsi="Calibri" w:cs="Calibri"/>
                <w:b/>
                <w:sz w:val="22"/>
                <w:szCs w:val="22"/>
              </w:rPr>
              <w:t xml:space="preserve">here was no evidence </w:t>
            </w:r>
            <w:r w:rsidR="003419BD" w:rsidRPr="009F1534">
              <w:rPr>
                <w:rFonts w:ascii="Calibri" w:hAnsi="Calibri" w:cs="Calibri"/>
                <w:b/>
                <w:sz w:val="22"/>
                <w:szCs w:val="22"/>
              </w:rPr>
              <w:t>that</w:t>
            </w:r>
            <w:r w:rsidR="003419BD">
              <w:rPr>
                <w:rFonts w:ascii="Calibri" w:hAnsi="Calibri" w:cs="Calibri"/>
                <w:b/>
                <w:sz w:val="22"/>
                <w:szCs w:val="22"/>
              </w:rPr>
              <w:t xml:space="preserve"> </w:t>
            </w:r>
            <w:proofErr w:type="spellStart"/>
            <w:r w:rsidR="003419BD" w:rsidRPr="009F1534">
              <w:rPr>
                <w:rFonts w:ascii="Calibri" w:hAnsi="Calibri" w:cs="Calibri"/>
                <w:b/>
                <w:sz w:val="22"/>
                <w:szCs w:val="22"/>
              </w:rPr>
              <w:t>DISH’s</w:t>
            </w:r>
            <w:proofErr w:type="spellEnd"/>
            <w:r w:rsidR="003419BD" w:rsidRPr="009F1534">
              <w:rPr>
                <w:rFonts w:ascii="Calibri" w:hAnsi="Calibri" w:cs="Calibri"/>
                <w:b/>
                <w:sz w:val="22"/>
                <w:szCs w:val="22"/>
              </w:rPr>
              <w:t xml:space="preserve"> repeated instructions not to violate the TCPA were “empty words” that SSN interpreted as meaning the opposite</w:t>
            </w:r>
            <w:r>
              <w:rPr>
                <w:rFonts w:ascii="Calibri" w:hAnsi="Calibri" w:cs="Calibri"/>
                <w:b/>
                <w:sz w:val="22"/>
                <w:szCs w:val="22"/>
              </w:rPr>
              <w:t>, or that</w:t>
            </w:r>
            <w:r w:rsidR="003419BD" w:rsidRPr="009F1534">
              <w:rPr>
                <w:rFonts w:ascii="Calibri" w:hAnsi="Calibri" w:cs="Calibri"/>
                <w:b/>
                <w:sz w:val="22"/>
                <w:szCs w:val="22"/>
              </w:rPr>
              <w:t xml:space="preserve"> SSN </w:t>
            </w:r>
            <w:r>
              <w:rPr>
                <w:rFonts w:ascii="Calibri" w:hAnsi="Calibri" w:cs="Calibri"/>
                <w:b/>
                <w:sz w:val="22"/>
                <w:szCs w:val="22"/>
              </w:rPr>
              <w:t xml:space="preserve">thought </w:t>
            </w:r>
            <w:r w:rsidR="003419BD" w:rsidRPr="009F1534">
              <w:rPr>
                <w:rFonts w:ascii="Calibri" w:hAnsi="Calibri" w:cs="Calibri"/>
                <w:b/>
                <w:sz w:val="22"/>
                <w:szCs w:val="22"/>
              </w:rPr>
              <w:t xml:space="preserve">it </w:t>
            </w:r>
            <w:r>
              <w:rPr>
                <w:rFonts w:ascii="Calibri" w:hAnsi="Calibri" w:cs="Calibri"/>
                <w:b/>
                <w:sz w:val="22"/>
                <w:szCs w:val="22"/>
              </w:rPr>
              <w:t>could ignore.</w:t>
            </w:r>
          </w:p>
        </w:tc>
      </w:tr>
      <w:tr w:rsidR="003419BD" w:rsidRPr="00907D75" w14:paraId="39A478D1" w14:textId="77777777" w:rsidTr="008649A2">
        <w:trPr>
          <w:trHeight w:val="4795"/>
        </w:trPr>
        <w:tc>
          <w:tcPr>
            <w:tcW w:w="5805" w:type="dxa"/>
            <w:vAlign w:val="center"/>
          </w:tcPr>
          <w:p w14:paraId="736DDA00" w14:textId="64741E88" w:rsidR="003419BD" w:rsidRDefault="003419BD" w:rsidP="00525419">
            <w:pPr>
              <w:pStyle w:val="O-BodyText"/>
              <w:spacing w:after="120"/>
              <w:ind w:right="200"/>
              <w:jc w:val="both"/>
              <w:rPr>
                <w:rFonts w:ascii="Calibri" w:hAnsi="Calibri" w:cs="Calibri"/>
                <w:b/>
                <w:sz w:val="28"/>
                <w:szCs w:val="28"/>
              </w:rPr>
            </w:pPr>
            <w:r>
              <w:rPr>
                <w:rFonts w:ascii="Calibri" w:hAnsi="Calibri" w:cs="Calibri"/>
                <w:b/>
                <w:sz w:val="28"/>
                <w:szCs w:val="28"/>
              </w:rPr>
              <w:t>Was there any evidence that DISH wanted SSN to act unlawfully?</w:t>
            </w:r>
          </w:p>
        </w:tc>
        <w:tc>
          <w:tcPr>
            <w:tcW w:w="5805" w:type="dxa"/>
            <w:vAlign w:val="center"/>
          </w:tcPr>
          <w:p w14:paraId="58511521" w14:textId="36C1EDC4" w:rsidR="003419BD" w:rsidRDefault="003419BD"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00A611B7">
              <w:rPr>
                <w:rFonts w:ascii="Calibri" w:hAnsi="Calibri" w:cs="Calibri"/>
                <w:b/>
                <w:sz w:val="22"/>
                <w:szCs w:val="22"/>
              </w:rPr>
              <w:t xml:space="preserve"> </w:t>
            </w:r>
            <w:r>
              <w:rPr>
                <w:rFonts w:ascii="Calibri" w:hAnsi="Calibri" w:cs="Calibri"/>
                <w:b/>
                <w:sz w:val="22"/>
                <w:szCs w:val="22"/>
              </w:rPr>
              <w:t>T</w:t>
            </w:r>
            <w:r w:rsidR="00A611B7">
              <w:rPr>
                <w:rFonts w:ascii="Calibri" w:hAnsi="Calibri" w:cs="Calibri"/>
                <w:b/>
                <w:sz w:val="22"/>
                <w:szCs w:val="22"/>
              </w:rPr>
              <w:t>here wa</w:t>
            </w:r>
            <w:r w:rsidRPr="00317DF1">
              <w:rPr>
                <w:rFonts w:ascii="Calibri" w:hAnsi="Calibri" w:cs="Calibri"/>
                <w:b/>
                <w:sz w:val="22"/>
                <w:szCs w:val="22"/>
              </w:rPr>
              <w:t xml:space="preserve">s no evidence that DISH wanted SSN to act in the unlawful fashion it did.  </w:t>
            </w:r>
          </w:p>
        </w:tc>
      </w:tr>
      <w:tr w:rsidR="008A5CF4" w14:paraId="1B82189F" w14:textId="77777777" w:rsidTr="00D712B1">
        <w:trPr>
          <w:trHeight w:val="4795"/>
        </w:trPr>
        <w:tc>
          <w:tcPr>
            <w:tcW w:w="5805" w:type="dxa"/>
            <w:vAlign w:val="center"/>
          </w:tcPr>
          <w:p w14:paraId="76FB91F1" w14:textId="77777777" w:rsidR="008A5CF4" w:rsidRDefault="008A5CF4" w:rsidP="00525419">
            <w:pPr>
              <w:pStyle w:val="O-BodyText"/>
              <w:spacing w:after="120"/>
              <w:ind w:right="200"/>
              <w:jc w:val="both"/>
              <w:rPr>
                <w:rFonts w:ascii="Calibri" w:hAnsi="Calibri" w:cs="Calibri"/>
                <w:b/>
                <w:sz w:val="28"/>
                <w:szCs w:val="28"/>
              </w:rPr>
            </w:pPr>
            <w:r>
              <w:rPr>
                <w:rFonts w:ascii="Calibri" w:hAnsi="Calibri" w:cs="Calibri"/>
                <w:b/>
                <w:sz w:val="28"/>
                <w:szCs w:val="28"/>
              </w:rPr>
              <w:t>Doesn’t Section 227(c)(5)’s use of “on behalf of” mean that Congress intended to impose vicarious liability on principals like DISH whose agents commit TCPA violations?</w:t>
            </w:r>
          </w:p>
        </w:tc>
        <w:tc>
          <w:tcPr>
            <w:tcW w:w="5805" w:type="dxa"/>
            <w:vAlign w:val="center"/>
          </w:tcPr>
          <w:p w14:paraId="2C1ACEF3" w14:textId="05FF1F07" w:rsidR="008A5CF4" w:rsidRDefault="008A5CF4" w:rsidP="00525419">
            <w:pPr>
              <w:pStyle w:val="O-BodyText"/>
              <w:spacing w:after="120"/>
              <w:ind w:right="65"/>
              <w:jc w:val="both"/>
              <w:rPr>
                <w:rFonts w:ascii="Calibri" w:hAnsi="Calibri" w:cs="Calibri"/>
                <w:b/>
                <w:sz w:val="22"/>
                <w:szCs w:val="22"/>
              </w:rPr>
            </w:pPr>
            <w:r>
              <w:rPr>
                <w:rFonts w:ascii="Calibri" w:hAnsi="Calibri" w:cs="Calibri"/>
                <w:b/>
                <w:sz w:val="22"/>
                <w:szCs w:val="22"/>
              </w:rPr>
              <w:t>The text of Section 227(c)(5) states: “A</w:t>
            </w:r>
            <w:r w:rsidRPr="00730423">
              <w:rPr>
                <w:rFonts w:ascii="Calibri" w:hAnsi="Calibri" w:cs="Calibri"/>
                <w:b/>
                <w:sz w:val="22"/>
                <w:szCs w:val="22"/>
              </w:rPr>
              <w:t xml:space="preserve"> person who has received more than one telephone call within any 12-month period </w:t>
            </w:r>
            <w:r w:rsidRPr="0082675B">
              <w:rPr>
                <w:rFonts w:ascii="Calibri" w:hAnsi="Calibri" w:cs="Calibri"/>
                <w:b/>
                <w:i/>
                <w:sz w:val="22"/>
                <w:szCs w:val="22"/>
              </w:rPr>
              <w:t>by or on behalf of the same entity</w:t>
            </w:r>
            <w:r w:rsidRPr="00730423">
              <w:rPr>
                <w:rFonts w:ascii="Calibri" w:hAnsi="Calibri" w:cs="Calibri"/>
                <w:b/>
                <w:sz w:val="22"/>
                <w:szCs w:val="22"/>
              </w:rPr>
              <w:t xml:space="preserve"> in violation of the regulations prescribed under this subsection may, if otherwise permitted by the laws or rules of court of a State bring in an appropriate court of that State</w:t>
            </w:r>
            <w:r>
              <w:rPr>
                <w:rFonts w:ascii="Calibri" w:hAnsi="Calibri" w:cs="Calibri"/>
                <w:b/>
                <w:sz w:val="22"/>
                <w:szCs w:val="22"/>
              </w:rPr>
              <w:t>.” (emphasis added).</w:t>
            </w:r>
          </w:p>
        </w:tc>
      </w:tr>
      <w:tr w:rsidR="008A5CF4" w14:paraId="0C3CDFD0" w14:textId="77777777" w:rsidTr="00D712B1">
        <w:trPr>
          <w:trHeight w:val="4795"/>
        </w:trPr>
        <w:tc>
          <w:tcPr>
            <w:tcW w:w="5805" w:type="dxa"/>
            <w:vAlign w:val="center"/>
          </w:tcPr>
          <w:p w14:paraId="68F74528" w14:textId="77777777" w:rsidR="008A5CF4" w:rsidRDefault="008A5CF4"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has the FCC said about the “on behalf of” language in Section 227(c)?  AB48.</w:t>
            </w:r>
          </w:p>
        </w:tc>
        <w:tc>
          <w:tcPr>
            <w:tcW w:w="5805" w:type="dxa"/>
            <w:vAlign w:val="center"/>
          </w:tcPr>
          <w:p w14:paraId="7124EE9D" w14:textId="77777777" w:rsidR="008A5CF4" w:rsidRPr="00577B18" w:rsidRDefault="008A5CF4" w:rsidP="00525419">
            <w:pPr>
              <w:pStyle w:val="O-BodyText"/>
              <w:spacing w:after="120"/>
              <w:ind w:right="65"/>
              <w:jc w:val="both"/>
              <w:rPr>
                <w:rFonts w:ascii="Calibri" w:hAnsi="Calibri" w:cs="Calibri"/>
                <w:b/>
                <w:sz w:val="22"/>
                <w:szCs w:val="22"/>
              </w:rPr>
            </w:pPr>
            <w:r w:rsidRPr="00A91D81">
              <w:rPr>
                <w:rFonts w:ascii="Calibri" w:hAnsi="Calibri" w:cs="Calibri"/>
                <w:b/>
                <w:sz w:val="22"/>
                <w:szCs w:val="22"/>
                <w:highlight w:val="yellow"/>
              </w:rPr>
              <w:t xml:space="preserve">From Krakauer’s brief:  The </w:t>
            </w:r>
            <w:proofErr w:type="gramStart"/>
            <w:r w:rsidRPr="00A91D81">
              <w:rPr>
                <w:rFonts w:ascii="Calibri" w:hAnsi="Calibri" w:cs="Calibri"/>
                <w:b/>
                <w:sz w:val="22"/>
                <w:szCs w:val="22"/>
                <w:highlight w:val="yellow"/>
              </w:rPr>
              <w:t>FCC  has</w:t>
            </w:r>
            <w:proofErr w:type="gramEnd"/>
            <w:r w:rsidRPr="00A91D81">
              <w:rPr>
                <w:rFonts w:ascii="Calibri" w:hAnsi="Calibri" w:cs="Calibri"/>
                <w:b/>
                <w:sz w:val="22"/>
                <w:szCs w:val="22"/>
                <w:highlight w:val="yellow"/>
              </w:rPr>
              <w:t xml:space="preserve"> recognized that section 227(c)’s “on behalf of” language may “provide a broader standard of vicarious liability for do-not-call violations,” and might even go “beyond agency principles.” </w:t>
            </w:r>
            <w:r w:rsidRPr="00A91D81">
              <w:rPr>
                <w:rFonts w:ascii="Calibri" w:hAnsi="Calibri" w:cs="Calibri"/>
                <w:b/>
                <w:i/>
                <w:sz w:val="22"/>
                <w:szCs w:val="22"/>
                <w:highlight w:val="yellow"/>
              </w:rPr>
              <w:t>In re Joint Pet. Filed by Dish Network</w:t>
            </w:r>
            <w:r w:rsidRPr="00A91D81">
              <w:rPr>
                <w:rFonts w:ascii="Calibri" w:hAnsi="Calibri" w:cs="Calibri"/>
                <w:b/>
                <w:sz w:val="22"/>
                <w:szCs w:val="22"/>
                <w:highlight w:val="yellow"/>
              </w:rPr>
              <w:t xml:space="preserve"> (FCC 2013). </w:t>
            </w:r>
            <w:r>
              <w:rPr>
                <w:rFonts w:ascii="Calibri" w:hAnsi="Calibri" w:cs="Calibri"/>
                <w:b/>
                <w:sz w:val="22"/>
                <w:szCs w:val="22"/>
                <w:highlight w:val="yellow"/>
              </w:rPr>
              <w:t xml:space="preserve"> </w:t>
            </w:r>
            <w:r w:rsidRPr="00A91D81">
              <w:rPr>
                <w:rFonts w:ascii="Calibri" w:hAnsi="Calibri" w:cs="Calibri"/>
                <w:b/>
                <w:sz w:val="22"/>
                <w:szCs w:val="22"/>
                <w:highlight w:val="yellow"/>
              </w:rPr>
              <w:t xml:space="preserve">And Commissioner Pai expressed his view that “the statutory phrase ‘on behalf of’ explicitly extends third-party liability” to “do-not-call violations whenever a telemarketer initiates a call on a seller’s behalf, even if that telemarketer is not under the seller’s control.” </w:t>
            </w:r>
            <w:r w:rsidRPr="00A91D81">
              <w:rPr>
                <w:rFonts w:ascii="Calibri" w:hAnsi="Calibri" w:cs="Calibri"/>
                <w:b/>
                <w:i/>
                <w:sz w:val="22"/>
                <w:szCs w:val="22"/>
                <w:highlight w:val="yellow"/>
              </w:rPr>
              <w:t>Id.</w:t>
            </w:r>
            <w:r w:rsidRPr="00A91D81">
              <w:rPr>
                <w:rFonts w:ascii="Calibri" w:hAnsi="Calibri" w:cs="Calibri"/>
                <w:b/>
                <w:sz w:val="22"/>
                <w:szCs w:val="22"/>
                <w:highlight w:val="yellow"/>
              </w:rPr>
              <w:t xml:space="preserve">  AB48.</w:t>
            </w:r>
          </w:p>
          <w:p w14:paraId="30E2EA22" w14:textId="77777777" w:rsidR="008A5CF4" w:rsidRDefault="008A5CF4" w:rsidP="00525419">
            <w:pPr>
              <w:pStyle w:val="O-BodyText"/>
              <w:spacing w:after="120"/>
              <w:ind w:right="65"/>
              <w:jc w:val="both"/>
              <w:rPr>
                <w:rFonts w:ascii="Calibri" w:hAnsi="Calibri" w:cs="Calibri"/>
                <w:b/>
                <w:sz w:val="22"/>
                <w:szCs w:val="22"/>
              </w:rPr>
            </w:pPr>
          </w:p>
        </w:tc>
      </w:tr>
      <w:tr w:rsidR="006F1DB5" w14:paraId="05E5EF9C" w14:textId="77777777" w:rsidTr="00D712B1">
        <w:trPr>
          <w:trHeight w:val="4795"/>
        </w:trPr>
        <w:tc>
          <w:tcPr>
            <w:tcW w:w="5805" w:type="dxa"/>
            <w:vAlign w:val="center"/>
          </w:tcPr>
          <w:p w14:paraId="4B0E2B36"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court in </w:t>
            </w:r>
            <w:r w:rsidRPr="00C41239">
              <w:rPr>
                <w:rFonts w:ascii="Calibri" w:hAnsi="Calibri" w:cs="Calibri"/>
                <w:b/>
                <w:i/>
                <w:sz w:val="28"/>
                <w:szCs w:val="28"/>
              </w:rPr>
              <w:t xml:space="preserve">Huggins v. FedEx Ground Package </w:t>
            </w:r>
            <w:proofErr w:type="gramStart"/>
            <w:r w:rsidRPr="00C41239">
              <w:rPr>
                <w:rFonts w:ascii="Calibri" w:hAnsi="Calibri" w:cs="Calibri"/>
                <w:b/>
                <w:i/>
                <w:sz w:val="28"/>
                <w:szCs w:val="28"/>
              </w:rPr>
              <w:t>Sys</w:t>
            </w:r>
            <w:r>
              <w:rPr>
                <w:rFonts w:ascii="Calibri" w:hAnsi="Calibri" w:cs="Calibri"/>
                <w:b/>
                <w:i/>
                <w:sz w:val="28"/>
                <w:szCs w:val="28"/>
              </w:rPr>
              <w:t>.</w:t>
            </w:r>
            <w:proofErr w:type="gramEnd"/>
            <w:r>
              <w:rPr>
                <w:rFonts w:ascii="Calibri" w:hAnsi="Calibri" w:cs="Calibri"/>
                <w:b/>
                <w:i/>
                <w:sz w:val="28"/>
                <w:szCs w:val="28"/>
              </w:rPr>
              <w:t xml:space="preserve"> </w:t>
            </w:r>
            <w:r w:rsidRPr="00C41239">
              <w:rPr>
                <w:rFonts w:ascii="Calibri" w:hAnsi="Calibri" w:cs="Calibri"/>
                <w:b/>
                <w:sz w:val="28"/>
                <w:szCs w:val="28"/>
              </w:rPr>
              <w:t>(8th Cir. 2010)</w:t>
            </w:r>
            <w:r>
              <w:rPr>
                <w:rFonts w:ascii="Calibri" w:hAnsi="Calibri" w:cs="Calibri"/>
                <w:b/>
                <w:sz w:val="28"/>
                <w:szCs w:val="28"/>
              </w:rPr>
              <w:t xml:space="preserve"> say about agency?</w:t>
            </w:r>
          </w:p>
        </w:tc>
        <w:tc>
          <w:tcPr>
            <w:tcW w:w="5805" w:type="dxa"/>
            <w:vAlign w:val="center"/>
          </w:tcPr>
          <w:p w14:paraId="799C8D4E" w14:textId="77777777"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In </w:t>
            </w:r>
            <w:r w:rsidRPr="00C41239">
              <w:rPr>
                <w:rFonts w:ascii="Calibri" w:hAnsi="Calibri" w:cs="Calibri"/>
                <w:b/>
                <w:i/>
                <w:sz w:val="22"/>
                <w:szCs w:val="22"/>
              </w:rPr>
              <w:t>Huggins v. FedEx Ground Package Sys</w:t>
            </w:r>
            <w:proofErr w:type="gramStart"/>
            <w:r w:rsidRPr="00C41239">
              <w:rPr>
                <w:rFonts w:ascii="Calibri" w:hAnsi="Calibri" w:cs="Calibri"/>
                <w:b/>
                <w:i/>
                <w:sz w:val="22"/>
                <w:szCs w:val="22"/>
              </w:rPr>
              <w:t xml:space="preserve">. </w:t>
            </w:r>
            <w:proofErr w:type="gramEnd"/>
            <w:r w:rsidRPr="00C41239">
              <w:rPr>
                <w:rFonts w:ascii="Calibri" w:hAnsi="Calibri" w:cs="Calibri"/>
                <w:b/>
                <w:sz w:val="22"/>
                <w:szCs w:val="22"/>
              </w:rPr>
              <w:t>(8th Cir. 2010)</w:t>
            </w:r>
            <w:r>
              <w:rPr>
                <w:rFonts w:ascii="Calibri" w:hAnsi="Calibri" w:cs="Calibri"/>
                <w:b/>
                <w:sz w:val="22"/>
                <w:szCs w:val="22"/>
              </w:rPr>
              <w:t>, the Eighth Circuit stated that p</w:t>
            </w:r>
            <w:r w:rsidRPr="00C41239">
              <w:rPr>
                <w:rFonts w:ascii="Calibri" w:hAnsi="Calibri" w:cs="Calibri"/>
                <w:b/>
                <w:sz w:val="22"/>
                <w:szCs w:val="22"/>
              </w:rPr>
              <w:t>rovisions purporting to designate one party as independent “will not trump provisions that actually reserve the [principal’s] right to control” the agent’s actions.</w:t>
            </w:r>
          </w:p>
        </w:tc>
      </w:tr>
      <w:tr w:rsidR="006F1DB5" w:rsidRPr="00C41239" w14:paraId="1201FBB9" w14:textId="77777777" w:rsidTr="00D712B1">
        <w:trPr>
          <w:trHeight w:val="4795"/>
        </w:trPr>
        <w:tc>
          <w:tcPr>
            <w:tcW w:w="5805" w:type="dxa"/>
            <w:vAlign w:val="center"/>
          </w:tcPr>
          <w:p w14:paraId="6125FA54"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What does the</w:t>
            </w:r>
            <w:r w:rsidRPr="00C41239">
              <w:rPr>
                <w:rFonts w:ascii="Calibri" w:hAnsi="Calibri" w:cs="Calibri"/>
                <w:b/>
                <w:i/>
                <w:sz w:val="28"/>
                <w:szCs w:val="28"/>
              </w:rPr>
              <w:t xml:space="preserve"> </w:t>
            </w:r>
            <w:r w:rsidRPr="00C41239">
              <w:rPr>
                <w:rFonts w:ascii="Calibri" w:hAnsi="Calibri" w:cs="Calibri"/>
                <w:b/>
                <w:sz w:val="28"/>
                <w:szCs w:val="28"/>
              </w:rPr>
              <w:t xml:space="preserve">Restatement </w:t>
            </w:r>
            <w:r>
              <w:rPr>
                <w:rFonts w:ascii="Calibri" w:hAnsi="Calibri" w:cs="Calibri"/>
                <w:b/>
                <w:sz w:val="28"/>
                <w:szCs w:val="28"/>
              </w:rPr>
              <w:t>say about independent contractors vs. agents?</w:t>
            </w:r>
          </w:p>
        </w:tc>
        <w:tc>
          <w:tcPr>
            <w:tcW w:w="5805" w:type="dxa"/>
            <w:vAlign w:val="center"/>
          </w:tcPr>
          <w:p w14:paraId="09014D5F" w14:textId="77777777" w:rsidR="006F1DB5" w:rsidRPr="00C41239"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The Restatement (</w:t>
            </w:r>
            <w:r w:rsidRPr="00C41239">
              <w:rPr>
                <w:rFonts w:ascii="Calibri" w:hAnsi="Calibri" w:cs="Calibri"/>
                <w:b/>
                <w:sz w:val="22"/>
                <w:szCs w:val="22"/>
              </w:rPr>
              <w:t>Third) of Agency § 1.02 (2006</w:t>
            </w:r>
            <w:r>
              <w:rPr>
                <w:rFonts w:ascii="Calibri" w:hAnsi="Calibri" w:cs="Calibri"/>
                <w:b/>
                <w:sz w:val="22"/>
                <w:szCs w:val="22"/>
              </w:rPr>
              <w:t xml:space="preserve">) states that provisions designating a party as independent </w:t>
            </w:r>
            <w:r w:rsidRPr="00C41239">
              <w:rPr>
                <w:rFonts w:ascii="Calibri" w:hAnsi="Calibri" w:cs="Calibri"/>
                <w:b/>
                <w:sz w:val="22"/>
                <w:szCs w:val="22"/>
              </w:rPr>
              <w:t>are not determinative</w:t>
            </w:r>
            <w:r>
              <w:rPr>
                <w:rFonts w:ascii="Calibri" w:hAnsi="Calibri" w:cs="Calibri"/>
                <w:b/>
                <w:sz w:val="22"/>
                <w:szCs w:val="22"/>
              </w:rPr>
              <w:t>.  Rather, t</w:t>
            </w:r>
            <w:r w:rsidRPr="00C41239">
              <w:rPr>
                <w:rFonts w:ascii="Calibri" w:hAnsi="Calibri" w:cs="Calibri"/>
                <w:b/>
                <w:sz w:val="22"/>
                <w:szCs w:val="22"/>
              </w:rPr>
              <w:t>he fa</w:t>
            </w:r>
            <w:r>
              <w:rPr>
                <w:rFonts w:ascii="Calibri" w:hAnsi="Calibri" w:cs="Calibri"/>
                <w:b/>
                <w:sz w:val="22"/>
                <w:szCs w:val="22"/>
              </w:rPr>
              <w:t>cts of the relationship matter</w:t>
            </w:r>
            <w:r w:rsidRPr="00C41239">
              <w:rPr>
                <w:rFonts w:ascii="Calibri" w:hAnsi="Calibri" w:cs="Calibri"/>
                <w:b/>
                <w:sz w:val="22"/>
                <w:szCs w:val="22"/>
              </w:rPr>
              <w:t>.</w:t>
            </w:r>
          </w:p>
        </w:tc>
      </w:tr>
      <w:tr w:rsidR="006F1DB5" w14:paraId="4B49C34F" w14:textId="77777777" w:rsidTr="00D712B1">
        <w:trPr>
          <w:trHeight w:val="4795"/>
        </w:trPr>
        <w:tc>
          <w:tcPr>
            <w:tcW w:w="5805" w:type="dxa"/>
            <w:vAlign w:val="center"/>
          </w:tcPr>
          <w:p w14:paraId="7122A33F"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Was the question of whether SSN was </w:t>
            </w:r>
            <w:proofErr w:type="spellStart"/>
            <w:r>
              <w:rPr>
                <w:rFonts w:ascii="Calibri" w:hAnsi="Calibri" w:cs="Calibri"/>
                <w:b/>
                <w:sz w:val="28"/>
                <w:szCs w:val="28"/>
              </w:rPr>
              <w:t>DISH’s</w:t>
            </w:r>
            <w:proofErr w:type="spellEnd"/>
            <w:r>
              <w:rPr>
                <w:rFonts w:ascii="Calibri" w:hAnsi="Calibri" w:cs="Calibri"/>
                <w:b/>
                <w:sz w:val="28"/>
                <w:szCs w:val="28"/>
              </w:rPr>
              <w:t xml:space="preserve"> agent a jury question?</w:t>
            </w:r>
          </w:p>
        </w:tc>
        <w:tc>
          <w:tcPr>
            <w:tcW w:w="5805" w:type="dxa"/>
            <w:vAlign w:val="center"/>
          </w:tcPr>
          <w:p w14:paraId="58DDAD2F" w14:textId="77777777"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No.  N</w:t>
            </w:r>
            <w:r w:rsidRPr="00837AA2">
              <w:rPr>
                <w:rFonts w:ascii="Calibri" w:hAnsi="Calibri" w:cs="Calibri"/>
                <w:b/>
                <w:sz w:val="22"/>
                <w:szCs w:val="22"/>
              </w:rPr>
              <w:t>umerous cases, including from this Circuit, hold</w:t>
            </w:r>
            <w:r>
              <w:rPr>
                <w:rFonts w:ascii="Calibri" w:hAnsi="Calibri" w:cs="Calibri"/>
                <w:b/>
                <w:sz w:val="22"/>
                <w:szCs w:val="22"/>
              </w:rPr>
              <w:t xml:space="preserve"> that agency is </w:t>
            </w:r>
            <w:r w:rsidRPr="00837AA2">
              <w:rPr>
                <w:rFonts w:ascii="Calibri" w:hAnsi="Calibri" w:cs="Calibri"/>
                <w:b/>
                <w:sz w:val="22"/>
                <w:szCs w:val="22"/>
              </w:rPr>
              <w:t>a legal question, warranting de novo review, where</w:t>
            </w:r>
            <w:r>
              <w:rPr>
                <w:rFonts w:ascii="Calibri" w:hAnsi="Calibri" w:cs="Calibri"/>
                <w:b/>
                <w:sz w:val="22"/>
                <w:szCs w:val="22"/>
              </w:rPr>
              <w:t xml:space="preserve"> </w:t>
            </w:r>
            <w:r w:rsidRPr="00837AA2">
              <w:rPr>
                <w:rFonts w:ascii="Calibri" w:hAnsi="Calibri" w:cs="Calibri"/>
                <w:b/>
                <w:sz w:val="22"/>
                <w:szCs w:val="22"/>
              </w:rPr>
              <w:t xml:space="preserve">the </w:t>
            </w:r>
            <w:r>
              <w:rPr>
                <w:rFonts w:ascii="Calibri" w:hAnsi="Calibri" w:cs="Calibri"/>
                <w:b/>
                <w:sz w:val="22"/>
                <w:szCs w:val="22"/>
              </w:rPr>
              <w:t>historical facts are undisputed, as they are here.</w:t>
            </w:r>
            <w:r w:rsidRPr="00837AA2">
              <w:rPr>
                <w:rFonts w:ascii="Calibri" w:hAnsi="Calibri" w:cs="Calibri"/>
                <w:b/>
                <w:sz w:val="22"/>
                <w:szCs w:val="22"/>
              </w:rPr>
              <w:t xml:space="preserve">  </w:t>
            </w:r>
          </w:p>
        </w:tc>
      </w:tr>
      <w:tr w:rsidR="006F1DB5" w14:paraId="58514FC5" w14:textId="77777777" w:rsidTr="00D712B1">
        <w:trPr>
          <w:trHeight w:val="4795"/>
        </w:trPr>
        <w:tc>
          <w:tcPr>
            <w:tcW w:w="5805" w:type="dxa"/>
            <w:vAlign w:val="center"/>
          </w:tcPr>
          <w:p w14:paraId="67D6825E"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Is agency a question of fact or a question of law?</w:t>
            </w:r>
          </w:p>
        </w:tc>
        <w:tc>
          <w:tcPr>
            <w:tcW w:w="5805" w:type="dxa"/>
            <w:vAlign w:val="center"/>
          </w:tcPr>
          <w:p w14:paraId="2B5433BB" w14:textId="77777777"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Where, as here, the historical facts are not in dispute, the question of agency is a legal question.  T</w:t>
            </w:r>
            <w:r w:rsidRPr="00CE7A5F">
              <w:rPr>
                <w:rFonts w:ascii="Calibri" w:hAnsi="Calibri" w:cs="Calibri"/>
                <w:b/>
                <w:sz w:val="22"/>
                <w:szCs w:val="22"/>
              </w:rPr>
              <w:t xml:space="preserve">his appeal is about what </w:t>
            </w:r>
            <w:r w:rsidRPr="00CE7A5F">
              <w:rPr>
                <w:rFonts w:ascii="Calibri" w:hAnsi="Calibri" w:cs="Calibri"/>
                <w:b/>
                <w:i/>
                <w:sz w:val="22"/>
                <w:szCs w:val="22"/>
              </w:rPr>
              <w:t>types</w:t>
            </w:r>
            <w:r w:rsidRPr="00CE7A5F">
              <w:rPr>
                <w:rFonts w:ascii="Calibri" w:hAnsi="Calibri" w:cs="Calibri"/>
                <w:b/>
                <w:sz w:val="22"/>
                <w:szCs w:val="22"/>
              </w:rPr>
              <w:t xml:space="preserve"> of facts demonstrate agency</w:t>
            </w:r>
            <w:r>
              <w:rPr>
                <w:rFonts w:ascii="Calibri" w:hAnsi="Calibri" w:cs="Calibri"/>
                <w:b/>
                <w:sz w:val="22"/>
                <w:szCs w:val="22"/>
              </w:rPr>
              <w:t xml:space="preserve">, </w:t>
            </w:r>
            <w:r w:rsidRPr="00CE7A5F">
              <w:rPr>
                <w:rFonts w:ascii="Calibri" w:hAnsi="Calibri" w:cs="Calibri"/>
                <w:b/>
                <w:sz w:val="22"/>
                <w:szCs w:val="22"/>
              </w:rPr>
              <w:t xml:space="preserve">not whether the jury was wrong about any </w:t>
            </w:r>
            <w:proofErr w:type="gramStart"/>
            <w:r w:rsidRPr="00CE7A5F">
              <w:rPr>
                <w:rFonts w:ascii="Calibri" w:hAnsi="Calibri" w:cs="Calibri"/>
                <w:b/>
                <w:sz w:val="22"/>
                <w:szCs w:val="22"/>
              </w:rPr>
              <w:t>particular historical</w:t>
            </w:r>
            <w:proofErr w:type="gramEnd"/>
            <w:r w:rsidRPr="00CE7A5F">
              <w:rPr>
                <w:rFonts w:ascii="Calibri" w:hAnsi="Calibri" w:cs="Calibri"/>
                <w:b/>
                <w:sz w:val="22"/>
                <w:szCs w:val="22"/>
              </w:rPr>
              <w:t xml:space="preserve"> fact.  </w:t>
            </w:r>
            <w:r w:rsidRPr="00CE7A5F">
              <w:rPr>
                <w:rFonts w:ascii="Calibri" w:hAnsi="Calibri" w:cs="Calibri"/>
                <w:b/>
                <w:i/>
                <w:sz w:val="22"/>
                <w:szCs w:val="22"/>
              </w:rPr>
              <w:t>United States v. Clarke</w:t>
            </w:r>
            <w:r>
              <w:rPr>
                <w:rFonts w:ascii="Calibri" w:hAnsi="Calibri" w:cs="Calibri"/>
                <w:b/>
                <w:sz w:val="22"/>
                <w:szCs w:val="22"/>
              </w:rPr>
              <w:t xml:space="preserve"> </w:t>
            </w:r>
            <w:r w:rsidRPr="00CE7A5F">
              <w:rPr>
                <w:rFonts w:ascii="Calibri" w:hAnsi="Calibri" w:cs="Calibri"/>
                <w:b/>
                <w:sz w:val="22"/>
                <w:szCs w:val="22"/>
              </w:rPr>
              <w:t>(</w:t>
            </w:r>
            <w:r>
              <w:rPr>
                <w:rFonts w:ascii="Calibri" w:hAnsi="Calibri" w:cs="Calibri"/>
                <w:b/>
                <w:sz w:val="22"/>
                <w:szCs w:val="22"/>
              </w:rPr>
              <w:t xml:space="preserve">S. Ct. </w:t>
            </w:r>
            <w:r w:rsidRPr="00CE7A5F">
              <w:rPr>
                <w:rFonts w:ascii="Calibri" w:hAnsi="Calibri" w:cs="Calibri"/>
                <w:b/>
                <w:sz w:val="22"/>
                <w:szCs w:val="22"/>
              </w:rPr>
              <w:t>2014).</w:t>
            </w:r>
            <w:r>
              <w:rPr>
                <w:rFonts w:ascii="Calibri" w:hAnsi="Calibri" w:cs="Calibri"/>
                <w:b/>
                <w:sz w:val="22"/>
                <w:szCs w:val="22"/>
              </w:rPr>
              <w:t xml:space="preserve">  </w:t>
            </w:r>
            <w:r w:rsidRPr="00230CEF">
              <w:rPr>
                <w:rFonts w:ascii="Calibri" w:hAnsi="Calibri" w:cs="Calibri"/>
                <w:b/>
                <w:i/>
                <w:sz w:val="22"/>
                <w:szCs w:val="22"/>
                <w:highlight w:val="yellow"/>
              </w:rPr>
              <w:t>But see</w:t>
            </w:r>
            <w:r w:rsidRPr="00627489">
              <w:rPr>
                <w:rFonts w:ascii="Calibri" w:hAnsi="Calibri" w:cs="Calibri"/>
                <w:b/>
                <w:sz w:val="22"/>
                <w:szCs w:val="22"/>
                <w:highlight w:val="yellow"/>
              </w:rPr>
              <w:t xml:space="preserve"> Krakauer’s Brief: “[T]he existence and scope of agency relationships are factual matters” committed to the jury.  </w:t>
            </w:r>
            <w:proofErr w:type="spellStart"/>
            <w:r w:rsidRPr="00627489">
              <w:rPr>
                <w:rFonts w:ascii="Calibri" w:hAnsi="Calibri" w:cs="Calibri"/>
                <w:b/>
                <w:i/>
                <w:sz w:val="22"/>
                <w:szCs w:val="22"/>
                <w:highlight w:val="yellow"/>
              </w:rPr>
              <w:t>Metco</w:t>
            </w:r>
            <w:proofErr w:type="spellEnd"/>
            <w:r w:rsidRPr="00627489">
              <w:rPr>
                <w:rFonts w:ascii="Calibri" w:hAnsi="Calibri" w:cs="Calibri"/>
                <w:b/>
                <w:i/>
                <w:sz w:val="22"/>
                <w:szCs w:val="22"/>
                <w:highlight w:val="yellow"/>
              </w:rPr>
              <w:t xml:space="preserve"> Prods., Inc. v. NLRB</w:t>
            </w:r>
            <w:r w:rsidRPr="00627489">
              <w:rPr>
                <w:rFonts w:ascii="Calibri" w:hAnsi="Calibri" w:cs="Calibri"/>
                <w:b/>
                <w:sz w:val="22"/>
                <w:szCs w:val="22"/>
                <w:highlight w:val="yellow"/>
              </w:rPr>
              <w:t xml:space="preserve"> (4th Cir. 1989).  AB26.</w:t>
            </w:r>
          </w:p>
        </w:tc>
      </w:tr>
      <w:tr w:rsidR="006F1DB5" w14:paraId="30BCBF38" w14:textId="77777777" w:rsidTr="00D712B1">
        <w:trPr>
          <w:trHeight w:val="4795"/>
        </w:trPr>
        <w:tc>
          <w:tcPr>
            <w:tcW w:w="5805" w:type="dxa"/>
            <w:vAlign w:val="center"/>
          </w:tcPr>
          <w:p w14:paraId="426E134E"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DISH </w:t>
            </w:r>
            <w:r w:rsidRPr="000A633C">
              <w:rPr>
                <w:rFonts w:ascii="Calibri" w:hAnsi="Calibri" w:cs="Calibri"/>
                <w:b/>
                <w:sz w:val="28"/>
                <w:szCs w:val="28"/>
              </w:rPr>
              <w:t>represent</w:t>
            </w:r>
            <w:r>
              <w:rPr>
                <w:rFonts w:ascii="Calibri" w:hAnsi="Calibri" w:cs="Calibri"/>
                <w:b/>
                <w:sz w:val="28"/>
                <w:szCs w:val="28"/>
              </w:rPr>
              <w:t>ed</w:t>
            </w:r>
            <w:r w:rsidRPr="000A633C">
              <w:rPr>
                <w:rFonts w:ascii="Calibri" w:hAnsi="Calibri" w:cs="Calibri"/>
                <w:b/>
                <w:sz w:val="28"/>
                <w:szCs w:val="28"/>
              </w:rPr>
              <w:t xml:space="preserve"> to 46 state Attorneys General that “it had the authority to and would monitor compliance of all its marketers, including SSN, with telemarketing laws.” </w:t>
            </w:r>
            <w:r>
              <w:rPr>
                <w:rFonts w:ascii="Calibri" w:hAnsi="Calibri" w:cs="Calibri"/>
                <w:b/>
                <w:sz w:val="28"/>
                <w:szCs w:val="28"/>
              </w:rPr>
              <w:t xml:space="preserve"> Doesn’t this show control over its retailers?</w:t>
            </w:r>
          </w:p>
        </w:tc>
        <w:tc>
          <w:tcPr>
            <w:tcW w:w="5805" w:type="dxa"/>
            <w:vAlign w:val="center"/>
          </w:tcPr>
          <w:p w14:paraId="13E76FE7" w14:textId="77777777"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T</w:t>
            </w:r>
            <w:r w:rsidRPr="000035AB">
              <w:rPr>
                <w:rFonts w:ascii="Calibri" w:hAnsi="Calibri" w:cs="Calibri"/>
                <w:b/>
                <w:sz w:val="22"/>
                <w:szCs w:val="22"/>
              </w:rPr>
              <w:t xml:space="preserve">he agreement does not show the parties assented to an agency relationship, nor </w:t>
            </w:r>
            <w:r>
              <w:rPr>
                <w:rFonts w:ascii="Calibri" w:hAnsi="Calibri" w:cs="Calibri"/>
                <w:b/>
                <w:sz w:val="22"/>
                <w:szCs w:val="22"/>
              </w:rPr>
              <w:t>a</w:t>
            </w:r>
            <w:r w:rsidRPr="000035AB">
              <w:rPr>
                <w:rFonts w:ascii="Calibri" w:hAnsi="Calibri" w:cs="Calibri"/>
                <w:b/>
                <w:sz w:val="22"/>
                <w:szCs w:val="22"/>
              </w:rPr>
              <w:t xml:space="preserve"> right </w:t>
            </w:r>
            <w:r>
              <w:rPr>
                <w:rFonts w:ascii="Calibri" w:hAnsi="Calibri" w:cs="Calibri"/>
                <w:b/>
                <w:sz w:val="22"/>
                <w:szCs w:val="22"/>
              </w:rPr>
              <w:t xml:space="preserve">for DISH </w:t>
            </w:r>
            <w:r w:rsidRPr="000035AB">
              <w:rPr>
                <w:rFonts w:ascii="Calibri" w:hAnsi="Calibri" w:cs="Calibri"/>
                <w:b/>
                <w:sz w:val="22"/>
                <w:szCs w:val="22"/>
              </w:rPr>
              <w:t>to exercise day-to-day operational control.  DISH merely agreed to require the contractors to comply with the law</w:t>
            </w:r>
            <w:r>
              <w:rPr>
                <w:rFonts w:ascii="Calibri" w:hAnsi="Calibri" w:cs="Calibri"/>
                <w:b/>
                <w:sz w:val="22"/>
                <w:szCs w:val="22"/>
              </w:rPr>
              <w:t>, which is another kind of quality control.</w:t>
            </w:r>
            <w:r w:rsidRPr="000035AB">
              <w:rPr>
                <w:rFonts w:ascii="Calibri" w:hAnsi="Calibri" w:cs="Calibri"/>
                <w:b/>
                <w:sz w:val="22"/>
                <w:szCs w:val="22"/>
              </w:rPr>
              <w:t xml:space="preserve">  </w:t>
            </w:r>
          </w:p>
        </w:tc>
      </w:tr>
      <w:tr w:rsidR="006F1DB5" w14:paraId="0242822B" w14:textId="77777777" w:rsidTr="00D712B1">
        <w:trPr>
          <w:trHeight w:val="4795"/>
        </w:trPr>
        <w:tc>
          <w:tcPr>
            <w:tcW w:w="5805" w:type="dxa"/>
            <w:vAlign w:val="center"/>
          </w:tcPr>
          <w:p w14:paraId="54009A10"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SSN sell anything besides DISH during the class period?</w:t>
            </w:r>
          </w:p>
        </w:tc>
        <w:tc>
          <w:tcPr>
            <w:tcW w:w="5805" w:type="dxa"/>
            <w:vAlign w:val="center"/>
          </w:tcPr>
          <w:p w14:paraId="36234608" w14:textId="77777777"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but </w:t>
            </w:r>
            <w:r w:rsidRPr="005A5364">
              <w:rPr>
                <w:rFonts w:ascii="Calibri" w:hAnsi="Calibri" w:cs="Calibri"/>
                <w:b/>
                <w:sz w:val="22"/>
                <w:szCs w:val="22"/>
              </w:rPr>
              <w:t xml:space="preserve">that was </w:t>
            </w:r>
            <w:r w:rsidRPr="00230CEF">
              <w:rPr>
                <w:rFonts w:ascii="Calibri" w:hAnsi="Calibri" w:cs="Calibri"/>
                <w:b/>
                <w:sz w:val="22"/>
                <w:szCs w:val="22"/>
              </w:rPr>
              <w:t>SSN’s</w:t>
            </w:r>
            <w:r w:rsidRPr="005A5364">
              <w:rPr>
                <w:rFonts w:ascii="Calibri" w:hAnsi="Calibri" w:cs="Calibri"/>
                <w:b/>
                <w:i/>
                <w:sz w:val="22"/>
                <w:szCs w:val="22"/>
              </w:rPr>
              <w:t xml:space="preserve"> </w:t>
            </w:r>
            <w:r w:rsidRPr="005A5364">
              <w:rPr>
                <w:rFonts w:ascii="Calibri" w:hAnsi="Calibri" w:cs="Calibri"/>
                <w:b/>
                <w:sz w:val="22"/>
                <w:szCs w:val="22"/>
              </w:rPr>
              <w:t>decision</w:t>
            </w:r>
            <w:r>
              <w:rPr>
                <w:rFonts w:ascii="Calibri" w:hAnsi="Calibri" w:cs="Calibri"/>
                <w:b/>
                <w:sz w:val="22"/>
                <w:szCs w:val="22"/>
              </w:rPr>
              <w:t>.  A</w:t>
            </w:r>
            <w:r w:rsidRPr="005A5364">
              <w:rPr>
                <w:rFonts w:ascii="Calibri" w:hAnsi="Calibri" w:cs="Calibri"/>
                <w:b/>
                <w:sz w:val="22"/>
                <w:szCs w:val="22"/>
              </w:rPr>
              <w:t>t other points, SSN sold DIRECTV, and there was no exclusivity requirement</w:t>
            </w:r>
            <w:r>
              <w:rPr>
                <w:rFonts w:ascii="Calibri" w:hAnsi="Calibri" w:cs="Calibri"/>
                <w:b/>
                <w:sz w:val="22"/>
                <w:szCs w:val="22"/>
              </w:rPr>
              <w:t xml:space="preserve"> between SSN and DISH</w:t>
            </w:r>
            <w:r w:rsidRPr="005A5364">
              <w:rPr>
                <w:rFonts w:ascii="Calibri" w:hAnsi="Calibri" w:cs="Calibri"/>
                <w:b/>
                <w:sz w:val="22"/>
                <w:szCs w:val="22"/>
              </w:rPr>
              <w:t xml:space="preserve">.  This therefore weighs </w:t>
            </w:r>
            <w:r w:rsidRPr="005A5364">
              <w:rPr>
                <w:rFonts w:ascii="Calibri" w:hAnsi="Calibri" w:cs="Calibri"/>
                <w:b/>
                <w:i/>
                <w:sz w:val="22"/>
                <w:szCs w:val="22"/>
              </w:rPr>
              <w:t>against</w:t>
            </w:r>
            <w:r w:rsidRPr="005A5364">
              <w:rPr>
                <w:rFonts w:ascii="Calibri" w:hAnsi="Calibri" w:cs="Calibri"/>
                <w:b/>
                <w:sz w:val="22"/>
                <w:szCs w:val="22"/>
              </w:rPr>
              <w:t xml:space="preserve"> agency.  </w:t>
            </w:r>
            <w:r w:rsidRPr="005A5364">
              <w:rPr>
                <w:rFonts w:ascii="Calibri" w:hAnsi="Calibri" w:cs="Calibri"/>
                <w:b/>
                <w:i/>
                <w:sz w:val="22"/>
                <w:szCs w:val="22"/>
              </w:rPr>
              <w:t>Leon v. Caterpillar Indus.</w:t>
            </w:r>
            <w:r>
              <w:rPr>
                <w:rFonts w:ascii="Calibri" w:hAnsi="Calibri" w:cs="Calibri"/>
                <w:b/>
                <w:sz w:val="22"/>
                <w:szCs w:val="22"/>
              </w:rPr>
              <w:t xml:space="preserve"> </w:t>
            </w:r>
            <w:r w:rsidRPr="005A5364">
              <w:rPr>
                <w:rFonts w:ascii="Calibri" w:hAnsi="Calibri" w:cs="Calibri"/>
                <w:b/>
                <w:sz w:val="22"/>
                <w:szCs w:val="22"/>
              </w:rPr>
              <w:t>(7th Cir. 1995).</w:t>
            </w:r>
          </w:p>
        </w:tc>
      </w:tr>
      <w:tr w:rsidR="006F1DB5" w14:paraId="6B031F75" w14:textId="77777777" w:rsidTr="00D712B1">
        <w:trPr>
          <w:trHeight w:val="4795"/>
        </w:trPr>
        <w:tc>
          <w:tcPr>
            <w:tcW w:w="5805" w:type="dxa"/>
            <w:vAlign w:val="center"/>
          </w:tcPr>
          <w:p w14:paraId="4C885641"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 SSN have direct access to </w:t>
            </w:r>
            <w:proofErr w:type="spellStart"/>
            <w:r>
              <w:rPr>
                <w:rFonts w:ascii="Calibri" w:hAnsi="Calibri" w:cs="Calibri"/>
                <w:b/>
                <w:sz w:val="28"/>
                <w:szCs w:val="28"/>
              </w:rPr>
              <w:t>DISH’s</w:t>
            </w:r>
            <w:proofErr w:type="spellEnd"/>
            <w:r>
              <w:rPr>
                <w:rFonts w:ascii="Calibri" w:hAnsi="Calibri" w:cs="Calibri"/>
                <w:b/>
                <w:sz w:val="28"/>
                <w:szCs w:val="28"/>
              </w:rPr>
              <w:t xml:space="preserve"> computer system?</w:t>
            </w:r>
          </w:p>
        </w:tc>
        <w:tc>
          <w:tcPr>
            <w:tcW w:w="5805" w:type="dxa"/>
            <w:vAlign w:val="center"/>
          </w:tcPr>
          <w:p w14:paraId="2561E305" w14:textId="77777777" w:rsidR="006F1DB5" w:rsidRPr="00C14400"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Krakauer</w:t>
            </w:r>
            <w:r w:rsidRPr="00C14400">
              <w:rPr>
                <w:rFonts w:ascii="Calibri" w:hAnsi="Calibri" w:cs="Calibri"/>
                <w:b/>
                <w:sz w:val="22"/>
                <w:szCs w:val="22"/>
              </w:rPr>
              <w:t xml:space="preserve"> is referring to a website that retailers use to send DISH customer orders.  It’s the same tool that RadioShack and Sears used to enter DISH orders without becoming </w:t>
            </w:r>
            <w:proofErr w:type="spellStart"/>
            <w:r w:rsidRPr="00C14400">
              <w:rPr>
                <w:rFonts w:ascii="Calibri" w:hAnsi="Calibri" w:cs="Calibri"/>
                <w:b/>
                <w:sz w:val="22"/>
                <w:szCs w:val="22"/>
              </w:rPr>
              <w:t>DISH’s</w:t>
            </w:r>
            <w:proofErr w:type="spellEnd"/>
            <w:r w:rsidRPr="00C14400">
              <w:rPr>
                <w:rFonts w:ascii="Calibri" w:hAnsi="Calibri" w:cs="Calibri"/>
                <w:b/>
                <w:sz w:val="22"/>
                <w:szCs w:val="22"/>
              </w:rPr>
              <w:t xml:space="preserve"> agents.  Creating a platform for retailers to conveniently send orders does not create agency.</w:t>
            </w:r>
          </w:p>
          <w:p w14:paraId="374EF469" w14:textId="77777777" w:rsidR="006F1DB5" w:rsidRDefault="006F1DB5" w:rsidP="00525419">
            <w:pPr>
              <w:pStyle w:val="O-BodyText"/>
              <w:spacing w:after="120"/>
              <w:ind w:right="65"/>
              <w:jc w:val="both"/>
              <w:rPr>
                <w:rFonts w:ascii="Calibri" w:hAnsi="Calibri" w:cs="Calibri"/>
                <w:b/>
                <w:sz w:val="22"/>
                <w:szCs w:val="22"/>
              </w:rPr>
            </w:pPr>
          </w:p>
        </w:tc>
      </w:tr>
      <w:tr w:rsidR="006F1DB5" w14:paraId="7DB755D0" w14:textId="77777777" w:rsidTr="00D712B1">
        <w:trPr>
          <w:trHeight w:val="4795"/>
        </w:trPr>
        <w:tc>
          <w:tcPr>
            <w:tcW w:w="5805" w:type="dxa"/>
            <w:vAlign w:val="center"/>
          </w:tcPr>
          <w:p w14:paraId="71DAB7FF"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 DISH </w:t>
            </w:r>
            <w:r w:rsidRPr="008C7669">
              <w:rPr>
                <w:rFonts w:ascii="Calibri" w:hAnsi="Calibri" w:cs="Calibri"/>
                <w:b/>
                <w:sz w:val="28"/>
                <w:szCs w:val="28"/>
              </w:rPr>
              <w:t>allow</w:t>
            </w:r>
            <w:r>
              <w:rPr>
                <w:rFonts w:ascii="Calibri" w:hAnsi="Calibri" w:cs="Calibri"/>
                <w:b/>
                <w:sz w:val="28"/>
                <w:szCs w:val="28"/>
              </w:rPr>
              <w:t xml:space="preserve"> SSN to use its name and logo?</w:t>
            </w:r>
          </w:p>
        </w:tc>
        <w:tc>
          <w:tcPr>
            <w:tcW w:w="5805" w:type="dxa"/>
            <w:vAlign w:val="center"/>
          </w:tcPr>
          <w:p w14:paraId="6ED1B270" w14:textId="2755F276"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Using a company’s name and logo is common </w:t>
            </w:r>
            <w:r w:rsidRPr="00B36092">
              <w:rPr>
                <w:rFonts w:ascii="Calibri" w:hAnsi="Calibri" w:cs="Calibri"/>
                <w:b/>
                <w:sz w:val="22"/>
                <w:szCs w:val="22"/>
              </w:rPr>
              <w:t xml:space="preserve">for independent retailers and franchisees (e.g., McDonald’s), which is why it does not create agency.  </w:t>
            </w:r>
            <w:r w:rsidRPr="00B36092">
              <w:rPr>
                <w:rFonts w:ascii="Calibri" w:hAnsi="Calibri" w:cs="Calibri"/>
                <w:b/>
                <w:i/>
                <w:sz w:val="22"/>
                <w:szCs w:val="22"/>
              </w:rPr>
              <w:t xml:space="preserve">E.g., Leon v. Caterpillar Indus. </w:t>
            </w:r>
            <w:r w:rsidRPr="00B36092">
              <w:rPr>
                <w:rFonts w:ascii="Calibri" w:hAnsi="Calibri" w:cs="Calibri"/>
                <w:b/>
                <w:sz w:val="22"/>
                <w:szCs w:val="22"/>
              </w:rPr>
              <w:t>(7th Cir. 1995).</w:t>
            </w:r>
          </w:p>
        </w:tc>
      </w:tr>
      <w:tr w:rsidR="006F1DB5" w14:paraId="30BEEBFF" w14:textId="77777777" w:rsidTr="00D712B1">
        <w:trPr>
          <w:trHeight w:val="4795"/>
        </w:trPr>
        <w:tc>
          <w:tcPr>
            <w:tcW w:w="5805" w:type="dxa"/>
            <w:vAlign w:val="center"/>
          </w:tcPr>
          <w:p w14:paraId="7D6418C0"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If SSN was acting as </w:t>
            </w:r>
            <w:proofErr w:type="spellStart"/>
            <w:r>
              <w:rPr>
                <w:rFonts w:ascii="Calibri" w:hAnsi="Calibri" w:cs="Calibri"/>
                <w:b/>
                <w:sz w:val="28"/>
                <w:szCs w:val="28"/>
              </w:rPr>
              <w:t>DISH’s</w:t>
            </w:r>
            <w:proofErr w:type="spellEnd"/>
            <w:r>
              <w:rPr>
                <w:rFonts w:ascii="Calibri" w:hAnsi="Calibri" w:cs="Calibri"/>
                <w:b/>
                <w:sz w:val="28"/>
                <w:szCs w:val="28"/>
              </w:rPr>
              <w:t xml:space="preserve"> agent, is the question of whether it was acting within the scope of its authority for the court or the jury to decide?</w:t>
            </w:r>
          </w:p>
        </w:tc>
        <w:tc>
          <w:tcPr>
            <w:tcW w:w="5805" w:type="dxa"/>
            <w:vAlign w:val="center"/>
          </w:tcPr>
          <w:p w14:paraId="04167843" w14:textId="77777777" w:rsidR="006F1DB5" w:rsidRPr="00054839"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This is a question of law.  T</w:t>
            </w:r>
            <w:r w:rsidRPr="00054839">
              <w:rPr>
                <w:rFonts w:ascii="Calibri" w:hAnsi="Calibri" w:cs="Calibri"/>
                <w:b/>
                <w:sz w:val="22"/>
                <w:szCs w:val="22"/>
              </w:rPr>
              <w:t>here are two legal rules that Krakauer does not dispute</w:t>
            </w:r>
            <w:r>
              <w:rPr>
                <w:rFonts w:ascii="Calibri" w:hAnsi="Calibri" w:cs="Calibri"/>
                <w:b/>
                <w:sz w:val="22"/>
                <w:szCs w:val="22"/>
              </w:rPr>
              <w:t>: (1) C</w:t>
            </w:r>
            <w:r w:rsidRPr="00054839">
              <w:rPr>
                <w:rFonts w:ascii="Calibri" w:hAnsi="Calibri" w:cs="Calibri"/>
                <w:b/>
                <w:sz w:val="22"/>
                <w:szCs w:val="22"/>
              </w:rPr>
              <w:t xml:space="preserve">rimes and torts are not within the scope of an agent’s authority </w:t>
            </w:r>
            <w:r>
              <w:rPr>
                <w:rFonts w:ascii="Calibri" w:hAnsi="Calibri" w:cs="Calibri"/>
                <w:b/>
                <w:sz w:val="22"/>
                <w:szCs w:val="22"/>
              </w:rPr>
              <w:t xml:space="preserve">unless </w:t>
            </w:r>
            <w:r w:rsidRPr="00054839">
              <w:rPr>
                <w:rFonts w:ascii="Calibri" w:hAnsi="Calibri" w:cs="Calibri"/>
                <w:b/>
                <w:sz w:val="22"/>
                <w:szCs w:val="22"/>
              </w:rPr>
              <w:t>the principal issued clear instructions to break the law</w:t>
            </w:r>
            <w:r>
              <w:rPr>
                <w:rFonts w:ascii="Calibri" w:hAnsi="Calibri" w:cs="Calibri"/>
                <w:b/>
                <w:sz w:val="22"/>
                <w:szCs w:val="22"/>
              </w:rPr>
              <w:t xml:space="preserve">; and (2) Where the principal </w:t>
            </w:r>
            <w:r w:rsidRPr="00054839">
              <w:rPr>
                <w:rFonts w:ascii="Calibri" w:hAnsi="Calibri" w:cs="Calibri"/>
                <w:b/>
                <w:sz w:val="22"/>
                <w:szCs w:val="22"/>
              </w:rPr>
              <w:t>expressly prohibit</w:t>
            </w:r>
            <w:r>
              <w:rPr>
                <w:rFonts w:ascii="Calibri" w:hAnsi="Calibri" w:cs="Calibri"/>
                <w:b/>
                <w:sz w:val="22"/>
                <w:szCs w:val="22"/>
              </w:rPr>
              <w:t xml:space="preserve">s conduct without </w:t>
            </w:r>
            <w:r w:rsidRPr="00054839">
              <w:rPr>
                <w:rFonts w:ascii="Calibri" w:hAnsi="Calibri" w:cs="Calibri"/>
                <w:b/>
                <w:sz w:val="22"/>
                <w:szCs w:val="22"/>
              </w:rPr>
              <w:t xml:space="preserve">later expressly </w:t>
            </w:r>
            <w:r>
              <w:rPr>
                <w:rFonts w:ascii="Calibri" w:hAnsi="Calibri" w:cs="Calibri"/>
                <w:b/>
                <w:sz w:val="22"/>
                <w:szCs w:val="22"/>
              </w:rPr>
              <w:t>c</w:t>
            </w:r>
            <w:r w:rsidRPr="00054839">
              <w:rPr>
                <w:rFonts w:ascii="Calibri" w:hAnsi="Calibri" w:cs="Calibri"/>
                <w:b/>
                <w:sz w:val="22"/>
                <w:szCs w:val="22"/>
              </w:rPr>
              <w:t>ontradict</w:t>
            </w:r>
            <w:r>
              <w:rPr>
                <w:rFonts w:ascii="Calibri" w:hAnsi="Calibri" w:cs="Calibri"/>
                <w:b/>
                <w:sz w:val="22"/>
                <w:szCs w:val="22"/>
              </w:rPr>
              <w:t>ing</w:t>
            </w:r>
            <w:r w:rsidRPr="00054839">
              <w:rPr>
                <w:rFonts w:ascii="Calibri" w:hAnsi="Calibri" w:cs="Calibri"/>
                <w:b/>
                <w:sz w:val="22"/>
                <w:szCs w:val="22"/>
              </w:rPr>
              <w:t xml:space="preserve"> that proscription, there </w:t>
            </w:r>
            <w:r>
              <w:rPr>
                <w:rFonts w:ascii="Calibri" w:hAnsi="Calibri" w:cs="Calibri"/>
                <w:b/>
                <w:sz w:val="22"/>
                <w:szCs w:val="22"/>
              </w:rPr>
              <w:t>is</w:t>
            </w:r>
            <w:r w:rsidRPr="00054839">
              <w:rPr>
                <w:rFonts w:ascii="Calibri" w:hAnsi="Calibri" w:cs="Calibri"/>
                <w:b/>
                <w:sz w:val="22"/>
                <w:szCs w:val="22"/>
              </w:rPr>
              <w:t xml:space="preserve"> no authority and therefore no liability</w:t>
            </w:r>
            <w:r>
              <w:rPr>
                <w:rFonts w:ascii="Calibri" w:hAnsi="Calibri" w:cs="Calibri"/>
                <w:b/>
                <w:sz w:val="22"/>
                <w:szCs w:val="22"/>
              </w:rPr>
              <w:t xml:space="preserve"> for that conduct. </w:t>
            </w:r>
          </w:p>
          <w:p w14:paraId="6D105537" w14:textId="77777777" w:rsidR="006F1DB5" w:rsidRPr="00054839" w:rsidRDefault="006F1DB5" w:rsidP="00525419">
            <w:pPr>
              <w:pStyle w:val="O-BodyText"/>
              <w:spacing w:after="120"/>
              <w:ind w:right="65"/>
              <w:jc w:val="both"/>
              <w:rPr>
                <w:rFonts w:ascii="Calibri" w:hAnsi="Calibri" w:cs="Calibri"/>
                <w:b/>
                <w:sz w:val="22"/>
                <w:szCs w:val="22"/>
              </w:rPr>
            </w:pPr>
          </w:p>
          <w:p w14:paraId="26A205A2" w14:textId="77777777" w:rsidR="006F1DB5" w:rsidRDefault="006F1DB5" w:rsidP="00525419">
            <w:pPr>
              <w:pStyle w:val="O-BodyText"/>
              <w:spacing w:after="120"/>
              <w:ind w:right="65"/>
              <w:jc w:val="both"/>
              <w:rPr>
                <w:rFonts w:ascii="Calibri" w:hAnsi="Calibri" w:cs="Calibri"/>
                <w:b/>
                <w:sz w:val="22"/>
                <w:szCs w:val="22"/>
              </w:rPr>
            </w:pPr>
          </w:p>
        </w:tc>
      </w:tr>
      <w:tr w:rsidR="006F1DB5" w14:paraId="6E55E728" w14:textId="77777777" w:rsidTr="00D712B1">
        <w:trPr>
          <w:trHeight w:val="4795"/>
        </w:trPr>
        <w:tc>
          <w:tcPr>
            <w:tcW w:w="5805" w:type="dxa"/>
            <w:vAlign w:val="center"/>
          </w:tcPr>
          <w:p w14:paraId="27706ECE"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Did DISH ratify SSN’s past violations of the TCPA?</w:t>
            </w:r>
          </w:p>
        </w:tc>
        <w:tc>
          <w:tcPr>
            <w:tcW w:w="5805" w:type="dxa"/>
            <w:vAlign w:val="center"/>
          </w:tcPr>
          <w:p w14:paraId="1F578E29" w14:textId="77777777" w:rsidR="006F1DB5" w:rsidRPr="00054839"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No.  A</w:t>
            </w:r>
            <w:r w:rsidRPr="00054839">
              <w:rPr>
                <w:rFonts w:ascii="Calibri" w:hAnsi="Calibri" w:cs="Calibri"/>
                <w:b/>
                <w:sz w:val="22"/>
                <w:szCs w:val="22"/>
              </w:rPr>
              <w:t xml:space="preserve"> principal </w:t>
            </w:r>
            <w:r>
              <w:rPr>
                <w:rFonts w:ascii="Calibri" w:hAnsi="Calibri" w:cs="Calibri"/>
                <w:b/>
                <w:sz w:val="22"/>
                <w:szCs w:val="22"/>
              </w:rPr>
              <w:t>can</w:t>
            </w:r>
            <w:r w:rsidRPr="00054839">
              <w:rPr>
                <w:rFonts w:ascii="Calibri" w:hAnsi="Calibri" w:cs="Calibri"/>
                <w:b/>
                <w:sz w:val="22"/>
                <w:szCs w:val="22"/>
              </w:rPr>
              <w:t xml:space="preserve"> be responsible for an agent’s past violation if the principal </w:t>
            </w:r>
            <w:r w:rsidRPr="00054839">
              <w:rPr>
                <w:rFonts w:ascii="Calibri" w:hAnsi="Calibri" w:cs="Calibri"/>
                <w:b/>
                <w:i/>
                <w:sz w:val="22"/>
                <w:szCs w:val="22"/>
              </w:rPr>
              <w:t>ratifies</w:t>
            </w:r>
            <w:r w:rsidRPr="00054839">
              <w:rPr>
                <w:rFonts w:ascii="Calibri" w:hAnsi="Calibri" w:cs="Calibri"/>
                <w:b/>
                <w:sz w:val="22"/>
                <w:szCs w:val="22"/>
              </w:rPr>
              <w:t xml:space="preserve"> it.  But that requires a “manifestation of assent to be bound by the prior act.”  Restatement (Third) of Agency § 4.01 </w:t>
            </w:r>
            <w:proofErr w:type="spellStart"/>
            <w:r w:rsidRPr="00054839">
              <w:rPr>
                <w:rFonts w:ascii="Calibri" w:hAnsi="Calibri" w:cs="Calibri"/>
                <w:b/>
                <w:sz w:val="22"/>
                <w:szCs w:val="22"/>
              </w:rPr>
              <w:t>cmt</w:t>
            </w:r>
            <w:proofErr w:type="spellEnd"/>
            <w:proofErr w:type="gramStart"/>
            <w:r w:rsidRPr="00054839">
              <w:rPr>
                <w:rFonts w:ascii="Calibri" w:hAnsi="Calibri" w:cs="Calibri"/>
                <w:b/>
                <w:sz w:val="22"/>
                <w:szCs w:val="22"/>
              </w:rPr>
              <w:t xml:space="preserve">. </w:t>
            </w:r>
            <w:proofErr w:type="gramEnd"/>
            <w:r w:rsidRPr="00054839">
              <w:rPr>
                <w:rFonts w:ascii="Calibri" w:hAnsi="Calibri" w:cs="Calibri"/>
                <w:b/>
                <w:sz w:val="22"/>
                <w:szCs w:val="22"/>
              </w:rPr>
              <w:t xml:space="preserve">b.  The district court </w:t>
            </w:r>
            <w:r>
              <w:rPr>
                <w:rFonts w:ascii="Calibri" w:hAnsi="Calibri" w:cs="Calibri"/>
                <w:b/>
                <w:sz w:val="22"/>
                <w:szCs w:val="22"/>
              </w:rPr>
              <w:t>rejected</w:t>
            </w:r>
            <w:r w:rsidRPr="00054839">
              <w:rPr>
                <w:rFonts w:ascii="Calibri" w:hAnsi="Calibri" w:cs="Calibri"/>
                <w:b/>
                <w:sz w:val="22"/>
                <w:szCs w:val="22"/>
              </w:rPr>
              <w:t xml:space="preserve"> that ratification theory on summary judgment for lack of any such manifestation, </w:t>
            </w:r>
            <w:r>
              <w:rPr>
                <w:rFonts w:ascii="Calibri" w:hAnsi="Calibri" w:cs="Calibri"/>
                <w:b/>
                <w:sz w:val="22"/>
                <w:szCs w:val="22"/>
              </w:rPr>
              <w:t>and</w:t>
            </w:r>
            <w:r w:rsidRPr="00054839">
              <w:rPr>
                <w:rFonts w:ascii="Calibri" w:hAnsi="Calibri" w:cs="Calibri"/>
                <w:b/>
                <w:sz w:val="22"/>
                <w:szCs w:val="22"/>
              </w:rPr>
              <w:t xml:space="preserve"> Krakauer does not challenge</w:t>
            </w:r>
            <w:r>
              <w:rPr>
                <w:rFonts w:ascii="Calibri" w:hAnsi="Calibri" w:cs="Calibri"/>
                <w:b/>
                <w:sz w:val="22"/>
                <w:szCs w:val="22"/>
              </w:rPr>
              <w:t xml:space="preserve"> that ruling. </w:t>
            </w:r>
          </w:p>
          <w:p w14:paraId="7CF56CA5" w14:textId="77777777" w:rsidR="006F1DB5" w:rsidRDefault="006F1DB5" w:rsidP="00525419">
            <w:pPr>
              <w:pStyle w:val="O-BodyText"/>
              <w:spacing w:after="120"/>
              <w:ind w:right="65"/>
              <w:jc w:val="both"/>
              <w:rPr>
                <w:rFonts w:ascii="Calibri" w:hAnsi="Calibri" w:cs="Calibri"/>
                <w:b/>
                <w:sz w:val="22"/>
                <w:szCs w:val="22"/>
              </w:rPr>
            </w:pPr>
          </w:p>
        </w:tc>
      </w:tr>
      <w:tr w:rsidR="006F1DB5" w14:paraId="1D51939C" w14:textId="77777777" w:rsidTr="00D712B1">
        <w:trPr>
          <w:trHeight w:val="4795"/>
        </w:trPr>
        <w:tc>
          <w:tcPr>
            <w:tcW w:w="5805" w:type="dxa"/>
            <w:vAlign w:val="center"/>
          </w:tcPr>
          <w:p w14:paraId="7091D50D"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What evidence is there that DISH did not acquiesce in SSN’s past violations of the TCPA?</w:t>
            </w:r>
          </w:p>
        </w:tc>
        <w:tc>
          <w:tcPr>
            <w:tcW w:w="5805" w:type="dxa"/>
            <w:vAlign w:val="center"/>
          </w:tcPr>
          <w:p w14:paraId="25A746BD" w14:textId="77777777"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After Krakauer</w:t>
            </w:r>
            <w:r w:rsidRPr="00636A1D">
              <w:rPr>
                <w:rFonts w:ascii="Calibri" w:hAnsi="Calibri" w:cs="Calibri"/>
                <w:b/>
                <w:sz w:val="22"/>
                <w:szCs w:val="22"/>
              </w:rPr>
              <w:t xml:space="preserve"> complained to DISH about SSN’s call, DISH forbade SSN from calling him again.</w:t>
            </w:r>
            <w:r>
              <w:rPr>
                <w:rFonts w:ascii="Calibri" w:hAnsi="Calibri" w:cs="Calibri"/>
                <w:b/>
                <w:sz w:val="22"/>
                <w:szCs w:val="22"/>
              </w:rPr>
              <w:t xml:space="preserve">  Krakauer</w:t>
            </w:r>
            <w:r w:rsidRPr="00636A1D">
              <w:rPr>
                <w:rFonts w:ascii="Calibri" w:hAnsi="Calibri" w:cs="Calibri"/>
                <w:b/>
                <w:sz w:val="22"/>
                <w:szCs w:val="22"/>
              </w:rPr>
              <w:t xml:space="preserve"> does not identify any evidence that DISH even suggested—much less clearly communicated—that it </w:t>
            </w:r>
            <w:proofErr w:type="gramStart"/>
            <w:r w:rsidRPr="00636A1D">
              <w:rPr>
                <w:rFonts w:ascii="Calibri" w:hAnsi="Calibri" w:cs="Calibri"/>
                <w:b/>
                <w:sz w:val="22"/>
                <w:szCs w:val="22"/>
              </w:rPr>
              <w:t xml:space="preserve">actually </w:t>
            </w:r>
            <w:r w:rsidRPr="00636A1D">
              <w:rPr>
                <w:rFonts w:ascii="Calibri" w:hAnsi="Calibri" w:cs="Calibri"/>
                <w:b/>
                <w:i/>
                <w:sz w:val="22"/>
                <w:szCs w:val="22"/>
              </w:rPr>
              <w:t>did</w:t>
            </w:r>
            <w:proofErr w:type="gramEnd"/>
            <w:r w:rsidRPr="00636A1D">
              <w:rPr>
                <w:rFonts w:ascii="Calibri" w:hAnsi="Calibri" w:cs="Calibri"/>
                <w:b/>
                <w:sz w:val="22"/>
                <w:szCs w:val="22"/>
              </w:rPr>
              <w:t xml:space="preserve"> want SSN to call Krakauer again</w:t>
            </w:r>
            <w:r>
              <w:rPr>
                <w:rFonts w:ascii="Calibri" w:hAnsi="Calibri" w:cs="Calibri"/>
                <w:b/>
                <w:sz w:val="22"/>
                <w:szCs w:val="22"/>
              </w:rPr>
              <w:t>.</w:t>
            </w:r>
          </w:p>
        </w:tc>
      </w:tr>
      <w:tr w:rsidR="006F1DB5" w14:paraId="518C6D72" w14:textId="77777777" w:rsidTr="00D712B1">
        <w:trPr>
          <w:trHeight w:val="4795"/>
        </w:trPr>
        <w:tc>
          <w:tcPr>
            <w:tcW w:w="5805" w:type="dxa"/>
            <w:vAlign w:val="center"/>
          </w:tcPr>
          <w:p w14:paraId="5D987E11"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Is there any evidence that DISH instructed SSN to violate the law?</w:t>
            </w:r>
          </w:p>
        </w:tc>
        <w:tc>
          <w:tcPr>
            <w:tcW w:w="5805" w:type="dxa"/>
            <w:vAlign w:val="center"/>
          </w:tcPr>
          <w:p w14:paraId="3E294D6F" w14:textId="77777777" w:rsidR="006F1DB5" w:rsidRDefault="006F1D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There is nothing in record that reflects a </w:t>
            </w:r>
            <w:r w:rsidRPr="009E39AC">
              <w:rPr>
                <w:rFonts w:ascii="Calibri" w:hAnsi="Calibri" w:cs="Calibri"/>
                <w:b/>
                <w:sz w:val="22"/>
                <w:szCs w:val="22"/>
              </w:rPr>
              <w:t xml:space="preserve">clear instruction </w:t>
            </w:r>
            <w:r>
              <w:rPr>
                <w:rFonts w:ascii="Calibri" w:hAnsi="Calibri" w:cs="Calibri"/>
                <w:b/>
                <w:sz w:val="22"/>
                <w:szCs w:val="22"/>
              </w:rPr>
              <w:t xml:space="preserve">from DISH </w:t>
            </w:r>
            <w:r w:rsidRPr="009E39AC">
              <w:rPr>
                <w:rFonts w:ascii="Calibri" w:hAnsi="Calibri" w:cs="Calibri"/>
                <w:b/>
                <w:sz w:val="22"/>
                <w:szCs w:val="22"/>
              </w:rPr>
              <w:t xml:space="preserve">to violate the law. </w:t>
            </w:r>
            <w:r>
              <w:rPr>
                <w:rFonts w:ascii="Calibri" w:hAnsi="Calibri" w:cs="Calibri"/>
                <w:b/>
                <w:sz w:val="22"/>
                <w:szCs w:val="22"/>
              </w:rPr>
              <w:t xml:space="preserve"> And </w:t>
            </w:r>
            <w:r w:rsidRPr="009E39AC">
              <w:rPr>
                <w:rFonts w:ascii="Calibri" w:hAnsi="Calibri" w:cs="Calibri"/>
                <w:b/>
                <w:sz w:val="22"/>
                <w:szCs w:val="22"/>
              </w:rPr>
              <w:t xml:space="preserve">Krakauer </w:t>
            </w:r>
            <w:r>
              <w:rPr>
                <w:rFonts w:ascii="Calibri" w:hAnsi="Calibri" w:cs="Calibri"/>
                <w:b/>
                <w:sz w:val="22"/>
                <w:szCs w:val="22"/>
              </w:rPr>
              <w:t xml:space="preserve">doesn’t cite any </w:t>
            </w:r>
            <w:r w:rsidRPr="009E39AC">
              <w:rPr>
                <w:rFonts w:ascii="Calibri" w:hAnsi="Calibri" w:cs="Calibri"/>
                <w:b/>
                <w:sz w:val="22"/>
                <w:szCs w:val="22"/>
              </w:rPr>
              <w:t xml:space="preserve">case holding that </w:t>
            </w:r>
            <w:r>
              <w:rPr>
                <w:rFonts w:ascii="Calibri" w:hAnsi="Calibri" w:cs="Calibri"/>
                <w:b/>
                <w:sz w:val="22"/>
                <w:szCs w:val="22"/>
              </w:rPr>
              <w:t xml:space="preserve">overriding </w:t>
            </w:r>
            <w:proofErr w:type="spellStart"/>
            <w:r>
              <w:rPr>
                <w:rFonts w:ascii="Calibri" w:hAnsi="Calibri" w:cs="Calibri"/>
                <w:b/>
                <w:sz w:val="22"/>
                <w:szCs w:val="22"/>
              </w:rPr>
              <w:t>DISH’s</w:t>
            </w:r>
            <w:proofErr w:type="spellEnd"/>
            <w:r>
              <w:rPr>
                <w:rFonts w:ascii="Calibri" w:hAnsi="Calibri" w:cs="Calibri"/>
                <w:b/>
                <w:sz w:val="22"/>
                <w:szCs w:val="22"/>
              </w:rPr>
              <w:t xml:space="preserve"> explicit instruction not to violate the law </w:t>
            </w:r>
            <w:r w:rsidRPr="009E39AC">
              <w:rPr>
                <w:rFonts w:ascii="Calibri" w:hAnsi="Calibri" w:cs="Calibri"/>
                <w:b/>
                <w:sz w:val="22"/>
                <w:szCs w:val="22"/>
              </w:rPr>
              <w:t xml:space="preserve">could be </w:t>
            </w:r>
            <w:r>
              <w:rPr>
                <w:rFonts w:ascii="Calibri" w:hAnsi="Calibri" w:cs="Calibri"/>
                <w:b/>
                <w:sz w:val="22"/>
                <w:szCs w:val="22"/>
              </w:rPr>
              <w:t>inferred from silence.</w:t>
            </w:r>
          </w:p>
        </w:tc>
      </w:tr>
      <w:tr w:rsidR="006F1DB5" w14:paraId="5F5E1089" w14:textId="77777777" w:rsidTr="00D712B1">
        <w:trPr>
          <w:trHeight w:val="4795"/>
        </w:trPr>
        <w:tc>
          <w:tcPr>
            <w:tcW w:w="5805" w:type="dxa"/>
            <w:vAlign w:val="center"/>
          </w:tcPr>
          <w:p w14:paraId="134F8B41"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Krakauer cites </w:t>
            </w:r>
            <w:r w:rsidRPr="00054839">
              <w:rPr>
                <w:rFonts w:ascii="Calibri" w:hAnsi="Calibri" w:cs="Calibri"/>
                <w:b/>
                <w:i/>
                <w:sz w:val="28"/>
                <w:szCs w:val="28"/>
              </w:rPr>
              <w:t>Montgomery Ward v. Medline</w:t>
            </w:r>
            <w:r w:rsidRPr="00054839">
              <w:rPr>
                <w:rFonts w:ascii="Calibri" w:hAnsi="Calibri" w:cs="Calibri"/>
                <w:b/>
                <w:sz w:val="28"/>
                <w:szCs w:val="28"/>
              </w:rPr>
              <w:t xml:space="preserve"> (4th Cir. 1939</w:t>
            </w:r>
            <w:r>
              <w:rPr>
                <w:rFonts w:ascii="Calibri" w:hAnsi="Calibri" w:cs="Calibri"/>
                <w:b/>
                <w:sz w:val="28"/>
                <w:szCs w:val="28"/>
              </w:rPr>
              <w:t xml:space="preserve"> and </w:t>
            </w:r>
            <w:proofErr w:type="spellStart"/>
            <w:r w:rsidRPr="00054839">
              <w:rPr>
                <w:rFonts w:ascii="Calibri" w:hAnsi="Calibri" w:cs="Calibri"/>
                <w:b/>
                <w:i/>
                <w:sz w:val="28"/>
                <w:szCs w:val="28"/>
              </w:rPr>
              <w:t>Metco</w:t>
            </w:r>
            <w:proofErr w:type="spellEnd"/>
            <w:r w:rsidRPr="00054839">
              <w:rPr>
                <w:rFonts w:ascii="Calibri" w:hAnsi="Calibri" w:cs="Calibri"/>
                <w:b/>
                <w:i/>
                <w:sz w:val="28"/>
                <w:szCs w:val="28"/>
              </w:rPr>
              <w:t xml:space="preserve"> Prods., Inc. v. NLRB (4th Cir. 1989)</w:t>
            </w:r>
            <w:r>
              <w:rPr>
                <w:rFonts w:ascii="Calibri" w:hAnsi="Calibri" w:cs="Calibri"/>
                <w:b/>
                <w:sz w:val="28"/>
                <w:szCs w:val="28"/>
              </w:rPr>
              <w:t xml:space="preserve"> for the proposition that the scope of an agent’s authority is a factual matter for the jury to decide.</w:t>
            </w:r>
          </w:p>
        </w:tc>
        <w:tc>
          <w:tcPr>
            <w:tcW w:w="5805" w:type="dxa"/>
            <w:vAlign w:val="center"/>
          </w:tcPr>
          <w:p w14:paraId="6D9DF21C" w14:textId="27436512" w:rsidR="006F1DB5" w:rsidRDefault="006F1DB5" w:rsidP="00525419">
            <w:pPr>
              <w:pStyle w:val="O-BodyText"/>
              <w:spacing w:after="120"/>
              <w:ind w:right="65"/>
              <w:jc w:val="both"/>
              <w:rPr>
                <w:rFonts w:ascii="Calibri" w:hAnsi="Calibri" w:cs="Calibri"/>
                <w:b/>
                <w:sz w:val="22"/>
                <w:szCs w:val="22"/>
              </w:rPr>
            </w:pPr>
            <w:r w:rsidRPr="00054839">
              <w:rPr>
                <w:rFonts w:ascii="Calibri" w:hAnsi="Calibri" w:cs="Calibri"/>
                <w:b/>
                <w:sz w:val="22"/>
                <w:szCs w:val="22"/>
                <w:highlight w:val="yellow"/>
              </w:rPr>
              <w:t xml:space="preserve">This Court has held that “where there is doubt as to the servant’s scope of authority the trial judge is required to resolve the doubt in favor of the plaintiff and submit the evidence to the jury, upon the ground that the employer had placed the servant in position to do the wrongful act.” </w:t>
            </w:r>
            <w:r w:rsidRPr="00054839">
              <w:rPr>
                <w:rFonts w:ascii="Calibri" w:hAnsi="Calibri" w:cs="Calibri"/>
                <w:b/>
                <w:i/>
                <w:sz w:val="22"/>
                <w:szCs w:val="22"/>
                <w:highlight w:val="yellow"/>
              </w:rPr>
              <w:t>Montgomery Ward v. Medline</w:t>
            </w:r>
            <w:r w:rsidRPr="00054839">
              <w:rPr>
                <w:rFonts w:ascii="Calibri" w:hAnsi="Calibri" w:cs="Calibri"/>
                <w:b/>
                <w:sz w:val="22"/>
                <w:szCs w:val="22"/>
                <w:highlight w:val="yellow"/>
              </w:rPr>
              <w:t xml:space="preserve"> (4th Cir. 1939); </w:t>
            </w:r>
            <w:r w:rsidRPr="00054839">
              <w:rPr>
                <w:rFonts w:ascii="Calibri" w:hAnsi="Calibri" w:cs="Calibri"/>
                <w:b/>
                <w:i/>
                <w:sz w:val="22"/>
                <w:szCs w:val="22"/>
                <w:highlight w:val="yellow"/>
              </w:rPr>
              <w:t xml:space="preserve">accord </w:t>
            </w:r>
            <w:proofErr w:type="spellStart"/>
            <w:r w:rsidRPr="00054839">
              <w:rPr>
                <w:rFonts w:ascii="Calibri" w:hAnsi="Calibri" w:cs="Calibri"/>
                <w:b/>
                <w:i/>
                <w:sz w:val="22"/>
                <w:szCs w:val="22"/>
                <w:highlight w:val="yellow"/>
              </w:rPr>
              <w:t>Metco</w:t>
            </w:r>
            <w:proofErr w:type="spellEnd"/>
            <w:r w:rsidRPr="00054839">
              <w:rPr>
                <w:rFonts w:ascii="Calibri" w:hAnsi="Calibri" w:cs="Calibri"/>
                <w:b/>
                <w:i/>
                <w:sz w:val="22"/>
                <w:szCs w:val="22"/>
                <w:highlight w:val="yellow"/>
              </w:rPr>
              <w:t xml:space="preserve"> Prods., Inc. v. NLRB (4th Cir. 1989) </w:t>
            </w:r>
            <w:r w:rsidRPr="00054839">
              <w:rPr>
                <w:rFonts w:ascii="Calibri" w:hAnsi="Calibri" w:cs="Calibri"/>
                <w:b/>
                <w:sz w:val="22"/>
                <w:szCs w:val="22"/>
                <w:highlight w:val="yellow"/>
              </w:rPr>
              <w:t xml:space="preserve">(explaining that this is a “factual </w:t>
            </w:r>
            <w:proofErr w:type="gramStart"/>
            <w:r w:rsidRPr="00054839">
              <w:rPr>
                <w:rFonts w:ascii="Calibri" w:hAnsi="Calibri" w:cs="Calibri"/>
                <w:b/>
                <w:sz w:val="22"/>
                <w:szCs w:val="22"/>
                <w:highlight w:val="yellow"/>
              </w:rPr>
              <w:t>matter[</w:t>
            </w:r>
            <w:proofErr w:type="gramEnd"/>
            <w:r w:rsidRPr="00054839">
              <w:rPr>
                <w:rFonts w:ascii="Calibri" w:hAnsi="Calibri" w:cs="Calibri"/>
                <w:b/>
                <w:sz w:val="22"/>
                <w:szCs w:val="22"/>
                <w:highlight w:val="yellow"/>
              </w:rPr>
              <w:t>]”).  AB46.</w:t>
            </w:r>
          </w:p>
        </w:tc>
      </w:tr>
      <w:tr w:rsidR="006F1DB5" w14:paraId="019B7CFA" w14:textId="77777777" w:rsidTr="00D712B1">
        <w:trPr>
          <w:trHeight w:val="4795"/>
        </w:trPr>
        <w:tc>
          <w:tcPr>
            <w:tcW w:w="5805" w:type="dxa"/>
            <w:vAlign w:val="center"/>
          </w:tcPr>
          <w:p w14:paraId="36AD350E" w14:textId="77777777" w:rsidR="006F1DB5" w:rsidRDefault="006F1DB5" w:rsidP="00525419">
            <w:pPr>
              <w:pStyle w:val="O-BodyText"/>
              <w:spacing w:after="120"/>
              <w:ind w:right="200"/>
              <w:jc w:val="both"/>
              <w:rPr>
                <w:rFonts w:ascii="Calibri" w:hAnsi="Calibri" w:cs="Calibri"/>
                <w:b/>
                <w:sz w:val="28"/>
                <w:szCs w:val="28"/>
              </w:rPr>
            </w:pPr>
            <w:r>
              <w:rPr>
                <w:rFonts w:ascii="Calibri" w:hAnsi="Calibri" w:cs="Calibri"/>
                <w:b/>
                <w:sz w:val="28"/>
                <w:szCs w:val="28"/>
              </w:rPr>
              <w:t>Plaintiffs argue that, because DISH knew of SSN’s prior TCPA violations, it acquiesced in its later violations.  AB47.  How do you respond?</w:t>
            </w:r>
          </w:p>
        </w:tc>
        <w:tc>
          <w:tcPr>
            <w:tcW w:w="5805" w:type="dxa"/>
            <w:vAlign w:val="center"/>
          </w:tcPr>
          <w:p w14:paraId="017BB355" w14:textId="5F8932F6" w:rsidR="006F1DB5" w:rsidRDefault="006F1DB5" w:rsidP="00525419">
            <w:pPr>
              <w:pStyle w:val="O-BodyText"/>
              <w:jc w:val="both"/>
              <w:rPr>
                <w:rFonts w:ascii="Calibri" w:hAnsi="Calibri" w:cs="Calibri"/>
                <w:b/>
                <w:sz w:val="22"/>
                <w:szCs w:val="22"/>
              </w:rPr>
            </w:pPr>
            <w:r w:rsidRPr="00627489">
              <w:rPr>
                <w:rFonts w:ascii="Calibri" w:hAnsi="Calibri" w:cs="Calibri"/>
                <w:b/>
                <w:sz w:val="22"/>
                <w:szCs w:val="22"/>
                <w:highlight w:val="yellow"/>
              </w:rPr>
              <w:t xml:space="preserve">For a principal to be responsible for an agent’s past violation, the principal must </w:t>
            </w:r>
            <w:r w:rsidRPr="00627489">
              <w:rPr>
                <w:rFonts w:ascii="Calibri" w:hAnsi="Calibri" w:cs="Calibri"/>
                <w:b/>
                <w:i/>
                <w:sz w:val="22"/>
                <w:szCs w:val="22"/>
                <w:highlight w:val="yellow"/>
              </w:rPr>
              <w:t>ratify</w:t>
            </w:r>
            <w:r w:rsidRPr="00627489">
              <w:rPr>
                <w:rFonts w:ascii="Calibri" w:hAnsi="Calibri" w:cs="Calibri"/>
                <w:b/>
                <w:sz w:val="22"/>
                <w:szCs w:val="22"/>
                <w:highlight w:val="yellow"/>
              </w:rPr>
              <w:t xml:space="preserve"> it, which requires a “manifestation of assent to be bound by the prior act.”  Restatement (Third) of Agency § 4.01 </w:t>
            </w:r>
            <w:proofErr w:type="spellStart"/>
            <w:r w:rsidRPr="00627489">
              <w:rPr>
                <w:rFonts w:ascii="Calibri" w:hAnsi="Calibri" w:cs="Calibri"/>
                <w:b/>
                <w:sz w:val="22"/>
                <w:szCs w:val="22"/>
                <w:highlight w:val="yellow"/>
              </w:rPr>
              <w:t>cmt</w:t>
            </w:r>
            <w:proofErr w:type="spellEnd"/>
            <w:proofErr w:type="gramStart"/>
            <w:r w:rsidRPr="00627489">
              <w:rPr>
                <w:rFonts w:ascii="Calibri" w:hAnsi="Calibri" w:cs="Calibri"/>
                <w:b/>
                <w:sz w:val="22"/>
                <w:szCs w:val="22"/>
                <w:highlight w:val="yellow"/>
              </w:rPr>
              <w:t xml:space="preserve">. </w:t>
            </w:r>
            <w:proofErr w:type="gramEnd"/>
            <w:r w:rsidRPr="00627489">
              <w:rPr>
                <w:rFonts w:ascii="Calibri" w:hAnsi="Calibri" w:cs="Calibri"/>
                <w:b/>
                <w:sz w:val="22"/>
                <w:szCs w:val="22"/>
                <w:highlight w:val="yellow"/>
              </w:rPr>
              <w:t>b.  On summary judgment, the district didn’t find any such manifestation, and Krakauer does not challenge that ruling</w:t>
            </w:r>
            <w:r>
              <w:rPr>
                <w:rFonts w:ascii="Calibri" w:hAnsi="Calibri" w:cs="Calibri"/>
                <w:b/>
                <w:sz w:val="22"/>
                <w:szCs w:val="22"/>
                <w:highlight w:val="yellow"/>
              </w:rPr>
              <w:t>.  AB47.</w:t>
            </w:r>
          </w:p>
        </w:tc>
      </w:tr>
      <w:tr w:rsidR="007C4BB5" w14:paraId="58A58888" w14:textId="77777777" w:rsidTr="00D712B1">
        <w:trPr>
          <w:trHeight w:val="4795"/>
        </w:trPr>
        <w:tc>
          <w:tcPr>
            <w:tcW w:w="5805" w:type="dxa"/>
            <w:vAlign w:val="center"/>
          </w:tcPr>
          <w:p w14:paraId="71003BE2" w14:textId="2DBE27B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is the standard of review for the j</w:t>
            </w:r>
            <w:r w:rsidRPr="004929A4">
              <w:rPr>
                <w:rFonts w:ascii="Calibri" w:hAnsi="Calibri" w:cs="Calibri"/>
                <w:b/>
                <w:sz w:val="28"/>
                <w:szCs w:val="28"/>
              </w:rPr>
              <w:t>ury verdict and findings</w:t>
            </w:r>
            <w:r>
              <w:rPr>
                <w:rFonts w:ascii="Calibri" w:hAnsi="Calibri" w:cs="Calibri"/>
                <w:b/>
                <w:sz w:val="28"/>
                <w:szCs w:val="28"/>
              </w:rPr>
              <w:t>?</w:t>
            </w:r>
          </w:p>
        </w:tc>
        <w:tc>
          <w:tcPr>
            <w:tcW w:w="5805" w:type="dxa"/>
            <w:vAlign w:val="center"/>
          </w:tcPr>
          <w:p w14:paraId="31064583" w14:textId="2D74F5E3" w:rsidR="007C4BB5" w:rsidRPr="00054839" w:rsidRDefault="007C4BB5" w:rsidP="00525419">
            <w:pPr>
              <w:pStyle w:val="O-BodyText"/>
              <w:jc w:val="both"/>
              <w:rPr>
                <w:rFonts w:ascii="Calibri" w:hAnsi="Calibri" w:cs="Calibri"/>
                <w:b/>
                <w:sz w:val="22"/>
                <w:szCs w:val="22"/>
                <w:highlight w:val="yellow"/>
              </w:rPr>
            </w:pPr>
            <w:r w:rsidRPr="00627489">
              <w:rPr>
                <w:rFonts w:ascii="Calibri" w:hAnsi="Calibri" w:cs="Calibri"/>
                <w:b/>
                <w:sz w:val="22"/>
                <w:szCs w:val="22"/>
                <w:highlight w:val="yellow"/>
              </w:rPr>
              <w:t>This Court doesn’t weigh evidence or assess credibility</w:t>
            </w:r>
            <w:proofErr w:type="gramStart"/>
            <w:r w:rsidRPr="00627489">
              <w:rPr>
                <w:rFonts w:ascii="Calibri" w:hAnsi="Calibri" w:cs="Calibri"/>
                <w:b/>
                <w:sz w:val="22"/>
                <w:szCs w:val="22"/>
                <w:highlight w:val="yellow"/>
              </w:rPr>
              <w:t xml:space="preserve">. </w:t>
            </w:r>
            <w:proofErr w:type="gramEnd"/>
            <w:r w:rsidRPr="00627489">
              <w:rPr>
                <w:rFonts w:ascii="Calibri" w:hAnsi="Calibri" w:cs="Calibri"/>
                <w:b/>
                <w:i/>
                <w:sz w:val="22"/>
                <w:szCs w:val="22"/>
                <w:highlight w:val="yellow"/>
              </w:rPr>
              <w:t>United States v. Saunders</w:t>
            </w:r>
            <w:r w:rsidRPr="00627489">
              <w:rPr>
                <w:rFonts w:ascii="Calibri" w:hAnsi="Calibri" w:cs="Calibri"/>
                <w:b/>
                <w:sz w:val="22"/>
                <w:szCs w:val="22"/>
                <w:highlight w:val="yellow"/>
              </w:rPr>
              <w:t xml:space="preserve"> (4th Cir. 1989).  It “cannot reverse a jury verdict except ‘when there is a complete absence of probative facts to support the conclusion reached.’”  </w:t>
            </w:r>
            <w:r w:rsidRPr="00627489">
              <w:rPr>
                <w:rFonts w:ascii="Calibri" w:hAnsi="Calibri" w:cs="Calibri"/>
                <w:b/>
                <w:i/>
                <w:sz w:val="22"/>
                <w:szCs w:val="22"/>
                <w:highlight w:val="yellow"/>
              </w:rPr>
              <w:t>Sherrill White Const, Inc., v. S.C. Nat’l Bank</w:t>
            </w:r>
            <w:r w:rsidRPr="00627489">
              <w:rPr>
                <w:rFonts w:ascii="Calibri" w:hAnsi="Calibri" w:cs="Calibri"/>
                <w:b/>
                <w:sz w:val="22"/>
                <w:szCs w:val="22"/>
                <w:highlight w:val="yellow"/>
              </w:rPr>
              <w:t xml:space="preserve">, 713 F.2d 1047, 1050 (4th Cir. 1983); </w:t>
            </w:r>
            <w:r w:rsidRPr="00627489">
              <w:rPr>
                <w:rFonts w:ascii="Calibri" w:hAnsi="Calibri" w:cs="Calibri"/>
                <w:b/>
                <w:i/>
                <w:sz w:val="22"/>
                <w:szCs w:val="22"/>
                <w:highlight w:val="yellow"/>
              </w:rPr>
              <w:t xml:space="preserve">see </w:t>
            </w:r>
            <w:proofErr w:type="spellStart"/>
            <w:r w:rsidRPr="00627489">
              <w:rPr>
                <w:rFonts w:ascii="Calibri" w:hAnsi="Calibri" w:cs="Calibri"/>
                <w:b/>
                <w:i/>
                <w:sz w:val="22"/>
                <w:szCs w:val="22"/>
                <w:highlight w:val="yellow"/>
              </w:rPr>
              <w:t>Vodrey</w:t>
            </w:r>
            <w:proofErr w:type="spellEnd"/>
            <w:r w:rsidRPr="00627489">
              <w:rPr>
                <w:rFonts w:ascii="Calibri" w:hAnsi="Calibri" w:cs="Calibri"/>
                <w:b/>
                <w:i/>
                <w:sz w:val="22"/>
                <w:szCs w:val="22"/>
                <w:highlight w:val="yellow"/>
              </w:rPr>
              <w:t xml:space="preserve"> v. Golden</w:t>
            </w:r>
            <w:r w:rsidRPr="00627489">
              <w:rPr>
                <w:rFonts w:ascii="Calibri" w:hAnsi="Calibri" w:cs="Calibri"/>
                <w:b/>
                <w:sz w:val="22"/>
                <w:szCs w:val="22"/>
                <w:highlight w:val="yellow"/>
              </w:rPr>
              <w:t>, 864 F.2d 28, 30 n.4 (4th Cir. 1988).  AB26.</w:t>
            </w:r>
          </w:p>
        </w:tc>
      </w:tr>
      <w:tr w:rsidR="007C4BB5" w:rsidRPr="00907D75" w14:paraId="5A4DC876" w14:textId="77777777" w:rsidTr="008649A2">
        <w:trPr>
          <w:trHeight w:val="4795"/>
        </w:trPr>
        <w:tc>
          <w:tcPr>
            <w:tcW w:w="5805" w:type="dxa"/>
            <w:vAlign w:val="center"/>
          </w:tcPr>
          <w:p w14:paraId="5F683ED9" w14:textId="3611A020" w:rsidR="007C4BB5" w:rsidRPr="00BF7ED4" w:rsidRDefault="007C4BB5" w:rsidP="00BE50A2">
            <w:pPr>
              <w:pStyle w:val="O-BodyText"/>
              <w:spacing w:after="120"/>
              <w:ind w:right="200"/>
              <w:jc w:val="center"/>
              <w:rPr>
                <w:rFonts w:ascii="Calibri" w:hAnsi="Calibri" w:cs="Calibri"/>
                <w:b/>
                <w:sz w:val="52"/>
                <w:szCs w:val="52"/>
              </w:rPr>
            </w:pPr>
            <w:r w:rsidRPr="00BF7ED4">
              <w:rPr>
                <w:rFonts w:ascii="Calibri" w:hAnsi="Calibri" w:cs="Calibri"/>
                <w:b/>
                <w:sz w:val="52"/>
                <w:szCs w:val="52"/>
              </w:rPr>
              <w:t>Argument IV: The treble-damages award must be overturned</w:t>
            </w:r>
          </w:p>
        </w:tc>
        <w:tc>
          <w:tcPr>
            <w:tcW w:w="5805" w:type="dxa"/>
            <w:vAlign w:val="center"/>
          </w:tcPr>
          <w:p w14:paraId="3D3FF95A" w14:textId="5EE500A8" w:rsidR="007C4BB5" w:rsidRPr="00BF7ED4" w:rsidRDefault="007C4BB5" w:rsidP="00BE50A2">
            <w:pPr>
              <w:pStyle w:val="O-BodyText"/>
              <w:spacing w:after="120"/>
              <w:ind w:left="290" w:right="65"/>
              <w:jc w:val="center"/>
              <w:rPr>
                <w:rFonts w:ascii="Calibri" w:hAnsi="Calibri" w:cs="Calibri"/>
                <w:b/>
                <w:sz w:val="52"/>
                <w:szCs w:val="52"/>
              </w:rPr>
            </w:pPr>
            <w:r w:rsidRPr="00BF7ED4">
              <w:rPr>
                <w:rFonts w:ascii="Calibri" w:hAnsi="Calibri" w:cs="Calibri"/>
                <w:b/>
                <w:sz w:val="52"/>
                <w:szCs w:val="52"/>
              </w:rPr>
              <w:t>Color:</w:t>
            </w:r>
          </w:p>
        </w:tc>
      </w:tr>
      <w:tr w:rsidR="007C4BB5" w:rsidRPr="00907D75" w14:paraId="4F954667" w14:textId="77777777" w:rsidTr="008649A2">
        <w:trPr>
          <w:trHeight w:val="4795"/>
        </w:trPr>
        <w:tc>
          <w:tcPr>
            <w:tcW w:w="5805" w:type="dxa"/>
            <w:vAlign w:val="center"/>
          </w:tcPr>
          <w:p w14:paraId="7B73336C" w14:textId="5EFE66D8"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did the district court award treble damages?</w:t>
            </w:r>
          </w:p>
        </w:tc>
        <w:tc>
          <w:tcPr>
            <w:tcW w:w="5805" w:type="dxa"/>
            <w:vAlign w:val="center"/>
          </w:tcPr>
          <w:p w14:paraId="0D88AE59" w14:textId="096D8A00"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The district court</w:t>
            </w:r>
            <w:r w:rsidRPr="003E4EA5">
              <w:rPr>
                <w:rFonts w:ascii="Calibri" w:hAnsi="Calibri" w:cs="Calibri"/>
                <w:b/>
                <w:sz w:val="22"/>
                <w:szCs w:val="22"/>
              </w:rPr>
              <w:t xml:space="preserve"> thought DISH should have done more to monitor SSN, including by hiring an outside</w:t>
            </w:r>
            <w:r>
              <w:rPr>
                <w:rFonts w:ascii="Calibri" w:hAnsi="Calibri" w:cs="Calibri"/>
                <w:b/>
                <w:sz w:val="22"/>
                <w:szCs w:val="22"/>
              </w:rPr>
              <w:t xml:space="preserve"> </w:t>
            </w:r>
            <w:r w:rsidRPr="003E4EA5">
              <w:rPr>
                <w:rFonts w:ascii="Calibri" w:hAnsi="Calibri" w:cs="Calibri"/>
                <w:b/>
                <w:sz w:val="22"/>
                <w:szCs w:val="22"/>
              </w:rPr>
              <w:t>auditor.</w:t>
            </w:r>
          </w:p>
        </w:tc>
      </w:tr>
      <w:tr w:rsidR="007C4BB5" w:rsidRPr="00907D75" w14:paraId="49097574" w14:textId="77777777" w:rsidTr="008649A2">
        <w:trPr>
          <w:trHeight w:val="4795"/>
        </w:trPr>
        <w:tc>
          <w:tcPr>
            <w:tcW w:w="5805" w:type="dxa"/>
            <w:vAlign w:val="center"/>
          </w:tcPr>
          <w:p w14:paraId="53724294" w14:textId="3C413EDD"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When does the TCPA authorize treble damages?</w:t>
            </w:r>
          </w:p>
        </w:tc>
        <w:tc>
          <w:tcPr>
            <w:tcW w:w="5805" w:type="dxa"/>
            <w:vAlign w:val="center"/>
          </w:tcPr>
          <w:p w14:paraId="61710CEB" w14:textId="59618F40"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0928BB">
              <w:rPr>
                <w:rFonts w:ascii="Calibri" w:hAnsi="Calibri" w:cs="Calibri"/>
                <w:b/>
                <w:sz w:val="22"/>
                <w:szCs w:val="22"/>
              </w:rPr>
              <w:t xml:space="preserve">he TCPA authorizes </w:t>
            </w:r>
            <w:r>
              <w:rPr>
                <w:rFonts w:ascii="Calibri" w:hAnsi="Calibri" w:cs="Calibri"/>
                <w:b/>
                <w:sz w:val="22"/>
                <w:szCs w:val="22"/>
              </w:rPr>
              <w:t xml:space="preserve">treble damages </w:t>
            </w:r>
            <w:r w:rsidRPr="000928BB">
              <w:rPr>
                <w:rFonts w:ascii="Calibri" w:hAnsi="Calibri" w:cs="Calibri"/>
                <w:b/>
                <w:sz w:val="22"/>
                <w:szCs w:val="22"/>
              </w:rPr>
              <w:t>when “the defendant willfully or knowingly” disregarded the statute.  47 U.S.C. § 227(c)(5)(C).</w:t>
            </w:r>
            <w:r>
              <w:rPr>
                <w:rFonts w:ascii="Calibri" w:hAnsi="Calibri" w:cs="Calibri"/>
                <w:b/>
                <w:sz w:val="22"/>
                <w:szCs w:val="22"/>
              </w:rPr>
              <w:t xml:space="preserve">  Treble damages aren’t available for negligence.</w:t>
            </w:r>
          </w:p>
        </w:tc>
      </w:tr>
      <w:tr w:rsidR="007C4BB5" w:rsidRPr="00907D75" w14:paraId="695F543E" w14:textId="77777777" w:rsidTr="008649A2">
        <w:trPr>
          <w:trHeight w:val="4795"/>
        </w:trPr>
        <w:tc>
          <w:tcPr>
            <w:tcW w:w="5805" w:type="dxa"/>
            <w:vAlign w:val="center"/>
          </w:tcPr>
          <w:p w14:paraId="678A965B" w14:textId="29025EE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do you say that treble damages aren’t available for negligence?</w:t>
            </w:r>
          </w:p>
        </w:tc>
        <w:tc>
          <w:tcPr>
            <w:tcW w:w="5805" w:type="dxa"/>
            <w:vAlign w:val="center"/>
          </w:tcPr>
          <w:p w14:paraId="4AB6FEF2" w14:textId="792DA9CB"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For treble damages, the plaintiff must show willfulness or knowledge.</w:t>
            </w:r>
          </w:p>
        </w:tc>
      </w:tr>
      <w:tr w:rsidR="007C4BB5" w:rsidRPr="00907D75" w14:paraId="0CB69319" w14:textId="77777777" w:rsidTr="008649A2">
        <w:trPr>
          <w:trHeight w:val="4795"/>
        </w:trPr>
        <w:tc>
          <w:tcPr>
            <w:tcW w:w="5805" w:type="dxa"/>
            <w:vAlign w:val="center"/>
          </w:tcPr>
          <w:p w14:paraId="35795A2C" w14:textId="07216031"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does a plaintiff need to show for willfulness or knowledge?</w:t>
            </w:r>
          </w:p>
        </w:tc>
        <w:tc>
          <w:tcPr>
            <w:tcW w:w="5805" w:type="dxa"/>
            <w:vAlign w:val="center"/>
          </w:tcPr>
          <w:p w14:paraId="0B851D02" w14:textId="4447CCAB"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Pr="002B1B82">
              <w:rPr>
                <w:rFonts w:ascii="Calibri" w:hAnsi="Calibri" w:cs="Calibri"/>
                <w:b/>
                <w:sz w:val="22"/>
                <w:szCs w:val="22"/>
              </w:rPr>
              <w:t xml:space="preserve">plaintiff must show the defendant knew it “was performing the conduct that violates the statute,” </w:t>
            </w:r>
            <w:proofErr w:type="spellStart"/>
            <w:r w:rsidRPr="002B1B82">
              <w:rPr>
                <w:rFonts w:ascii="Calibri" w:hAnsi="Calibri" w:cs="Calibri"/>
                <w:b/>
                <w:i/>
                <w:sz w:val="22"/>
                <w:szCs w:val="22"/>
              </w:rPr>
              <w:t>Lary</w:t>
            </w:r>
            <w:proofErr w:type="spellEnd"/>
            <w:r w:rsidRPr="002B1B82">
              <w:rPr>
                <w:rFonts w:ascii="Calibri" w:hAnsi="Calibri" w:cs="Calibri"/>
                <w:b/>
                <w:i/>
                <w:sz w:val="22"/>
                <w:szCs w:val="22"/>
              </w:rPr>
              <w:t xml:space="preserve"> v. Trinity Physician Fin. &amp; Ins. Servs</w:t>
            </w:r>
            <w:proofErr w:type="gramStart"/>
            <w:r>
              <w:rPr>
                <w:rFonts w:ascii="Calibri" w:hAnsi="Calibri" w:cs="Calibri"/>
                <w:b/>
                <w:i/>
                <w:sz w:val="22"/>
                <w:szCs w:val="22"/>
              </w:rPr>
              <w:t>.</w:t>
            </w:r>
            <w:r w:rsidRPr="002B1B82">
              <w:rPr>
                <w:rFonts w:ascii="Calibri" w:hAnsi="Calibri" w:cs="Calibri"/>
                <w:b/>
                <w:sz w:val="22"/>
                <w:szCs w:val="22"/>
              </w:rPr>
              <w:t xml:space="preserve"> </w:t>
            </w:r>
            <w:proofErr w:type="gramEnd"/>
            <w:r w:rsidRPr="002B1B82">
              <w:rPr>
                <w:rFonts w:ascii="Calibri" w:hAnsi="Calibri" w:cs="Calibri"/>
                <w:b/>
                <w:sz w:val="22"/>
                <w:szCs w:val="22"/>
              </w:rPr>
              <w:t>(11th Cir. 2015) (TCPA case)</w:t>
            </w:r>
            <w:r>
              <w:rPr>
                <w:rFonts w:ascii="Calibri" w:hAnsi="Calibri" w:cs="Calibri"/>
                <w:b/>
                <w:sz w:val="22"/>
                <w:szCs w:val="22"/>
              </w:rPr>
              <w:t xml:space="preserve">.  Or, the plaintiff must show the defendant </w:t>
            </w:r>
            <w:r w:rsidRPr="002B1B82">
              <w:rPr>
                <w:rFonts w:ascii="Calibri" w:hAnsi="Calibri" w:cs="Calibri"/>
                <w:b/>
                <w:sz w:val="22"/>
                <w:szCs w:val="22"/>
              </w:rPr>
              <w:t xml:space="preserve">assumed “a risk of violating the law substantially greater than the risk associated with … </w:t>
            </w:r>
            <w:proofErr w:type="gramStart"/>
            <w:r w:rsidRPr="002B1B82">
              <w:rPr>
                <w:rFonts w:ascii="Calibri" w:hAnsi="Calibri" w:cs="Calibri"/>
                <w:b/>
                <w:sz w:val="22"/>
                <w:szCs w:val="22"/>
              </w:rPr>
              <w:t>mere[</w:t>
            </w:r>
            <w:proofErr w:type="gramEnd"/>
            <w:r w:rsidRPr="002B1B82">
              <w:rPr>
                <w:rFonts w:ascii="Calibri" w:hAnsi="Calibri" w:cs="Calibri"/>
                <w:b/>
                <w:sz w:val="22"/>
                <w:szCs w:val="22"/>
              </w:rPr>
              <w:t xml:space="preserve">] careless[ness],” </w:t>
            </w:r>
            <w:r w:rsidRPr="002B1B82">
              <w:rPr>
                <w:rFonts w:ascii="Calibri" w:hAnsi="Calibri" w:cs="Calibri"/>
                <w:b/>
                <w:i/>
                <w:sz w:val="22"/>
                <w:szCs w:val="22"/>
              </w:rPr>
              <w:t>Safeco</w:t>
            </w:r>
            <w:r>
              <w:rPr>
                <w:rFonts w:ascii="Calibri" w:hAnsi="Calibri" w:cs="Calibri"/>
                <w:b/>
                <w:i/>
                <w:sz w:val="22"/>
                <w:szCs w:val="22"/>
              </w:rPr>
              <w:t xml:space="preserve"> Ins. Co. v. Burr</w:t>
            </w:r>
            <w:r>
              <w:rPr>
                <w:rFonts w:ascii="Calibri" w:hAnsi="Calibri" w:cs="Calibri"/>
                <w:b/>
                <w:sz w:val="22"/>
                <w:szCs w:val="22"/>
              </w:rPr>
              <w:t xml:space="preserve"> (S. Ct. 2007)</w:t>
            </w:r>
            <w:r w:rsidRPr="002B1B82">
              <w:rPr>
                <w:rFonts w:ascii="Calibri" w:hAnsi="Calibri" w:cs="Calibri"/>
                <w:b/>
                <w:sz w:val="22"/>
                <w:szCs w:val="22"/>
              </w:rPr>
              <w:t xml:space="preserve"> (articulating willfulness standard)</w:t>
            </w:r>
            <w:r>
              <w:rPr>
                <w:rFonts w:ascii="Calibri" w:hAnsi="Calibri" w:cs="Calibri"/>
                <w:b/>
                <w:sz w:val="22"/>
                <w:szCs w:val="22"/>
              </w:rPr>
              <w:t>.</w:t>
            </w:r>
          </w:p>
        </w:tc>
      </w:tr>
      <w:tr w:rsidR="007C4BB5" w:rsidRPr="00907D75" w14:paraId="4FE6F540" w14:textId="77777777" w:rsidTr="008649A2">
        <w:trPr>
          <w:trHeight w:val="4795"/>
        </w:trPr>
        <w:tc>
          <w:tcPr>
            <w:tcW w:w="5805" w:type="dxa"/>
            <w:vAlign w:val="center"/>
          </w:tcPr>
          <w:p w14:paraId="75F24ABE" w14:textId="4FA62DA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the district court find that DISH knew SSN was violating the TCPA?</w:t>
            </w:r>
          </w:p>
        </w:tc>
        <w:tc>
          <w:tcPr>
            <w:tcW w:w="5805" w:type="dxa"/>
            <w:vAlign w:val="center"/>
          </w:tcPr>
          <w:p w14:paraId="6B2A46B1" w14:textId="772295D5"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The court </w:t>
            </w:r>
            <w:r w:rsidRPr="00920F06">
              <w:rPr>
                <w:rFonts w:ascii="Calibri" w:hAnsi="Calibri" w:cs="Calibri"/>
                <w:b/>
                <w:sz w:val="22"/>
                <w:szCs w:val="22"/>
              </w:rPr>
              <w:t xml:space="preserve">imputed SSN’s willfulness and knowledge to </w:t>
            </w:r>
            <w:proofErr w:type="gramStart"/>
            <w:r w:rsidRPr="00920F06">
              <w:rPr>
                <w:rFonts w:ascii="Calibri" w:hAnsi="Calibri" w:cs="Calibri"/>
                <w:b/>
                <w:sz w:val="22"/>
                <w:szCs w:val="22"/>
              </w:rPr>
              <w:t>DISH, and</w:t>
            </w:r>
            <w:proofErr w:type="gramEnd"/>
            <w:r w:rsidRPr="00920F06">
              <w:rPr>
                <w:rFonts w:ascii="Calibri" w:hAnsi="Calibri" w:cs="Calibri"/>
                <w:b/>
                <w:sz w:val="22"/>
                <w:szCs w:val="22"/>
              </w:rPr>
              <w:t xml:space="preserve"> determined that DISH “should have known” about SSN’s conduct</w:t>
            </w:r>
            <w:r>
              <w:rPr>
                <w:rFonts w:ascii="Calibri" w:hAnsi="Calibri" w:cs="Calibri"/>
                <w:b/>
                <w:sz w:val="22"/>
                <w:szCs w:val="22"/>
              </w:rPr>
              <w:t xml:space="preserve">.  This amounts to finding </w:t>
            </w:r>
            <w:r w:rsidRPr="00920F06">
              <w:rPr>
                <w:rFonts w:ascii="Calibri" w:hAnsi="Calibri" w:cs="Calibri"/>
                <w:b/>
                <w:sz w:val="22"/>
                <w:szCs w:val="22"/>
              </w:rPr>
              <w:t>that DISH was negligent in failing to</w:t>
            </w:r>
            <w:r>
              <w:rPr>
                <w:rFonts w:ascii="Calibri" w:hAnsi="Calibri" w:cs="Calibri"/>
                <w:b/>
                <w:sz w:val="22"/>
                <w:szCs w:val="22"/>
              </w:rPr>
              <w:t xml:space="preserve"> investigate and monitor</w:t>
            </w:r>
            <w:r w:rsidRPr="00920F06">
              <w:rPr>
                <w:rFonts w:ascii="Calibri" w:hAnsi="Calibri" w:cs="Calibri"/>
                <w:b/>
                <w:sz w:val="22"/>
                <w:szCs w:val="22"/>
              </w:rPr>
              <w:t xml:space="preserve"> SSN more closely.</w:t>
            </w:r>
          </w:p>
        </w:tc>
      </w:tr>
      <w:tr w:rsidR="007C4BB5" w:rsidRPr="00907D75" w14:paraId="5829D7CC" w14:textId="77777777" w:rsidTr="008649A2">
        <w:trPr>
          <w:trHeight w:val="4795"/>
        </w:trPr>
        <w:tc>
          <w:tcPr>
            <w:tcW w:w="5805" w:type="dxa"/>
            <w:vAlign w:val="center"/>
          </w:tcPr>
          <w:p w14:paraId="7501F9DA" w14:textId="2F27DA9A"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did the district court find regarding SSN’s conduct?</w:t>
            </w:r>
          </w:p>
        </w:tc>
        <w:tc>
          <w:tcPr>
            <w:tcW w:w="5805" w:type="dxa"/>
            <w:vAlign w:val="center"/>
          </w:tcPr>
          <w:p w14:paraId="67DB03B3" w14:textId="2277FFF3" w:rsidR="007C4BB5" w:rsidRDefault="007C4BB5" w:rsidP="00525419">
            <w:pPr>
              <w:pStyle w:val="O-BodyText"/>
              <w:spacing w:after="120"/>
              <w:ind w:left="290" w:right="65"/>
              <w:jc w:val="both"/>
              <w:rPr>
                <w:rFonts w:ascii="Calibri" w:hAnsi="Calibri" w:cs="Calibri"/>
                <w:b/>
                <w:sz w:val="22"/>
                <w:szCs w:val="22"/>
              </w:rPr>
            </w:pPr>
            <w:r w:rsidRPr="005652C0">
              <w:rPr>
                <w:rFonts w:ascii="Calibri" w:hAnsi="Calibri" w:cs="Calibri"/>
                <w:b/>
                <w:sz w:val="22"/>
                <w:szCs w:val="22"/>
              </w:rPr>
              <w:t>The</w:t>
            </w:r>
            <w:r>
              <w:rPr>
                <w:rFonts w:ascii="Calibri" w:hAnsi="Calibri" w:cs="Calibri"/>
                <w:b/>
                <w:sz w:val="22"/>
                <w:szCs w:val="22"/>
              </w:rPr>
              <w:t xml:space="preserve"> district court concluded that </w:t>
            </w:r>
            <w:r w:rsidRPr="005652C0">
              <w:rPr>
                <w:rFonts w:ascii="Calibri" w:hAnsi="Calibri" w:cs="Calibri"/>
                <w:b/>
                <w:sz w:val="22"/>
                <w:szCs w:val="22"/>
              </w:rPr>
              <w:t>SSN willfully and knowingly violated the provisions of the TCPA, a</w:t>
            </w:r>
            <w:r>
              <w:rPr>
                <w:rFonts w:ascii="Calibri" w:hAnsi="Calibri" w:cs="Calibri"/>
                <w:b/>
                <w:sz w:val="22"/>
                <w:szCs w:val="22"/>
              </w:rPr>
              <w:t>nd that SSN’s conduct could be imputed to DISH.</w:t>
            </w:r>
          </w:p>
        </w:tc>
      </w:tr>
      <w:tr w:rsidR="007C4BB5" w:rsidRPr="00907D75" w14:paraId="4D8A09BA" w14:textId="77777777" w:rsidTr="008649A2">
        <w:trPr>
          <w:trHeight w:val="4795"/>
        </w:trPr>
        <w:tc>
          <w:tcPr>
            <w:tcW w:w="5805" w:type="dxa"/>
            <w:vAlign w:val="center"/>
          </w:tcPr>
          <w:p w14:paraId="5A3CC0B2" w14:textId="7B9323E6"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did the district court impute SSN’s conduct to DISH?</w:t>
            </w:r>
          </w:p>
        </w:tc>
        <w:tc>
          <w:tcPr>
            <w:tcW w:w="5805" w:type="dxa"/>
            <w:vAlign w:val="center"/>
          </w:tcPr>
          <w:p w14:paraId="67B95F4D" w14:textId="4E6500D5" w:rsidR="007C4BB5" w:rsidRPr="005652C0"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The court</w:t>
            </w:r>
            <w:r w:rsidRPr="005652C0">
              <w:rPr>
                <w:rFonts w:ascii="Calibri" w:hAnsi="Calibri" w:cs="Calibri"/>
                <w:b/>
                <w:sz w:val="22"/>
                <w:szCs w:val="22"/>
              </w:rPr>
              <w:t xml:space="preserve"> applied what it call</w:t>
            </w:r>
            <w:r>
              <w:rPr>
                <w:rFonts w:ascii="Calibri" w:hAnsi="Calibri" w:cs="Calibri"/>
                <w:b/>
                <w:sz w:val="22"/>
                <w:szCs w:val="22"/>
              </w:rPr>
              <w:t xml:space="preserve">ed the “traditional rule” that </w:t>
            </w:r>
            <w:r w:rsidRPr="005652C0">
              <w:rPr>
                <w:rFonts w:ascii="Calibri" w:hAnsi="Calibri" w:cs="Calibri"/>
                <w:b/>
                <w:sz w:val="22"/>
                <w:szCs w:val="22"/>
              </w:rPr>
              <w:t>a principal is liable for t</w:t>
            </w:r>
            <w:r>
              <w:rPr>
                <w:rFonts w:ascii="Calibri" w:hAnsi="Calibri" w:cs="Calibri"/>
                <w:b/>
                <w:sz w:val="22"/>
                <w:szCs w:val="22"/>
              </w:rPr>
              <w:t>he willful acts of his agent.</w:t>
            </w:r>
          </w:p>
        </w:tc>
      </w:tr>
      <w:tr w:rsidR="007C4BB5" w:rsidRPr="00907D75" w14:paraId="75EF216F" w14:textId="77777777" w:rsidTr="008649A2">
        <w:trPr>
          <w:trHeight w:val="4795"/>
        </w:trPr>
        <w:tc>
          <w:tcPr>
            <w:tcW w:w="5805" w:type="dxa"/>
            <w:vAlign w:val="center"/>
          </w:tcPr>
          <w:p w14:paraId="4016D6BF" w14:textId="4E2DCCE6"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was the district court’s application of the “traditional rule” incorrect?</w:t>
            </w:r>
          </w:p>
        </w:tc>
        <w:tc>
          <w:tcPr>
            <w:tcW w:w="5805" w:type="dxa"/>
            <w:vAlign w:val="center"/>
          </w:tcPr>
          <w:p w14:paraId="4739228C" w14:textId="0E64F1A7"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If a principal did not </w:t>
            </w:r>
            <w:r w:rsidRPr="00181344">
              <w:rPr>
                <w:rFonts w:ascii="Calibri" w:hAnsi="Calibri" w:cs="Calibri"/>
                <w:b/>
                <w:sz w:val="22"/>
                <w:szCs w:val="22"/>
              </w:rPr>
              <w:t>direct</w:t>
            </w:r>
            <w:r>
              <w:rPr>
                <w:rFonts w:ascii="Calibri" w:hAnsi="Calibri" w:cs="Calibri"/>
                <w:b/>
                <w:sz w:val="22"/>
                <w:szCs w:val="22"/>
              </w:rPr>
              <w:t>, approve</w:t>
            </w:r>
            <w:r w:rsidRPr="00181344">
              <w:rPr>
                <w:rFonts w:ascii="Calibri" w:hAnsi="Calibri" w:cs="Calibri"/>
                <w:b/>
                <w:sz w:val="22"/>
                <w:szCs w:val="22"/>
              </w:rPr>
              <w:t xml:space="preserve">, or participate in </w:t>
            </w:r>
            <w:r>
              <w:rPr>
                <w:rFonts w:ascii="Calibri" w:hAnsi="Calibri" w:cs="Calibri"/>
                <w:b/>
                <w:sz w:val="22"/>
                <w:szCs w:val="22"/>
              </w:rPr>
              <w:t xml:space="preserve">its agent’s conduct, </w:t>
            </w:r>
            <w:r w:rsidRPr="00181344">
              <w:rPr>
                <w:rFonts w:ascii="Calibri" w:hAnsi="Calibri" w:cs="Calibri"/>
                <w:b/>
                <w:sz w:val="22"/>
                <w:szCs w:val="22"/>
              </w:rPr>
              <w:t xml:space="preserve">the principal may be </w:t>
            </w:r>
            <w:r>
              <w:rPr>
                <w:rFonts w:ascii="Calibri" w:hAnsi="Calibri" w:cs="Calibri"/>
                <w:b/>
                <w:sz w:val="22"/>
                <w:szCs w:val="22"/>
              </w:rPr>
              <w:t>required to</w:t>
            </w:r>
            <w:r w:rsidRPr="00181344">
              <w:rPr>
                <w:rFonts w:ascii="Calibri" w:hAnsi="Calibri" w:cs="Calibri"/>
                <w:b/>
                <w:sz w:val="22"/>
                <w:szCs w:val="22"/>
              </w:rPr>
              <w:t xml:space="preserve"> pay compensatory damages</w:t>
            </w:r>
            <w:r>
              <w:rPr>
                <w:rFonts w:ascii="Calibri" w:hAnsi="Calibri" w:cs="Calibri"/>
                <w:b/>
                <w:sz w:val="22"/>
                <w:szCs w:val="22"/>
              </w:rPr>
              <w:t xml:space="preserve">, but </w:t>
            </w:r>
            <w:r w:rsidRPr="00181344">
              <w:rPr>
                <w:rFonts w:ascii="Calibri" w:hAnsi="Calibri" w:cs="Calibri"/>
                <w:b/>
                <w:sz w:val="22"/>
                <w:szCs w:val="22"/>
              </w:rPr>
              <w:t xml:space="preserve">is not liable for “vindictive damages.”  </w:t>
            </w:r>
            <w:r w:rsidRPr="00181344">
              <w:rPr>
                <w:rFonts w:ascii="Calibri" w:hAnsi="Calibri" w:cs="Calibri"/>
                <w:b/>
                <w:i/>
                <w:sz w:val="22"/>
                <w:szCs w:val="22"/>
              </w:rPr>
              <w:t>The Amiable Nancy</w:t>
            </w:r>
            <w:r>
              <w:rPr>
                <w:rFonts w:ascii="Calibri" w:hAnsi="Calibri" w:cs="Calibri"/>
                <w:b/>
                <w:sz w:val="22"/>
                <w:szCs w:val="22"/>
              </w:rPr>
              <w:t xml:space="preserve"> </w:t>
            </w:r>
            <w:r w:rsidRPr="00181344">
              <w:rPr>
                <w:rFonts w:ascii="Calibri" w:hAnsi="Calibri" w:cs="Calibri"/>
                <w:b/>
                <w:sz w:val="22"/>
                <w:szCs w:val="22"/>
              </w:rPr>
              <w:t>(</w:t>
            </w:r>
            <w:r>
              <w:rPr>
                <w:rFonts w:ascii="Calibri" w:hAnsi="Calibri" w:cs="Calibri"/>
                <w:b/>
                <w:sz w:val="22"/>
                <w:szCs w:val="22"/>
              </w:rPr>
              <w:t xml:space="preserve">S. Ct. </w:t>
            </w:r>
            <w:r w:rsidRPr="00181344">
              <w:rPr>
                <w:rFonts w:ascii="Calibri" w:hAnsi="Calibri" w:cs="Calibri"/>
                <w:b/>
                <w:sz w:val="22"/>
                <w:szCs w:val="22"/>
              </w:rPr>
              <w:t xml:space="preserve">1818); </w:t>
            </w:r>
            <w:r w:rsidRPr="00181344">
              <w:rPr>
                <w:rFonts w:ascii="Calibri" w:hAnsi="Calibri" w:cs="Calibri"/>
                <w:b/>
                <w:i/>
                <w:sz w:val="22"/>
                <w:szCs w:val="22"/>
              </w:rPr>
              <w:t xml:space="preserve">accord Kolstad v. Am. Dental </w:t>
            </w:r>
            <w:proofErr w:type="spellStart"/>
            <w:r w:rsidRPr="00181344">
              <w:rPr>
                <w:rFonts w:ascii="Calibri" w:hAnsi="Calibri" w:cs="Calibri"/>
                <w:b/>
                <w:i/>
                <w:sz w:val="22"/>
                <w:szCs w:val="22"/>
              </w:rPr>
              <w:t>Ass’n</w:t>
            </w:r>
            <w:proofErr w:type="spellEnd"/>
            <w:r>
              <w:rPr>
                <w:rFonts w:ascii="Calibri" w:hAnsi="Calibri" w:cs="Calibri"/>
                <w:b/>
                <w:sz w:val="22"/>
                <w:szCs w:val="22"/>
              </w:rPr>
              <w:t xml:space="preserve"> </w:t>
            </w:r>
            <w:r w:rsidRPr="00181344">
              <w:rPr>
                <w:rFonts w:ascii="Calibri" w:hAnsi="Calibri" w:cs="Calibri"/>
                <w:b/>
                <w:sz w:val="22"/>
                <w:szCs w:val="22"/>
              </w:rPr>
              <w:t>(</w:t>
            </w:r>
            <w:r>
              <w:rPr>
                <w:rFonts w:ascii="Calibri" w:hAnsi="Calibri" w:cs="Calibri"/>
                <w:b/>
                <w:sz w:val="22"/>
                <w:szCs w:val="22"/>
              </w:rPr>
              <w:t xml:space="preserve">S. Ct. </w:t>
            </w:r>
            <w:r w:rsidRPr="00181344">
              <w:rPr>
                <w:rFonts w:ascii="Calibri" w:hAnsi="Calibri" w:cs="Calibri"/>
                <w:b/>
                <w:sz w:val="22"/>
                <w:szCs w:val="22"/>
              </w:rPr>
              <w:t>1999).</w:t>
            </w:r>
          </w:p>
        </w:tc>
      </w:tr>
      <w:tr w:rsidR="007C4BB5" w:rsidRPr="00907D75" w14:paraId="5B10CA14" w14:textId="77777777" w:rsidTr="008649A2">
        <w:trPr>
          <w:trHeight w:val="4795"/>
        </w:trPr>
        <w:tc>
          <w:tcPr>
            <w:tcW w:w="5805" w:type="dxa"/>
            <w:vAlign w:val="center"/>
          </w:tcPr>
          <w:p w14:paraId="41B98684" w14:textId="58D43777"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When is a principal liable for enhanced damages?</w:t>
            </w:r>
          </w:p>
        </w:tc>
        <w:tc>
          <w:tcPr>
            <w:tcW w:w="5805" w:type="dxa"/>
            <w:vAlign w:val="center"/>
          </w:tcPr>
          <w:p w14:paraId="056A5378" w14:textId="01220F70" w:rsidR="007C4BB5" w:rsidRPr="00181344"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A</w:t>
            </w:r>
            <w:r w:rsidRPr="00C73B91">
              <w:rPr>
                <w:rFonts w:ascii="Calibri" w:hAnsi="Calibri" w:cs="Calibri"/>
                <w:b/>
                <w:sz w:val="22"/>
                <w:szCs w:val="22"/>
              </w:rPr>
              <w:t xml:space="preserve"> principal is liable for</w:t>
            </w:r>
            <w:r>
              <w:rPr>
                <w:rFonts w:ascii="Calibri" w:hAnsi="Calibri" w:cs="Calibri"/>
                <w:b/>
                <w:sz w:val="22"/>
                <w:szCs w:val="22"/>
              </w:rPr>
              <w:t xml:space="preserve"> e</w:t>
            </w:r>
            <w:r w:rsidRPr="00C73B91">
              <w:rPr>
                <w:rFonts w:ascii="Calibri" w:hAnsi="Calibri" w:cs="Calibri"/>
                <w:b/>
                <w:sz w:val="22"/>
                <w:szCs w:val="22"/>
              </w:rPr>
              <w:t xml:space="preserve">nhanced damages based on </w:t>
            </w:r>
            <w:r>
              <w:rPr>
                <w:rFonts w:ascii="Calibri" w:hAnsi="Calibri" w:cs="Calibri"/>
                <w:b/>
                <w:sz w:val="22"/>
                <w:szCs w:val="22"/>
              </w:rPr>
              <w:t>its</w:t>
            </w:r>
            <w:r w:rsidRPr="00C73B91">
              <w:rPr>
                <w:rFonts w:ascii="Calibri" w:hAnsi="Calibri" w:cs="Calibri"/>
                <w:b/>
                <w:sz w:val="22"/>
                <w:szCs w:val="22"/>
              </w:rPr>
              <w:t xml:space="preserve"> agent’s conduct only when the principal engages in “reckless disregard of federally protected rights.” </w:t>
            </w:r>
            <w:r w:rsidRPr="00181344">
              <w:rPr>
                <w:rFonts w:ascii="Calibri" w:hAnsi="Calibri" w:cs="Calibri"/>
                <w:b/>
                <w:i/>
                <w:sz w:val="22"/>
                <w:szCs w:val="22"/>
              </w:rPr>
              <w:t xml:space="preserve">Kolstad v. Am. Dental </w:t>
            </w:r>
            <w:proofErr w:type="spellStart"/>
            <w:r w:rsidRPr="00181344">
              <w:rPr>
                <w:rFonts w:ascii="Calibri" w:hAnsi="Calibri" w:cs="Calibri"/>
                <w:b/>
                <w:i/>
                <w:sz w:val="22"/>
                <w:szCs w:val="22"/>
              </w:rPr>
              <w:t>Ass’n</w:t>
            </w:r>
            <w:proofErr w:type="spellEnd"/>
            <w:r>
              <w:rPr>
                <w:rFonts w:ascii="Calibri" w:hAnsi="Calibri" w:cs="Calibri"/>
                <w:b/>
                <w:sz w:val="22"/>
                <w:szCs w:val="22"/>
              </w:rPr>
              <w:t xml:space="preserve"> </w:t>
            </w:r>
            <w:r w:rsidRPr="00181344">
              <w:rPr>
                <w:rFonts w:ascii="Calibri" w:hAnsi="Calibri" w:cs="Calibri"/>
                <w:b/>
                <w:sz w:val="22"/>
                <w:szCs w:val="22"/>
              </w:rPr>
              <w:t>(</w:t>
            </w:r>
            <w:r>
              <w:rPr>
                <w:rFonts w:ascii="Calibri" w:hAnsi="Calibri" w:cs="Calibri"/>
                <w:b/>
                <w:sz w:val="22"/>
                <w:szCs w:val="22"/>
              </w:rPr>
              <w:t xml:space="preserve">S. Ct. </w:t>
            </w:r>
            <w:r w:rsidRPr="00181344">
              <w:rPr>
                <w:rFonts w:ascii="Calibri" w:hAnsi="Calibri" w:cs="Calibri"/>
                <w:b/>
                <w:sz w:val="22"/>
                <w:szCs w:val="22"/>
              </w:rPr>
              <w:t>1999)</w:t>
            </w:r>
            <w:r>
              <w:rPr>
                <w:rFonts w:ascii="Calibri" w:hAnsi="Calibri" w:cs="Calibri"/>
                <w:b/>
                <w:sz w:val="22"/>
                <w:szCs w:val="22"/>
              </w:rPr>
              <w:t xml:space="preserve">.  </w:t>
            </w:r>
            <w:r w:rsidRPr="00432680">
              <w:rPr>
                <w:rFonts w:ascii="Calibri" w:hAnsi="Calibri" w:cs="Calibri"/>
                <w:b/>
                <w:sz w:val="22"/>
                <w:szCs w:val="22"/>
              </w:rPr>
              <w:t xml:space="preserve">The principal’s </w:t>
            </w:r>
            <w:r w:rsidRPr="00432680">
              <w:rPr>
                <w:rFonts w:ascii="Calibri" w:hAnsi="Calibri" w:cs="Calibri"/>
                <w:b/>
                <w:i/>
                <w:sz w:val="22"/>
                <w:szCs w:val="22"/>
              </w:rPr>
              <w:t>own conduct</w:t>
            </w:r>
            <w:r w:rsidRPr="00432680">
              <w:rPr>
                <w:rFonts w:ascii="Calibri" w:hAnsi="Calibri" w:cs="Calibri"/>
                <w:b/>
                <w:sz w:val="22"/>
                <w:szCs w:val="22"/>
              </w:rPr>
              <w:t xml:space="preserve"> must reflect this heightened responsibility.</w:t>
            </w:r>
          </w:p>
        </w:tc>
      </w:tr>
      <w:tr w:rsidR="007C4BB5" w:rsidRPr="00907D75" w14:paraId="6753647A" w14:textId="77777777" w:rsidTr="008649A2">
        <w:trPr>
          <w:trHeight w:val="4795"/>
        </w:trPr>
        <w:tc>
          <w:tcPr>
            <w:tcW w:w="5805" w:type="dxa"/>
            <w:vAlign w:val="center"/>
          </w:tcPr>
          <w:p w14:paraId="279FE224" w14:textId="7512D167"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The district court relied on </w:t>
            </w:r>
            <w:r>
              <w:rPr>
                <w:rFonts w:ascii="Calibri" w:hAnsi="Calibri" w:cs="Calibri"/>
                <w:b/>
                <w:i/>
                <w:sz w:val="28"/>
                <w:szCs w:val="28"/>
              </w:rPr>
              <w:t>Bosh v. Cherokee County Building</w:t>
            </w:r>
            <w:r w:rsidRPr="00F35B1F">
              <w:rPr>
                <w:rFonts w:ascii="Calibri" w:hAnsi="Calibri" w:cs="Calibri"/>
                <w:b/>
                <w:i/>
                <w:sz w:val="28"/>
                <w:szCs w:val="28"/>
              </w:rPr>
              <w:t xml:space="preserve"> Auth</w:t>
            </w:r>
            <w:r>
              <w:rPr>
                <w:rFonts w:ascii="Calibri" w:hAnsi="Calibri" w:cs="Calibri"/>
                <w:b/>
                <w:i/>
                <w:sz w:val="28"/>
                <w:szCs w:val="28"/>
              </w:rPr>
              <w:t>ority</w:t>
            </w:r>
            <w:r w:rsidRPr="00F35B1F">
              <w:rPr>
                <w:rFonts w:ascii="Calibri" w:hAnsi="Calibri" w:cs="Calibri"/>
                <w:b/>
                <w:sz w:val="28"/>
                <w:szCs w:val="28"/>
              </w:rPr>
              <w:t xml:space="preserve"> (Okla. 2013)</w:t>
            </w:r>
            <w:r>
              <w:rPr>
                <w:rFonts w:ascii="Calibri" w:hAnsi="Calibri" w:cs="Calibri"/>
                <w:b/>
                <w:sz w:val="28"/>
                <w:szCs w:val="28"/>
              </w:rPr>
              <w:t>.  What does that case say?</w:t>
            </w:r>
          </w:p>
        </w:tc>
        <w:tc>
          <w:tcPr>
            <w:tcW w:w="5805" w:type="dxa"/>
            <w:vAlign w:val="center"/>
          </w:tcPr>
          <w:p w14:paraId="3BB34463" w14:textId="1A35F502"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681B7A">
              <w:rPr>
                <w:rFonts w:ascii="Calibri" w:hAnsi="Calibri" w:cs="Calibri"/>
                <w:b/>
                <w:i/>
                <w:sz w:val="22"/>
                <w:szCs w:val="22"/>
              </w:rPr>
              <w:t xml:space="preserve">Bosh v. Cherokee County Building Authority </w:t>
            </w:r>
            <w:r>
              <w:rPr>
                <w:rFonts w:ascii="Calibri" w:hAnsi="Calibri" w:cs="Calibri"/>
                <w:b/>
                <w:sz w:val="22"/>
                <w:szCs w:val="22"/>
              </w:rPr>
              <w:t xml:space="preserve">(Okla. 2013), the </w:t>
            </w:r>
            <w:r w:rsidRPr="00F35B1F">
              <w:rPr>
                <w:rFonts w:ascii="Calibri" w:hAnsi="Calibri" w:cs="Calibri"/>
                <w:b/>
                <w:sz w:val="22"/>
                <w:szCs w:val="22"/>
              </w:rPr>
              <w:t xml:space="preserve">Oklahoma Supreme Court </w:t>
            </w:r>
            <w:r>
              <w:rPr>
                <w:rFonts w:ascii="Calibri" w:hAnsi="Calibri" w:cs="Calibri"/>
                <w:b/>
                <w:sz w:val="22"/>
                <w:szCs w:val="22"/>
              </w:rPr>
              <w:t xml:space="preserve">stated that </w:t>
            </w:r>
            <w:r w:rsidRPr="00F35B1F">
              <w:rPr>
                <w:rFonts w:ascii="Calibri" w:hAnsi="Calibri" w:cs="Calibri"/>
                <w:b/>
                <w:sz w:val="22"/>
                <w:szCs w:val="22"/>
              </w:rPr>
              <w:t>“a principal … is generally held liable for the willful acts of an agent” under Oklahoma law.</w:t>
            </w:r>
            <w:r>
              <w:rPr>
                <w:rFonts w:ascii="Calibri" w:hAnsi="Calibri" w:cs="Calibri"/>
                <w:b/>
                <w:sz w:val="22"/>
                <w:szCs w:val="22"/>
              </w:rPr>
              <w:t xml:space="preserve">  </w:t>
            </w:r>
            <w:r w:rsidRPr="00F35B1F">
              <w:rPr>
                <w:rFonts w:ascii="Calibri" w:hAnsi="Calibri" w:cs="Calibri"/>
                <w:b/>
                <w:sz w:val="22"/>
                <w:szCs w:val="22"/>
              </w:rPr>
              <w:t>Th</w:t>
            </w:r>
            <w:r>
              <w:rPr>
                <w:rFonts w:ascii="Calibri" w:hAnsi="Calibri" w:cs="Calibri"/>
                <w:b/>
                <w:sz w:val="22"/>
                <w:szCs w:val="22"/>
              </w:rPr>
              <w:t>e</w:t>
            </w:r>
            <w:r w:rsidRPr="00F35B1F">
              <w:rPr>
                <w:rFonts w:ascii="Calibri" w:hAnsi="Calibri" w:cs="Calibri"/>
                <w:b/>
                <w:sz w:val="22"/>
                <w:szCs w:val="22"/>
              </w:rPr>
              <w:t xml:space="preserve"> </w:t>
            </w:r>
            <w:r>
              <w:rPr>
                <w:rFonts w:ascii="Calibri" w:hAnsi="Calibri" w:cs="Calibri"/>
                <w:b/>
                <w:sz w:val="22"/>
                <w:szCs w:val="22"/>
              </w:rPr>
              <w:t>court simply acknowledged that</w:t>
            </w:r>
            <w:r w:rsidRPr="00F35B1F">
              <w:rPr>
                <w:rFonts w:ascii="Calibri" w:hAnsi="Calibri" w:cs="Calibri"/>
                <w:b/>
                <w:sz w:val="22"/>
                <w:szCs w:val="22"/>
              </w:rPr>
              <w:t xml:space="preserve"> an agent’s willfulness doesn’t necessarily foreclose the principal’s liability.</w:t>
            </w:r>
            <w:r>
              <w:rPr>
                <w:rFonts w:ascii="Calibri" w:hAnsi="Calibri" w:cs="Calibri"/>
                <w:b/>
                <w:sz w:val="22"/>
                <w:szCs w:val="22"/>
              </w:rPr>
              <w:t xml:space="preserve">  But this case </w:t>
            </w:r>
            <w:r w:rsidRPr="00144E40">
              <w:rPr>
                <w:rFonts w:ascii="Calibri" w:hAnsi="Calibri" w:cs="Calibri"/>
                <w:b/>
                <w:sz w:val="22"/>
                <w:szCs w:val="22"/>
              </w:rPr>
              <w:t>does not establish a rule concerning vicarious liability for enhanced damages.</w:t>
            </w:r>
          </w:p>
        </w:tc>
      </w:tr>
      <w:tr w:rsidR="007C4BB5" w:rsidRPr="00907D75" w14:paraId="5FCAC3DF" w14:textId="77777777" w:rsidTr="008649A2">
        <w:trPr>
          <w:trHeight w:val="4795"/>
        </w:trPr>
        <w:tc>
          <w:tcPr>
            <w:tcW w:w="5805" w:type="dxa"/>
            <w:vAlign w:val="center"/>
          </w:tcPr>
          <w:p w14:paraId="3822DFEE" w14:textId="3B161B82"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The district court also relied on the </w:t>
            </w:r>
            <w:r w:rsidRPr="00F35B1F">
              <w:rPr>
                <w:rFonts w:ascii="Calibri" w:hAnsi="Calibri" w:cs="Calibri"/>
                <w:b/>
                <w:sz w:val="28"/>
                <w:szCs w:val="28"/>
              </w:rPr>
              <w:t>Restatement (Third) of Agency § 7.04</w:t>
            </w:r>
            <w:r>
              <w:rPr>
                <w:rFonts w:ascii="Calibri" w:hAnsi="Calibri" w:cs="Calibri"/>
                <w:b/>
                <w:sz w:val="28"/>
                <w:szCs w:val="28"/>
              </w:rPr>
              <w:t>. What does the Restatement say about imputing an agent’s knowledge to the principal?</w:t>
            </w:r>
          </w:p>
        </w:tc>
        <w:tc>
          <w:tcPr>
            <w:tcW w:w="5805" w:type="dxa"/>
            <w:vAlign w:val="center"/>
          </w:tcPr>
          <w:p w14:paraId="2CF5765E" w14:textId="23050480"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Pr="00144E40">
              <w:rPr>
                <w:rFonts w:ascii="Calibri" w:hAnsi="Calibri" w:cs="Calibri"/>
                <w:b/>
                <w:sz w:val="22"/>
                <w:szCs w:val="22"/>
              </w:rPr>
              <w:t>Restatement states that a principal is generally liable for conduct by an agent within the scope of its authority.  Restatement (Third) of Agency § 7.04</w:t>
            </w:r>
            <w:r>
              <w:rPr>
                <w:rFonts w:ascii="Calibri" w:hAnsi="Calibri" w:cs="Calibri"/>
                <w:b/>
                <w:sz w:val="22"/>
                <w:szCs w:val="22"/>
              </w:rPr>
              <w:t xml:space="preserve">. It does not </w:t>
            </w:r>
            <w:r w:rsidRPr="00144E40">
              <w:rPr>
                <w:rFonts w:ascii="Calibri" w:hAnsi="Calibri" w:cs="Calibri"/>
                <w:b/>
                <w:sz w:val="22"/>
                <w:szCs w:val="22"/>
              </w:rPr>
              <w:t xml:space="preserve">establish </w:t>
            </w:r>
            <w:r>
              <w:rPr>
                <w:rFonts w:ascii="Calibri" w:hAnsi="Calibri" w:cs="Calibri"/>
                <w:b/>
                <w:sz w:val="22"/>
                <w:szCs w:val="22"/>
              </w:rPr>
              <w:t xml:space="preserve">a </w:t>
            </w:r>
            <w:r w:rsidRPr="00144E40">
              <w:rPr>
                <w:rFonts w:ascii="Calibri" w:hAnsi="Calibri" w:cs="Calibri"/>
                <w:b/>
                <w:sz w:val="22"/>
                <w:szCs w:val="22"/>
              </w:rPr>
              <w:t>rule concerning vicarious liability for enhanced damages.</w:t>
            </w:r>
          </w:p>
        </w:tc>
      </w:tr>
      <w:tr w:rsidR="007C4BB5" w:rsidRPr="00907D75" w14:paraId="54ECBE5B" w14:textId="77777777" w:rsidTr="008649A2">
        <w:trPr>
          <w:trHeight w:val="4795"/>
        </w:trPr>
        <w:tc>
          <w:tcPr>
            <w:tcW w:w="5805" w:type="dxa"/>
            <w:vAlign w:val="center"/>
          </w:tcPr>
          <w:p w14:paraId="5BFB642F" w14:textId="2ACE83E2"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Did the district court find that DISH acted willfully?</w:t>
            </w:r>
          </w:p>
        </w:tc>
        <w:tc>
          <w:tcPr>
            <w:tcW w:w="5805" w:type="dxa"/>
            <w:vAlign w:val="center"/>
          </w:tcPr>
          <w:p w14:paraId="563F4952" w14:textId="5FE24D10"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822398">
              <w:rPr>
                <w:rFonts w:ascii="Calibri" w:hAnsi="Calibri" w:cs="Calibri"/>
                <w:b/>
                <w:sz w:val="22"/>
                <w:szCs w:val="22"/>
              </w:rPr>
              <w:t>The court held in the alternative that DISH itself acted willfully.</w:t>
            </w:r>
            <w:r>
              <w:rPr>
                <w:rFonts w:ascii="Calibri" w:hAnsi="Calibri" w:cs="Calibri"/>
                <w:b/>
                <w:sz w:val="22"/>
                <w:szCs w:val="22"/>
              </w:rPr>
              <w:t xml:space="preserve">  But </w:t>
            </w:r>
            <w:r w:rsidRPr="00822398">
              <w:rPr>
                <w:rFonts w:ascii="Calibri" w:hAnsi="Calibri" w:cs="Calibri"/>
                <w:b/>
                <w:sz w:val="22"/>
                <w:szCs w:val="22"/>
              </w:rPr>
              <w:t>it applied a legally incorrect standard</w:t>
            </w:r>
            <w:r>
              <w:rPr>
                <w:rFonts w:ascii="Calibri" w:hAnsi="Calibri" w:cs="Calibri"/>
                <w:b/>
                <w:sz w:val="22"/>
                <w:szCs w:val="22"/>
              </w:rPr>
              <w:t>.</w:t>
            </w:r>
          </w:p>
        </w:tc>
      </w:tr>
      <w:tr w:rsidR="007C4BB5" w:rsidRPr="00907D75" w14:paraId="3837DF18" w14:textId="77777777" w:rsidTr="008649A2">
        <w:trPr>
          <w:trHeight w:val="4795"/>
        </w:trPr>
        <w:tc>
          <w:tcPr>
            <w:tcW w:w="5805" w:type="dxa"/>
            <w:vAlign w:val="center"/>
          </w:tcPr>
          <w:p w14:paraId="1EFB0065" w14:textId="43DE2F91"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standard for willfulness?</w:t>
            </w:r>
          </w:p>
        </w:tc>
        <w:tc>
          <w:tcPr>
            <w:tcW w:w="5805" w:type="dxa"/>
            <w:vAlign w:val="center"/>
          </w:tcPr>
          <w:p w14:paraId="1E4AD771" w14:textId="04180298" w:rsidR="007C4BB5" w:rsidRPr="00822398"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822398">
              <w:rPr>
                <w:rFonts w:ascii="Calibri" w:hAnsi="Calibri" w:cs="Calibri"/>
                <w:b/>
                <w:sz w:val="22"/>
                <w:szCs w:val="22"/>
              </w:rPr>
              <w:t xml:space="preserve">o “willfully” violate federal law, one must act “recklessly”: with an “unjustifiably high risk of” violating the statute.  </w:t>
            </w:r>
            <w:r w:rsidRPr="002B1B82">
              <w:rPr>
                <w:rFonts w:ascii="Calibri" w:hAnsi="Calibri" w:cs="Calibri"/>
                <w:b/>
                <w:i/>
                <w:sz w:val="22"/>
                <w:szCs w:val="22"/>
              </w:rPr>
              <w:t>Safeco</w:t>
            </w:r>
            <w:r>
              <w:rPr>
                <w:rFonts w:ascii="Calibri" w:hAnsi="Calibri" w:cs="Calibri"/>
                <w:b/>
                <w:i/>
                <w:sz w:val="22"/>
                <w:szCs w:val="22"/>
              </w:rPr>
              <w:t xml:space="preserve"> Ins. Co. v. Burr</w:t>
            </w:r>
            <w:r>
              <w:rPr>
                <w:rFonts w:ascii="Calibri" w:hAnsi="Calibri" w:cs="Calibri"/>
                <w:b/>
                <w:sz w:val="22"/>
                <w:szCs w:val="22"/>
              </w:rPr>
              <w:t xml:space="preserve"> (S. Ct. 2007).</w:t>
            </w:r>
            <w:r w:rsidRPr="00822398">
              <w:rPr>
                <w:rFonts w:ascii="Calibri" w:hAnsi="Calibri" w:cs="Calibri"/>
                <w:b/>
                <w:sz w:val="22"/>
                <w:szCs w:val="22"/>
              </w:rPr>
              <w:t xml:space="preserve">  </w:t>
            </w:r>
            <w:r>
              <w:rPr>
                <w:rFonts w:ascii="Calibri" w:hAnsi="Calibri" w:cs="Calibri"/>
                <w:b/>
                <w:sz w:val="22"/>
                <w:szCs w:val="22"/>
              </w:rPr>
              <w:t xml:space="preserve">Willfulness is not to be found </w:t>
            </w:r>
            <w:r w:rsidRPr="00822398">
              <w:rPr>
                <w:rFonts w:ascii="Calibri" w:hAnsi="Calibri" w:cs="Calibri"/>
                <w:b/>
                <w:sz w:val="22"/>
                <w:szCs w:val="22"/>
              </w:rPr>
              <w:t>in a typical case, but only in</w:t>
            </w:r>
            <w:r>
              <w:rPr>
                <w:rFonts w:ascii="Calibri" w:hAnsi="Calibri" w:cs="Calibri"/>
                <w:b/>
                <w:sz w:val="22"/>
                <w:szCs w:val="22"/>
              </w:rPr>
              <w:t xml:space="preserve"> </w:t>
            </w:r>
            <w:r w:rsidRPr="00822398">
              <w:rPr>
                <w:rFonts w:ascii="Calibri" w:hAnsi="Calibri" w:cs="Calibri"/>
                <w:b/>
                <w:sz w:val="22"/>
                <w:szCs w:val="22"/>
              </w:rPr>
              <w:t xml:space="preserve">rare cases involving “egregious … behavior.”  </w:t>
            </w:r>
            <w:r w:rsidRPr="00822398">
              <w:rPr>
                <w:rFonts w:ascii="Calibri" w:hAnsi="Calibri" w:cs="Calibri"/>
                <w:b/>
                <w:i/>
                <w:sz w:val="22"/>
                <w:szCs w:val="22"/>
              </w:rPr>
              <w:t xml:space="preserve">Halo </w:t>
            </w:r>
            <w:proofErr w:type="spellStart"/>
            <w:r w:rsidRPr="00822398">
              <w:rPr>
                <w:rFonts w:ascii="Calibri" w:hAnsi="Calibri" w:cs="Calibri"/>
                <w:b/>
                <w:i/>
                <w:sz w:val="22"/>
                <w:szCs w:val="22"/>
              </w:rPr>
              <w:t>Elecs</w:t>
            </w:r>
            <w:proofErr w:type="spellEnd"/>
            <w:proofErr w:type="gramStart"/>
            <w:r w:rsidRPr="00822398">
              <w:rPr>
                <w:rFonts w:ascii="Calibri" w:hAnsi="Calibri" w:cs="Calibri"/>
                <w:b/>
                <w:i/>
                <w:sz w:val="22"/>
                <w:szCs w:val="22"/>
              </w:rPr>
              <w:t xml:space="preserve">. </w:t>
            </w:r>
            <w:proofErr w:type="gramEnd"/>
            <w:r w:rsidRPr="00822398">
              <w:rPr>
                <w:rFonts w:ascii="Calibri" w:hAnsi="Calibri" w:cs="Calibri"/>
                <w:b/>
                <w:i/>
                <w:sz w:val="22"/>
                <w:szCs w:val="22"/>
              </w:rPr>
              <w:t xml:space="preserve">v. Pulse </w:t>
            </w:r>
            <w:proofErr w:type="spellStart"/>
            <w:r w:rsidRPr="00822398">
              <w:rPr>
                <w:rFonts w:ascii="Calibri" w:hAnsi="Calibri" w:cs="Calibri"/>
                <w:b/>
                <w:i/>
                <w:sz w:val="22"/>
                <w:szCs w:val="22"/>
              </w:rPr>
              <w:t>Elecs</w:t>
            </w:r>
            <w:proofErr w:type="spellEnd"/>
            <w:proofErr w:type="gramStart"/>
            <w:r w:rsidRPr="00822398">
              <w:rPr>
                <w:rFonts w:ascii="Calibri" w:hAnsi="Calibri" w:cs="Calibri"/>
                <w:b/>
                <w:i/>
                <w:sz w:val="22"/>
                <w:szCs w:val="22"/>
              </w:rPr>
              <w:t>.</w:t>
            </w:r>
            <w:r>
              <w:rPr>
                <w:rFonts w:ascii="Calibri" w:hAnsi="Calibri" w:cs="Calibri"/>
                <w:b/>
                <w:sz w:val="22"/>
                <w:szCs w:val="22"/>
              </w:rPr>
              <w:t xml:space="preserve"> </w:t>
            </w:r>
            <w:proofErr w:type="gramEnd"/>
            <w:r>
              <w:rPr>
                <w:rFonts w:ascii="Calibri" w:hAnsi="Calibri" w:cs="Calibri"/>
                <w:b/>
                <w:sz w:val="22"/>
                <w:szCs w:val="22"/>
              </w:rPr>
              <w:t>(</w:t>
            </w:r>
            <w:r w:rsidRPr="00822398">
              <w:rPr>
                <w:rFonts w:ascii="Calibri" w:hAnsi="Calibri" w:cs="Calibri"/>
                <w:b/>
                <w:sz w:val="22"/>
                <w:szCs w:val="22"/>
              </w:rPr>
              <w:t xml:space="preserve">S. Ct. </w:t>
            </w:r>
            <w:r>
              <w:rPr>
                <w:rFonts w:ascii="Calibri" w:hAnsi="Calibri" w:cs="Calibri"/>
                <w:b/>
                <w:sz w:val="22"/>
                <w:szCs w:val="22"/>
              </w:rPr>
              <w:t xml:space="preserve">2016).  </w:t>
            </w:r>
          </w:p>
        </w:tc>
      </w:tr>
      <w:tr w:rsidR="007C4BB5" w:rsidRPr="00907D75" w14:paraId="1282D9EC" w14:textId="77777777" w:rsidTr="008649A2">
        <w:trPr>
          <w:trHeight w:val="4795"/>
        </w:trPr>
        <w:tc>
          <w:tcPr>
            <w:tcW w:w="5805" w:type="dxa"/>
            <w:vAlign w:val="center"/>
          </w:tcPr>
          <w:p w14:paraId="4D76EDA8" w14:textId="1187A968"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is required to find willfulness?</w:t>
            </w:r>
          </w:p>
        </w:tc>
        <w:tc>
          <w:tcPr>
            <w:tcW w:w="5805" w:type="dxa"/>
            <w:vAlign w:val="center"/>
          </w:tcPr>
          <w:p w14:paraId="668835BF" w14:textId="054F5D63" w:rsidR="007C4BB5" w:rsidRPr="00822398" w:rsidRDefault="007C4BB5" w:rsidP="00525419">
            <w:pPr>
              <w:pStyle w:val="O-BodyText"/>
              <w:spacing w:after="120"/>
              <w:ind w:left="290" w:right="65"/>
              <w:jc w:val="both"/>
              <w:rPr>
                <w:rFonts w:ascii="Calibri" w:hAnsi="Calibri" w:cs="Calibri"/>
                <w:b/>
                <w:sz w:val="22"/>
                <w:szCs w:val="22"/>
              </w:rPr>
            </w:pPr>
            <w:r w:rsidRPr="00E50BB7">
              <w:rPr>
                <w:rFonts w:ascii="Calibri" w:hAnsi="Calibri" w:cs="Calibri"/>
                <w:b/>
                <w:sz w:val="22"/>
                <w:szCs w:val="22"/>
              </w:rPr>
              <w:t xml:space="preserve">Willfulness requires more than mere carelessness or negligence.  </w:t>
            </w:r>
            <w:r w:rsidRPr="002B1B82">
              <w:rPr>
                <w:rFonts w:ascii="Calibri" w:hAnsi="Calibri" w:cs="Calibri"/>
                <w:b/>
                <w:i/>
                <w:sz w:val="22"/>
                <w:szCs w:val="22"/>
              </w:rPr>
              <w:t>Safeco</w:t>
            </w:r>
            <w:r>
              <w:rPr>
                <w:rFonts w:ascii="Calibri" w:hAnsi="Calibri" w:cs="Calibri"/>
                <w:b/>
                <w:i/>
                <w:sz w:val="22"/>
                <w:szCs w:val="22"/>
              </w:rPr>
              <w:t xml:space="preserve"> Ins. Co. v. Burr</w:t>
            </w:r>
            <w:r>
              <w:rPr>
                <w:rFonts w:ascii="Calibri" w:hAnsi="Calibri" w:cs="Calibri"/>
                <w:b/>
                <w:sz w:val="22"/>
                <w:szCs w:val="22"/>
              </w:rPr>
              <w:t xml:space="preserve"> (S. Ct. 2007)</w:t>
            </w:r>
            <w:r w:rsidRPr="00E50BB7">
              <w:rPr>
                <w:rFonts w:ascii="Calibri" w:hAnsi="Calibri" w:cs="Calibri"/>
                <w:b/>
                <w:sz w:val="22"/>
                <w:szCs w:val="22"/>
              </w:rPr>
              <w:t xml:space="preserve">.  </w:t>
            </w:r>
            <w:r>
              <w:rPr>
                <w:rFonts w:ascii="Calibri" w:hAnsi="Calibri" w:cs="Calibri"/>
                <w:b/>
                <w:sz w:val="22"/>
                <w:szCs w:val="22"/>
              </w:rPr>
              <w:t>I</w:t>
            </w:r>
            <w:r w:rsidRPr="00E50BB7">
              <w:rPr>
                <w:rFonts w:ascii="Calibri" w:hAnsi="Calibri" w:cs="Calibri"/>
                <w:b/>
                <w:sz w:val="22"/>
                <w:szCs w:val="22"/>
              </w:rPr>
              <w:t xml:space="preserve">t requires a “substantially greater” showing </w:t>
            </w:r>
            <w:r>
              <w:rPr>
                <w:rFonts w:ascii="Calibri" w:hAnsi="Calibri" w:cs="Calibri"/>
                <w:b/>
                <w:sz w:val="22"/>
                <w:szCs w:val="22"/>
              </w:rPr>
              <w:t xml:space="preserve">than negligence.  </w:t>
            </w:r>
            <w:r>
              <w:rPr>
                <w:rFonts w:ascii="Calibri" w:hAnsi="Calibri" w:cs="Calibri"/>
                <w:b/>
                <w:i/>
                <w:sz w:val="22"/>
                <w:szCs w:val="22"/>
              </w:rPr>
              <w:t>Id.</w:t>
            </w:r>
          </w:p>
        </w:tc>
      </w:tr>
      <w:tr w:rsidR="007C4BB5" w:rsidRPr="00907D75" w14:paraId="0A5DB8B0" w14:textId="77777777" w:rsidTr="008649A2">
        <w:trPr>
          <w:trHeight w:val="4795"/>
        </w:trPr>
        <w:tc>
          <w:tcPr>
            <w:tcW w:w="5805" w:type="dxa"/>
            <w:vAlign w:val="center"/>
          </w:tcPr>
          <w:p w14:paraId="1568488F" w14:textId="570496F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standard for recklessness?</w:t>
            </w:r>
          </w:p>
        </w:tc>
        <w:tc>
          <w:tcPr>
            <w:tcW w:w="5805" w:type="dxa"/>
            <w:vAlign w:val="center"/>
          </w:tcPr>
          <w:p w14:paraId="5CB4423B" w14:textId="06E75A76" w:rsidR="007C4BB5" w:rsidRPr="00822398" w:rsidRDefault="007C4BB5" w:rsidP="00525419">
            <w:pPr>
              <w:pStyle w:val="O-BodyText"/>
              <w:spacing w:after="120"/>
              <w:ind w:left="290" w:right="65"/>
              <w:jc w:val="both"/>
              <w:rPr>
                <w:rFonts w:ascii="Calibri" w:hAnsi="Calibri" w:cs="Calibri"/>
                <w:b/>
                <w:sz w:val="22"/>
                <w:szCs w:val="22"/>
              </w:rPr>
            </w:pPr>
            <w:r w:rsidRPr="00BB7091">
              <w:rPr>
                <w:rFonts w:ascii="Calibri" w:hAnsi="Calibri" w:cs="Calibri"/>
                <w:b/>
                <w:sz w:val="22"/>
                <w:szCs w:val="22"/>
              </w:rPr>
              <w:t xml:space="preserve">“[A] reckless defendant is one who … knows of a substantial and unjustified risk of such wrongdoing” and </w:t>
            </w:r>
            <w:proofErr w:type="gramStart"/>
            <w:r w:rsidRPr="00BB7091">
              <w:rPr>
                <w:rFonts w:ascii="Calibri" w:hAnsi="Calibri" w:cs="Calibri"/>
                <w:b/>
                <w:sz w:val="22"/>
                <w:szCs w:val="22"/>
              </w:rPr>
              <w:t>acts</w:t>
            </w:r>
            <w:proofErr w:type="gramEnd"/>
            <w:r w:rsidRPr="00BB7091">
              <w:rPr>
                <w:rFonts w:ascii="Calibri" w:hAnsi="Calibri" w:cs="Calibri"/>
                <w:b/>
                <w:sz w:val="22"/>
                <w:szCs w:val="22"/>
              </w:rPr>
              <w:t xml:space="preserve"> nonetheless.  </w:t>
            </w:r>
            <w:r w:rsidRPr="00BB47FB">
              <w:rPr>
                <w:rFonts w:ascii="Calibri" w:hAnsi="Calibri" w:cs="Calibri"/>
                <w:b/>
                <w:i/>
                <w:sz w:val="22"/>
                <w:szCs w:val="22"/>
              </w:rPr>
              <w:t xml:space="preserve">Global-Tech Appliances v. </w:t>
            </w:r>
            <w:proofErr w:type="spellStart"/>
            <w:r w:rsidRPr="00BB47FB">
              <w:rPr>
                <w:rFonts w:ascii="Calibri" w:hAnsi="Calibri" w:cs="Calibri"/>
                <w:b/>
                <w:i/>
                <w:sz w:val="22"/>
                <w:szCs w:val="22"/>
              </w:rPr>
              <w:t>SEB</w:t>
            </w:r>
            <w:proofErr w:type="spellEnd"/>
            <w:r w:rsidRPr="00BB7091">
              <w:rPr>
                <w:rFonts w:ascii="Calibri" w:hAnsi="Calibri" w:cs="Calibri"/>
                <w:b/>
                <w:sz w:val="22"/>
                <w:szCs w:val="22"/>
              </w:rPr>
              <w:t xml:space="preserve"> (</w:t>
            </w:r>
            <w:r>
              <w:rPr>
                <w:rFonts w:ascii="Calibri" w:hAnsi="Calibri" w:cs="Calibri"/>
                <w:b/>
                <w:sz w:val="22"/>
                <w:szCs w:val="22"/>
              </w:rPr>
              <w:t xml:space="preserve">S. Ct. </w:t>
            </w:r>
            <w:r w:rsidRPr="00BB7091">
              <w:rPr>
                <w:rFonts w:ascii="Calibri" w:hAnsi="Calibri" w:cs="Calibri"/>
                <w:b/>
                <w:sz w:val="22"/>
                <w:szCs w:val="22"/>
              </w:rPr>
              <w:t xml:space="preserve">2011); </w:t>
            </w:r>
            <w:proofErr w:type="spellStart"/>
            <w:r w:rsidRPr="00BB7091">
              <w:rPr>
                <w:rFonts w:ascii="Calibri" w:hAnsi="Calibri" w:cs="Calibri"/>
                <w:b/>
                <w:i/>
                <w:sz w:val="22"/>
                <w:szCs w:val="22"/>
              </w:rPr>
              <w:t>RSM</w:t>
            </w:r>
            <w:proofErr w:type="spellEnd"/>
            <w:r w:rsidRPr="00BB7091">
              <w:rPr>
                <w:rFonts w:ascii="Calibri" w:hAnsi="Calibri" w:cs="Calibri"/>
                <w:b/>
                <w:i/>
                <w:sz w:val="22"/>
                <w:szCs w:val="22"/>
              </w:rPr>
              <w:t xml:space="preserve"> v. Herbert</w:t>
            </w:r>
            <w:r w:rsidRPr="00BB7091">
              <w:rPr>
                <w:rFonts w:ascii="Calibri" w:hAnsi="Calibri" w:cs="Calibri"/>
                <w:b/>
                <w:sz w:val="22"/>
                <w:szCs w:val="22"/>
              </w:rPr>
              <w:t xml:space="preserve"> (4th Cir. 2006)</w:t>
            </w:r>
            <w:r>
              <w:rPr>
                <w:rFonts w:ascii="Calibri" w:hAnsi="Calibri" w:cs="Calibri"/>
                <w:b/>
                <w:sz w:val="22"/>
                <w:szCs w:val="22"/>
              </w:rPr>
              <w:t>.</w:t>
            </w:r>
          </w:p>
        </w:tc>
      </w:tr>
      <w:tr w:rsidR="007C4BB5" w:rsidRPr="00907D75" w14:paraId="0DCED9AB" w14:textId="77777777" w:rsidTr="008649A2">
        <w:trPr>
          <w:trHeight w:val="4795"/>
        </w:trPr>
        <w:tc>
          <w:tcPr>
            <w:tcW w:w="5805" w:type="dxa"/>
            <w:vAlign w:val="center"/>
          </w:tcPr>
          <w:p w14:paraId="102970DA" w14:textId="50BF91BD"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is the standard for knowing conduct?</w:t>
            </w:r>
          </w:p>
        </w:tc>
        <w:tc>
          <w:tcPr>
            <w:tcW w:w="5805" w:type="dxa"/>
            <w:vAlign w:val="center"/>
          </w:tcPr>
          <w:p w14:paraId="72D8986B" w14:textId="73851516" w:rsidR="007C4BB5" w:rsidRPr="00BB7091"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“Knowing” conduct </w:t>
            </w:r>
            <w:r w:rsidRPr="00BC5FBE">
              <w:rPr>
                <w:rFonts w:ascii="Calibri" w:hAnsi="Calibri" w:cs="Calibri"/>
                <w:b/>
                <w:sz w:val="22"/>
                <w:szCs w:val="22"/>
              </w:rPr>
              <w:t>requir</w:t>
            </w:r>
            <w:r>
              <w:rPr>
                <w:rFonts w:ascii="Calibri" w:hAnsi="Calibri" w:cs="Calibri"/>
                <w:b/>
                <w:sz w:val="22"/>
                <w:szCs w:val="22"/>
              </w:rPr>
              <w:t xml:space="preserve">es </w:t>
            </w:r>
            <w:r w:rsidRPr="00BC5FBE">
              <w:rPr>
                <w:rFonts w:ascii="Calibri" w:hAnsi="Calibri" w:cs="Calibri"/>
                <w:b/>
                <w:sz w:val="22"/>
                <w:szCs w:val="22"/>
              </w:rPr>
              <w:t xml:space="preserve">actual knowledge of the circumstances giving rise to liability.  </w:t>
            </w:r>
            <w:proofErr w:type="spellStart"/>
            <w:r w:rsidRPr="00BB7091">
              <w:rPr>
                <w:rFonts w:ascii="Calibri" w:hAnsi="Calibri" w:cs="Calibri"/>
                <w:b/>
                <w:i/>
                <w:sz w:val="22"/>
                <w:szCs w:val="22"/>
              </w:rPr>
              <w:t>RSM</w:t>
            </w:r>
            <w:proofErr w:type="spellEnd"/>
            <w:r w:rsidRPr="00BB7091">
              <w:rPr>
                <w:rFonts w:ascii="Calibri" w:hAnsi="Calibri" w:cs="Calibri"/>
                <w:b/>
                <w:i/>
                <w:sz w:val="22"/>
                <w:szCs w:val="22"/>
              </w:rPr>
              <w:t xml:space="preserve"> v. Herbert</w:t>
            </w:r>
            <w:r w:rsidRPr="00BB7091">
              <w:rPr>
                <w:rFonts w:ascii="Calibri" w:hAnsi="Calibri" w:cs="Calibri"/>
                <w:b/>
                <w:sz w:val="22"/>
                <w:szCs w:val="22"/>
              </w:rPr>
              <w:t xml:space="preserve"> (4th Cir. 2006)</w:t>
            </w:r>
            <w:r>
              <w:rPr>
                <w:rFonts w:ascii="Calibri" w:hAnsi="Calibri" w:cs="Calibri"/>
                <w:b/>
                <w:sz w:val="22"/>
                <w:szCs w:val="22"/>
              </w:rPr>
              <w:t>.</w:t>
            </w:r>
            <w:r w:rsidRPr="00BC5FBE">
              <w:rPr>
                <w:rFonts w:ascii="Calibri" w:hAnsi="Calibri" w:cs="Calibri"/>
                <w:b/>
                <w:sz w:val="22"/>
                <w:szCs w:val="22"/>
              </w:rPr>
              <w:t xml:space="preserve">  “[T]he violator [must] know he was performing the conduct that violates the stat</w:t>
            </w:r>
            <w:r>
              <w:rPr>
                <w:rFonts w:ascii="Calibri" w:hAnsi="Calibri" w:cs="Calibri"/>
                <w:b/>
                <w:sz w:val="22"/>
                <w:szCs w:val="22"/>
              </w:rPr>
              <w:t xml:space="preserve">ute.”  </w:t>
            </w:r>
            <w:proofErr w:type="spellStart"/>
            <w:r w:rsidRPr="00EA488F">
              <w:rPr>
                <w:rFonts w:ascii="Calibri" w:hAnsi="Calibri" w:cs="Calibri"/>
                <w:b/>
                <w:i/>
                <w:sz w:val="22"/>
                <w:szCs w:val="22"/>
              </w:rPr>
              <w:t>Lary</w:t>
            </w:r>
            <w:proofErr w:type="spellEnd"/>
            <w:r w:rsidRPr="00EA488F">
              <w:rPr>
                <w:rFonts w:ascii="Calibri" w:hAnsi="Calibri" w:cs="Calibri"/>
                <w:b/>
                <w:i/>
                <w:sz w:val="22"/>
                <w:szCs w:val="22"/>
              </w:rPr>
              <w:t xml:space="preserve"> v. Trinity Physician Fin. &amp; Ins. Servs</w:t>
            </w:r>
            <w:proofErr w:type="gramStart"/>
            <w:r w:rsidRPr="00EA488F">
              <w:rPr>
                <w:rFonts w:ascii="Calibri" w:hAnsi="Calibri" w:cs="Calibri"/>
                <w:b/>
                <w:i/>
                <w:sz w:val="22"/>
                <w:szCs w:val="22"/>
              </w:rPr>
              <w:t>.</w:t>
            </w:r>
            <w:r>
              <w:rPr>
                <w:rFonts w:ascii="Calibri" w:hAnsi="Calibri" w:cs="Calibri"/>
                <w:b/>
                <w:sz w:val="22"/>
                <w:szCs w:val="22"/>
              </w:rPr>
              <w:t xml:space="preserve"> </w:t>
            </w:r>
            <w:proofErr w:type="gramEnd"/>
            <w:r>
              <w:rPr>
                <w:rFonts w:ascii="Calibri" w:hAnsi="Calibri" w:cs="Calibri"/>
                <w:b/>
                <w:sz w:val="22"/>
                <w:szCs w:val="22"/>
              </w:rPr>
              <w:t>(11th Cir. 2015).</w:t>
            </w:r>
          </w:p>
          <w:p w14:paraId="20DB0801" w14:textId="0485F779" w:rsidR="007C4BB5" w:rsidRPr="00BB7091" w:rsidRDefault="007C4BB5" w:rsidP="00525419">
            <w:pPr>
              <w:pStyle w:val="O-BodyText"/>
              <w:spacing w:after="120"/>
              <w:ind w:left="290" w:right="65"/>
              <w:jc w:val="both"/>
              <w:rPr>
                <w:rFonts w:ascii="Calibri" w:hAnsi="Calibri" w:cs="Calibri"/>
                <w:b/>
                <w:sz w:val="22"/>
                <w:szCs w:val="22"/>
              </w:rPr>
            </w:pPr>
          </w:p>
        </w:tc>
      </w:tr>
      <w:tr w:rsidR="007C4BB5" w:rsidRPr="00907D75" w14:paraId="59C2A9FD" w14:textId="77777777" w:rsidTr="008649A2">
        <w:trPr>
          <w:trHeight w:val="4795"/>
        </w:trPr>
        <w:tc>
          <w:tcPr>
            <w:tcW w:w="5805" w:type="dxa"/>
            <w:vAlign w:val="center"/>
          </w:tcPr>
          <w:p w14:paraId="5AC55280" w14:textId="0A54B1D6"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the district court make any findings about whether </w:t>
            </w:r>
            <w:proofErr w:type="spellStart"/>
            <w:r>
              <w:rPr>
                <w:rFonts w:ascii="Calibri" w:hAnsi="Calibri" w:cs="Calibri"/>
                <w:b/>
                <w:sz w:val="28"/>
                <w:szCs w:val="28"/>
              </w:rPr>
              <w:t>DISH’s</w:t>
            </w:r>
            <w:proofErr w:type="spellEnd"/>
            <w:r>
              <w:rPr>
                <w:rFonts w:ascii="Calibri" w:hAnsi="Calibri" w:cs="Calibri"/>
                <w:b/>
                <w:sz w:val="28"/>
                <w:szCs w:val="28"/>
              </w:rPr>
              <w:t xml:space="preserve"> conduct was knowing?</w:t>
            </w:r>
          </w:p>
        </w:tc>
        <w:tc>
          <w:tcPr>
            <w:tcW w:w="5805" w:type="dxa"/>
            <w:vAlign w:val="center"/>
          </w:tcPr>
          <w:p w14:paraId="5EFAE226" w14:textId="6E37253F"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Although the court stated </w:t>
            </w:r>
            <w:r w:rsidRPr="00BC5FBE">
              <w:rPr>
                <w:rFonts w:ascii="Calibri" w:hAnsi="Calibri" w:cs="Calibri"/>
                <w:b/>
                <w:sz w:val="22"/>
                <w:szCs w:val="22"/>
              </w:rPr>
              <w:t>that DISH acted “willfully and knowingly,”</w:t>
            </w:r>
            <w:r>
              <w:rPr>
                <w:rFonts w:ascii="Calibri" w:hAnsi="Calibri" w:cs="Calibri"/>
                <w:b/>
                <w:sz w:val="22"/>
                <w:szCs w:val="22"/>
              </w:rPr>
              <w:t xml:space="preserve"> </w:t>
            </w:r>
            <w:r w:rsidRPr="00BC5FBE">
              <w:rPr>
                <w:rFonts w:ascii="Calibri" w:hAnsi="Calibri" w:cs="Calibri"/>
                <w:b/>
                <w:sz w:val="22"/>
                <w:szCs w:val="22"/>
              </w:rPr>
              <w:t>it did not analyze the question of knowing conduct or make the requisite findings</w:t>
            </w:r>
            <w:r>
              <w:rPr>
                <w:rFonts w:ascii="Calibri" w:hAnsi="Calibri" w:cs="Calibri"/>
                <w:b/>
                <w:sz w:val="22"/>
                <w:szCs w:val="22"/>
              </w:rPr>
              <w:t>.</w:t>
            </w:r>
          </w:p>
        </w:tc>
      </w:tr>
      <w:tr w:rsidR="007C4BB5" w:rsidRPr="00907D75" w14:paraId="049CE100" w14:textId="77777777" w:rsidTr="008649A2">
        <w:trPr>
          <w:trHeight w:val="4795"/>
        </w:trPr>
        <w:tc>
          <w:tcPr>
            <w:tcW w:w="5805" w:type="dxa"/>
            <w:vAlign w:val="center"/>
          </w:tcPr>
          <w:p w14:paraId="7137DCDA" w14:textId="3C6FB66F"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Did the district court apply a willfulness standard to DISH when it trebled the damages?</w:t>
            </w:r>
          </w:p>
        </w:tc>
        <w:tc>
          <w:tcPr>
            <w:tcW w:w="5805" w:type="dxa"/>
            <w:vAlign w:val="center"/>
          </w:tcPr>
          <w:p w14:paraId="07207E60" w14:textId="26C01CA3"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4F451A">
              <w:rPr>
                <w:rFonts w:ascii="Calibri" w:hAnsi="Calibri" w:cs="Calibri"/>
                <w:b/>
                <w:sz w:val="22"/>
                <w:szCs w:val="22"/>
              </w:rPr>
              <w:t>The district court applied a substantially lower</w:t>
            </w:r>
            <w:r>
              <w:rPr>
                <w:rFonts w:ascii="Calibri" w:hAnsi="Calibri" w:cs="Calibri"/>
                <w:b/>
                <w:sz w:val="22"/>
                <w:szCs w:val="22"/>
              </w:rPr>
              <w:t xml:space="preserve"> standard than willfulness.  In assessing willfulness, the court</w:t>
            </w:r>
            <w:r w:rsidRPr="004F451A">
              <w:rPr>
                <w:rFonts w:ascii="Calibri" w:hAnsi="Calibri" w:cs="Calibri"/>
                <w:b/>
                <w:sz w:val="22"/>
                <w:szCs w:val="22"/>
              </w:rPr>
              <w:t xml:space="preserve"> asked whether DISH “ha[d] reason to know, or should have known, that [SSN’s] conduct would violate the statute.”  JA__[Doc.338at21].  But “know or should have known” is the standard for negligence, not willfulness.</w:t>
            </w:r>
            <w:r>
              <w:rPr>
                <w:rFonts w:ascii="Calibri" w:hAnsi="Calibri" w:cs="Calibri"/>
                <w:b/>
                <w:sz w:val="22"/>
                <w:szCs w:val="22"/>
              </w:rPr>
              <w:t xml:space="preserve">  </w:t>
            </w:r>
            <w:r w:rsidRPr="00CE4801">
              <w:rPr>
                <w:rFonts w:ascii="Calibri" w:hAnsi="Calibri" w:cs="Calibri"/>
                <w:b/>
                <w:i/>
                <w:sz w:val="22"/>
                <w:szCs w:val="22"/>
              </w:rPr>
              <w:t>BMG Rights Mgmt. v. Cox Commc’ns</w:t>
            </w:r>
            <w:r>
              <w:rPr>
                <w:rFonts w:ascii="Calibri" w:hAnsi="Calibri" w:cs="Calibri"/>
                <w:b/>
                <w:sz w:val="22"/>
                <w:szCs w:val="22"/>
              </w:rPr>
              <w:t xml:space="preserve"> (4th Cir. 2018).</w:t>
            </w:r>
          </w:p>
        </w:tc>
      </w:tr>
      <w:tr w:rsidR="007C4BB5" w:rsidRPr="00907D75" w14:paraId="724519A9" w14:textId="77777777" w:rsidTr="008649A2">
        <w:trPr>
          <w:trHeight w:val="4795"/>
        </w:trPr>
        <w:tc>
          <w:tcPr>
            <w:tcW w:w="5805" w:type="dxa"/>
            <w:vAlign w:val="center"/>
          </w:tcPr>
          <w:p w14:paraId="24F22DD3" w14:textId="4A572D7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do you argue that the district court applied a negligence standard to DISH?</w:t>
            </w:r>
          </w:p>
        </w:tc>
        <w:tc>
          <w:tcPr>
            <w:tcW w:w="5805" w:type="dxa"/>
            <w:vAlign w:val="center"/>
          </w:tcPr>
          <w:p w14:paraId="79D4C2E1" w14:textId="15618095" w:rsidR="007C4BB5" w:rsidRPr="004F451A" w:rsidRDefault="007C4BB5" w:rsidP="00525419">
            <w:pPr>
              <w:pStyle w:val="O-BodyText"/>
              <w:spacing w:after="120"/>
              <w:ind w:left="290" w:right="65"/>
              <w:jc w:val="both"/>
              <w:rPr>
                <w:rFonts w:ascii="Calibri" w:hAnsi="Calibri" w:cs="Calibri"/>
                <w:b/>
                <w:sz w:val="22"/>
                <w:szCs w:val="22"/>
              </w:rPr>
            </w:pPr>
            <w:r w:rsidRPr="00F6448D">
              <w:rPr>
                <w:rFonts w:ascii="Calibri" w:hAnsi="Calibri" w:cs="Calibri"/>
                <w:b/>
                <w:sz w:val="22"/>
                <w:szCs w:val="22"/>
              </w:rPr>
              <w:t xml:space="preserve">Over and over, the court </w:t>
            </w:r>
            <w:r>
              <w:rPr>
                <w:rFonts w:ascii="Calibri" w:hAnsi="Calibri" w:cs="Calibri"/>
                <w:b/>
                <w:sz w:val="22"/>
                <w:szCs w:val="22"/>
              </w:rPr>
              <w:t>criticized</w:t>
            </w:r>
            <w:r w:rsidRPr="00F6448D">
              <w:rPr>
                <w:rFonts w:ascii="Calibri" w:hAnsi="Calibri" w:cs="Calibri"/>
                <w:b/>
                <w:sz w:val="22"/>
                <w:szCs w:val="22"/>
              </w:rPr>
              <w:t xml:space="preserve"> </w:t>
            </w:r>
            <w:r>
              <w:rPr>
                <w:rFonts w:ascii="Calibri" w:hAnsi="Calibri" w:cs="Calibri"/>
                <w:b/>
                <w:sz w:val="22"/>
                <w:szCs w:val="22"/>
              </w:rPr>
              <w:t xml:space="preserve">DISH for failing to adequately </w:t>
            </w:r>
            <w:r w:rsidRPr="00F6448D">
              <w:rPr>
                <w:rFonts w:ascii="Calibri" w:hAnsi="Calibri" w:cs="Calibri"/>
                <w:b/>
                <w:sz w:val="22"/>
                <w:szCs w:val="22"/>
              </w:rPr>
              <w:t>monitor</w:t>
            </w:r>
            <w:r>
              <w:rPr>
                <w:rFonts w:ascii="Calibri" w:hAnsi="Calibri" w:cs="Calibri"/>
                <w:b/>
                <w:sz w:val="22"/>
                <w:szCs w:val="22"/>
              </w:rPr>
              <w:t xml:space="preserve"> and </w:t>
            </w:r>
            <w:r w:rsidRPr="00F6448D">
              <w:rPr>
                <w:rFonts w:ascii="Calibri" w:hAnsi="Calibri" w:cs="Calibri"/>
                <w:b/>
                <w:sz w:val="22"/>
                <w:szCs w:val="22"/>
              </w:rPr>
              <w:t>investigate SSN</w:t>
            </w:r>
            <w:r>
              <w:rPr>
                <w:rFonts w:ascii="Calibri" w:hAnsi="Calibri" w:cs="Calibri"/>
                <w:b/>
                <w:sz w:val="22"/>
                <w:szCs w:val="22"/>
              </w:rPr>
              <w:t xml:space="preserve">. </w:t>
            </w:r>
            <w:r w:rsidRPr="00F6448D">
              <w:rPr>
                <w:rFonts w:ascii="Calibri" w:hAnsi="Calibri" w:cs="Calibri"/>
                <w:b/>
                <w:sz w:val="22"/>
                <w:szCs w:val="22"/>
              </w:rPr>
              <w:t xml:space="preserve"> And </w:t>
            </w:r>
            <w:r>
              <w:rPr>
                <w:rFonts w:ascii="Calibri" w:hAnsi="Calibri" w:cs="Calibri"/>
                <w:b/>
                <w:sz w:val="22"/>
                <w:szCs w:val="22"/>
              </w:rPr>
              <w:t xml:space="preserve">the court </w:t>
            </w:r>
            <w:r w:rsidRPr="00F6448D">
              <w:rPr>
                <w:rFonts w:ascii="Calibri" w:hAnsi="Calibri" w:cs="Calibri"/>
                <w:b/>
                <w:sz w:val="22"/>
                <w:szCs w:val="22"/>
              </w:rPr>
              <w:t>purported</w:t>
            </w:r>
            <w:r>
              <w:rPr>
                <w:rFonts w:ascii="Calibri" w:hAnsi="Calibri" w:cs="Calibri"/>
                <w:b/>
                <w:sz w:val="22"/>
                <w:szCs w:val="22"/>
              </w:rPr>
              <w:t xml:space="preserve"> </w:t>
            </w:r>
            <w:r w:rsidRPr="00F6448D">
              <w:rPr>
                <w:rFonts w:ascii="Calibri" w:hAnsi="Calibri" w:cs="Calibri"/>
                <w:b/>
                <w:sz w:val="22"/>
                <w:szCs w:val="22"/>
              </w:rPr>
              <w:t>to balance the cost of monitoring with the likelihood of discovering violations.  But the reasonableness of preventative actions “bear[s] primarily on the question of negligence.”</w:t>
            </w:r>
            <w:r>
              <w:t xml:space="preserve"> </w:t>
            </w:r>
            <w:r w:rsidRPr="00F6448D">
              <w:rPr>
                <w:rFonts w:ascii="Calibri" w:hAnsi="Calibri" w:cs="Calibri"/>
                <w:b/>
                <w:i/>
                <w:sz w:val="22"/>
                <w:szCs w:val="22"/>
              </w:rPr>
              <w:t>Mosser v. Fruehauf Corp.</w:t>
            </w:r>
            <w:r>
              <w:rPr>
                <w:rFonts w:ascii="Calibri" w:hAnsi="Calibri" w:cs="Calibri"/>
                <w:b/>
                <w:sz w:val="22"/>
                <w:szCs w:val="22"/>
              </w:rPr>
              <w:t xml:space="preserve"> (4th Cir. 1991).</w:t>
            </w:r>
          </w:p>
        </w:tc>
      </w:tr>
      <w:tr w:rsidR="007C4BB5" w:rsidRPr="00907D75" w14:paraId="63E70531" w14:textId="77777777" w:rsidTr="008649A2">
        <w:trPr>
          <w:trHeight w:val="4795"/>
        </w:trPr>
        <w:tc>
          <w:tcPr>
            <w:tcW w:w="5805" w:type="dxa"/>
            <w:vAlign w:val="center"/>
          </w:tcPr>
          <w:p w14:paraId="31169056" w14:textId="4A3BF2E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isn’t negligence the proper standard for awarding enhanced damages?</w:t>
            </w:r>
          </w:p>
        </w:tc>
        <w:tc>
          <w:tcPr>
            <w:tcW w:w="5805" w:type="dxa"/>
            <w:vAlign w:val="center"/>
          </w:tcPr>
          <w:p w14:paraId="49ABEE6F" w14:textId="6057B147" w:rsidR="007C4BB5" w:rsidRPr="00F6448D" w:rsidRDefault="007C4BB5" w:rsidP="00525419">
            <w:pPr>
              <w:pStyle w:val="O-BodyText"/>
              <w:spacing w:after="120"/>
              <w:ind w:left="290" w:right="65"/>
              <w:jc w:val="both"/>
              <w:rPr>
                <w:rFonts w:ascii="Calibri" w:hAnsi="Calibri" w:cs="Calibri"/>
                <w:b/>
                <w:sz w:val="22"/>
                <w:szCs w:val="22"/>
              </w:rPr>
            </w:pPr>
            <w:r w:rsidRPr="00F6448D">
              <w:rPr>
                <w:rFonts w:ascii="Calibri" w:hAnsi="Calibri" w:cs="Calibri"/>
                <w:b/>
                <w:sz w:val="22"/>
                <w:szCs w:val="22"/>
              </w:rPr>
              <w:t>There could be no negligence (leave aside willfulness) unless the TCPA imposed a duty of care on DISH, and the court identified no such duty.</w:t>
            </w:r>
          </w:p>
        </w:tc>
      </w:tr>
      <w:tr w:rsidR="007C4BB5" w:rsidRPr="00907D75" w14:paraId="54146AFB" w14:textId="77777777" w:rsidTr="008649A2">
        <w:trPr>
          <w:trHeight w:val="4795"/>
        </w:trPr>
        <w:tc>
          <w:tcPr>
            <w:tcW w:w="5805" w:type="dxa"/>
            <w:vAlign w:val="center"/>
          </w:tcPr>
          <w:p w14:paraId="77D9639D" w14:textId="176501BD"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argue that the district court should not have relied on the </w:t>
            </w:r>
            <w:proofErr w:type="spellStart"/>
            <w:r>
              <w:rPr>
                <w:rFonts w:ascii="Calibri" w:hAnsi="Calibri" w:cs="Calibri"/>
                <w:b/>
                <w:sz w:val="28"/>
                <w:szCs w:val="28"/>
              </w:rPr>
              <w:t>AVC</w:t>
            </w:r>
            <w:proofErr w:type="spellEnd"/>
            <w:r>
              <w:rPr>
                <w:rFonts w:ascii="Calibri" w:hAnsi="Calibri" w:cs="Calibri"/>
                <w:b/>
                <w:sz w:val="28"/>
                <w:szCs w:val="28"/>
              </w:rPr>
              <w:t>.  Why not?</w:t>
            </w:r>
          </w:p>
        </w:tc>
        <w:tc>
          <w:tcPr>
            <w:tcW w:w="5805" w:type="dxa"/>
            <w:vAlign w:val="center"/>
          </w:tcPr>
          <w:p w14:paraId="69CF62F6" w14:textId="70352271" w:rsidR="007C4BB5" w:rsidRPr="00F6448D"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The</w:t>
            </w:r>
            <w:r w:rsidRPr="00FD4ACB">
              <w:rPr>
                <w:rFonts w:ascii="Calibri" w:hAnsi="Calibri" w:cs="Calibri"/>
                <w:b/>
                <w:sz w:val="22"/>
                <w:szCs w:val="22"/>
              </w:rPr>
              <w:t xml:space="preserve"> </w:t>
            </w:r>
            <w:proofErr w:type="spellStart"/>
            <w:r w:rsidRPr="00FD4ACB">
              <w:rPr>
                <w:rFonts w:ascii="Calibri" w:hAnsi="Calibri" w:cs="Calibri"/>
                <w:b/>
                <w:sz w:val="22"/>
                <w:szCs w:val="22"/>
              </w:rPr>
              <w:t>AVC</w:t>
            </w:r>
            <w:proofErr w:type="spellEnd"/>
            <w:r>
              <w:rPr>
                <w:rFonts w:ascii="Calibri" w:hAnsi="Calibri" w:cs="Calibri"/>
                <w:b/>
                <w:sz w:val="22"/>
                <w:szCs w:val="22"/>
              </w:rPr>
              <w:t xml:space="preserve"> was a</w:t>
            </w:r>
            <w:r w:rsidRPr="00FD4ACB">
              <w:rPr>
                <w:rFonts w:ascii="Calibri" w:hAnsi="Calibri" w:cs="Calibri"/>
                <w:b/>
                <w:sz w:val="22"/>
                <w:szCs w:val="22"/>
              </w:rPr>
              <w:t xml:space="preserve"> 2009 voluntary agreement between DISH and 46 state attorneys general</w:t>
            </w:r>
            <w:proofErr w:type="gramStart"/>
            <w:r>
              <w:rPr>
                <w:rFonts w:ascii="Calibri" w:hAnsi="Calibri" w:cs="Calibri"/>
                <w:b/>
                <w:sz w:val="22"/>
                <w:szCs w:val="22"/>
              </w:rPr>
              <w:t xml:space="preserve">. </w:t>
            </w:r>
            <w:proofErr w:type="gramEnd"/>
            <w:r>
              <w:rPr>
                <w:rFonts w:ascii="Calibri" w:hAnsi="Calibri" w:cs="Calibri"/>
                <w:b/>
                <w:sz w:val="22"/>
                <w:szCs w:val="22"/>
              </w:rPr>
              <w:t>It is</w:t>
            </w:r>
            <w:r w:rsidRPr="00571AA3">
              <w:rPr>
                <w:rFonts w:ascii="Calibri" w:hAnsi="Calibri" w:cs="Calibri"/>
                <w:b/>
                <w:sz w:val="22"/>
                <w:szCs w:val="22"/>
              </w:rPr>
              <w:t xml:space="preserve"> a private agreement that confers no “rights or remedies” “upon any person”</w:t>
            </w:r>
            <w:r>
              <w:t xml:space="preserve"> </w:t>
            </w:r>
            <w:r w:rsidRPr="00571AA3">
              <w:rPr>
                <w:rFonts w:ascii="Calibri" w:hAnsi="Calibri" w:cs="Calibri"/>
                <w:b/>
                <w:sz w:val="22"/>
                <w:szCs w:val="22"/>
              </w:rPr>
              <w:t xml:space="preserve">and “may not be enforced by any person, entity, or sovereign except the Attorneys General.”  JA__[PX55§7.2].  The </w:t>
            </w:r>
            <w:proofErr w:type="spellStart"/>
            <w:r>
              <w:rPr>
                <w:rFonts w:ascii="Calibri" w:hAnsi="Calibri" w:cs="Calibri"/>
                <w:b/>
                <w:sz w:val="22"/>
                <w:szCs w:val="22"/>
              </w:rPr>
              <w:t>AVC</w:t>
            </w:r>
            <w:proofErr w:type="spellEnd"/>
            <w:r>
              <w:rPr>
                <w:rFonts w:ascii="Calibri" w:hAnsi="Calibri" w:cs="Calibri"/>
                <w:b/>
                <w:sz w:val="22"/>
                <w:szCs w:val="22"/>
              </w:rPr>
              <w:t xml:space="preserve"> </w:t>
            </w:r>
            <w:r w:rsidRPr="00571AA3">
              <w:rPr>
                <w:rFonts w:ascii="Calibri" w:hAnsi="Calibri" w:cs="Calibri"/>
                <w:b/>
                <w:sz w:val="22"/>
                <w:szCs w:val="22"/>
              </w:rPr>
              <w:t xml:space="preserve">could not create a TCPA duty, or a new willfulness standard, applicable </w:t>
            </w:r>
            <w:r>
              <w:rPr>
                <w:rFonts w:ascii="Calibri" w:hAnsi="Calibri" w:cs="Calibri"/>
                <w:b/>
                <w:sz w:val="22"/>
                <w:szCs w:val="22"/>
              </w:rPr>
              <w:t>only</w:t>
            </w:r>
            <w:r w:rsidRPr="00571AA3">
              <w:rPr>
                <w:rFonts w:ascii="Calibri" w:hAnsi="Calibri" w:cs="Calibri"/>
                <w:b/>
                <w:sz w:val="22"/>
                <w:szCs w:val="22"/>
              </w:rPr>
              <w:t xml:space="preserve"> to DISH.</w:t>
            </w:r>
          </w:p>
        </w:tc>
      </w:tr>
      <w:tr w:rsidR="007C4BB5" w:rsidRPr="00907D75" w14:paraId="4B1FE730" w14:textId="77777777" w:rsidTr="008649A2">
        <w:trPr>
          <w:trHeight w:val="4795"/>
        </w:trPr>
        <w:tc>
          <w:tcPr>
            <w:tcW w:w="5805" w:type="dxa"/>
            <w:vAlign w:val="center"/>
          </w:tcPr>
          <w:p w14:paraId="58D3D111" w14:textId="2334CF0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should happen to the damages award?</w:t>
            </w:r>
          </w:p>
        </w:tc>
        <w:tc>
          <w:tcPr>
            <w:tcW w:w="5805" w:type="dxa"/>
            <w:vAlign w:val="center"/>
          </w:tcPr>
          <w:p w14:paraId="51086BE4" w14:textId="58DD668B"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D</w:t>
            </w:r>
            <w:r w:rsidRPr="00472CBE">
              <w:rPr>
                <w:rFonts w:ascii="Calibri" w:hAnsi="Calibri" w:cs="Calibri"/>
                <w:b/>
                <w:sz w:val="22"/>
                <w:szCs w:val="22"/>
              </w:rPr>
              <w:t>amages must be reduced to the $4</w:t>
            </w:r>
            <w:r>
              <w:rPr>
                <w:rFonts w:ascii="Calibri" w:hAnsi="Calibri" w:cs="Calibri"/>
                <w:b/>
                <w:sz w:val="22"/>
                <w:szCs w:val="22"/>
              </w:rPr>
              <w:t>00-per-call awarded by the jury.  O</w:t>
            </w:r>
            <w:r w:rsidRPr="00472CBE">
              <w:rPr>
                <w:rFonts w:ascii="Calibri" w:hAnsi="Calibri" w:cs="Calibri"/>
                <w:b/>
                <w:sz w:val="22"/>
                <w:szCs w:val="22"/>
              </w:rPr>
              <w:t>r, at a minimum, the case must be remanded for application of the proper legal standard</w:t>
            </w:r>
            <w:r>
              <w:rPr>
                <w:rFonts w:ascii="Calibri" w:hAnsi="Calibri" w:cs="Calibri"/>
                <w:b/>
                <w:sz w:val="22"/>
                <w:szCs w:val="22"/>
              </w:rPr>
              <w:t>.</w:t>
            </w:r>
          </w:p>
        </w:tc>
      </w:tr>
      <w:tr w:rsidR="007C4BB5" w:rsidRPr="00907D75" w14:paraId="6716CAF9" w14:textId="77777777" w:rsidTr="008649A2">
        <w:trPr>
          <w:trHeight w:val="4795"/>
        </w:trPr>
        <w:tc>
          <w:tcPr>
            <w:tcW w:w="5805" w:type="dxa"/>
            <w:vAlign w:val="center"/>
          </w:tcPr>
          <w:p w14:paraId="61B3B8EF" w14:textId="7EAB5E8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If there was no willful or knowing conduct by DISH, what should happen to the damages award?</w:t>
            </w:r>
          </w:p>
        </w:tc>
        <w:tc>
          <w:tcPr>
            <w:tcW w:w="5805" w:type="dxa"/>
            <w:vAlign w:val="center"/>
          </w:tcPr>
          <w:p w14:paraId="46CAA488" w14:textId="5CDCB66B" w:rsidR="007C4BB5" w:rsidRDefault="007C4BB5" w:rsidP="00525419">
            <w:pPr>
              <w:pStyle w:val="O-BodyText"/>
              <w:spacing w:after="120"/>
              <w:ind w:left="290" w:right="65"/>
              <w:jc w:val="both"/>
              <w:rPr>
                <w:rFonts w:ascii="Calibri" w:hAnsi="Calibri" w:cs="Calibri"/>
                <w:b/>
                <w:sz w:val="22"/>
                <w:szCs w:val="22"/>
              </w:rPr>
            </w:pPr>
            <w:r w:rsidRPr="00A535D8">
              <w:rPr>
                <w:rFonts w:ascii="Calibri" w:hAnsi="Calibri" w:cs="Calibri"/>
                <w:b/>
                <w:sz w:val="22"/>
                <w:szCs w:val="22"/>
              </w:rPr>
              <w:t xml:space="preserve">Alternatively, the enhanced damages should be reversed outright because </w:t>
            </w:r>
            <w:proofErr w:type="spellStart"/>
            <w:r w:rsidRPr="00A535D8">
              <w:rPr>
                <w:rFonts w:ascii="Calibri" w:hAnsi="Calibri" w:cs="Calibri"/>
                <w:b/>
                <w:sz w:val="22"/>
                <w:szCs w:val="22"/>
              </w:rPr>
              <w:t>DISH’s</w:t>
            </w:r>
            <w:proofErr w:type="spellEnd"/>
            <w:r w:rsidRPr="00A535D8">
              <w:rPr>
                <w:rFonts w:ascii="Calibri" w:hAnsi="Calibri" w:cs="Calibri"/>
                <w:b/>
                <w:sz w:val="22"/>
                <w:szCs w:val="22"/>
              </w:rPr>
              <w:t xml:space="preserve"> conduct was not willful or knowing as a matter of law</w:t>
            </w:r>
            <w:r w:rsidRPr="00A535D8">
              <w:rPr>
                <w:rFonts w:ascii="Calibri" w:hAnsi="Calibri" w:cs="Calibri"/>
                <w:b/>
                <w:i/>
                <w:sz w:val="22"/>
                <w:szCs w:val="22"/>
              </w:rPr>
              <w:t>.  See Humphrey v. Humphrey</w:t>
            </w:r>
            <w:r>
              <w:rPr>
                <w:rFonts w:ascii="Calibri" w:hAnsi="Calibri" w:cs="Calibri"/>
                <w:b/>
                <w:sz w:val="22"/>
                <w:szCs w:val="22"/>
              </w:rPr>
              <w:t xml:space="preserve"> </w:t>
            </w:r>
            <w:r w:rsidRPr="00A535D8">
              <w:rPr>
                <w:rFonts w:ascii="Calibri" w:hAnsi="Calibri" w:cs="Calibri"/>
                <w:b/>
                <w:sz w:val="22"/>
                <w:szCs w:val="22"/>
              </w:rPr>
              <w:t>(4th Cir. 2006) (“court need not remand a case if the record permits only one resolution”)</w:t>
            </w:r>
            <w:r>
              <w:rPr>
                <w:rFonts w:ascii="Calibri" w:hAnsi="Calibri" w:cs="Calibri"/>
                <w:b/>
                <w:sz w:val="22"/>
                <w:szCs w:val="22"/>
              </w:rPr>
              <w:t>.</w:t>
            </w:r>
          </w:p>
        </w:tc>
      </w:tr>
      <w:tr w:rsidR="007C4BB5" w:rsidRPr="00907D75" w14:paraId="50241199" w14:textId="77777777" w:rsidTr="008649A2">
        <w:trPr>
          <w:trHeight w:val="4795"/>
        </w:trPr>
        <w:tc>
          <w:tcPr>
            <w:tcW w:w="5805" w:type="dxa"/>
            <w:vAlign w:val="center"/>
          </w:tcPr>
          <w:p w14:paraId="127325AD" w14:textId="7C23A3D1"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argue that DISH had an </w:t>
            </w:r>
            <w:r w:rsidRPr="003C2B00">
              <w:rPr>
                <w:rFonts w:ascii="Calibri" w:hAnsi="Calibri" w:cs="Calibri"/>
                <w:b/>
                <w:sz w:val="28"/>
                <w:szCs w:val="28"/>
              </w:rPr>
              <w:t>objectively reasonable basis to</w:t>
            </w:r>
            <w:r>
              <w:rPr>
                <w:rFonts w:ascii="Calibri" w:hAnsi="Calibri" w:cs="Calibri"/>
                <w:b/>
                <w:sz w:val="28"/>
                <w:szCs w:val="28"/>
              </w:rPr>
              <w:t xml:space="preserve"> </w:t>
            </w:r>
            <w:r w:rsidRPr="003C2B00">
              <w:rPr>
                <w:rFonts w:ascii="Calibri" w:hAnsi="Calibri" w:cs="Calibri"/>
                <w:b/>
                <w:sz w:val="28"/>
                <w:szCs w:val="28"/>
              </w:rPr>
              <w:t>believe it was complying with the TCPA.</w:t>
            </w:r>
            <w:r>
              <w:rPr>
                <w:rFonts w:ascii="Calibri" w:hAnsi="Calibri" w:cs="Calibri"/>
                <w:b/>
                <w:sz w:val="28"/>
                <w:szCs w:val="28"/>
              </w:rPr>
              <w:t xml:space="preserve">  Why is that?</w:t>
            </w:r>
          </w:p>
        </w:tc>
        <w:tc>
          <w:tcPr>
            <w:tcW w:w="5805" w:type="dxa"/>
            <w:vAlign w:val="center"/>
          </w:tcPr>
          <w:p w14:paraId="66792241" w14:textId="4C383B18" w:rsidR="007C4BB5" w:rsidRDefault="007C4BB5" w:rsidP="00525419">
            <w:pPr>
              <w:pStyle w:val="O-BodyText"/>
              <w:spacing w:after="120"/>
              <w:ind w:left="290" w:right="65"/>
              <w:jc w:val="both"/>
              <w:rPr>
                <w:rFonts w:ascii="Calibri" w:hAnsi="Calibri" w:cs="Calibri"/>
                <w:b/>
                <w:sz w:val="22"/>
                <w:szCs w:val="22"/>
              </w:rPr>
            </w:pPr>
            <w:r w:rsidRPr="003C2B00">
              <w:rPr>
                <w:rFonts w:ascii="Calibri" w:hAnsi="Calibri" w:cs="Calibri"/>
                <w:b/>
                <w:sz w:val="22"/>
                <w:szCs w:val="22"/>
              </w:rPr>
              <w:t xml:space="preserve">At the time of the calls, no court had imposed TCPA liability based on the conduct of </w:t>
            </w:r>
            <w:r>
              <w:rPr>
                <w:rFonts w:ascii="Calibri" w:hAnsi="Calibri" w:cs="Calibri"/>
                <w:b/>
                <w:sz w:val="22"/>
                <w:szCs w:val="22"/>
              </w:rPr>
              <w:t>an</w:t>
            </w:r>
            <w:r w:rsidRPr="003C2B00">
              <w:rPr>
                <w:rFonts w:ascii="Calibri" w:hAnsi="Calibri" w:cs="Calibri"/>
                <w:b/>
                <w:sz w:val="22"/>
                <w:szCs w:val="22"/>
              </w:rPr>
              <w:t xml:space="preserve"> agent.  </w:t>
            </w:r>
            <w:r>
              <w:rPr>
                <w:rFonts w:ascii="Calibri" w:hAnsi="Calibri" w:cs="Calibri"/>
                <w:b/>
                <w:sz w:val="22"/>
                <w:szCs w:val="22"/>
              </w:rPr>
              <w:t>Also</w:t>
            </w:r>
            <w:r w:rsidRPr="003C2B00">
              <w:rPr>
                <w:rFonts w:ascii="Calibri" w:hAnsi="Calibri" w:cs="Calibri"/>
                <w:b/>
                <w:sz w:val="22"/>
                <w:szCs w:val="22"/>
              </w:rPr>
              <w:t xml:space="preserve">, it was reasonable to believe that SSN was not </w:t>
            </w:r>
            <w:proofErr w:type="spellStart"/>
            <w:r w:rsidRPr="003C2B00">
              <w:rPr>
                <w:rFonts w:ascii="Calibri" w:hAnsi="Calibri" w:cs="Calibri"/>
                <w:b/>
                <w:sz w:val="22"/>
                <w:szCs w:val="22"/>
              </w:rPr>
              <w:t>DISH’s</w:t>
            </w:r>
            <w:proofErr w:type="spellEnd"/>
            <w:r w:rsidRPr="003C2B00">
              <w:rPr>
                <w:rFonts w:ascii="Calibri" w:hAnsi="Calibri" w:cs="Calibri"/>
                <w:b/>
                <w:sz w:val="22"/>
                <w:szCs w:val="22"/>
              </w:rPr>
              <w:t xml:space="preserve"> agent.</w:t>
            </w:r>
          </w:p>
        </w:tc>
      </w:tr>
      <w:tr w:rsidR="007C4BB5" w:rsidRPr="00907D75" w14:paraId="674A8CFE" w14:textId="77777777" w:rsidTr="008649A2">
        <w:trPr>
          <w:trHeight w:val="4795"/>
        </w:trPr>
        <w:tc>
          <w:tcPr>
            <w:tcW w:w="5805" w:type="dxa"/>
            <w:vAlign w:val="center"/>
          </w:tcPr>
          <w:p w14:paraId="0AFB0A34" w14:textId="5CCDC860"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do you say that DISH reasonably believed it had satisfied its legal obligations under the TCPA?</w:t>
            </w:r>
          </w:p>
        </w:tc>
        <w:tc>
          <w:tcPr>
            <w:tcW w:w="5805" w:type="dxa"/>
            <w:vAlign w:val="center"/>
          </w:tcPr>
          <w:p w14:paraId="5BC31D5E" w14:textId="4B23C3C0"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It was reasonable for DISH to believe that it </w:t>
            </w:r>
            <w:r w:rsidRPr="007E1738">
              <w:rPr>
                <w:rFonts w:ascii="Calibri" w:hAnsi="Calibri" w:cs="Calibri"/>
                <w:b/>
                <w:sz w:val="22"/>
                <w:szCs w:val="22"/>
              </w:rPr>
              <w:t>could</w:t>
            </w:r>
            <w:r>
              <w:rPr>
                <w:rFonts w:ascii="Calibri" w:hAnsi="Calibri" w:cs="Calibri"/>
                <w:b/>
                <w:sz w:val="22"/>
                <w:szCs w:val="22"/>
              </w:rPr>
              <w:t>n’t be held liable for calls made by SSN.</w:t>
            </w:r>
            <w:r>
              <w:t xml:space="preserve">  </w:t>
            </w:r>
            <w:r w:rsidRPr="00C537FC">
              <w:rPr>
                <w:rFonts w:ascii="Calibri" w:hAnsi="Calibri" w:cs="Calibri"/>
                <w:b/>
                <w:sz w:val="22"/>
                <w:szCs w:val="22"/>
              </w:rPr>
              <w:t>Before the end of the class period, no court had held that an entity</w:t>
            </w:r>
            <w:r>
              <w:rPr>
                <w:rFonts w:ascii="Calibri" w:hAnsi="Calibri" w:cs="Calibri"/>
                <w:b/>
                <w:sz w:val="22"/>
                <w:szCs w:val="22"/>
              </w:rPr>
              <w:t xml:space="preserve"> </w:t>
            </w:r>
            <w:r w:rsidRPr="00C537FC">
              <w:rPr>
                <w:rFonts w:ascii="Calibri" w:hAnsi="Calibri" w:cs="Calibri"/>
                <w:b/>
                <w:sz w:val="22"/>
                <w:szCs w:val="22"/>
              </w:rPr>
              <w:t>(like DISH) that neither placed violative calls nor directed an agent to call specifi</w:t>
            </w:r>
            <w:r>
              <w:rPr>
                <w:rFonts w:ascii="Calibri" w:hAnsi="Calibri" w:cs="Calibri"/>
                <w:b/>
                <w:sz w:val="22"/>
                <w:szCs w:val="22"/>
              </w:rPr>
              <w:t>c people could be held liable.</w:t>
            </w:r>
          </w:p>
        </w:tc>
      </w:tr>
      <w:tr w:rsidR="007C4BB5" w:rsidRPr="00907D75" w14:paraId="3B5EEFE3" w14:textId="77777777" w:rsidTr="008649A2">
        <w:trPr>
          <w:trHeight w:val="4795"/>
        </w:trPr>
        <w:tc>
          <w:tcPr>
            <w:tcW w:w="5805" w:type="dxa"/>
            <w:vAlign w:val="center"/>
          </w:tcPr>
          <w:p w14:paraId="0FE02E5E" w14:textId="735099D7"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does the TCPA say about vicarious liability?</w:t>
            </w:r>
          </w:p>
        </w:tc>
        <w:tc>
          <w:tcPr>
            <w:tcW w:w="5805" w:type="dxa"/>
            <w:vAlign w:val="center"/>
          </w:tcPr>
          <w:p w14:paraId="265F9189" w14:textId="50EC9BC8"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During the class period, t</w:t>
            </w:r>
            <w:r w:rsidRPr="00C537FC">
              <w:rPr>
                <w:rFonts w:ascii="Calibri" w:hAnsi="Calibri" w:cs="Calibri"/>
                <w:b/>
                <w:sz w:val="22"/>
                <w:szCs w:val="22"/>
              </w:rPr>
              <w:t>he TCPA supplie</w:t>
            </w:r>
            <w:r>
              <w:rPr>
                <w:rFonts w:ascii="Calibri" w:hAnsi="Calibri" w:cs="Calibri"/>
                <w:b/>
                <w:sz w:val="22"/>
                <w:szCs w:val="22"/>
              </w:rPr>
              <w:t>d</w:t>
            </w:r>
            <w:r w:rsidRPr="00C537FC">
              <w:rPr>
                <w:rFonts w:ascii="Calibri" w:hAnsi="Calibri" w:cs="Calibri"/>
                <w:b/>
                <w:sz w:val="22"/>
                <w:szCs w:val="22"/>
              </w:rPr>
              <w:t xml:space="preserve"> no clear answer.  That is why the Sixth Circuit referred t</w:t>
            </w:r>
            <w:r>
              <w:rPr>
                <w:rFonts w:ascii="Calibri" w:hAnsi="Calibri" w:cs="Calibri"/>
                <w:b/>
                <w:sz w:val="22"/>
                <w:szCs w:val="22"/>
              </w:rPr>
              <w:t xml:space="preserve">he question to the FCC in </w:t>
            </w:r>
            <w:proofErr w:type="spellStart"/>
            <w:r w:rsidRPr="00C537FC">
              <w:rPr>
                <w:rFonts w:ascii="Calibri" w:hAnsi="Calibri" w:cs="Calibri"/>
                <w:b/>
                <w:i/>
                <w:sz w:val="22"/>
                <w:szCs w:val="22"/>
              </w:rPr>
              <w:t>Charvat</w:t>
            </w:r>
            <w:proofErr w:type="spellEnd"/>
            <w:r w:rsidRPr="00C537FC">
              <w:rPr>
                <w:rFonts w:ascii="Calibri" w:hAnsi="Calibri" w:cs="Calibri"/>
                <w:b/>
                <w:i/>
                <w:sz w:val="22"/>
                <w:szCs w:val="22"/>
              </w:rPr>
              <w:t xml:space="preserve"> v. EchoStar Satellite</w:t>
            </w:r>
            <w:r w:rsidRPr="00C537FC">
              <w:rPr>
                <w:rFonts w:ascii="Calibri" w:hAnsi="Calibri" w:cs="Calibri"/>
                <w:b/>
                <w:sz w:val="22"/>
                <w:szCs w:val="22"/>
              </w:rPr>
              <w:t xml:space="preserve"> (6th Cir. 2010)</w:t>
            </w:r>
            <w:r>
              <w:rPr>
                <w:rFonts w:ascii="Calibri" w:hAnsi="Calibri" w:cs="Calibri"/>
                <w:b/>
                <w:sz w:val="22"/>
                <w:szCs w:val="22"/>
              </w:rPr>
              <w:t xml:space="preserve">.  </w:t>
            </w:r>
          </w:p>
        </w:tc>
      </w:tr>
      <w:tr w:rsidR="007C4BB5" w:rsidRPr="00907D75" w14:paraId="2554BC64" w14:textId="77777777" w:rsidTr="008649A2">
        <w:trPr>
          <w:trHeight w:val="4795"/>
        </w:trPr>
        <w:tc>
          <w:tcPr>
            <w:tcW w:w="5805" w:type="dxa"/>
            <w:vAlign w:val="center"/>
          </w:tcPr>
          <w:p w14:paraId="70BF9681" w14:textId="3E5734F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did the FTC say about vicarious liability?</w:t>
            </w:r>
          </w:p>
        </w:tc>
        <w:tc>
          <w:tcPr>
            <w:tcW w:w="5805" w:type="dxa"/>
            <w:vAlign w:val="center"/>
          </w:tcPr>
          <w:p w14:paraId="00FDD804" w14:textId="0AAF38EC"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In 2013, two years after the class period, t</w:t>
            </w:r>
            <w:r w:rsidRPr="00E575A4">
              <w:rPr>
                <w:rFonts w:ascii="Calibri" w:hAnsi="Calibri" w:cs="Calibri"/>
                <w:b/>
                <w:sz w:val="22"/>
                <w:szCs w:val="22"/>
              </w:rPr>
              <w:t xml:space="preserve">he FCC </w:t>
            </w:r>
            <w:r>
              <w:rPr>
                <w:rFonts w:ascii="Calibri" w:hAnsi="Calibri" w:cs="Calibri"/>
                <w:b/>
                <w:sz w:val="22"/>
                <w:szCs w:val="22"/>
              </w:rPr>
              <w:t xml:space="preserve">held in a declaratory ruling that </w:t>
            </w:r>
            <w:r w:rsidRPr="00131C19">
              <w:rPr>
                <w:rFonts w:ascii="Calibri" w:hAnsi="Calibri" w:cs="Calibri"/>
                <w:b/>
                <w:sz w:val="22"/>
                <w:szCs w:val="22"/>
              </w:rPr>
              <w:t>a seller like DISH could be liable under the TCPA for calls it did not place</w:t>
            </w:r>
            <w:proofErr w:type="gramStart"/>
            <w:r w:rsidRPr="00131C19">
              <w:rPr>
                <w:rFonts w:ascii="Calibri" w:hAnsi="Calibri" w:cs="Calibri"/>
                <w:b/>
                <w:sz w:val="22"/>
                <w:szCs w:val="22"/>
              </w:rPr>
              <w:t>.</w:t>
            </w:r>
            <w:r>
              <w:rPr>
                <w:rFonts w:ascii="Calibri" w:hAnsi="Calibri" w:cs="Calibri"/>
                <w:b/>
                <w:sz w:val="22"/>
                <w:szCs w:val="22"/>
              </w:rPr>
              <w:t xml:space="preserve"> </w:t>
            </w:r>
            <w:proofErr w:type="gramEnd"/>
          </w:p>
        </w:tc>
      </w:tr>
      <w:tr w:rsidR="007C4BB5" w:rsidRPr="00907D75" w14:paraId="2A232F3B" w14:textId="77777777" w:rsidTr="008649A2">
        <w:trPr>
          <w:trHeight w:val="4795"/>
        </w:trPr>
        <w:tc>
          <w:tcPr>
            <w:tcW w:w="5805" w:type="dxa"/>
            <w:vAlign w:val="center"/>
          </w:tcPr>
          <w:p w14:paraId="41315123" w14:textId="01FFB56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was the FCC’s reasoning in its 2013 declaratory ruling holding that sellers could be liable for the conduct of telemarketers?</w:t>
            </w:r>
          </w:p>
        </w:tc>
        <w:tc>
          <w:tcPr>
            <w:tcW w:w="5805" w:type="dxa"/>
            <w:vAlign w:val="center"/>
          </w:tcPr>
          <w:p w14:paraId="1C029537" w14:textId="0269847C"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Although t</w:t>
            </w:r>
            <w:r w:rsidRPr="00E575A4">
              <w:rPr>
                <w:rFonts w:ascii="Calibri" w:hAnsi="Calibri" w:cs="Calibri"/>
                <w:b/>
                <w:sz w:val="22"/>
                <w:szCs w:val="22"/>
              </w:rPr>
              <w:t xml:space="preserve">he TCPA’s plain text indicates that </w:t>
            </w:r>
            <w:r>
              <w:rPr>
                <w:rFonts w:ascii="Calibri" w:hAnsi="Calibri" w:cs="Calibri"/>
                <w:b/>
                <w:sz w:val="22"/>
                <w:szCs w:val="22"/>
              </w:rPr>
              <w:t xml:space="preserve">“a seller” </w:t>
            </w:r>
            <w:r w:rsidRPr="00E575A4">
              <w:rPr>
                <w:rFonts w:ascii="Calibri" w:hAnsi="Calibri" w:cs="Calibri"/>
                <w:b/>
                <w:sz w:val="22"/>
                <w:szCs w:val="22"/>
              </w:rPr>
              <w:t xml:space="preserve">is not directly liable for a violation of the </w:t>
            </w:r>
            <w:r>
              <w:rPr>
                <w:rFonts w:ascii="Calibri" w:hAnsi="Calibri" w:cs="Calibri"/>
                <w:b/>
                <w:sz w:val="22"/>
                <w:szCs w:val="22"/>
              </w:rPr>
              <w:t>TCPA unless it initiates a call</w:t>
            </w:r>
            <w:r w:rsidRPr="00E575A4">
              <w:rPr>
                <w:rFonts w:ascii="Calibri" w:hAnsi="Calibri" w:cs="Calibri"/>
                <w:b/>
                <w:sz w:val="22"/>
                <w:szCs w:val="22"/>
              </w:rPr>
              <w:t xml:space="preserve"> itself</w:t>
            </w:r>
            <w:r>
              <w:rPr>
                <w:rFonts w:ascii="Calibri" w:hAnsi="Calibri" w:cs="Calibri"/>
                <w:b/>
                <w:sz w:val="22"/>
                <w:szCs w:val="22"/>
              </w:rPr>
              <w:t xml:space="preserve">, the FCC construed </w:t>
            </w:r>
            <w:r w:rsidRPr="00E575A4">
              <w:rPr>
                <w:rFonts w:ascii="Calibri" w:hAnsi="Calibri" w:cs="Calibri"/>
                <w:b/>
                <w:sz w:val="22"/>
                <w:szCs w:val="22"/>
              </w:rPr>
              <w:t>the TCPA to incorporate federal common law agency principles for TCPA violations committed by third-party telemarketers</w:t>
            </w:r>
            <w:proofErr w:type="gramStart"/>
            <w:r w:rsidRPr="00E575A4">
              <w:rPr>
                <w:rFonts w:ascii="Calibri" w:hAnsi="Calibri" w:cs="Calibri"/>
                <w:b/>
                <w:sz w:val="22"/>
                <w:szCs w:val="22"/>
              </w:rPr>
              <w:t>.</w:t>
            </w:r>
            <w:r>
              <w:t xml:space="preserve"> </w:t>
            </w:r>
            <w:proofErr w:type="gramEnd"/>
            <w:r w:rsidRPr="00E575A4">
              <w:rPr>
                <w:rFonts w:ascii="Calibri" w:hAnsi="Calibri" w:cs="Calibri"/>
                <w:b/>
                <w:sz w:val="22"/>
                <w:szCs w:val="22"/>
              </w:rPr>
              <w:t xml:space="preserve">28 FCC </w:t>
            </w:r>
            <w:proofErr w:type="spellStart"/>
            <w:r w:rsidRPr="00E575A4">
              <w:rPr>
                <w:rFonts w:ascii="Calibri" w:hAnsi="Calibri" w:cs="Calibri"/>
                <w:b/>
                <w:sz w:val="22"/>
                <w:szCs w:val="22"/>
              </w:rPr>
              <w:t>Rcd</w:t>
            </w:r>
            <w:proofErr w:type="spellEnd"/>
            <w:proofErr w:type="gramStart"/>
            <w:r w:rsidRPr="00E575A4">
              <w:rPr>
                <w:rFonts w:ascii="Calibri" w:hAnsi="Calibri" w:cs="Calibri"/>
                <w:b/>
                <w:sz w:val="22"/>
                <w:szCs w:val="22"/>
              </w:rPr>
              <w:t xml:space="preserve">. </w:t>
            </w:r>
            <w:proofErr w:type="gramEnd"/>
            <w:r w:rsidRPr="00E575A4">
              <w:rPr>
                <w:rFonts w:ascii="Calibri" w:hAnsi="Calibri" w:cs="Calibri"/>
                <w:b/>
                <w:sz w:val="22"/>
                <w:szCs w:val="22"/>
              </w:rPr>
              <w:t>6574</w:t>
            </w:r>
            <w:r>
              <w:rPr>
                <w:rFonts w:ascii="Calibri" w:hAnsi="Calibri" w:cs="Calibri"/>
                <w:b/>
                <w:sz w:val="22"/>
                <w:szCs w:val="22"/>
              </w:rPr>
              <w:t xml:space="preserve"> </w:t>
            </w:r>
            <w:r w:rsidRPr="00E575A4">
              <w:rPr>
                <w:rFonts w:ascii="Calibri" w:hAnsi="Calibri" w:cs="Calibri"/>
                <w:b/>
                <w:sz w:val="22"/>
                <w:szCs w:val="22"/>
              </w:rPr>
              <w:t>(2013)</w:t>
            </w:r>
            <w:r>
              <w:rPr>
                <w:rFonts w:ascii="Calibri" w:hAnsi="Calibri" w:cs="Calibri"/>
                <w:b/>
                <w:sz w:val="22"/>
                <w:szCs w:val="22"/>
              </w:rPr>
              <w:t>.</w:t>
            </w:r>
          </w:p>
        </w:tc>
      </w:tr>
      <w:tr w:rsidR="007C4BB5" w:rsidRPr="00907D75" w14:paraId="460355FE" w14:textId="77777777" w:rsidTr="008649A2">
        <w:trPr>
          <w:trHeight w:val="4795"/>
        </w:trPr>
        <w:tc>
          <w:tcPr>
            <w:tcW w:w="5805" w:type="dxa"/>
            <w:vAlign w:val="center"/>
          </w:tcPr>
          <w:p w14:paraId="032DDBA5" w14:textId="3FF5A12F"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does </w:t>
            </w:r>
            <w:r w:rsidRPr="0086197F">
              <w:rPr>
                <w:rFonts w:ascii="Calibri" w:hAnsi="Calibri" w:cs="Calibri"/>
                <w:b/>
                <w:i/>
                <w:sz w:val="28"/>
                <w:szCs w:val="28"/>
              </w:rPr>
              <w:t>Safeco Ins. Co. v. Burr</w:t>
            </w:r>
            <w:r>
              <w:rPr>
                <w:rFonts w:ascii="Calibri" w:hAnsi="Calibri" w:cs="Calibri"/>
                <w:b/>
                <w:sz w:val="28"/>
                <w:szCs w:val="28"/>
              </w:rPr>
              <w:t xml:space="preserve"> (S. Ct. 2007) say about knowing or willful conduct?</w:t>
            </w:r>
          </w:p>
        </w:tc>
        <w:tc>
          <w:tcPr>
            <w:tcW w:w="5805" w:type="dxa"/>
            <w:vAlign w:val="center"/>
          </w:tcPr>
          <w:p w14:paraId="11500603" w14:textId="5C77DB20" w:rsidR="007C4BB5" w:rsidRPr="0065640F"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2209DF">
              <w:rPr>
                <w:rFonts w:ascii="Calibri" w:hAnsi="Calibri" w:cs="Calibri"/>
                <w:b/>
                <w:i/>
                <w:sz w:val="22"/>
                <w:szCs w:val="22"/>
              </w:rPr>
              <w:t>Safeco Ins. Co. v. Burr (S. Ct. 2007)</w:t>
            </w:r>
            <w:r>
              <w:rPr>
                <w:rFonts w:ascii="Calibri" w:hAnsi="Calibri" w:cs="Calibri"/>
                <w:b/>
                <w:sz w:val="22"/>
                <w:szCs w:val="22"/>
              </w:rPr>
              <w:t>, the Supreme Court said that c</w:t>
            </w:r>
            <w:r w:rsidRPr="0086197F">
              <w:rPr>
                <w:rFonts w:ascii="Calibri" w:hAnsi="Calibri" w:cs="Calibri"/>
                <w:b/>
                <w:sz w:val="22"/>
                <w:szCs w:val="22"/>
              </w:rPr>
              <w:t>onduct is not willful or knowing if it is based on an “erroneous, [but] not objectively unreasonable” understanding of the law.</w:t>
            </w:r>
            <w:r>
              <w:t xml:space="preserve">  </w:t>
            </w:r>
            <w:r w:rsidRPr="0086197F">
              <w:rPr>
                <w:rFonts w:ascii="Calibri" w:hAnsi="Calibri" w:cs="Calibri"/>
                <w:b/>
                <w:sz w:val="22"/>
                <w:szCs w:val="22"/>
              </w:rPr>
              <w:t xml:space="preserve">Thus, </w:t>
            </w:r>
            <w:r>
              <w:rPr>
                <w:rFonts w:ascii="Calibri" w:hAnsi="Calibri" w:cs="Calibri"/>
                <w:b/>
                <w:sz w:val="22"/>
                <w:szCs w:val="22"/>
              </w:rPr>
              <w:t xml:space="preserve">the </w:t>
            </w:r>
            <w:r w:rsidRPr="0086197F">
              <w:rPr>
                <w:rFonts w:ascii="Calibri" w:hAnsi="Calibri" w:cs="Calibri"/>
                <w:b/>
                <w:sz w:val="22"/>
                <w:szCs w:val="22"/>
              </w:rPr>
              <w:t>Court held that an analogous willfulness requirement was not satisfied where the defendant’s errant belief in the lawfulness of its conduct was “not reckless.”</w:t>
            </w:r>
            <w:r>
              <w:rPr>
                <w:rFonts w:ascii="Calibri" w:hAnsi="Calibri" w:cs="Calibri"/>
                <w:b/>
                <w:sz w:val="22"/>
                <w:szCs w:val="22"/>
              </w:rPr>
              <w:t xml:space="preserve"> </w:t>
            </w:r>
          </w:p>
        </w:tc>
      </w:tr>
      <w:tr w:rsidR="007C4BB5" w:rsidRPr="00907D75" w14:paraId="4ACAC9D9" w14:textId="77777777" w:rsidTr="008649A2">
        <w:trPr>
          <w:trHeight w:val="4795"/>
        </w:trPr>
        <w:tc>
          <w:tcPr>
            <w:tcW w:w="5805" w:type="dxa"/>
            <w:vAlign w:val="center"/>
          </w:tcPr>
          <w:p w14:paraId="0FF03A94" w14:textId="371E563B"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How does </w:t>
            </w:r>
            <w:r w:rsidRPr="002209DF">
              <w:rPr>
                <w:rFonts w:ascii="Calibri" w:hAnsi="Calibri" w:cs="Calibri"/>
                <w:b/>
                <w:i/>
                <w:sz w:val="28"/>
                <w:szCs w:val="28"/>
              </w:rPr>
              <w:t>Safeco Ins. Co. v. Burr</w:t>
            </w:r>
            <w:r w:rsidRPr="002209DF">
              <w:rPr>
                <w:rFonts w:ascii="Calibri" w:hAnsi="Calibri" w:cs="Calibri"/>
                <w:b/>
                <w:sz w:val="28"/>
                <w:szCs w:val="28"/>
              </w:rPr>
              <w:t xml:space="preserve"> (S. Ct. 2007)</w:t>
            </w:r>
            <w:r>
              <w:rPr>
                <w:rFonts w:ascii="Calibri" w:hAnsi="Calibri" w:cs="Calibri"/>
                <w:b/>
                <w:sz w:val="28"/>
                <w:szCs w:val="28"/>
              </w:rPr>
              <w:t xml:space="preserve"> help you here?</w:t>
            </w:r>
          </w:p>
        </w:tc>
        <w:tc>
          <w:tcPr>
            <w:tcW w:w="5805" w:type="dxa"/>
            <w:vAlign w:val="center"/>
          </w:tcPr>
          <w:p w14:paraId="0E0401EE" w14:textId="4261C088"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Under </w:t>
            </w:r>
            <w:r w:rsidRPr="002209DF">
              <w:rPr>
                <w:rFonts w:ascii="Calibri" w:hAnsi="Calibri" w:cs="Calibri"/>
                <w:b/>
                <w:i/>
                <w:sz w:val="22"/>
                <w:szCs w:val="22"/>
              </w:rPr>
              <w:t>Safeco Ins. Co. v. Burr (S. Ct. 2007)</w:t>
            </w:r>
            <w:r>
              <w:rPr>
                <w:rFonts w:ascii="Calibri" w:hAnsi="Calibri" w:cs="Calibri"/>
                <w:b/>
                <w:sz w:val="22"/>
                <w:szCs w:val="22"/>
              </w:rPr>
              <w:t xml:space="preserve">, </w:t>
            </w:r>
            <w:r w:rsidRPr="0065640F">
              <w:rPr>
                <w:rFonts w:ascii="Calibri" w:hAnsi="Calibri" w:cs="Calibri"/>
                <w:b/>
                <w:sz w:val="22"/>
                <w:szCs w:val="22"/>
              </w:rPr>
              <w:t>DISH cannot be a “knowing or reckless violator</w:t>
            </w:r>
            <w:r>
              <w:rPr>
                <w:rFonts w:ascii="Calibri" w:hAnsi="Calibri" w:cs="Calibri"/>
                <w:b/>
                <w:sz w:val="22"/>
                <w:szCs w:val="22"/>
              </w:rPr>
              <w:t xml:space="preserve">” </w:t>
            </w:r>
            <w:r w:rsidRPr="0065640F">
              <w:rPr>
                <w:rFonts w:ascii="Calibri" w:hAnsi="Calibri" w:cs="Calibri"/>
                <w:b/>
                <w:sz w:val="22"/>
                <w:szCs w:val="22"/>
              </w:rPr>
              <w:t xml:space="preserve">because the statutory text and relevant </w:t>
            </w:r>
            <w:r>
              <w:rPr>
                <w:rFonts w:ascii="Calibri" w:hAnsi="Calibri" w:cs="Calibri"/>
                <w:b/>
                <w:sz w:val="22"/>
                <w:szCs w:val="22"/>
              </w:rPr>
              <w:t>court and agency guidance allowed</w:t>
            </w:r>
            <w:r w:rsidRPr="0065640F">
              <w:rPr>
                <w:rFonts w:ascii="Calibri" w:hAnsi="Calibri" w:cs="Calibri"/>
                <w:b/>
                <w:sz w:val="22"/>
                <w:szCs w:val="22"/>
              </w:rPr>
              <w:t xml:space="preserve"> for more than</w:t>
            </w:r>
            <w:r>
              <w:rPr>
                <w:rFonts w:ascii="Calibri" w:hAnsi="Calibri" w:cs="Calibri"/>
                <w:b/>
                <w:sz w:val="22"/>
                <w:szCs w:val="22"/>
              </w:rPr>
              <w:t xml:space="preserve"> one reasonable interpretation.</w:t>
            </w:r>
          </w:p>
        </w:tc>
      </w:tr>
      <w:tr w:rsidR="007C4BB5" w:rsidRPr="00907D75" w14:paraId="724F4ED3" w14:textId="77777777" w:rsidTr="008649A2">
        <w:trPr>
          <w:trHeight w:val="4795"/>
        </w:trPr>
        <w:tc>
          <w:tcPr>
            <w:tcW w:w="5805" w:type="dxa"/>
            <w:vAlign w:val="center"/>
          </w:tcPr>
          <w:p w14:paraId="5B45302F" w14:textId="17C15CC9"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Under the FCC’s 2013 declaratory ruling, was it reasonable for DISH to believe that SSN wasn’t its agent?</w:t>
            </w:r>
          </w:p>
        </w:tc>
        <w:tc>
          <w:tcPr>
            <w:tcW w:w="5805" w:type="dxa"/>
            <w:vAlign w:val="center"/>
          </w:tcPr>
          <w:p w14:paraId="08565032" w14:textId="6990737B"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it was reasonable for DISH to conclude </w:t>
            </w:r>
            <w:r w:rsidRPr="005C532B">
              <w:rPr>
                <w:rFonts w:ascii="Calibri" w:hAnsi="Calibri" w:cs="Calibri"/>
                <w:b/>
                <w:sz w:val="22"/>
                <w:szCs w:val="22"/>
              </w:rPr>
              <w:t>that SSN was not its agent</w:t>
            </w:r>
            <w:r>
              <w:rPr>
                <w:rFonts w:ascii="Calibri" w:hAnsi="Calibri" w:cs="Calibri"/>
                <w:b/>
                <w:sz w:val="22"/>
                <w:szCs w:val="22"/>
              </w:rPr>
              <w:t xml:space="preserve">: (1) </w:t>
            </w:r>
            <w:r w:rsidRPr="005C532B">
              <w:rPr>
                <w:rFonts w:ascii="Calibri" w:hAnsi="Calibri" w:cs="Calibri"/>
                <w:b/>
                <w:sz w:val="22"/>
                <w:szCs w:val="22"/>
              </w:rPr>
              <w:t xml:space="preserve">The contracts between DISH and SSN explicitly </w:t>
            </w:r>
            <w:r>
              <w:rPr>
                <w:rFonts w:ascii="Calibri" w:hAnsi="Calibri" w:cs="Calibri"/>
                <w:b/>
                <w:sz w:val="22"/>
                <w:szCs w:val="22"/>
              </w:rPr>
              <w:t xml:space="preserve">stated </w:t>
            </w:r>
            <w:r w:rsidRPr="005C532B">
              <w:rPr>
                <w:rFonts w:ascii="Calibri" w:hAnsi="Calibri" w:cs="Calibri"/>
                <w:b/>
                <w:sz w:val="22"/>
                <w:szCs w:val="22"/>
              </w:rPr>
              <w:t>there was n</w:t>
            </w:r>
            <w:r>
              <w:rPr>
                <w:rFonts w:ascii="Calibri" w:hAnsi="Calibri" w:cs="Calibri"/>
                <w:b/>
                <w:sz w:val="22"/>
                <w:szCs w:val="22"/>
              </w:rPr>
              <w:t>o a</w:t>
            </w:r>
            <w:r w:rsidRPr="005C532B">
              <w:rPr>
                <w:rFonts w:ascii="Calibri" w:hAnsi="Calibri" w:cs="Calibri"/>
                <w:b/>
                <w:sz w:val="22"/>
                <w:szCs w:val="22"/>
              </w:rPr>
              <w:t>gency relationship</w:t>
            </w:r>
            <w:r>
              <w:rPr>
                <w:rFonts w:ascii="Calibri" w:hAnsi="Calibri" w:cs="Calibri"/>
                <w:b/>
                <w:sz w:val="22"/>
                <w:szCs w:val="22"/>
              </w:rPr>
              <w:t xml:space="preserve">; (2) </w:t>
            </w:r>
            <w:r w:rsidRPr="005C532B">
              <w:rPr>
                <w:rFonts w:ascii="Calibri" w:hAnsi="Calibri" w:cs="Calibri"/>
                <w:b/>
                <w:sz w:val="22"/>
                <w:szCs w:val="22"/>
              </w:rPr>
              <w:t xml:space="preserve">No witness </w:t>
            </w:r>
            <w:r>
              <w:rPr>
                <w:rFonts w:ascii="Calibri" w:hAnsi="Calibri" w:cs="Calibri"/>
                <w:b/>
                <w:sz w:val="22"/>
                <w:szCs w:val="22"/>
              </w:rPr>
              <w:t xml:space="preserve">or </w:t>
            </w:r>
            <w:r w:rsidRPr="005C532B">
              <w:rPr>
                <w:rFonts w:ascii="Calibri" w:hAnsi="Calibri" w:cs="Calibri"/>
                <w:b/>
                <w:sz w:val="22"/>
                <w:szCs w:val="22"/>
              </w:rPr>
              <w:t>document suggested that DISH or SSN understood themselves to be in a principal-agent relationship</w:t>
            </w:r>
            <w:r>
              <w:rPr>
                <w:rFonts w:ascii="Calibri" w:hAnsi="Calibri" w:cs="Calibri"/>
                <w:b/>
                <w:sz w:val="22"/>
                <w:szCs w:val="22"/>
              </w:rPr>
              <w:t xml:space="preserve">; and (3) It was </w:t>
            </w:r>
            <w:r w:rsidRPr="005C532B">
              <w:rPr>
                <w:rFonts w:ascii="Calibri" w:hAnsi="Calibri" w:cs="Calibri"/>
                <w:b/>
                <w:sz w:val="22"/>
                <w:szCs w:val="22"/>
              </w:rPr>
              <w:t xml:space="preserve">reasonable </w:t>
            </w:r>
            <w:r>
              <w:rPr>
                <w:rFonts w:ascii="Calibri" w:hAnsi="Calibri" w:cs="Calibri"/>
                <w:b/>
                <w:sz w:val="22"/>
                <w:szCs w:val="22"/>
              </w:rPr>
              <w:t xml:space="preserve">for DISH to believe </w:t>
            </w:r>
            <w:r w:rsidRPr="005C532B">
              <w:rPr>
                <w:rFonts w:ascii="Calibri" w:hAnsi="Calibri" w:cs="Calibri"/>
                <w:b/>
                <w:sz w:val="22"/>
                <w:szCs w:val="22"/>
              </w:rPr>
              <w:t xml:space="preserve">that SSN would not act outside the scope of any authority by disregarding </w:t>
            </w:r>
            <w:proofErr w:type="spellStart"/>
            <w:r w:rsidRPr="005C532B">
              <w:rPr>
                <w:rFonts w:ascii="Calibri" w:hAnsi="Calibri" w:cs="Calibri"/>
                <w:b/>
                <w:sz w:val="22"/>
                <w:szCs w:val="22"/>
              </w:rPr>
              <w:t>DISH’s</w:t>
            </w:r>
            <w:proofErr w:type="spellEnd"/>
            <w:r w:rsidRPr="005C532B">
              <w:rPr>
                <w:rFonts w:ascii="Calibri" w:hAnsi="Calibri" w:cs="Calibri"/>
                <w:b/>
                <w:sz w:val="22"/>
                <w:szCs w:val="22"/>
              </w:rPr>
              <w:t xml:space="preserve"> express directions not to call people on the Registry.</w:t>
            </w:r>
          </w:p>
        </w:tc>
      </w:tr>
      <w:tr w:rsidR="007C4BB5" w:rsidRPr="00907D75" w14:paraId="79865059" w14:textId="77777777" w:rsidTr="008649A2">
        <w:trPr>
          <w:trHeight w:val="4795"/>
        </w:trPr>
        <w:tc>
          <w:tcPr>
            <w:tcW w:w="5805" w:type="dxa"/>
            <w:vAlign w:val="center"/>
          </w:tcPr>
          <w:p w14:paraId="69E4D55E" w14:textId="7CFE7D08"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Had any other courts considered </w:t>
            </w:r>
            <w:proofErr w:type="spellStart"/>
            <w:r>
              <w:rPr>
                <w:rFonts w:ascii="Calibri" w:hAnsi="Calibri" w:cs="Calibri"/>
                <w:b/>
                <w:sz w:val="28"/>
                <w:szCs w:val="28"/>
              </w:rPr>
              <w:t>DISH’s</w:t>
            </w:r>
            <w:proofErr w:type="spellEnd"/>
            <w:r>
              <w:rPr>
                <w:rFonts w:ascii="Calibri" w:hAnsi="Calibri" w:cs="Calibri"/>
                <w:b/>
                <w:sz w:val="28"/>
                <w:szCs w:val="28"/>
              </w:rPr>
              <w:t xml:space="preserve"> relationship with its retailers before the class period?</w:t>
            </w:r>
          </w:p>
        </w:tc>
        <w:tc>
          <w:tcPr>
            <w:tcW w:w="5805" w:type="dxa"/>
            <w:vAlign w:val="center"/>
          </w:tcPr>
          <w:p w14:paraId="0ADA734F" w14:textId="0A8CAF01"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In 2009, a district </w:t>
            </w:r>
            <w:r w:rsidRPr="00DC1CA1">
              <w:rPr>
                <w:rFonts w:ascii="Calibri" w:hAnsi="Calibri" w:cs="Calibri"/>
                <w:b/>
                <w:sz w:val="22"/>
                <w:szCs w:val="22"/>
              </w:rPr>
              <w:t>court</w:t>
            </w:r>
            <w:r>
              <w:rPr>
                <w:rFonts w:ascii="Calibri" w:hAnsi="Calibri" w:cs="Calibri"/>
                <w:b/>
                <w:sz w:val="22"/>
                <w:szCs w:val="22"/>
              </w:rPr>
              <w:t xml:space="preserve"> </w:t>
            </w:r>
            <w:r w:rsidRPr="00DC1CA1">
              <w:rPr>
                <w:rFonts w:ascii="Calibri" w:hAnsi="Calibri" w:cs="Calibri"/>
                <w:b/>
                <w:sz w:val="22"/>
                <w:szCs w:val="22"/>
              </w:rPr>
              <w:t xml:space="preserve">rejected agency arguments about </w:t>
            </w:r>
            <w:r>
              <w:rPr>
                <w:rFonts w:ascii="Calibri" w:hAnsi="Calibri" w:cs="Calibri"/>
                <w:b/>
                <w:sz w:val="22"/>
                <w:szCs w:val="22"/>
              </w:rPr>
              <w:t xml:space="preserve">a different </w:t>
            </w:r>
            <w:r w:rsidRPr="00DC1CA1">
              <w:rPr>
                <w:rFonts w:ascii="Calibri" w:hAnsi="Calibri" w:cs="Calibri"/>
                <w:b/>
                <w:sz w:val="22"/>
                <w:szCs w:val="22"/>
              </w:rPr>
              <w:t xml:space="preserve">DISH retailer.  </w:t>
            </w:r>
            <w:proofErr w:type="spellStart"/>
            <w:r w:rsidRPr="00DC1CA1">
              <w:rPr>
                <w:rFonts w:ascii="Calibri" w:hAnsi="Calibri" w:cs="Calibri"/>
                <w:b/>
                <w:i/>
                <w:sz w:val="22"/>
                <w:szCs w:val="22"/>
              </w:rPr>
              <w:t>Charvat</w:t>
            </w:r>
            <w:proofErr w:type="spellEnd"/>
            <w:r w:rsidRPr="00DC1CA1">
              <w:rPr>
                <w:rFonts w:ascii="Calibri" w:hAnsi="Calibri" w:cs="Calibri"/>
                <w:b/>
                <w:i/>
                <w:sz w:val="22"/>
                <w:szCs w:val="22"/>
              </w:rPr>
              <w:t xml:space="preserve"> v. EchoStar Satellite</w:t>
            </w:r>
            <w:r w:rsidRPr="00DC1CA1">
              <w:rPr>
                <w:rFonts w:ascii="Calibri" w:hAnsi="Calibri" w:cs="Calibri"/>
                <w:b/>
                <w:sz w:val="22"/>
                <w:szCs w:val="22"/>
              </w:rPr>
              <w:t xml:space="preserve"> (S.D. Ohio 2009)</w:t>
            </w:r>
            <w:r>
              <w:rPr>
                <w:rFonts w:ascii="Calibri" w:hAnsi="Calibri" w:cs="Calibri"/>
                <w:b/>
                <w:sz w:val="22"/>
                <w:szCs w:val="22"/>
              </w:rPr>
              <w:t xml:space="preserve">.  [The 6th Circuit then referred the matter to the FTC </w:t>
            </w:r>
            <w:r w:rsidRPr="00DC1CA1">
              <w:rPr>
                <w:rFonts w:ascii="Calibri" w:hAnsi="Calibri" w:cs="Calibri"/>
                <w:b/>
                <w:sz w:val="22"/>
                <w:szCs w:val="22"/>
              </w:rPr>
              <w:t xml:space="preserve">to allow the agency to interpret certain provisions of the </w:t>
            </w:r>
            <w:r>
              <w:rPr>
                <w:rFonts w:ascii="Calibri" w:hAnsi="Calibri" w:cs="Calibri"/>
                <w:b/>
                <w:sz w:val="22"/>
                <w:szCs w:val="22"/>
              </w:rPr>
              <w:t>TCPA</w:t>
            </w:r>
            <w:r w:rsidRPr="00DC1CA1">
              <w:rPr>
                <w:rFonts w:ascii="Calibri" w:hAnsi="Calibri" w:cs="Calibri"/>
                <w:b/>
                <w:sz w:val="22"/>
                <w:szCs w:val="22"/>
              </w:rPr>
              <w:t xml:space="preserve"> and its accompanying regulations.  </w:t>
            </w:r>
            <w:r>
              <w:rPr>
                <w:rFonts w:ascii="Calibri" w:hAnsi="Calibri" w:cs="Calibri"/>
                <w:b/>
                <w:sz w:val="22"/>
                <w:szCs w:val="22"/>
              </w:rPr>
              <w:t xml:space="preserve">In </w:t>
            </w:r>
            <w:r w:rsidRPr="00DC1CA1">
              <w:rPr>
                <w:rFonts w:ascii="Calibri" w:hAnsi="Calibri" w:cs="Calibri"/>
                <w:b/>
                <w:sz w:val="22"/>
                <w:szCs w:val="22"/>
              </w:rPr>
              <w:t xml:space="preserve">2013, the FCC issued a declaratory ruling interpreting the </w:t>
            </w:r>
            <w:r>
              <w:rPr>
                <w:rFonts w:ascii="Calibri" w:hAnsi="Calibri" w:cs="Calibri"/>
                <w:b/>
                <w:sz w:val="22"/>
                <w:szCs w:val="22"/>
              </w:rPr>
              <w:t xml:space="preserve">TCPA.  The 6th Circuit vacated </w:t>
            </w:r>
            <w:r w:rsidRPr="00DC1CA1">
              <w:rPr>
                <w:rFonts w:ascii="Calibri" w:hAnsi="Calibri" w:cs="Calibri"/>
                <w:b/>
                <w:sz w:val="22"/>
                <w:szCs w:val="22"/>
              </w:rPr>
              <w:t xml:space="preserve">the </w:t>
            </w:r>
            <w:r>
              <w:rPr>
                <w:rFonts w:ascii="Calibri" w:hAnsi="Calibri" w:cs="Calibri"/>
                <w:b/>
                <w:sz w:val="22"/>
                <w:szCs w:val="22"/>
              </w:rPr>
              <w:t xml:space="preserve">district court’s judgment </w:t>
            </w:r>
            <w:r w:rsidRPr="00FB3249">
              <w:rPr>
                <w:rFonts w:ascii="Calibri" w:hAnsi="Calibri" w:cs="Calibri"/>
                <w:b/>
                <w:sz w:val="22"/>
                <w:szCs w:val="22"/>
              </w:rPr>
              <w:t>and remand</w:t>
            </w:r>
            <w:r>
              <w:rPr>
                <w:rFonts w:ascii="Calibri" w:hAnsi="Calibri" w:cs="Calibri"/>
                <w:b/>
                <w:sz w:val="22"/>
                <w:szCs w:val="22"/>
              </w:rPr>
              <w:t>ed</w:t>
            </w:r>
            <w:r w:rsidRPr="00FB3249">
              <w:rPr>
                <w:rFonts w:ascii="Calibri" w:hAnsi="Calibri" w:cs="Calibri"/>
                <w:b/>
                <w:sz w:val="22"/>
                <w:szCs w:val="22"/>
              </w:rPr>
              <w:t xml:space="preserve"> </w:t>
            </w:r>
            <w:r>
              <w:rPr>
                <w:rFonts w:ascii="Calibri" w:hAnsi="Calibri" w:cs="Calibri"/>
                <w:b/>
                <w:sz w:val="22"/>
                <w:szCs w:val="22"/>
              </w:rPr>
              <w:t>the case for consideration of plaintiff’s claims</w:t>
            </w:r>
            <w:r w:rsidRPr="00FB3249">
              <w:rPr>
                <w:rFonts w:ascii="Calibri" w:hAnsi="Calibri" w:cs="Calibri"/>
                <w:b/>
                <w:sz w:val="22"/>
                <w:szCs w:val="22"/>
              </w:rPr>
              <w:t xml:space="preserve"> </w:t>
            </w:r>
            <w:proofErr w:type="gramStart"/>
            <w:r w:rsidRPr="00FB3249">
              <w:rPr>
                <w:rFonts w:ascii="Calibri" w:hAnsi="Calibri" w:cs="Calibri"/>
                <w:b/>
                <w:sz w:val="22"/>
                <w:szCs w:val="22"/>
              </w:rPr>
              <w:t>in light of</w:t>
            </w:r>
            <w:proofErr w:type="gramEnd"/>
            <w:r w:rsidRPr="00FB3249">
              <w:rPr>
                <w:rFonts w:ascii="Calibri" w:hAnsi="Calibri" w:cs="Calibri"/>
                <w:b/>
                <w:sz w:val="22"/>
                <w:szCs w:val="22"/>
              </w:rPr>
              <w:t xml:space="preserve"> the FCC's ruling</w:t>
            </w:r>
            <w:r>
              <w:rPr>
                <w:rFonts w:ascii="Calibri" w:hAnsi="Calibri" w:cs="Calibri"/>
                <w:b/>
                <w:sz w:val="22"/>
                <w:szCs w:val="22"/>
              </w:rPr>
              <w:t>.]</w:t>
            </w:r>
          </w:p>
        </w:tc>
      </w:tr>
      <w:tr w:rsidR="007C4BB5" w:rsidRPr="00907D75" w14:paraId="4BFD11A2" w14:textId="77777777" w:rsidTr="008649A2">
        <w:trPr>
          <w:trHeight w:val="4795"/>
        </w:trPr>
        <w:tc>
          <w:tcPr>
            <w:tcW w:w="5805" w:type="dxa"/>
            <w:vAlign w:val="center"/>
          </w:tcPr>
          <w:p w14:paraId="2DDA17EC" w14:textId="7EDD90F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if we decided that DISH was not reasonable in its belief that SSN was not acting as its agent?</w:t>
            </w:r>
          </w:p>
        </w:tc>
        <w:tc>
          <w:tcPr>
            <w:tcW w:w="5805" w:type="dxa"/>
            <w:vAlign w:val="center"/>
          </w:tcPr>
          <w:p w14:paraId="22D4779A" w14:textId="00B84ED3"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E</w:t>
            </w:r>
            <w:r w:rsidRPr="00500882">
              <w:rPr>
                <w:rFonts w:ascii="Calibri" w:hAnsi="Calibri" w:cs="Calibri"/>
                <w:b/>
                <w:sz w:val="22"/>
                <w:szCs w:val="22"/>
              </w:rPr>
              <w:t>ven if DISH</w:t>
            </w:r>
            <w:r>
              <w:rPr>
                <w:rFonts w:ascii="Calibri" w:hAnsi="Calibri" w:cs="Calibri"/>
                <w:b/>
                <w:sz w:val="22"/>
                <w:szCs w:val="22"/>
              </w:rPr>
              <w:t xml:space="preserve"> was not reasonable it its</w:t>
            </w:r>
            <w:r w:rsidRPr="00500882">
              <w:rPr>
                <w:rFonts w:ascii="Calibri" w:hAnsi="Calibri" w:cs="Calibri"/>
                <w:b/>
                <w:sz w:val="22"/>
                <w:szCs w:val="22"/>
              </w:rPr>
              <w:t xml:space="preserve"> </w:t>
            </w:r>
            <w:r>
              <w:rPr>
                <w:rFonts w:ascii="Calibri" w:hAnsi="Calibri" w:cs="Calibri"/>
                <w:b/>
                <w:sz w:val="22"/>
                <w:szCs w:val="22"/>
              </w:rPr>
              <w:t xml:space="preserve">belief that SSN was not its agent, </w:t>
            </w:r>
            <w:r w:rsidRPr="00500882">
              <w:rPr>
                <w:rFonts w:ascii="Calibri" w:hAnsi="Calibri" w:cs="Calibri"/>
                <w:b/>
                <w:sz w:val="22"/>
                <w:szCs w:val="22"/>
              </w:rPr>
              <w:t>it was not “obvious” to DISH th</w:t>
            </w:r>
            <w:r>
              <w:rPr>
                <w:rFonts w:ascii="Calibri" w:hAnsi="Calibri" w:cs="Calibri"/>
                <w:b/>
                <w:sz w:val="22"/>
                <w:szCs w:val="22"/>
              </w:rPr>
              <w:t>at SSN presented a “substantial” and “unjustifiabl</w:t>
            </w:r>
            <w:r w:rsidRPr="00500882">
              <w:rPr>
                <w:rFonts w:ascii="Calibri" w:hAnsi="Calibri" w:cs="Calibri"/>
                <w:b/>
                <w:sz w:val="22"/>
                <w:szCs w:val="22"/>
              </w:rPr>
              <w:t>e</w:t>
            </w:r>
            <w:r>
              <w:rPr>
                <w:rFonts w:ascii="Calibri" w:hAnsi="Calibri" w:cs="Calibri"/>
                <w:b/>
                <w:sz w:val="22"/>
                <w:szCs w:val="22"/>
              </w:rPr>
              <w:t>” r</w:t>
            </w:r>
            <w:r w:rsidRPr="00500882">
              <w:rPr>
                <w:rFonts w:ascii="Calibri" w:hAnsi="Calibri" w:cs="Calibri"/>
                <w:b/>
                <w:sz w:val="22"/>
                <w:szCs w:val="22"/>
              </w:rPr>
              <w:t>isk of placing tens of thousands of unlawful Registry calls du</w:t>
            </w:r>
            <w:r>
              <w:rPr>
                <w:rFonts w:ascii="Calibri" w:hAnsi="Calibri" w:cs="Calibri"/>
                <w:b/>
                <w:sz w:val="22"/>
                <w:szCs w:val="22"/>
              </w:rPr>
              <w:t xml:space="preserve">ring the class period, especially given </w:t>
            </w:r>
            <w:proofErr w:type="spellStart"/>
            <w:r>
              <w:rPr>
                <w:rFonts w:ascii="Calibri" w:hAnsi="Calibri" w:cs="Calibri"/>
                <w:b/>
                <w:sz w:val="22"/>
                <w:szCs w:val="22"/>
              </w:rPr>
              <w:t>DISH’s</w:t>
            </w:r>
            <w:proofErr w:type="spellEnd"/>
            <w:r>
              <w:rPr>
                <w:rFonts w:ascii="Calibri" w:hAnsi="Calibri" w:cs="Calibri"/>
                <w:b/>
                <w:sz w:val="22"/>
                <w:szCs w:val="22"/>
              </w:rPr>
              <w:t xml:space="preserve"> explicit instructions. </w:t>
            </w:r>
            <w:r w:rsidRPr="002B1B82">
              <w:rPr>
                <w:rFonts w:ascii="Calibri" w:hAnsi="Calibri" w:cs="Calibri"/>
                <w:b/>
                <w:sz w:val="22"/>
                <w:szCs w:val="22"/>
              </w:rPr>
              <w:t xml:space="preserve"> </w:t>
            </w:r>
            <w:r w:rsidRPr="002B1B82">
              <w:rPr>
                <w:rFonts w:ascii="Calibri" w:hAnsi="Calibri" w:cs="Calibri"/>
                <w:b/>
                <w:i/>
                <w:sz w:val="22"/>
                <w:szCs w:val="22"/>
              </w:rPr>
              <w:t>Safeco</w:t>
            </w:r>
            <w:r>
              <w:rPr>
                <w:rFonts w:ascii="Calibri" w:hAnsi="Calibri" w:cs="Calibri"/>
                <w:b/>
                <w:i/>
                <w:sz w:val="22"/>
                <w:szCs w:val="22"/>
              </w:rPr>
              <w:t xml:space="preserve"> Ins. Co. v. Burr</w:t>
            </w:r>
            <w:r>
              <w:rPr>
                <w:rFonts w:ascii="Calibri" w:hAnsi="Calibri" w:cs="Calibri"/>
                <w:b/>
                <w:sz w:val="22"/>
                <w:szCs w:val="22"/>
              </w:rPr>
              <w:t xml:space="preserve"> (S. Ct. 2007).</w:t>
            </w:r>
          </w:p>
        </w:tc>
      </w:tr>
      <w:tr w:rsidR="007C4BB5" w:rsidRPr="00907D75" w14:paraId="46C0D70D" w14:textId="77777777" w:rsidTr="008649A2">
        <w:trPr>
          <w:trHeight w:val="4795"/>
        </w:trPr>
        <w:tc>
          <w:tcPr>
            <w:tcW w:w="5805" w:type="dxa"/>
            <w:vAlign w:val="center"/>
          </w:tcPr>
          <w:p w14:paraId="3722BB2C" w14:textId="167E5D2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Was DISH willful in ignoring the risk that SSN was violating the TCPA?</w:t>
            </w:r>
          </w:p>
        </w:tc>
        <w:tc>
          <w:tcPr>
            <w:tcW w:w="5805" w:type="dxa"/>
            <w:vAlign w:val="center"/>
          </w:tcPr>
          <w:p w14:paraId="4A735CED" w14:textId="7FA64A5A" w:rsidR="007C4BB5" w:rsidRDefault="007C4BB5" w:rsidP="00525419">
            <w:pPr>
              <w:pStyle w:val="O-BodyText"/>
              <w:spacing w:after="120"/>
              <w:ind w:left="290" w:right="65"/>
              <w:jc w:val="both"/>
              <w:rPr>
                <w:rFonts w:ascii="Calibri" w:hAnsi="Calibri" w:cs="Calibri"/>
                <w:b/>
                <w:sz w:val="22"/>
                <w:szCs w:val="22"/>
              </w:rPr>
            </w:pPr>
            <w:r w:rsidRPr="004E5313">
              <w:rPr>
                <w:rFonts w:ascii="Calibri" w:hAnsi="Calibri" w:cs="Calibri"/>
                <w:b/>
                <w:sz w:val="22"/>
                <w:szCs w:val="22"/>
              </w:rPr>
              <w:t xml:space="preserve">There is no evidence DISH knew SSN was engaged in widespread TCPA violations during </w:t>
            </w:r>
            <w:r>
              <w:rPr>
                <w:rFonts w:ascii="Calibri" w:hAnsi="Calibri" w:cs="Calibri"/>
                <w:b/>
                <w:sz w:val="22"/>
                <w:szCs w:val="22"/>
              </w:rPr>
              <w:t>the class</w:t>
            </w:r>
            <w:r w:rsidRPr="004E5313">
              <w:rPr>
                <w:rFonts w:ascii="Calibri" w:hAnsi="Calibri" w:cs="Calibri"/>
                <w:b/>
                <w:sz w:val="22"/>
                <w:szCs w:val="22"/>
              </w:rPr>
              <w:t xml:space="preserve"> period</w:t>
            </w:r>
            <w:r>
              <w:rPr>
                <w:rFonts w:ascii="Calibri" w:hAnsi="Calibri" w:cs="Calibri"/>
                <w:b/>
                <w:sz w:val="22"/>
                <w:szCs w:val="22"/>
              </w:rPr>
              <w:t xml:space="preserve"> (May 2010 to August 2011).  </w:t>
            </w:r>
            <w:r w:rsidRPr="00BA77BB">
              <w:rPr>
                <w:rFonts w:ascii="Calibri" w:hAnsi="Calibri" w:cs="Calibri"/>
                <w:b/>
                <w:sz w:val="22"/>
                <w:szCs w:val="22"/>
              </w:rPr>
              <w:t>DISH didn’t receive a single complaint from an SSN call recipient</w:t>
            </w:r>
            <w:r>
              <w:rPr>
                <w:rFonts w:ascii="Calibri" w:hAnsi="Calibri" w:cs="Calibri"/>
                <w:b/>
                <w:sz w:val="22"/>
                <w:szCs w:val="22"/>
              </w:rPr>
              <w:t xml:space="preserve"> during the class period, </w:t>
            </w:r>
            <w:r w:rsidRPr="00BA77BB">
              <w:rPr>
                <w:rFonts w:ascii="Calibri" w:hAnsi="Calibri" w:cs="Calibri"/>
                <w:b/>
                <w:sz w:val="22"/>
                <w:szCs w:val="22"/>
              </w:rPr>
              <w:t>indicat</w:t>
            </w:r>
            <w:r>
              <w:rPr>
                <w:rFonts w:ascii="Calibri" w:hAnsi="Calibri" w:cs="Calibri"/>
                <w:b/>
                <w:sz w:val="22"/>
                <w:szCs w:val="22"/>
              </w:rPr>
              <w:t>ing</w:t>
            </w:r>
            <w:r w:rsidRPr="00BA77BB">
              <w:rPr>
                <w:rFonts w:ascii="Calibri" w:hAnsi="Calibri" w:cs="Calibri"/>
                <w:b/>
                <w:sz w:val="22"/>
                <w:szCs w:val="22"/>
              </w:rPr>
              <w:t xml:space="preserve"> that SSN presented little risk of TCPA violations, let alone a “high risk” of widespread violations.  </w:t>
            </w:r>
            <w:r w:rsidRPr="00416F2C">
              <w:rPr>
                <w:rFonts w:ascii="Calibri" w:hAnsi="Calibri" w:cs="Calibri"/>
                <w:b/>
                <w:i/>
                <w:sz w:val="22"/>
                <w:szCs w:val="22"/>
              </w:rPr>
              <w:t>Safeco Ins. Co. v. Burr</w:t>
            </w:r>
            <w:r w:rsidRPr="00416F2C">
              <w:rPr>
                <w:rFonts w:ascii="Calibri" w:hAnsi="Calibri" w:cs="Calibri"/>
                <w:b/>
                <w:sz w:val="22"/>
                <w:szCs w:val="22"/>
              </w:rPr>
              <w:t xml:space="preserve"> (S. Ct. 2007)</w:t>
            </w:r>
            <w:r>
              <w:rPr>
                <w:rFonts w:ascii="Calibri" w:hAnsi="Calibri" w:cs="Calibri"/>
                <w:b/>
                <w:sz w:val="22"/>
                <w:szCs w:val="22"/>
              </w:rPr>
              <w:t>.</w:t>
            </w:r>
          </w:p>
        </w:tc>
      </w:tr>
      <w:tr w:rsidR="007C4BB5" w:rsidRPr="00907D75" w14:paraId="0CDA5D59" w14:textId="77777777" w:rsidTr="008649A2">
        <w:trPr>
          <w:trHeight w:val="4795"/>
        </w:trPr>
        <w:tc>
          <w:tcPr>
            <w:tcW w:w="5805" w:type="dxa"/>
            <w:vAlign w:val="center"/>
          </w:tcPr>
          <w:p w14:paraId="6AC8F0B0" w14:textId="0E746E2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would DISH expect if one of its retailers was engaging in widespread violations of the TCPA?</w:t>
            </w:r>
          </w:p>
        </w:tc>
        <w:tc>
          <w:tcPr>
            <w:tcW w:w="5805" w:type="dxa"/>
            <w:vAlign w:val="center"/>
          </w:tcPr>
          <w:p w14:paraId="39C67099" w14:textId="5FA80655" w:rsidR="007C4BB5" w:rsidRPr="004E5313" w:rsidRDefault="007C4BB5" w:rsidP="00525419">
            <w:pPr>
              <w:pStyle w:val="O-BodyText"/>
              <w:spacing w:after="120"/>
              <w:ind w:left="290" w:right="65"/>
              <w:jc w:val="both"/>
              <w:rPr>
                <w:rFonts w:ascii="Calibri" w:hAnsi="Calibri" w:cs="Calibri"/>
                <w:b/>
                <w:sz w:val="22"/>
                <w:szCs w:val="22"/>
              </w:rPr>
            </w:pPr>
            <w:proofErr w:type="spellStart"/>
            <w:r w:rsidRPr="00165870">
              <w:rPr>
                <w:rFonts w:ascii="Calibri" w:hAnsi="Calibri" w:cs="Calibri"/>
                <w:b/>
                <w:sz w:val="22"/>
                <w:szCs w:val="22"/>
              </w:rPr>
              <w:t>DISH’s</w:t>
            </w:r>
            <w:proofErr w:type="spellEnd"/>
            <w:r w:rsidRPr="00165870">
              <w:rPr>
                <w:rFonts w:ascii="Calibri" w:hAnsi="Calibri" w:cs="Calibri"/>
                <w:b/>
                <w:sz w:val="22"/>
                <w:szCs w:val="22"/>
              </w:rPr>
              <w:t xml:space="preserve"> head of third-party compliance gave uncontroverted testimony that violations correlate with complaints:  One would expect a “staggering number” of complaints if a retailer took no precautions to avoid calling people on the Do Not Call Registry, yet DISH received none during the class period.</w:t>
            </w:r>
          </w:p>
        </w:tc>
      </w:tr>
      <w:tr w:rsidR="007C4BB5" w:rsidRPr="00907D75" w14:paraId="66DDFA5F" w14:textId="77777777" w:rsidTr="008649A2">
        <w:trPr>
          <w:trHeight w:val="4795"/>
        </w:trPr>
        <w:tc>
          <w:tcPr>
            <w:tcW w:w="5805" w:type="dxa"/>
            <w:vAlign w:val="center"/>
          </w:tcPr>
          <w:p w14:paraId="7CAED176" w14:textId="400D4E76"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How did Krakauer prove willfulness in this case?</w:t>
            </w:r>
          </w:p>
        </w:tc>
        <w:tc>
          <w:tcPr>
            <w:tcW w:w="5805" w:type="dxa"/>
            <w:vAlign w:val="center"/>
          </w:tcPr>
          <w:p w14:paraId="59A69639" w14:textId="57A163FA" w:rsidR="007C4BB5" w:rsidRPr="00165870" w:rsidRDefault="007C4BB5" w:rsidP="00525419">
            <w:pPr>
              <w:pStyle w:val="O-BodyText"/>
              <w:spacing w:after="120"/>
              <w:ind w:left="290" w:right="65"/>
              <w:jc w:val="both"/>
              <w:rPr>
                <w:rFonts w:ascii="Calibri" w:hAnsi="Calibri" w:cs="Calibri"/>
                <w:b/>
                <w:sz w:val="22"/>
                <w:szCs w:val="22"/>
              </w:rPr>
            </w:pPr>
            <w:r w:rsidRPr="00991D5F">
              <w:rPr>
                <w:rFonts w:ascii="Calibri" w:hAnsi="Calibri" w:cs="Calibri"/>
                <w:b/>
                <w:sz w:val="22"/>
                <w:szCs w:val="22"/>
              </w:rPr>
              <w:t xml:space="preserve">Krakauer pointed to a handful of complaints about SSN that DISH received </w:t>
            </w:r>
            <w:r>
              <w:rPr>
                <w:rFonts w:ascii="Calibri" w:hAnsi="Calibri" w:cs="Calibri"/>
                <w:b/>
                <w:i/>
                <w:sz w:val="22"/>
                <w:szCs w:val="22"/>
              </w:rPr>
              <w:t>before</w:t>
            </w:r>
            <w:r w:rsidRPr="00991D5F">
              <w:rPr>
                <w:rFonts w:ascii="Calibri" w:hAnsi="Calibri" w:cs="Calibri"/>
                <w:b/>
                <w:sz w:val="22"/>
                <w:szCs w:val="22"/>
              </w:rPr>
              <w:t xml:space="preserve"> the class period.  The </w:t>
            </w:r>
            <w:r>
              <w:rPr>
                <w:rFonts w:ascii="Calibri" w:hAnsi="Calibri" w:cs="Calibri"/>
                <w:b/>
                <w:sz w:val="22"/>
                <w:szCs w:val="22"/>
              </w:rPr>
              <w:t xml:space="preserve">district </w:t>
            </w:r>
            <w:r w:rsidRPr="00991D5F">
              <w:rPr>
                <w:rFonts w:ascii="Calibri" w:hAnsi="Calibri" w:cs="Calibri"/>
                <w:b/>
                <w:sz w:val="22"/>
                <w:szCs w:val="22"/>
              </w:rPr>
              <w:t xml:space="preserve">court concluded that </w:t>
            </w:r>
            <w:proofErr w:type="spellStart"/>
            <w:r w:rsidRPr="00991D5F">
              <w:rPr>
                <w:rFonts w:ascii="Calibri" w:hAnsi="Calibri" w:cs="Calibri"/>
                <w:b/>
                <w:sz w:val="22"/>
                <w:szCs w:val="22"/>
              </w:rPr>
              <w:t>DISH’s</w:t>
            </w:r>
            <w:proofErr w:type="spellEnd"/>
            <w:r w:rsidRPr="00991D5F">
              <w:rPr>
                <w:rFonts w:ascii="Calibri" w:hAnsi="Calibri" w:cs="Calibri"/>
                <w:b/>
                <w:sz w:val="22"/>
                <w:szCs w:val="22"/>
              </w:rPr>
              <w:t xml:space="preserve"> decision to continue contracting with SSN after these complaints, and not take any action to monitor or oversee SSN, showed willful participation by DISH in SSN’s violations </w:t>
            </w:r>
            <w:r w:rsidRPr="008D6486">
              <w:rPr>
                <w:rFonts w:ascii="Calibri" w:hAnsi="Calibri" w:cs="Calibri"/>
                <w:b/>
                <w:i/>
                <w:sz w:val="22"/>
                <w:szCs w:val="22"/>
              </w:rPr>
              <w:t>during</w:t>
            </w:r>
            <w:r w:rsidRPr="00991D5F">
              <w:rPr>
                <w:rFonts w:ascii="Calibri" w:hAnsi="Calibri" w:cs="Calibri"/>
                <w:b/>
                <w:sz w:val="22"/>
                <w:szCs w:val="22"/>
              </w:rPr>
              <w:t xml:space="preserve"> the class period.</w:t>
            </w:r>
          </w:p>
        </w:tc>
      </w:tr>
      <w:tr w:rsidR="007C4BB5" w:rsidRPr="00907D75" w14:paraId="6EB3A17D" w14:textId="77777777" w:rsidTr="008649A2">
        <w:trPr>
          <w:trHeight w:val="4795"/>
        </w:trPr>
        <w:tc>
          <w:tcPr>
            <w:tcW w:w="5805" w:type="dxa"/>
            <w:vAlign w:val="center"/>
          </w:tcPr>
          <w:p w14:paraId="3A1AD938" w14:textId="57AA8A51"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Does </w:t>
            </w:r>
            <w:proofErr w:type="spellStart"/>
            <w:r>
              <w:rPr>
                <w:rFonts w:ascii="Calibri" w:hAnsi="Calibri" w:cs="Calibri"/>
                <w:b/>
                <w:sz w:val="28"/>
                <w:szCs w:val="28"/>
              </w:rPr>
              <w:t>DISH’s</w:t>
            </w:r>
            <w:proofErr w:type="spellEnd"/>
            <w:r>
              <w:rPr>
                <w:rFonts w:ascii="Calibri" w:hAnsi="Calibri" w:cs="Calibri"/>
                <w:b/>
                <w:sz w:val="28"/>
                <w:szCs w:val="28"/>
              </w:rPr>
              <w:t xml:space="preserve"> knowledge of earlier complaints about SSN establish willfulness during the class period?</w:t>
            </w:r>
          </w:p>
        </w:tc>
        <w:tc>
          <w:tcPr>
            <w:tcW w:w="5805" w:type="dxa"/>
            <w:vAlign w:val="center"/>
          </w:tcPr>
          <w:p w14:paraId="330C01F3" w14:textId="51439B94" w:rsidR="007C4BB5" w:rsidRPr="00991D5F"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1472D5">
              <w:rPr>
                <w:rFonts w:ascii="Calibri" w:hAnsi="Calibri" w:cs="Calibri"/>
                <w:b/>
                <w:sz w:val="22"/>
                <w:szCs w:val="22"/>
              </w:rPr>
              <w:t>The mere fact that DISH knew of a few earlier complaints doesn’t establish DISH acted willf</w:t>
            </w:r>
            <w:r>
              <w:rPr>
                <w:rFonts w:ascii="Calibri" w:hAnsi="Calibri" w:cs="Calibri"/>
                <w:b/>
                <w:sz w:val="22"/>
                <w:szCs w:val="22"/>
              </w:rPr>
              <w:t>ully during the relevant time.</w:t>
            </w:r>
          </w:p>
        </w:tc>
      </w:tr>
      <w:tr w:rsidR="007C4BB5" w:rsidRPr="00907D75" w14:paraId="6CAB6537" w14:textId="77777777" w:rsidTr="008649A2">
        <w:trPr>
          <w:trHeight w:val="4795"/>
        </w:trPr>
        <w:tc>
          <w:tcPr>
            <w:tcW w:w="5805" w:type="dxa"/>
            <w:vAlign w:val="center"/>
          </w:tcPr>
          <w:p w14:paraId="3B185C19" w14:textId="38FFE62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w:t>
            </w:r>
            <w:r w:rsidRPr="002F5BE6">
              <w:rPr>
                <w:rFonts w:ascii="Calibri" w:hAnsi="Calibri" w:cs="Calibri"/>
                <w:b/>
                <w:i/>
                <w:sz w:val="28"/>
                <w:szCs w:val="28"/>
              </w:rPr>
              <w:t>Levy v. Receivables Performance Mgmt.</w:t>
            </w:r>
            <w:r w:rsidRPr="002F5BE6">
              <w:rPr>
                <w:rFonts w:ascii="Calibri" w:hAnsi="Calibri" w:cs="Calibri"/>
                <w:b/>
                <w:sz w:val="28"/>
                <w:szCs w:val="28"/>
              </w:rPr>
              <w:t xml:space="preserve"> (</w:t>
            </w:r>
            <w:proofErr w:type="spellStart"/>
            <w:r w:rsidRPr="002F5BE6">
              <w:rPr>
                <w:rFonts w:ascii="Calibri" w:hAnsi="Calibri" w:cs="Calibri"/>
                <w:b/>
                <w:sz w:val="28"/>
                <w:szCs w:val="28"/>
              </w:rPr>
              <w:t>E.D.N.Y</w:t>
            </w:r>
            <w:proofErr w:type="spellEnd"/>
            <w:r w:rsidRPr="002F5BE6">
              <w:rPr>
                <w:rFonts w:ascii="Calibri" w:hAnsi="Calibri" w:cs="Calibri"/>
                <w:b/>
                <w:sz w:val="28"/>
                <w:szCs w:val="28"/>
              </w:rPr>
              <w:t>. 2013)</w:t>
            </w:r>
            <w:r>
              <w:rPr>
                <w:rFonts w:ascii="Calibri" w:hAnsi="Calibri" w:cs="Calibri"/>
                <w:b/>
                <w:sz w:val="28"/>
                <w:szCs w:val="28"/>
              </w:rPr>
              <w:t xml:space="preserve"> say about prior violations and willfulness?</w:t>
            </w:r>
          </w:p>
        </w:tc>
        <w:tc>
          <w:tcPr>
            <w:tcW w:w="5805" w:type="dxa"/>
            <w:vAlign w:val="center"/>
          </w:tcPr>
          <w:p w14:paraId="309203E0" w14:textId="10D8AA80"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P</w:t>
            </w:r>
            <w:r w:rsidRPr="001472D5">
              <w:rPr>
                <w:rFonts w:ascii="Calibri" w:hAnsi="Calibri" w:cs="Calibri"/>
                <w:b/>
                <w:sz w:val="22"/>
                <w:szCs w:val="22"/>
              </w:rPr>
              <w:t xml:space="preserve">rior violations, without more, don’t demonstrate willfulness </w:t>
            </w:r>
            <w:r w:rsidRPr="00C86831">
              <w:rPr>
                <w:rFonts w:ascii="Calibri" w:hAnsi="Calibri" w:cs="Calibri"/>
                <w:b/>
                <w:i/>
                <w:sz w:val="22"/>
                <w:szCs w:val="22"/>
              </w:rPr>
              <w:t>even when the defendant itself engaged in the prior conduct</w:t>
            </w:r>
            <w:r w:rsidRPr="001472D5">
              <w:rPr>
                <w:rFonts w:ascii="Calibri" w:hAnsi="Calibri" w:cs="Calibri"/>
                <w:b/>
                <w:sz w:val="22"/>
                <w:szCs w:val="22"/>
              </w:rPr>
              <w:t xml:space="preserve">.  </w:t>
            </w:r>
            <w:r w:rsidRPr="00C86831">
              <w:rPr>
                <w:rFonts w:ascii="Calibri" w:hAnsi="Calibri" w:cs="Calibri"/>
                <w:b/>
                <w:i/>
                <w:sz w:val="22"/>
                <w:szCs w:val="22"/>
              </w:rPr>
              <w:t>Levy v. Receivables Performance Mgmt.</w:t>
            </w:r>
            <w:r w:rsidRPr="001472D5">
              <w:rPr>
                <w:rFonts w:ascii="Calibri" w:hAnsi="Calibri" w:cs="Calibri"/>
                <w:b/>
                <w:sz w:val="22"/>
                <w:szCs w:val="22"/>
              </w:rPr>
              <w:t xml:space="preserve"> </w:t>
            </w:r>
            <w:r>
              <w:rPr>
                <w:rFonts w:ascii="Calibri" w:hAnsi="Calibri" w:cs="Calibri"/>
                <w:b/>
                <w:sz w:val="22"/>
                <w:szCs w:val="22"/>
              </w:rPr>
              <w:t>(</w:t>
            </w:r>
            <w:proofErr w:type="spellStart"/>
            <w:r>
              <w:rPr>
                <w:rFonts w:ascii="Calibri" w:hAnsi="Calibri" w:cs="Calibri"/>
                <w:b/>
                <w:sz w:val="22"/>
                <w:szCs w:val="22"/>
              </w:rPr>
              <w:t>E.D.N.Y</w:t>
            </w:r>
            <w:proofErr w:type="spellEnd"/>
            <w:r>
              <w:rPr>
                <w:rFonts w:ascii="Calibri" w:hAnsi="Calibri" w:cs="Calibri"/>
                <w:b/>
                <w:sz w:val="22"/>
                <w:szCs w:val="22"/>
              </w:rPr>
              <w:t xml:space="preserve">. 2013) </w:t>
            </w:r>
            <w:r w:rsidRPr="001472D5">
              <w:rPr>
                <w:rFonts w:ascii="Calibri" w:hAnsi="Calibri" w:cs="Calibri"/>
                <w:b/>
                <w:sz w:val="22"/>
                <w:szCs w:val="22"/>
              </w:rPr>
              <w:t>(“[T]he fact that [the defendant] has been found to have violated the TCPA in other instances does not suggest, as a matter of law, that they acted knowingly and willfully.”)</w:t>
            </w:r>
          </w:p>
        </w:tc>
      </w:tr>
      <w:tr w:rsidR="007C4BB5" w:rsidRPr="00907D75" w14:paraId="0DFE258E" w14:textId="77777777" w:rsidTr="008649A2">
        <w:trPr>
          <w:trHeight w:val="4795"/>
        </w:trPr>
        <w:tc>
          <w:tcPr>
            <w:tcW w:w="5805" w:type="dxa"/>
            <w:vAlign w:val="center"/>
          </w:tcPr>
          <w:p w14:paraId="7217C0C1" w14:textId="0BC36B81"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Were those prior complaints about SSN relevant at all?</w:t>
            </w:r>
          </w:p>
        </w:tc>
        <w:tc>
          <w:tcPr>
            <w:tcW w:w="5805" w:type="dxa"/>
            <w:vAlign w:val="center"/>
          </w:tcPr>
          <w:p w14:paraId="144AA08E" w14:textId="7C29D7A2"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P</w:t>
            </w:r>
            <w:r w:rsidRPr="00057904">
              <w:rPr>
                <w:rFonts w:ascii="Calibri" w:hAnsi="Calibri" w:cs="Calibri"/>
                <w:b/>
                <w:sz w:val="22"/>
                <w:szCs w:val="22"/>
              </w:rPr>
              <w:t>rior complaints</w:t>
            </w:r>
            <w:r>
              <w:rPr>
                <w:rFonts w:ascii="Calibri" w:hAnsi="Calibri" w:cs="Calibri"/>
                <w:b/>
                <w:sz w:val="22"/>
                <w:szCs w:val="22"/>
              </w:rPr>
              <w:t xml:space="preserve"> about SSN</w:t>
            </w:r>
            <w:r w:rsidRPr="00057904">
              <w:rPr>
                <w:rFonts w:ascii="Calibri" w:hAnsi="Calibri" w:cs="Calibri"/>
                <w:b/>
                <w:sz w:val="22"/>
                <w:szCs w:val="22"/>
              </w:rPr>
              <w:t xml:space="preserve"> would only be </w:t>
            </w:r>
            <w:r>
              <w:rPr>
                <w:rFonts w:ascii="Calibri" w:hAnsi="Calibri" w:cs="Calibri"/>
                <w:b/>
                <w:sz w:val="22"/>
                <w:szCs w:val="22"/>
              </w:rPr>
              <w:t xml:space="preserve">relevant </w:t>
            </w:r>
            <w:r w:rsidRPr="00057904">
              <w:rPr>
                <w:rFonts w:ascii="Calibri" w:hAnsi="Calibri" w:cs="Calibri"/>
                <w:b/>
                <w:sz w:val="22"/>
                <w:szCs w:val="22"/>
              </w:rPr>
              <w:t>to</w:t>
            </w:r>
            <w:r>
              <w:rPr>
                <w:rFonts w:ascii="Calibri" w:hAnsi="Calibri" w:cs="Calibri"/>
                <w:b/>
                <w:sz w:val="22"/>
                <w:szCs w:val="22"/>
              </w:rPr>
              <w:t xml:space="preserve"> determine if</w:t>
            </w:r>
            <w:r w:rsidRPr="00057904">
              <w:rPr>
                <w:rFonts w:ascii="Calibri" w:hAnsi="Calibri" w:cs="Calibri"/>
                <w:b/>
                <w:sz w:val="22"/>
                <w:szCs w:val="22"/>
              </w:rPr>
              <w:t xml:space="preserve"> DISH was reckless in concluding (during the class period) that SSN posed no risk of widespread TCPA violations.  But the evidence </w:t>
            </w:r>
            <w:r>
              <w:rPr>
                <w:rFonts w:ascii="Calibri" w:hAnsi="Calibri" w:cs="Calibri"/>
                <w:b/>
                <w:sz w:val="22"/>
                <w:szCs w:val="22"/>
              </w:rPr>
              <w:t>shows that i</w:t>
            </w:r>
            <w:r w:rsidRPr="00057904">
              <w:rPr>
                <w:rFonts w:ascii="Calibri" w:hAnsi="Calibri" w:cs="Calibri"/>
                <w:b/>
                <w:sz w:val="22"/>
                <w:szCs w:val="22"/>
              </w:rPr>
              <w:t xml:space="preserve">t was reasonable (and at worst, negligent) </w:t>
            </w:r>
            <w:r>
              <w:rPr>
                <w:rFonts w:ascii="Calibri" w:hAnsi="Calibri" w:cs="Calibri"/>
                <w:b/>
                <w:sz w:val="22"/>
                <w:szCs w:val="22"/>
              </w:rPr>
              <w:t xml:space="preserve">for DISH </w:t>
            </w:r>
            <w:r w:rsidRPr="00057904">
              <w:rPr>
                <w:rFonts w:ascii="Calibri" w:hAnsi="Calibri" w:cs="Calibri"/>
                <w:b/>
                <w:sz w:val="22"/>
                <w:szCs w:val="22"/>
              </w:rPr>
              <w:t>to believe SSN posed no such risk.</w:t>
            </w:r>
          </w:p>
        </w:tc>
      </w:tr>
      <w:tr w:rsidR="007C4BB5" w:rsidRPr="00907D75" w14:paraId="189D9930" w14:textId="77777777" w:rsidTr="008649A2">
        <w:trPr>
          <w:trHeight w:val="4795"/>
        </w:trPr>
        <w:tc>
          <w:tcPr>
            <w:tcW w:w="5805" w:type="dxa"/>
            <w:vAlign w:val="center"/>
          </w:tcPr>
          <w:p w14:paraId="3A39625C" w14:textId="77AADE0A"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was it reasonable for DISH to believe that SSN posed no risk of widespread TCPA violations?</w:t>
            </w:r>
          </w:p>
        </w:tc>
        <w:tc>
          <w:tcPr>
            <w:tcW w:w="5805" w:type="dxa"/>
            <w:vAlign w:val="center"/>
          </w:tcPr>
          <w:p w14:paraId="467F3192" w14:textId="289A29D3" w:rsidR="007C4BB5" w:rsidRPr="00057904"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After</w:t>
            </w:r>
            <w:r w:rsidRPr="00C63E9A">
              <w:rPr>
                <w:rFonts w:ascii="Calibri" w:hAnsi="Calibri" w:cs="Calibri"/>
                <w:b/>
                <w:sz w:val="22"/>
                <w:szCs w:val="22"/>
              </w:rPr>
              <w:t xml:space="preserve"> complaints about SSN placing pre-recorded calls in 2004 (</w:t>
            </w:r>
            <w:r>
              <w:rPr>
                <w:rFonts w:ascii="Calibri" w:hAnsi="Calibri" w:cs="Calibri"/>
                <w:b/>
                <w:sz w:val="22"/>
                <w:szCs w:val="22"/>
              </w:rPr>
              <w:t xml:space="preserve">years before the class period) </w:t>
            </w:r>
            <w:r w:rsidRPr="00C63E9A">
              <w:rPr>
                <w:rFonts w:ascii="Calibri" w:hAnsi="Calibri" w:cs="Calibri"/>
                <w:b/>
                <w:sz w:val="22"/>
                <w:szCs w:val="22"/>
              </w:rPr>
              <w:t xml:space="preserve">and lawsuits against SSN in that period under state Do Not Call statutes, DISH repeatedly </w:t>
            </w:r>
            <w:r>
              <w:rPr>
                <w:rFonts w:ascii="Calibri" w:hAnsi="Calibri" w:cs="Calibri"/>
                <w:b/>
                <w:sz w:val="22"/>
                <w:szCs w:val="22"/>
              </w:rPr>
              <w:t>warned</w:t>
            </w:r>
            <w:r w:rsidRPr="00C63E9A">
              <w:rPr>
                <w:rFonts w:ascii="Calibri" w:hAnsi="Calibri" w:cs="Calibri"/>
                <w:b/>
                <w:sz w:val="22"/>
                <w:szCs w:val="22"/>
              </w:rPr>
              <w:t xml:space="preserve"> SSN to comply with the law—</w:t>
            </w:r>
            <w:r w:rsidRPr="00BE4C63">
              <w:rPr>
                <w:rFonts w:ascii="Calibri" w:hAnsi="Calibri" w:cs="Calibri"/>
                <w:b/>
                <w:i/>
                <w:sz w:val="22"/>
                <w:szCs w:val="22"/>
              </w:rPr>
              <w:t>and the pre-recorded call violations stopped</w:t>
            </w:r>
            <w:r>
              <w:rPr>
                <w:rFonts w:ascii="Calibri" w:hAnsi="Calibri" w:cs="Calibri"/>
                <w:b/>
                <w:sz w:val="22"/>
                <w:szCs w:val="22"/>
              </w:rPr>
              <w:t xml:space="preserve">.  Also, </w:t>
            </w:r>
            <w:r w:rsidRPr="006A192A">
              <w:rPr>
                <w:rFonts w:ascii="Calibri" w:hAnsi="Calibri" w:cs="Calibri"/>
                <w:b/>
                <w:sz w:val="22"/>
                <w:szCs w:val="22"/>
              </w:rPr>
              <w:t>SSN</w:t>
            </w:r>
            <w:r>
              <w:rPr>
                <w:rFonts w:ascii="Calibri" w:hAnsi="Calibri" w:cs="Calibri"/>
                <w:b/>
                <w:sz w:val="22"/>
                <w:szCs w:val="22"/>
              </w:rPr>
              <w:t xml:space="preserve"> </w:t>
            </w:r>
            <w:r w:rsidRPr="006A192A">
              <w:rPr>
                <w:rFonts w:ascii="Calibri" w:hAnsi="Calibri" w:cs="Calibri"/>
                <w:b/>
                <w:sz w:val="22"/>
                <w:szCs w:val="22"/>
              </w:rPr>
              <w:t>changed its management</w:t>
            </w:r>
            <w:r>
              <w:rPr>
                <w:rFonts w:ascii="Calibri" w:hAnsi="Calibri" w:cs="Calibri"/>
                <w:b/>
                <w:sz w:val="22"/>
                <w:szCs w:val="22"/>
              </w:rPr>
              <w:t xml:space="preserve"> in 2006.  </w:t>
            </w:r>
            <w:r w:rsidRPr="006A192A">
              <w:rPr>
                <w:rFonts w:ascii="Calibri" w:hAnsi="Calibri" w:cs="Calibri"/>
                <w:b/>
                <w:sz w:val="22"/>
                <w:szCs w:val="22"/>
              </w:rPr>
              <w:t xml:space="preserve">And in 2008, SSN contracted with </w:t>
            </w:r>
            <w:proofErr w:type="spellStart"/>
            <w:r w:rsidRPr="006A192A">
              <w:rPr>
                <w:rFonts w:ascii="Calibri" w:hAnsi="Calibri" w:cs="Calibri"/>
                <w:b/>
                <w:sz w:val="22"/>
                <w:szCs w:val="22"/>
              </w:rPr>
              <w:t>PossibleNow</w:t>
            </w:r>
            <w:proofErr w:type="spellEnd"/>
            <w:r w:rsidRPr="006A192A">
              <w:rPr>
                <w:rFonts w:ascii="Calibri" w:hAnsi="Calibri" w:cs="Calibri"/>
                <w:b/>
                <w:sz w:val="22"/>
                <w:szCs w:val="22"/>
              </w:rPr>
              <w:t>—the industry leader in telemarketing- compliance services—to scrub its call lists.</w:t>
            </w:r>
          </w:p>
        </w:tc>
      </w:tr>
      <w:tr w:rsidR="007C4BB5" w:rsidRPr="00907D75" w14:paraId="5E27A189" w14:textId="77777777" w:rsidTr="008649A2">
        <w:trPr>
          <w:trHeight w:val="4795"/>
        </w:trPr>
        <w:tc>
          <w:tcPr>
            <w:tcW w:w="5805" w:type="dxa"/>
            <w:vAlign w:val="center"/>
          </w:tcPr>
          <w:p w14:paraId="364F87B0" w14:textId="47AAF3CF"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DISH receive any complaints about SSN after it changed its management in 2006?</w:t>
            </w:r>
          </w:p>
        </w:tc>
        <w:tc>
          <w:tcPr>
            <w:tcW w:w="5805" w:type="dxa"/>
            <w:vAlign w:val="center"/>
          </w:tcPr>
          <w:p w14:paraId="24153F3C" w14:textId="5E241BEB" w:rsidR="007C4BB5" w:rsidRPr="00057904"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F</w:t>
            </w:r>
            <w:r w:rsidRPr="00042D55">
              <w:rPr>
                <w:rFonts w:ascii="Calibri" w:hAnsi="Calibri" w:cs="Calibri"/>
                <w:b/>
                <w:sz w:val="22"/>
                <w:szCs w:val="22"/>
              </w:rPr>
              <w:t>rom the time of the 2006 management change</w:t>
            </w:r>
            <w:r>
              <w:rPr>
                <w:rFonts w:ascii="Calibri" w:hAnsi="Calibri" w:cs="Calibri"/>
                <w:b/>
                <w:sz w:val="22"/>
                <w:szCs w:val="22"/>
              </w:rPr>
              <w:t xml:space="preserve"> </w:t>
            </w:r>
            <w:r w:rsidRPr="00042D55">
              <w:rPr>
                <w:rFonts w:ascii="Calibri" w:hAnsi="Calibri" w:cs="Calibri"/>
                <w:b/>
                <w:sz w:val="22"/>
                <w:szCs w:val="22"/>
              </w:rPr>
              <w:t xml:space="preserve">through the end of the class period in 2011, DISH received only </w:t>
            </w:r>
            <w:r>
              <w:rPr>
                <w:rFonts w:ascii="Calibri" w:hAnsi="Calibri" w:cs="Calibri"/>
                <w:b/>
                <w:sz w:val="22"/>
                <w:szCs w:val="22"/>
              </w:rPr>
              <w:t>5</w:t>
            </w:r>
            <w:r w:rsidRPr="00042D55">
              <w:rPr>
                <w:rFonts w:ascii="Calibri" w:hAnsi="Calibri" w:cs="Calibri"/>
                <w:b/>
                <w:sz w:val="22"/>
                <w:szCs w:val="22"/>
              </w:rPr>
              <w:t xml:space="preserve"> Registry-related complaints from SSN call recipients</w:t>
            </w:r>
            <w:r>
              <w:rPr>
                <w:rFonts w:ascii="Calibri" w:hAnsi="Calibri" w:cs="Calibri"/>
                <w:b/>
                <w:sz w:val="22"/>
                <w:szCs w:val="22"/>
              </w:rPr>
              <w:t>.  M</w:t>
            </w:r>
            <w:r w:rsidRPr="00581861">
              <w:rPr>
                <w:rFonts w:ascii="Calibri" w:hAnsi="Calibri" w:cs="Calibri"/>
                <w:b/>
                <w:sz w:val="22"/>
                <w:szCs w:val="22"/>
              </w:rPr>
              <w:t>easured against a background of</w:t>
            </w:r>
            <w:r>
              <w:t xml:space="preserve"> </w:t>
            </w:r>
            <w:r>
              <w:rPr>
                <w:rFonts w:ascii="Calibri" w:hAnsi="Calibri" w:cs="Calibri"/>
                <w:b/>
                <w:sz w:val="22"/>
                <w:szCs w:val="22"/>
              </w:rPr>
              <w:t xml:space="preserve">millions of calls, this raised no </w:t>
            </w:r>
            <w:r w:rsidRPr="00581861">
              <w:rPr>
                <w:rFonts w:ascii="Calibri" w:hAnsi="Calibri" w:cs="Calibri"/>
                <w:b/>
                <w:sz w:val="22"/>
                <w:szCs w:val="22"/>
              </w:rPr>
              <w:t>red flag for SSN</w:t>
            </w:r>
            <w:r>
              <w:rPr>
                <w:rFonts w:ascii="Calibri" w:hAnsi="Calibri" w:cs="Calibri"/>
                <w:b/>
                <w:sz w:val="22"/>
                <w:szCs w:val="22"/>
              </w:rPr>
              <w:t>.</w:t>
            </w:r>
          </w:p>
        </w:tc>
      </w:tr>
      <w:tr w:rsidR="007C4BB5" w:rsidRPr="00907D75" w14:paraId="193E5654" w14:textId="77777777" w:rsidTr="008649A2">
        <w:trPr>
          <w:trHeight w:val="4795"/>
        </w:trPr>
        <w:tc>
          <w:tcPr>
            <w:tcW w:w="5805" w:type="dxa"/>
            <w:vAlign w:val="center"/>
          </w:tcPr>
          <w:p w14:paraId="3B547F71" w14:textId="299B229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Was it reasonable for DISH to rely on complaints as the barometer for TCPA compliance?</w:t>
            </w:r>
          </w:p>
        </w:tc>
        <w:tc>
          <w:tcPr>
            <w:tcW w:w="5805" w:type="dxa"/>
            <w:vAlign w:val="center"/>
          </w:tcPr>
          <w:p w14:paraId="33A9EEE3" w14:textId="55BA5E6C" w:rsidR="007C4BB5" w:rsidRDefault="007C4BB5" w:rsidP="00525419">
            <w:pPr>
              <w:pStyle w:val="O-BodyText"/>
              <w:spacing w:after="120"/>
              <w:ind w:left="290" w:right="65"/>
              <w:jc w:val="both"/>
              <w:rPr>
                <w:rFonts w:ascii="Calibri" w:hAnsi="Calibri" w:cs="Calibri"/>
                <w:b/>
                <w:sz w:val="22"/>
                <w:szCs w:val="22"/>
              </w:rPr>
            </w:pPr>
            <w:r w:rsidRPr="00A0360D">
              <w:rPr>
                <w:rFonts w:ascii="Calibri" w:hAnsi="Calibri" w:cs="Calibri"/>
                <w:b/>
                <w:sz w:val="22"/>
                <w:szCs w:val="22"/>
              </w:rPr>
              <w:t xml:space="preserve">The district court thought it </w:t>
            </w:r>
            <w:r>
              <w:rPr>
                <w:rFonts w:ascii="Calibri" w:hAnsi="Calibri" w:cs="Calibri"/>
                <w:b/>
                <w:sz w:val="22"/>
                <w:szCs w:val="22"/>
              </w:rPr>
              <w:t xml:space="preserve">was </w:t>
            </w:r>
            <w:r w:rsidRPr="00A0360D">
              <w:rPr>
                <w:rFonts w:ascii="Calibri" w:hAnsi="Calibri" w:cs="Calibri"/>
                <w:b/>
                <w:sz w:val="22"/>
                <w:szCs w:val="22"/>
              </w:rPr>
              <w:t xml:space="preserve">unreasonable for DISH to rely on complaints as the barometer of TCPA compliance.  But “reasonableness” wasn’t the standard; that denotes negligence.  And </w:t>
            </w:r>
            <w:proofErr w:type="spellStart"/>
            <w:r w:rsidRPr="00A0360D">
              <w:rPr>
                <w:rFonts w:ascii="Calibri" w:hAnsi="Calibri" w:cs="Calibri"/>
                <w:b/>
                <w:sz w:val="22"/>
                <w:szCs w:val="22"/>
              </w:rPr>
              <w:t>DISH’s</w:t>
            </w:r>
            <w:proofErr w:type="spellEnd"/>
            <w:r w:rsidRPr="00A0360D">
              <w:rPr>
                <w:rFonts w:ascii="Calibri" w:hAnsi="Calibri" w:cs="Calibri"/>
                <w:b/>
                <w:sz w:val="22"/>
                <w:szCs w:val="22"/>
              </w:rPr>
              <w:t xml:space="preserve"> conclusion was not reckless:  E</w:t>
            </w:r>
            <w:r>
              <w:rPr>
                <w:rFonts w:ascii="Calibri" w:hAnsi="Calibri" w:cs="Calibri"/>
                <w:b/>
                <w:sz w:val="22"/>
                <w:szCs w:val="22"/>
              </w:rPr>
              <w:t xml:space="preserve">ven a few </w:t>
            </w:r>
            <w:r w:rsidRPr="00A0360D">
              <w:rPr>
                <w:rFonts w:ascii="Calibri" w:hAnsi="Calibri" w:cs="Calibri"/>
                <w:b/>
                <w:sz w:val="22"/>
                <w:szCs w:val="22"/>
              </w:rPr>
              <w:t xml:space="preserve">inadvertent errors </w:t>
            </w:r>
            <w:r>
              <w:rPr>
                <w:rFonts w:ascii="Calibri" w:hAnsi="Calibri" w:cs="Calibri"/>
                <w:b/>
                <w:sz w:val="22"/>
                <w:szCs w:val="22"/>
              </w:rPr>
              <w:t>may not amount to “</w:t>
            </w:r>
            <w:r w:rsidRPr="00A0360D">
              <w:rPr>
                <w:rFonts w:ascii="Calibri" w:hAnsi="Calibri" w:cs="Calibri"/>
                <w:b/>
                <w:sz w:val="22"/>
                <w:szCs w:val="22"/>
              </w:rPr>
              <w:t>willful</w:t>
            </w:r>
            <w:r>
              <w:rPr>
                <w:rFonts w:ascii="Calibri" w:hAnsi="Calibri" w:cs="Calibri"/>
                <w:b/>
                <w:sz w:val="22"/>
                <w:szCs w:val="22"/>
              </w:rPr>
              <w:t>”</w:t>
            </w:r>
            <w:r w:rsidRPr="00A0360D">
              <w:rPr>
                <w:rFonts w:ascii="Calibri" w:hAnsi="Calibri" w:cs="Calibri"/>
                <w:b/>
                <w:sz w:val="22"/>
                <w:szCs w:val="22"/>
              </w:rPr>
              <w:t xml:space="preserve"> failures</w:t>
            </w:r>
            <w:r>
              <w:rPr>
                <w:rFonts w:ascii="Calibri" w:hAnsi="Calibri" w:cs="Calibri"/>
                <w:b/>
                <w:sz w:val="22"/>
                <w:szCs w:val="22"/>
              </w:rPr>
              <w:t>.</w:t>
            </w:r>
            <w:r w:rsidRPr="00A0360D">
              <w:rPr>
                <w:rFonts w:ascii="Calibri" w:hAnsi="Calibri" w:cs="Calibri"/>
                <w:b/>
                <w:sz w:val="22"/>
                <w:szCs w:val="22"/>
              </w:rPr>
              <w:t xml:space="preserve">  </w:t>
            </w:r>
            <w:proofErr w:type="spellStart"/>
            <w:r w:rsidRPr="00BB7091">
              <w:rPr>
                <w:rFonts w:ascii="Calibri" w:hAnsi="Calibri" w:cs="Calibri"/>
                <w:b/>
                <w:i/>
                <w:sz w:val="22"/>
                <w:szCs w:val="22"/>
              </w:rPr>
              <w:t>RSM</w:t>
            </w:r>
            <w:proofErr w:type="spellEnd"/>
            <w:r w:rsidRPr="00BB7091">
              <w:rPr>
                <w:rFonts w:ascii="Calibri" w:hAnsi="Calibri" w:cs="Calibri"/>
                <w:b/>
                <w:i/>
                <w:sz w:val="22"/>
                <w:szCs w:val="22"/>
              </w:rPr>
              <w:t xml:space="preserve"> v. Herbert</w:t>
            </w:r>
            <w:r w:rsidRPr="00BB7091">
              <w:rPr>
                <w:rFonts w:ascii="Calibri" w:hAnsi="Calibri" w:cs="Calibri"/>
                <w:b/>
                <w:sz w:val="22"/>
                <w:szCs w:val="22"/>
              </w:rPr>
              <w:t xml:space="preserve"> (4th Cir. 2006)</w:t>
            </w:r>
            <w:r>
              <w:rPr>
                <w:rFonts w:ascii="Calibri" w:hAnsi="Calibri" w:cs="Calibri"/>
                <w:b/>
                <w:sz w:val="22"/>
                <w:szCs w:val="22"/>
              </w:rPr>
              <w:t>.</w:t>
            </w:r>
            <w:r w:rsidRPr="00A0360D">
              <w:rPr>
                <w:rFonts w:ascii="Calibri" w:hAnsi="Calibri" w:cs="Calibri"/>
                <w:b/>
                <w:sz w:val="22"/>
                <w:szCs w:val="22"/>
              </w:rPr>
              <w:t xml:space="preserve">  That </w:t>
            </w:r>
            <w:r>
              <w:rPr>
                <w:rFonts w:ascii="Calibri" w:hAnsi="Calibri" w:cs="Calibri"/>
                <w:b/>
                <w:sz w:val="22"/>
                <w:szCs w:val="22"/>
              </w:rPr>
              <w:t>is</w:t>
            </w:r>
            <w:r w:rsidRPr="00A0360D">
              <w:rPr>
                <w:rFonts w:ascii="Calibri" w:hAnsi="Calibri" w:cs="Calibri"/>
                <w:b/>
                <w:sz w:val="22"/>
                <w:szCs w:val="22"/>
              </w:rPr>
              <w:t xml:space="preserve"> especially true for the TCPA; perfect TCPA co</w:t>
            </w:r>
            <w:r>
              <w:rPr>
                <w:rFonts w:ascii="Calibri" w:hAnsi="Calibri" w:cs="Calibri"/>
                <w:b/>
                <w:sz w:val="22"/>
                <w:szCs w:val="22"/>
              </w:rPr>
              <w:t>mpliance is nearly impossible</w:t>
            </w:r>
            <w:proofErr w:type="gramStart"/>
            <w:r>
              <w:rPr>
                <w:rFonts w:ascii="Calibri" w:hAnsi="Calibri" w:cs="Calibri"/>
                <w:b/>
                <w:sz w:val="22"/>
                <w:szCs w:val="22"/>
              </w:rPr>
              <w:t xml:space="preserve">. </w:t>
            </w:r>
            <w:proofErr w:type="gramEnd"/>
          </w:p>
        </w:tc>
      </w:tr>
      <w:tr w:rsidR="007C4BB5" w:rsidRPr="00907D75" w14:paraId="1C9044B2" w14:textId="77777777" w:rsidTr="008649A2">
        <w:trPr>
          <w:trHeight w:val="4795"/>
        </w:trPr>
        <w:tc>
          <w:tcPr>
            <w:tcW w:w="5805" w:type="dxa"/>
            <w:vAlign w:val="center"/>
          </w:tcPr>
          <w:p w14:paraId="7484B50B" w14:textId="5694B20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Should the complaints about SSN have alerted DISH that SSN was not scrubbing its customer lists against the Registry during the class period?</w:t>
            </w:r>
          </w:p>
        </w:tc>
        <w:tc>
          <w:tcPr>
            <w:tcW w:w="5805" w:type="dxa"/>
            <w:vAlign w:val="center"/>
          </w:tcPr>
          <w:p w14:paraId="2222652D" w14:textId="172E4DB0" w:rsidR="007C4BB5" w:rsidRPr="00A0360D" w:rsidRDefault="007C4BB5" w:rsidP="00525419">
            <w:pPr>
              <w:pStyle w:val="O-BodyText"/>
              <w:spacing w:after="120"/>
              <w:ind w:left="290" w:right="65"/>
              <w:jc w:val="both"/>
              <w:rPr>
                <w:rFonts w:ascii="Calibri" w:hAnsi="Calibri" w:cs="Calibri"/>
                <w:b/>
                <w:sz w:val="22"/>
                <w:szCs w:val="22"/>
              </w:rPr>
            </w:pPr>
            <w:r w:rsidRPr="004D7F9D">
              <w:rPr>
                <w:rFonts w:ascii="Calibri" w:hAnsi="Calibri" w:cs="Calibri"/>
                <w:b/>
                <w:sz w:val="22"/>
                <w:szCs w:val="22"/>
              </w:rPr>
              <w:t xml:space="preserve">The </w:t>
            </w:r>
            <w:r>
              <w:rPr>
                <w:rFonts w:ascii="Calibri" w:hAnsi="Calibri" w:cs="Calibri"/>
                <w:b/>
                <w:sz w:val="22"/>
                <w:szCs w:val="22"/>
              </w:rPr>
              <w:t xml:space="preserve">district </w:t>
            </w:r>
            <w:r w:rsidRPr="004D7F9D">
              <w:rPr>
                <w:rFonts w:ascii="Calibri" w:hAnsi="Calibri" w:cs="Calibri"/>
                <w:b/>
                <w:sz w:val="22"/>
                <w:szCs w:val="22"/>
              </w:rPr>
              <w:t xml:space="preserve">court believed these facts established willfulness because, in its view, a telemarketer who uses </w:t>
            </w:r>
            <w:proofErr w:type="spellStart"/>
            <w:r w:rsidRPr="004D7F9D">
              <w:rPr>
                <w:rFonts w:ascii="Calibri" w:hAnsi="Calibri" w:cs="Calibri"/>
                <w:b/>
                <w:sz w:val="22"/>
                <w:szCs w:val="22"/>
              </w:rPr>
              <w:t>unscrubbed</w:t>
            </w:r>
            <w:proofErr w:type="spellEnd"/>
            <w:r w:rsidRPr="004D7F9D">
              <w:rPr>
                <w:rFonts w:ascii="Calibri" w:hAnsi="Calibri" w:cs="Calibri"/>
                <w:b/>
                <w:sz w:val="22"/>
                <w:szCs w:val="22"/>
              </w:rPr>
              <w:t xml:space="preserve"> lists knows it w</w:t>
            </w:r>
            <w:r>
              <w:rPr>
                <w:rFonts w:ascii="Calibri" w:hAnsi="Calibri" w:cs="Calibri"/>
                <w:b/>
                <w:sz w:val="22"/>
                <w:szCs w:val="22"/>
              </w:rPr>
              <w:t>ill call people on the Registry.  But w</w:t>
            </w:r>
            <w:r w:rsidRPr="004D7F9D">
              <w:rPr>
                <w:rFonts w:ascii="Calibri" w:hAnsi="Calibri" w:cs="Calibri"/>
                <w:b/>
                <w:sz w:val="22"/>
                <w:szCs w:val="22"/>
              </w:rPr>
              <w:t xml:space="preserve">hen DISH investigated, SSN </w:t>
            </w:r>
            <w:r>
              <w:rPr>
                <w:rFonts w:ascii="Calibri" w:hAnsi="Calibri" w:cs="Calibri"/>
                <w:b/>
                <w:sz w:val="22"/>
                <w:szCs w:val="22"/>
              </w:rPr>
              <w:t>explained that</w:t>
            </w:r>
            <w:r w:rsidRPr="004D7F9D">
              <w:rPr>
                <w:rFonts w:ascii="Calibri" w:hAnsi="Calibri" w:cs="Calibri"/>
                <w:b/>
                <w:sz w:val="22"/>
                <w:szCs w:val="22"/>
              </w:rPr>
              <w:t xml:space="preserve"> Krakauer and Campbell had been SSN customers, and so fell within a TCPA exception for established business relationships.  This </w:t>
            </w:r>
            <w:r>
              <w:rPr>
                <w:rFonts w:ascii="Calibri" w:hAnsi="Calibri" w:cs="Calibri"/>
                <w:b/>
                <w:sz w:val="22"/>
                <w:szCs w:val="22"/>
              </w:rPr>
              <w:t>didn’t indicate a</w:t>
            </w:r>
            <w:r w:rsidRPr="004D7F9D">
              <w:rPr>
                <w:rFonts w:ascii="Calibri" w:hAnsi="Calibri" w:cs="Calibri"/>
                <w:b/>
                <w:sz w:val="22"/>
                <w:szCs w:val="22"/>
              </w:rPr>
              <w:t xml:space="preserve"> widespread</w:t>
            </w:r>
            <w:r>
              <w:rPr>
                <w:rFonts w:ascii="Calibri" w:hAnsi="Calibri" w:cs="Calibri"/>
                <w:b/>
                <w:sz w:val="22"/>
                <w:szCs w:val="22"/>
              </w:rPr>
              <w:t xml:space="preserve"> </w:t>
            </w:r>
            <w:r w:rsidRPr="004D7F9D">
              <w:rPr>
                <w:rFonts w:ascii="Calibri" w:hAnsi="Calibri" w:cs="Calibri"/>
                <w:b/>
                <w:sz w:val="22"/>
                <w:szCs w:val="22"/>
              </w:rPr>
              <w:t>problem with scrubbing, because there is no obligation to scrub established business relationships against the Registry.</w:t>
            </w:r>
          </w:p>
        </w:tc>
      </w:tr>
      <w:tr w:rsidR="007C4BB5" w:rsidRPr="00907D75" w14:paraId="75628173" w14:textId="77777777" w:rsidTr="008649A2">
        <w:trPr>
          <w:trHeight w:val="4795"/>
        </w:trPr>
        <w:tc>
          <w:tcPr>
            <w:tcW w:w="5805" w:type="dxa"/>
            <w:vAlign w:val="center"/>
          </w:tcPr>
          <w:p w14:paraId="3B6EEA6F" w14:textId="2D9897CB"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DISH do after receiving the complaints about SSN?</w:t>
            </w:r>
          </w:p>
        </w:tc>
        <w:tc>
          <w:tcPr>
            <w:tcW w:w="5805" w:type="dxa"/>
            <w:vAlign w:val="center"/>
          </w:tcPr>
          <w:p w14:paraId="29246C7B" w14:textId="3E65AABF" w:rsidR="007C4BB5" w:rsidRPr="004D7F9D"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After SSN explained that Krakauer and Campbell had been SSN customers and fell within a TCPA exception for established business relationships, </w:t>
            </w:r>
            <w:r w:rsidRPr="004D7F9D">
              <w:rPr>
                <w:rFonts w:ascii="Calibri" w:hAnsi="Calibri" w:cs="Calibri"/>
                <w:b/>
                <w:sz w:val="22"/>
                <w:szCs w:val="22"/>
              </w:rPr>
              <w:t xml:space="preserve">DISH </w:t>
            </w:r>
            <w:r>
              <w:rPr>
                <w:rFonts w:ascii="Calibri" w:hAnsi="Calibri" w:cs="Calibri"/>
                <w:b/>
                <w:sz w:val="22"/>
                <w:szCs w:val="22"/>
              </w:rPr>
              <w:t xml:space="preserve">told </w:t>
            </w:r>
            <w:r w:rsidRPr="004D7F9D">
              <w:rPr>
                <w:rFonts w:ascii="Calibri" w:hAnsi="Calibri" w:cs="Calibri"/>
                <w:b/>
                <w:sz w:val="22"/>
                <w:szCs w:val="22"/>
              </w:rPr>
              <w:t>SSN to seek legal counsel to confirm its understanding of the established business relationship exception.  SSN promised it would never call either person again.  And DISH received no further complaints from people with</w:t>
            </w:r>
            <w:r>
              <w:rPr>
                <w:rFonts w:ascii="Calibri" w:hAnsi="Calibri" w:cs="Calibri"/>
                <w:b/>
                <w:sz w:val="22"/>
                <w:szCs w:val="22"/>
              </w:rPr>
              <w:t xml:space="preserve"> </w:t>
            </w:r>
            <w:r w:rsidRPr="004D7F9D">
              <w:rPr>
                <w:rFonts w:ascii="Calibri" w:hAnsi="Calibri" w:cs="Calibri"/>
                <w:b/>
                <w:sz w:val="22"/>
                <w:szCs w:val="22"/>
              </w:rPr>
              <w:t>whom SSN said it had established business relationships.</w:t>
            </w:r>
          </w:p>
        </w:tc>
      </w:tr>
      <w:tr w:rsidR="007C4BB5" w:rsidRPr="00907D75" w14:paraId="16BB4459" w14:textId="77777777" w:rsidTr="008649A2">
        <w:trPr>
          <w:trHeight w:val="4795"/>
        </w:trPr>
        <w:tc>
          <w:tcPr>
            <w:tcW w:w="5805" w:type="dxa"/>
            <w:vAlign w:val="center"/>
          </w:tcPr>
          <w:p w14:paraId="50179F66" w14:textId="7A6767D1"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argue that it violates due process to use the TCPA to punish </w:t>
            </w:r>
            <w:proofErr w:type="spellStart"/>
            <w:r>
              <w:rPr>
                <w:rFonts w:ascii="Calibri" w:hAnsi="Calibri" w:cs="Calibri"/>
                <w:b/>
                <w:sz w:val="28"/>
                <w:szCs w:val="28"/>
              </w:rPr>
              <w:t>DISH’s</w:t>
            </w:r>
            <w:proofErr w:type="spellEnd"/>
            <w:r>
              <w:rPr>
                <w:rFonts w:ascii="Calibri" w:hAnsi="Calibri" w:cs="Calibri"/>
                <w:b/>
                <w:sz w:val="28"/>
                <w:szCs w:val="28"/>
              </w:rPr>
              <w:t xml:space="preserve"> supposed non-compliance with the </w:t>
            </w:r>
            <w:proofErr w:type="spellStart"/>
            <w:r>
              <w:rPr>
                <w:rFonts w:ascii="Calibri" w:hAnsi="Calibri" w:cs="Calibri"/>
                <w:b/>
                <w:sz w:val="28"/>
                <w:szCs w:val="28"/>
              </w:rPr>
              <w:t>AVC</w:t>
            </w:r>
            <w:proofErr w:type="spellEnd"/>
            <w:r>
              <w:rPr>
                <w:rFonts w:ascii="Calibri" w:hAnsi="Calibri" w:cs="Calibri"/>
                <w:b/>
                <w:sz w:val="28"/>
                <w:szCs w:val="28"/>
              </w:rPr>
              <w:t>.  Please explain.</w:t>
            </w:r>
          </w:p>
        </w:tc>
        <w:tc>
          <w:tcPr>
            <w:tcW w:w="5805" w:type="dxa"/>
            <w:vAlign w:val="center"/>
          </w:tcPr>
          <w:p w14:paraId="354AEEE3" w14:textId="325C81AD" w:rsidR="007C4BB5" w:rsidRDefault="007C4BB5" w:rsidP="00525419">
            <w:pPr>
              <w:pStyle w:val="O-BodyText"/>
              <w:spacing w:after="120"/>
              <w:ind w:left="290" w:right="65"/>
              <w:jc w:val="both"/>
              <w:rPr>
                <w:rFonts w:ascii="Calibri" w:hAnsi="Calibri" w:cs="Calibri"/>
                <w:b/>
                <w:sz w:val="22"/>
                <w:szCs w:val="22"/>
              </w:rPr>
            </w:pPr>
            <w:r w:rsidRPr="004D7F9D">
              <w:rPr>
                <w:rFonts w:ascii="Calibri" w:hAnsi="Calibri" w:cs="Calibri"/>
                <w:b/>
                <w:sz w:val="22"/>
                <w:szCs w:val="22"/>
              </w:rPr>
              <w:t>“Due process does not permit courts, in the calculation of punitive damages, to adjudicate the</w:t>
            </w:r>
            <w:r>
              <w:t xml:space="preserve"> </w:t>
            </w:r>
            <w:r w:rsidRPr="004D7F9D">
              <w:rPr>
                <w:rFonts w:ascii="Calibri" w:hAnsi="Calibri" w:cs="Calibri"/>
                <w:b/>
                <w:sz w:val="22"/>
                <w:szCs w:val="22"/>
              </w:rPr>
              <w:t xml:space="preserve">merits of other parties’ hypothetical claims against a defendant under the guise of the reprehensibility analysis ….”  </w:t>
            </w:r>
            <w:r w:rsidRPr="004D7F9D">
              <w:rPr>
                <w:rFonts w:ascii="Calibri" w:hAnsi="Calibri" w:cs="Calibri"/>
                <w:b/>
                <w:i/>
                <w:sz w:val="22"/>
                <w:szCs w:val="22"/>
              </w:rPr>
              <w:t>State Farm Mut</w:t>
            </w:r>
            <w:proofErr w:type="gramStart"/>
            <w:r w:rsidRPr="004D7F9D">
              <w:rPr>
                <w:rFonts w:ascii="Calibri" w:hAnsi="Calibri" w:cs="Calibri"/>
                <w:b/>
                <w:i/>
                <w:sz w:val="22"/>
                <w:szCs w:val="22"/>
              </w:rPr>
              <w:t xml:space="preserve">. </w:t>
            </w:r>
            <w:proofErr w:type="gramEnd"/>
            <w:r w:rsidRPr="004D7F9D">
              <w:rPr>
                <w:rFonts w:ascii="Calibri" w:hAnsi="Calibri" w:cs="Calibri"/>
                <w:b/>
                <w:i/>
                <w:sz w:val="22"/>
                <w:szCs w:val="22"/>
              </w:rPr>
              <w:t>Auto</w:t>
            </w:r>
            <w:proofErr w:type="gramStart"/>
            <w:r w:rsidRPr="004D7F9D">
              <w:rPr>
                <w:rFonts w:ascii="Calibri" w:hAnsi="Calibri" w:cs="Calibri"/>
                <w:b/>
                <w:i/>
                <w:sz w:val="22"/>
                <w:szCs w:val="22"/>
              </w:rPr>
              <w:t xml:space="preserve">. </w:t>
            </w:r>
            <w:proofErr w:type="gramEnd"/>
            <w:r w:rsidRPr="004D7F9D">
              <w:rPr>
                <w:rFonts w:ascii="Calibri" w:hAnsi="Calibri" w:cs="Calibri"/>
                <w:b/>
                <w:i/>
                <w:sz w:val="22"/>
                <w:szCs w:val="22"/>
              </w:rPr>
              <w:t>Ins. v. Campbell</w:t>
            </w:r>
            <w:r>
              <w:rPr>
                <w:rFonts w:ascii="Calibri" w:hAnsi="Calibri" w:cs="Calibri"/>
                <w:b/>
                <w:sz w:val="22"/>
                <w:szCs w:val="22"/>
              </w:rPr>
              <w:t xml:space="preserve"> </w:t>
            </w:r>
            <w:r w:rsidRPr="004D7F9D">
              <w:rPr>
                <w:rFonts w:ascii="Calibri" w:hAnsi="Calibri" w:cs="Calibri"/>
                <w:b/>
                <w:sz w:val="22"/>
                <w:szCs w:val="22"/>
              </w:rPr>
              <w:t>(</w:t>
            </w:r>
            <w:r>
              <w:rPr>
                <w:rFonts w:ascii="Calibri" w:hAnsi="Calibri" w:cs="Calibri"/>
                <w:b/>
                <w:sz w:val="22"/>
                <w:szCs w:val="22"/>
              </w:rPr>
              <w:t xml:space="preserve">S. Ct. </w:t>
            </w:r>
            <w:r w:rsidRPr="004D7F9D">
              <w:rPr>
                <w:rFonts w:ascii="Calibri" w:hAnsi="Calibri" w:cs="Calibri"/>
                <w:b/>
                <w:sz w:val="22"/>
                <w:szCs w:val="22"/>
              </w:rPr>
              <w:t>2003)</w:t>
            </w:r>
            <w:r>
              <w:rPr>
                <w:rFonts w:ascii="Calibri" w:hAnsi="Calibri" w:cs="Calibri"/>
                <w:b/>
                <w:sz w:val="22"/>
                <w:szCs w:val="22"/>
              </w:rPr>
              <w:t>.</w:t>
            </w:r>
          </w:p>
        </w:tc>
      </w:tr>
      <w:tr w:rsidR="007C4BB5" w:rsidRPr="00907D75" w14:paraId="6A3C3C61" w14:textId="77777777" w:rsidTr="008649A2">
        <w:trPr>
          <w:trHeight w:val="4795"/>
        </w:trPr>
        <w:tc>
          <w:tcPr>
            <w:tcW w:w="5805" w:type="dxa"/>
            <w:vAlign w:val="center"/>
          </w:tcPr>
          <w:p w14:paraId="4D73522A" w14:textId="32C9735B"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For what purpose was the </w:t>
            </w:r>
            <w:proofErr w:type="spellStart"/>
            <w:r>
              <w:rPr>
                <w:rFonts w:ascii="Calibri" w:hAnsi="Calibri" w:cs="Calibri"/>
                <w:b/>
                <w:sz w:val="28"/>
                <w:szCs w:val="28"/>
              </w:rPr>
              <w:t>AVC</w:t>
            </w:r>
            <w:proofErr w:type="spellEnd"/>
            <w:r>
              <w:rPr>
                <w:rFonts w:ascii="Calibri" w:hAnsi="Calibri" w:cs="Calibri"/>
                <w:b/>
                <w:sz w:val="28"/>
                <w:szCs w:val="28"/>
              </w:rPr>
              <w:t xml:space="preserve"> admitted into evidence?</w:t>
            </w:r>
          </w:p>
        </w:tc>
        <w:tc>
          <w:tcPr>
            <w:tcW w:w="5805" w:type="dxa"/>
            <w:vAlign w:val="center"/>
          </w:tcPr>
          <w:p w14:paraId="5C23F35E" w14:textId="77B873DA" w:rsidR="007C4BB5" w:rsidRPr="004D7F9D"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8B4604">
              <w:rPr>
                <w:rFonts w:ascii="Calibri" w:hAnsi="Calibri" w:cs="Calibri"/>
                <w:b/>
                <w:sz w:val="22"/>
                <w:szCs w:val="22"/>
              </w:rPr>
              <w:t xml:space="preserve">he court admitted the </w:t>
            </w:r>
            <w:proofErr w:type="spellStart"/>
            <w:r w:rsidRPr="008B4604">
              <w:rPr>
                <w:rFonts w:ascii="Calibri" w:hAnsi="Calibri" w:cs="Calibri"/>
                <w:b/>
                <w:sz w:val="22"/>
                <w:szCs w:val="22"/>
              </w:rPr>
              <w:t>AVC</w:t>
            </w:r>
            <w:proofErr w:type="spellEnd"/>
            <w:r>
              <w:rPr>
                <w:rFonts w:ascii="Calibri" w:hAnsi="Calibri" w:cs="Calibri"/>
                <w:b/>
                <w:sz w:val="22"/>
                <w:szCs w:val="22"/>
              </w:rPr>
              <w:t xml:space="preserve"> into evidence</w:t>
            </w:r>
            <w:r w:rsidRPr="008B4604">
              <w:rPr>
                <w:rFonts w:ascii="Calibri" w:hAnsi="Calibri" w:cs="Calibri"/>
                <w:b/>
                <w:sz w:val="22"/>
                <w:szCs w:val="22"/>
              </w:rPr>
              <w:t>,</w:t>
            </w:r>
            <w:r>
              <w:rPr>
                <w:rFonts w:ascii="Calibri" w:hAnsi="Calibri" w:cs="Calibri"/>
                <w:b/>
                <w:sz w:val="22"/>
                <w:szCs w:val="22"/>
              </w:rPr>
              <w:t xml:space="preserve"> over </w:t>
            </w:r>
            <w:proofErr w:type="spellStart"/>
            <w:r>
              <w:rPr>
                <w:rFonts w:ascii="Calibri" w:hAnsi="Calibri" w:cs="Calibri"/>
                <w:b/>
                <w:sz w:val="22"/>
                <w:szCs w:val="22"/>
              </w:rPr>
              <w:t>DISH’s</w:t>
            </w:r>
            <w:proofErr w:type="spellEnd"/>
            <w:r>
              <w:rPr>
                <w:rFonts w:ascii="Calibri" w:hAnsi="Calibri" w:cs="Calibri"/>
                <w:b/>
                <w:sz w:val="22"/>
                <w:szCs w:val="22"/>
              </w:rPr>
              <w:t xml:space="preserve"> </w:t>
            </w:r>
            <w:r w:rsidRPr="008B4604">
              <w:rPr>
                <w:rFonts w:ascii="Calibri" w:hAnsi="Calibri" w:cs="Calibri"/>
                <w:b/>
                <w:sz w:val="22"/>
                <w:szCs w:val="22"/>
              </w:rPr>
              <w:t xml:space="preserve">Rule 403 objection, for one limited purpose: assessing agency.  The court therefore erred when it used the document to assess willfulness.  </w:t>
            </w:r>
            <w:r w:rsidRPr="008B4604">
              <w:rPr>
                <w:rFonts w:ascii="Calibri" w:hAnsi="Calibri" w:cs="Calibri"/>
                <w:b/>
                <w:i/>
                <w:sz w:val="22"/>
                <w:szCs w:val="22"/>
              </w:rPr>
              <w:t>United States v. Poole</w:t>
            </w:r>
            <w:r>
              <w:rPr>
                <w:rFonts w:ascii="Calibri" w:hAnsi="Calibri" w:cs="Calibri"/>
                <w:b/>
                <w:sz w:val="22"/>
                <w:szCs w:val="22"/>
              </w:rPr>
              <w:t xml:space="preserve"> </w:t>
            </w:r>
            <w:r w:rsidRPr="008B4604">
              <w:rPr>
                <w:rFonts w:ascii="Calibri" w:hAnsi="Calibri" w:cs="Calibri"/>
                <w:b/>
                <w:sz w:val="22"/>
                <w:szCs w:val="22"/>
              </w:rPr>
              <w:t>(4th Cir. 2011) (court erred when it “apparently gave some consideration to matters that were not in evidence in the case”)</w:t>
            </w:r>
            <w:r>
              <w:rPr>
                <w:rFonts w:ascii="Calibri" w:hAnsi="Calibri" w:cs="Calibri"/>
                <w:b/>
                <w:sz w:val="22"/>
                <w:szCs w:val="22"/>
              </w:rPr>
              <w:t xml:space="preserve">.  </w:t>
            </w:r>
          </w:p>
        </w:tc>
      </w:tr>
      <w:tr w:rsidR="007C4BB5" w:rsidRPr="00907D75" w14:paraId="24D44E34" w14:textId="77777777" w:rsidTr="008649A2">
        <w:trPr>
          <w:trHeight w:val="4795"/>
        </w:trPr>
        <w:tc>
          <w:tcPr>
            <w:tcW w:w="5805" w:type="dxa"/>
            <w:vAlign w:val="center"/>
          </w:tcPr>
          <w:p w14:paraId="3A6BAB3D" w14:textId="13BB9D7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DISH present any evidence of its compliance with the </w:t>
            </w:r>
            <w:proofErr w:type="spellStart"/>
            <w:r>
              <w:rPr>
                <w:rFonts w:ascii="Calibri" w:hAnsi="Calibri" w:cs="Calibri"/>
                <w:b/>
                <w:sz w:val="28"/>
                <w:szCs w:val="28"/>
              </w:rPr>
              <w:t>AVC</w:t>
            </w:r>
            <w:proofErr w:type="spellEnd"/>
            <w:r>
              <w:rPr>
                <w:rFonts w:ascii="Calibri" w:hAnsi="Calibri" w:cs="Calibri"/>
                <w:b/>
                <w:sz w:val="28"/>
                <w:szCs w:val="28"/>
              </w:rPr>
              <w:t>?</w:t>
            </w:r>
          </w:p>
        </w:tc>
        <w:tc>
          <w:tcPr>
            <w:tcW w:w="5805" w:type="dxa"/>
            <w:vAlign w:val="center"/>
          </w:tcPr>
          <w:p w14:paraId="4F9511AF" w14:textId="77AD2B48"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9E39F7">
              <w:rPr>
                <w:rFonts w:ascii="Calibri" w:hAnsi="Calibri" w:cs="Calibri"/>
                <w:b/>
                <w:sz w:val="22"/>
                <w:szCs w:val="22"/>
              </w:rPr>
              <w:t>Had DISH known that compliance with the agreement would be used to assess willfulness, it would have responded with evidence establishing its compliance.</w:t>
            </w:r>
          </w:p>
        </w:tc>
      </w:tr>
      <w:tr w:rsidR="007C4BB5" w:rsidRPr="00907D75" w14:paraId="07834160" w14:textId="77777777" w:rsidTr="008649A2">
        <w:trPr>
          <w:trHeight w:val="4795"/>
        </w:trPr>
        <w:tc>
          <w:tcPr>
            <w:tcW w:w="5805" w:type="dxa"/>
            <w:vAlign w:val="center"/>
          </w:tcPr>
          <w:p w14:paraId="5596FDD3" w14:textId="504DC332"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Has DISH complied with the </w:t>
            </w:r>
            <w:proofErr w:type="spellStart"/>
            <w:r>
              <w:rPr>
                <w:rFonts w:ascii="Calibri" w:hAnsi="Calibri" w:cs="Calibri"/>
                <w:b/>
                <w:sz w:val="28"/>
                <w:szCs w:val="28"/>
              </w:rPr>
              <w:t>AVC</w:t>
            </w:r>
            <w:proofErr w:type="spellEnd"/>
            <w:r>
              <w:rPr>
                <w:rFonts w:ascii="Calibri" w:hAnsi="Calibri" w:cs="Calibri"/>
                <w:b/>
                <w:sz w:val="28"/>
                <w:szCs w:val="28"/>
              </w:rPr>
              <w:t>?</w:t>
            </w:r>
          </w:p>
        </w:tc>
        <w:tc>
          <w:tcPr>
            <w:tcW w:w="5805" w:type="dxa"/>
            <w:vAlign w:val="center"/>
          </w:tcPr>
          <w:p w14:paraId="1C947CC5" w14:textId="4B7FEB24"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Yes.  As</w:t>
            </w:r>
            <w:r w:rsidRPr="00A15865">
              <w:rPr>
                <w:rFonts w:ascii="Calibri" w:hAnsi="Calibri" w:cs="Calibri"/>
                <w:b/>
                <w:sz w:val="22"/>
                <w:szCs w:val="22"/>
              </w:rPr>
              <w:t xml:space="preserve"> the federal court in Illinois found</w:t>
            </w:r>
            <w:r>
              <w:rPr>
                <w:rFonts w:ascii="Calibri" w:hAnsi="Calibri" w:cs="Calibri"/>
                <w:b/>
                <w:sz w:val="22"/>
                <w:szCs w:val="22"/>
              </w:rPr>
              <w:t xml:space="preserve">, </w:t>
            </w:r>
            <w:r w:rsidRPr="00A15865">
              <w:rPr>
                <w:rFonts w:ascii="Calibri" w:hAnsi="Calibri" w:cs="Calibri"/>
                <w:b/>
                <w:sz w:val="22"/>
                <w:szCs w:val="22"/>
              </w:rPr>
              <w:t xml:space="preserve">DISH made real changes </w:t>
            </w:r>
            <w:r>
              <w:rPr>
                <w:rFonts w:ascii="Calibri" w:hAnsi="Calibri" w:cs="Calibri"/>
                <w:b/>
                <w:sz w:val="22"/>
                <w:szCs w:val="22"/>
              </w:rPr>
              <w:t>in late 2008 and 2009.</w:t>
            </w:r>
            <w:r w:rsidR="00557E27">
              <w:rPr>
                <w:rFonts w:ascii="Calibri" w:hAnsi="Calibri" w:cs="Calibri"/>
                <w:b/>
                <w:sz w:val="22"/>
                <w:szCs w:val="22"/>
              </w:rPr>
              <w:t xml:space="preserve"> </w:t>
            </w:r>
            <w:r>
              <w:rPr>
                <w:rFonts w:ascii="Calibri" w:hAnsi="Calibri" w:cs="Calibri"/>
                <w:b/>
                <w:sz w:val="22"/>
                <w:szCs w:val="22"/>
              </w:rPr>
              <w:t xml:space="preserve"> It f</w:t>
            </w:r>
            <w:r w:rsidRPr="00A15865">
              <w:rPr>
                <w:rFonts w:ascii="Calibri" w:hAnsi="Calibri" w:cs="Calibri"/>
                <w:b/>
                <w:sz w:val="22"/>
                <w:szCs w:val="22"/>
              </w:rPr>
              <w:t>ired numerous Retailers, cut the number of Order Entry Retailers, and instituted changes in the Quality Assurance</w:t>
            </w:r>
            <w:r>
              <w:t xml:space="preserve"> </w:t>
            </w:r>
            <w:r>
              <w:rPr>
                <w:rFonts w:ascii="Calibri" w:hAnsi="Calibri" w:cs="Calibri"/>
                <w:b/>
                <w:sz w:val="22"/>
                <w:szCs w:val="22"/>
              </w:rPr>
              <w:t>program.</w:t>
            </w:r>
          </w:p>
        </w:tc>
      </w:tr>
      <w:tr w:rsidR="007C4BB5" w:rsidRPr="00907D75" w14:paraId="2E165A77" w14:textId="77777777" w:rsidTr="008649A2">
        <w:trPr>
          <w:trHeight w:val="4795"/>
        </w:trPr>
        <w:tc>
          <w:tcPr>
            <w:tcW w:w="5805" w:type="dxa"/>
            <w:vAlign w:val="center"/>
          </w:tcPr>
          <w:p w14:paraId="5269A5B3" w14:textId="03E08820"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Didn’t </w:t>
            </w:r>
            <w:proofErr w:type="spellStart"/>
            <w:r>
              <w:rPr>
                <w:rFonts w:ascii="Calibri" w:hAnsi="Calibri" w:cs="Calibri"/>
                <w:b/>
                <w:sz w:val="28"/>
                <w:szCs w:val="28"/>
              </w:rPr>
              <w:t>DISH’s</w:t>
            </w:r>
            <w:proofErr w:type="spellEnd"/>
            <w:r>
              <w:rPr>
                <w:rFonts w:ascii="Calibri" w:hAnsi="Calibri" w:cs="Calibri"/>
                <w:b/>
                <w:sz w:val="28"/>
                <w:szCs w:val="28"/>
              </w:rPr>
              <w:t xml:space="preserve"> corporate counsel warn the company’s top executives that </w:t>
            </w:r>
            <w:r w:rsidRPr="005329B1">
              <w:rPr>
                <w:rFonts w:ascii="Calibri" w:hAnsi="Calibri" w:cs="Calibri"/>
                <w:b/>
                <w:sz w:val="28"/>
                <w:szCs w:val="28"/>
              </w:rPr>
              <w:t>that “SSN is a problem because we know what he is doing and have cautioned him to stop.”  AB1, 10, 53</w:t>
            </w:r>
            <w:r>
              <w:rPr>
                <w:rFonts w:ascii="Calibri" w:hAnsi="Calibri" w:cs="Calibri"/>
                <w:b/>
                <w:sz w:val="28"/>
                <w:szCs w:val="28"/>
              </w:rPr>
              <w:t>.</w:t>
            </w:r>
          </w:p>
        </w:tc>
        <w:tc>
          <w:tcPr>
            <w:tcW w:w="5805" w:type="dxa"/>
            <w:vAlign w:val="center"/>
          </w:tcPr>
          <w:p w14:paraId="3A06B339" w14:textId="21CC78B2" w:rsidR="007C4BB5" w:rsidRDefault="007C4BB5" w:rsidP="00525419">
            <w:pPr>
              <w:pStyle w:val="O-BodyText"/>
              <w:spacing w:after="120"/>
              <w:ind w:left="290" w:right="65"/>
              <w:jc w:val="both"/>
              <w:rPr>
                <w:rFonts w:ascii="Calibri" w:hAnsi="Calibri" w:cs="Calibri"/>
                <w:b/>
                <w:sz w:val="22"/>
                <w:szCs w:val="22"/>
              </w:rPr>
            </w:pPr>
            <w:r>
              <w:rPr>
                <w:rFonts w:ascii="Calibri" w:hAnsi="Calibri" w:cs="Calibri"/>
                <w:b/>
                <w:sz w:val="22"/>
                <w:szCs w:val="22"/>
              </w:rPr>
              <w:t xml:space="preserve">Four points: (1) </w:t>
            </w:r>
            <w:r w:rsidRPr="005329B1">
              <w:rPr>
                <w:rFonts w:ascii="Calibri" w:hAnsi="Calibri" w:cs="Calibri"/>
                <w:b/>
                <w:sz w:val="22"/>
                <w:szCs w:val="22"/>
              </w:rPr>
              <w:t xml:space="preserve">Cautioning </w:t>
            </w:r>
            <w:r>
              <w:rPr>
                <w:rFonts w:ascii="Calibri" w:hAnsi="Calibri" w:cs="Calibri"/>
                <w:b/>
                <w:sz w:val="22"/>
                <w:szCs w:val="22"/>
              </w:rPr>
              <w:t xml:space="preserve">SSN </w:t>
            </w:r>
            <w:r w:rsidRPr="005329B1">
              <w:rPr>
                <w:rFonts w:ascii="Calibri" w:hAnsi="Calibri" w:cs="Calibri"/>
                <w:b/>
                <w:sz w:val="22"/>
                <w:szCs w:val="22"/>
              </w:rPr>
              <w:t>to stop</w:t>
            </w:r>
            <w:r>
              <w:rPr>
                <w:rFonts w:ascii="Calibri" w:hAnsi="Calibri" w:cs="Calibri"/>
                <w:b/>
                <w:sz w:val="22"/>
                <w:szCs w:val="22"/>
              </w:rPr>
              <w:t xml:space="preserve"> is the opposite of directing it</w:t>
            </w:r>
            <w:r w:rsidRPr="005329B1">
              <w:rPr>
                <w:rFonts w:ascii="Calibri" w:hAnsi="Calibri" w:cs="Calibri"/>
                <w:b/>
                <w:sz w:val="22"/>
                <w:szCs w:val="22"/>
              </w:rPr>
              <w:t xml:space="preserve"> to continue</w:t>
            </w:r>
            <w:r>
              <w:rPr>
                <w:rFonts w:ascii="Calibri" w:hAnsi="Calibri" w:cs="Calibri"/>
                <w:b/>
                <w:sz w:val="22"/>
                <w:szCs w:val="22"/>
              </w:rPr>
              <w:t>;</w:t>
            </w:r>
            <w:r w:rsidRPr="005329B1">
              <w:rPr>
                <w:rFonts w:ascii="Calibri" w:hAnsi="Calibri" w:cs="Calibri"/>
                <w:b/>
                <w:sz w:val="22"/>
                <w:szCs w:val="22"/>
              </w:rPr>
              <w:t xml:space="preserve"> </w:t>
            </w:r>
            <w:r>
              <w:rPr>
                <w:rFonts w:ascii="Calibri" w:hAnsi="Calibri" w:cs="Calibri"/>
                <w:b/>
                <w:sz w:val="22"/>
                <w:szCs w:val="22"/>
              </w:rPr>
              <w:t>(2) t</w:t>
            </w:r>
            <w:r w:rsidRPr="005329B1">
              <w:rPr>
                <w:rFonts w:ascii="Calibri" w:hAnsi="Calibri" w:cs="Calibri"/>
                <w:b/>
                <w:sz w:val="22"/>
                <w:szCs w:val="22"/>
              </w:rPr>
              <w:t>h</w:t>
            </w:r>
            <w:r>
              <w:rPr>
                <w:rFonts w:ascii="Calibri" w:hAnsi="Calibri" w:cs="Calibri"/>
                <w:b/>
                <w:sz w:val="22"/>
                <w:szCs w:val="22"/>
              </w:rPr>
              <w:t>e email is from September 2005—5</w:t>
            </w:r>
            <w:r w:rsidRPr="005329B1">
              <w:rPr>
                <w:rFonts w:ascii="Calibri" w:hAnsi="Calibri" w:cs="Calibri"/>
                <w:b/>
                <w:sz w:val="22"/>
                <w:szCs w:val="22"/>
              </w:rPr>
              <w:t xml:space="preserve"> years before the class period</w:t>
            </w:r>
            <w:r>
              <w:rPr>
                <w:rFonts w:ascii="Calibri" w:hAnsi="Calibri" w:cs="Calibri"/>
                <w:b/>
                <w:sz w:val="22"/>
                <w:szCs w:val="22"/>
              </w:rPr>
              <w:t>; (3) t</w:t>
            </w:r>
            <w:r w:rsidRPr="005329B1">
              <w:rPr>
                <w:rFonts w:ascii="Calibri" w:hAnsi="Calibri" w:cs="Calibri"/>
                <w:b/>
                <w:sz w:val="22"/>
                <w:szCs w:val="22"/>
              </w:rPr>
              <w:t>he calls that prompted</w:t>
            </w:r>
            <w:r>
              <w:rPr>
                <w:rFonts w:ascii="Calibri" w:hAnsi="Calibri" w:cs="Calibri"/>
                <w:b/>
                <w:sz w:val="22"/>
                <w:szCs w:val="22"/>
              </w:rPr>
              <w:t xml:space="preserve"> the email weren’t from </w:t>
            </w:r>
            <w:r w:rsidRPr="005329B1">
              <w:rPr>
                <w:rFonts w:ascii="Calibri" w:hAnsi="Calibri" w:cs="Calibri"/>
                <w:b/>
                <w:sz w:val="22"/>
                <w:szCs w:val="22"/>
              </w:rPr>
              <w:t>SSN</w:t>
            </w:r>
            <w:r>
              <w:rPr>
                <w:rFonts w:ascii="Calibri" w:hAnsi="Calibri" w:cs="Calibri"/>
                <w:b/>
                <w:sz w:val="22"/>
                <w:szCs w:val="22"/>
              </w:rPr>
              <w:t>; and (4) the</w:t>
            </w:r>
            <w:r w:rsidRPr="005329B1">
              <w:rPr>
                <w:rFonts w:ascii="Calibri" w:hAnsi="Calibri" w:cs="Calibri"/>
                <w:b/>
                <w:sz w:val="22"/>
                <w:szCs w:val="22"/>
              </w:rPr>
              <w:t xml:space="preserve"> email addressed robocall</w:t>
            </w:r>
            <w:r>
              <w:rPr>
                <w:rFonts w:ascii="Calibri" w:hAnsi="Calibri" w:cs="Calibri"/>
                <w:b/>
                <w:sz w:val="22"/>
                <w:szCs w:val="22"/>
              </w:rPr>
              <w:t>ing that SSN ceased that year.</w:t>
            </w:r>
          </w:p>
        </w:tc>
      </w:tr>
      <w:tr w:rsidR="007C4BB5" w:rsidRPr="00907D75" w14:paraId="4E90E69F" w14:textId="77777777" w:rsidTr="008649A2">
        <w:trPr>
          <w:trHeight w:val="4795"/>
        </w:trPr>
        <w:tc>
          <w:tcPr>
            <w:tcW w:w="5805" w:type="dxa"/>
            <w:vAlign w:val="center"/>
          </w:tcPr>
          <w:p w14:paraId="2F3565CE" w14:textId="5D39A6E6"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Didn’t Congress want to </w:t>
            </w:r>
            <w:r w:rsidRPr="00AC1157">
              <w:rPr>
                <w:rFonts w:ascii="Calibri" w:hAnsi="Calibri" w:cs="Calibri"/>
                <w:b/>
                <w:sz w:val="28"/>
                <w:szCs w:val="28"/>
              </w:rPr>
              <w:t>encourage private enforcement</w:t>
            </w:r>
            <w:r>
              <w:rPr>
                <w:rFonts w:ascii="Calibri" w:hAnsi="Calibri" w:cs="Calibri"/>
                <w:b/>
                <w:sz w:val="28"/>
                <w:szCs w:val="28"/>
              </w:rPr>
              <w:t xml:space="preserve"> under Section 227(c)(5) for people who receive </w:t>
            </w:r>
            <w:r w:rsidRPr="00AC1157">
              <w:rPr>
                <w:rFonts w:ascii="Calibri" w:hAnsi="Calibri" w:cs="Calibri"/>
                <w:b/>
                <w:sz w:val="28"/>
                <w:szCs w:val="28"/>
              </w:rPr>
              <w:t xml:space="preserve">repeated </w:t>
            </w:r>
            <w:r>
              <w:rPr>
                <w:rFonts w:ascii="Calibri" w:hAnsi="Calibri" w:cs="Calibri"/>
                <w:b/>
                <w:sz w:val="28"/>
                <w:szCs w:val="28"/>
              </w:rPr>
              <w:t>unsolicited telemarketing calls?</w:t>
            </w:r>
          </w:p>
        </w:tc>
        <w:tc>
          <w:tcPr>
            <w:tcW w:w="5805" w:type="dxa"/>
            <w:vAlign w:val="center"/>
          </w:tcPr>
          <w:p w14:paraId="2E8F67E1" w14:textId="1605B13D" w:rsidR="007C4BB5" w:rsidRPr="00AC1157" w:rsidRDefault="00557E27" w:rsidP="00525419">
            <w:pPr>
              <w:pStyle w:val="O-BodyText"/>
              <w:spacing w:after="120"/>
              <w:ind w:right="65"/>
              <w:jc w:val="both"/>
              <w:rPr>
                <w:rFonts w:ascii="Calibri" w:hAnsi="Calibri" w:cs="Calibri"/>
                <w:b/>
                <w:sz w:val="22"/>
                <w:szCs w:val="22"/>
                <w:highlight w:val="yellow"/>
              </w:rPr>
            </w:pPr>
            <w:r>
              <w:rPr>
                <w:rFonts w:ascii="Calibri" w:hAnsi="Calibri" w:cs="Calibri"/>
                <w:b/>
                <w:sz w:val="22"/>
                <w:szCs w:val="22"/>
                <w:highlight w:val="yellow"/>
              </w:rPr>
              <w:t>[Explain.]</w:t>
            </w:r>
          </w:p>
        </w:tc>
      </w:tr>
      <w:tr w:rsidR="007C4BB5" w:rsidRPr="00907D75" w14:paraId="2DBFCD88" w14:textId="77777777" w:rsidTr="008649A2">
        <w:trPr>
          <w:trHeight w:val="4795"/>
        </w:trPr>
        <w:tc>
          <w:tcPr>
            <w:tcW w:w="5805" w:type="dxa"/>
            <w:vAlign w:val="center"/>
          </w:tcPr>
          <w:p w14:paraId="34793410" w14:textId="05DFB28D"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How do telemarketers like SSN get paid?</w:t>
            </w:r>
          </w:p>
        </w:tc>
        <w:tc>
          <w:tcPr>
            <w:tcW w:w="5805" w:type="dxa"/>
            <w:vAlign w:val="center"/>
          </w:tcPr>
          <w:p w14:paraId="28CF24B4" w14:textId="2BDF3241" w:rsidR="007C4BB5" w:rsidRDefault="007C4BB5" w:rsidP="00525419">
            <w:pPr>
              <w:pStyle w:val="O-BodyText"/>
              <w:spacing w:after="120"/>
              <w:ind w:right="65"/>
              <w:jc w:val="both"/>
              <w:rPr>
                <w:rFonts w:ascii="Calibri" w:hAnsi="Calibri" w:cs="Calibri"/>
                <w:b/>
                <w:sz w:val="22"/>
                <w:szCs w:val="22"/>
                <w:highlight w:val="yellow"/>
              </w:rPr>
            </w:pPr>
            <w:r>
              <w:rPr>
                <w:rFonts w:ascii="Calibri" w:hAnsi="Calibri" w:cs="Calibri"/>
                <w:b/>
                <w:sz w:val="22"/>
                <w:szCs w:val="22"/>
                <w:highlight w:val="yellow"/>
              </w:rPr>
              <w:t>They get paid through commissions on sales volume.  AB8.</w:t>
            </w:r>
          </w:p>
        </w:tc>
      </w:tr>
      <w:tr w:rsidR="007C4BB5" w:rsidRPr="00907D75" w14:paraId="739B62CE" w14:textId="77777777" w:rsidTr="008649A2">
        <w:trPr>
          <w:trHeight w:val="4795"/>
        </w:trPr>
        <w:tc>
          <w:tcPr>
            <w:tcW w:w="5805" w:type="dxa"/>
            <w:vAlign w:val="center"/>
          </w:tcPr>
          <w:p w14:paraId="4B6B19E6" w14:textId="1EE468DF"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Plaintiffs argue that </w:t>
            </w:r>
            <w:proofErr w:type="spellStart"/>
            <w:r>
              <w:rPr>
                <w:rFonts w:ascii="Calibri" w:hAnsi="Calibri" w:cs="Calibri"/>
                <w:b/>
                <w:sz w:val="28"/>
                <w:szCs w:val="28"/>
              </w:rPr>
              <w:t>DISH’s</w:t>
            </w:r>
            <w:proofErr w:type="spellEnd"/>
            <w:r>
              <w:rPr>
                <w:rFonts w:ascii="Calibri" w:hAnsi="Calibri" w:cs="Calibri"/>
                <w:b/>
                <w:sz w:val="28"/>
                <w:szCs w:val="28"/>
              </w:rPr>
              <w:t xml:space="preserve"> contract with SSN gave DISH</w:t>
            </w:r>
            <w:r w:rsidRPr="000C02DF">
              <w:rPr>
                <w:rFonts w:ascii="Calibri" w:hAnsi="Calibri" w:cs="Calibri"/>
                <w:b/>
                <w:sz w:val="28"/>
                <w:szCs w:val="28"/>
              </w:rPr>
              <w:t xml:space="preserve"> virtually unlimited power to monitor and control SSN and its telemarketing calls.</w:t>
            </w:r>
            <w:r>
              <w:rPr>
                <w:rFonts w:ascii="Calibri" w:hAnsi="Calibri" w:cs="Calibri"/>
                <w:b/>
                <w:sz w:val="28"/>
                <w:szCs w:val="28"/>
              </w:rPr>
              <w:t xml:space="preserve">  AB9.  What control did DISH have over SSN?</w:t>
            </w:r>
          </w:p>
        </w:tc>
        <w:tc>
          <w:tcPr>
            <w:tcW w:w="5805" w:type="dxa"/>
            <w:vAlign w:val="center"/>
          </w:tcPr>
          <w:p w14:paraId="66CD78AD" w14:textId="08FC74F6" w:rsidR="007C4BB5" w:rsidRDefault="007C4BB5" w:rsidP="00525419">
            <w:pPr>
              <w:pStyle w:val="O-BodyText"/>
              <w:spacing w:after="120"/>
              <w:ind w:right="65"/>
              <w:jc w:val="both"/>
              <w:rPr>
                <w:rFonts w:ascii="Calibri" w:hAnsi="Calibri" w:cs="Calibri"/>
                <w:b/>
                <w:sz w:val="22"/>
                <w:szCs w:val="22"/>
                <w:highlight w:val="yellow"/>
              </w:rPr>
            </w:pPr>
            <w:r>
              <w:rPr>
                <w:rFonts w:ascii="Calibri" w:hAnsi="Calibri" w:cs="Calibri"/>
                <w:b/>
                <w:sz w:val="22"/>
                <w:szCs w:val="22"/>
                <w:highlight w:val="yellow"/>
              </w:rPr>
              <w:t>[Explain.]</w:t>
            </w:r>
          </w:p>
        </w:tc>
      </w:tr>
      <w:tr w:rsidR="007C4BB5" w:rsidRPr="00907D75" w14:paraId="1BB77CE7" w14:textId="77777777" w:rsidTr="008649A2">
        <w:trPr>
          <w:trHeight w:val="4795"/>
        </w:trPr>
        <w:tc>
          <w:tcPr>
            <w:tcW w:w="5805" w:type="dxa"/>
            <w:vAlign w:val="center"/>
          </w:tcPr>
          <w:p w14:paraId="714F2D91" w14:textId="1B490B6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Plaintiffs argue that DISH had control over SSN’s marketing.  Did it?</w:t>
            </w:r>
          </w:p>
        </w:tc>
        <w:tc>
          <w:tcPr>
            <w:tcW w:w="5805" w:type="dxa"/>
            <w:vAlign w:val="center"/>
          </w:tcPr>
          <w:p w14:paraId="05940CB0" w14:textId="3019EF9C" w:rsidR="007C4BB5" w:rsidRDefault="007C4BB5" w:rsidP="00525419">
            <w:pPr>
              <w:pStyle w:val="O-BodyText"/>
              <w:spacing w:after="120"/>
              <w:ind w:right="65"/>
              <w:jc w:val="both"/>
              <w:rPr>
                <w:rFonts w:ascii="Calibri" w:hAnsi="Calibri" w:cs="Calibri"/>
                <w:b/>
                <w:sz w:val="22"/>
                <w:szCs w:val="22"/>
                <w:highlight w:val="yellow"/>
              </w:rPr>
            </w:pPr>
            <w:r>
              <w:rPr>
                <w:rFonts w:ascii="Calibri" w:hAnsi="Calibri" w:cs="Calibri"/>
                <w:b/>
                <w:sz w:val="22"/>
                <w:szCs w:val="22"/>
              </w:rPr>
              <w:t xml:space="preserve">No.  The district court </w:t>
            </w:r>
            <w:r w:rsidRPr="00A17DFF">
              <w:rPr>
                <w:rFonts w:ascii="Calibri" w:hAnsi="Calibri" w:cs="Calibri"/>
                <w:b/>
                <w:sz w:val="22"/>
                <w:szCs w:val="22"/>
              </w:rPr>
              <w:t>found that “Dish did not own SSN or direct its day-to-day operations.”</w:t>
            </w:r>
            <w:r>
              <w:rPr>
                <w:rFonts w:ascii="Calibri" w:hAnsi="Calibri" w:cs="Calibri"/>
                <w:b/>
                <w:sz w:val="22"/>
                <w:szCs w:val="22"/>
              </w:rPr>
              <w:t xml:space="preserve"> Rather than </w:t>
            </w:r>
            <w:r w:rsidRPr="00A17DFF">
              <w:rPr>
                <w:rFonts w:ascii="Calibri" w:hAnsi="Calibri" w:cs="Calibri"/>
                <w:b/>
                <w:i/>
                <w:sz w:val="22"/>
                <w:szCs w:val="22"/>
              </w:rPr>
              <w:t>operational control</w:t>
            </w:r>
            <w:r>
              <w:rPr>
                <w:rFonts w:ascii="Calibri" w:hAnsi="Calibri" w:cs="Calibri"/>
                <w:b/>
                <w:sz w:val="22"/>
                <w:szCs w:val="22"/>
              </w:rPr>
              <w:t xml:space="preserve">, DISH tried to maintain </w:t>
            </w:r>
            <w:r w:rsidRPr="00A17DFF">
              <w:rPr>
                <w:rFonts w:ascii="Calibri" w:hAnsi="Calibri" w:cs="Calibri"/>
                <w:b/>
                <w:i/>
                <w:sz w:val="22"/>
                <w:szCs w:val="22"/>
              </w:rPr>
              <w:t>quality control</w:t>
            </w:r>
            <w:r>
              <w:rPr>
                <w:rFonts w:ascii="Calibri" w:hAnsi="Calibri" w:cs="Calibri"/>
                <w:b/>
                <w:sz w:val="22"/>
                <w:szCs w:val="22"/>
              </w:rPr>
              <w:t xml:space="preserve"> over its retailers.</w:t>
            </w:r>
          </w:p>
        </w:tc>
      </w:tr>
      <w:tr w:rsidR="007C4BB5" w:rsidRPr="00907D75" w14:paraId="6FCA2915" w14:textId="77777777" w:rsidTr="008649A2">
        <w:trPr>
          <w:trHeight w:val="4795"/>
        </w:trPr>
        <w:tc>
          <w:tcPr>
            <w:tcW w:w="5805" w:type="dxa"/>
            <w:vAlign w:val="center"/>
          </w:tcPr>
          <w:p w14:paraId="49DC6387" w14:textId="27630A58"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kind of quality control measures did DISH impose on SSN?</w:t>
            </w:r>
          </w:p>
        </w:tc>
        <w:tc>
          <w:tcPr>
            <w:tcW w:w="5805" w:type="dxa"/>
            <w:vAlign w:val="center"/>
          </w:tcPr>
          <w:p w14:paraId="26E30F2E" w14:textId="7343E96D" w:rsidR="007C4BB5" w:rsidRPr="00A17DFF" w:rsidRDefault="007C4BB5" w:rsidP="00525419">
            <w:pPr>
              <w:pStyle w:val="O-BodyText"/>
              <w:spacing w:after="120"/>
              <w:ind w:right="65"/>
              <w:jc w:val="both"/>
              <w:rPr>
                <w:rFonts w:ascii="Calibri" w:hAnsi="Calibri" w:cs="Calibri"/>
                <w:b/>
                <w:sz w:val="22"/>
                <w:szCs w:val="22"/>
              </w:rPr>
            </w:pPr>
            <w:r w:rsidRPr="00AA66D0">
              <w:rPr>
                <w:rFonts w:ascii="Calibri" w:hAnsi="Calibri" w:cs="Calibri"/>
                <w:b/>
                <w:sz w:val="22"/>
                <w:szCs w:val="22"/>
              </w:rPr>
              <w:t xml:space="preserve">The </w:t>
            </w:r>
            <w:r>
              <w:rPr>
                <w:rFonts w:ascii="Calibri" w:hAnsi="Calibri" w:cs="Calibri"/>
                <w:b/>
                <w:sz w:val="22"/>
                <w:szCs w:val="22"/>
              </w:rPr>
              <w:t>Retailer Agreements</w:t>
            </w:r>
            <w:r w:rsidRPr="00AA66D0">
              <w:rPr>
                <w:rFonts w:ascii="Calibri" w:hAnsi="Calibri" w:cs="Calibri"/>
                <w:b/>
                <w:sz w:val="22"/>
                <w:szCs w:val="22"/>
              </w:rPr>
              <w:t xml:space="preserve"> grant DISH the power to decide what programming packages to sell, and at what price—and requires SSN to properly disclose information to customers.  This is classic quality control that cannot create agency.</w:t>
            </w:r>
          </w:p>
        </w:tc>
      </w:tr>
      <w:tr w:rsidR="007C4BB5" w:rsidRPr="00907D75" w14:paraId="4456D420" w14:textId="77777777" w:rsidTr="008649A2">
        <w:trPr>
          <w:trHeight w:val="4795"/>
        </w:trPr>
        <w:tc>
          <w:tcPr>
            <w:tcW w:w="5805" w:type="dxa"/>
            <w:vAlign w:val="center"/>
          </w:tcPr>
          <w:p w14:paraId="2D42A668" w14:textId="3BEF64E9"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Plaintiffs argue that DISH wrote, approved, and monitored SSN scripts.  Is this accurate?</w:t>
            </w:r>
          </w:p>
        </w:tc>
        <w:tc>
          <w:tcPr>
            <w:tcW w:w="5805" w:type="dxa"/>
            <w:vAlign w:val="center"/>
          </w:tcPr>
          <w:p w14:paraId="70F6BA52" w14:textId="146AF15F" w:rsidR="007C4BB5" w:rsidRPr="00AA66D0" w:rsidRDefault="003B3557" w:rsidP="00525419">
            <w:pPr>
              <w:pStyle w:val="O-BodyText"/>
              <w:spacing w:after="120"/>
              <w:ind w:right="65"/>
              <w:jc w:val="both"/>
              <w:rPr>
                <w:rFonts w:ascii="Calibri" w:hAnsi="Calibri" w:cs="Calibri"/>
                <w:b/>
                <w:sz w:val="22"/>
                <w:szCs w:val="22"/>
              </w:rPr>
            </w:pPr>
            <w:r>
              <w:rPr>
                <w:rFonts w:ascii="Calibri" w:hAnsi="Calibri" w:cs="Calibri"/>
                <w:b/>
                <w:sz w:val="22"/>
                <w:szCs w:val="22"/>
                <w:highlight w:val="yellow"/>
              </w:rPr>
              <w:t>[Explain.]</w:t>
            </w:r>
          </w:p>
        </w:tc>
      </w:tr>
      <w:tr w:rsidR="007C4BB5" w:rsidRPr="00907D75" w14:paraId="69AD4C4C" w14:textId="77777777" w:rsidTr="008649A2">
        <w:trPr>
          <w:trHeight w:val="4795"/>
        </w:trPr>
        <w:tc>
          <w:tcPr>
            <w:tcW w:w="5805" w:type="dxa"/>
            <w:vAlign w:val="center"/>
          </w:tcPr>
          <w:p w14:paraId="528AE7EF" w14:textId="56DD590B"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Do quality control measures create an agency relationship?</w:t>
            </w:r>
          </w:p>
        </w:tc>
        <w:tc>
          <w:tcPr>
            <w:tcW w:w="5805" w:type="dxa"/>
            <w:vAlign w:val="center"/>
          </w:tcPr>
          <w:p w14:paraId="35F095BD" w14:textId="196884EE"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w:t>
            </w:r>
            <w:r w:rsidRPr="005B29D3">
              <w:rPr>
                <w:rFonts w:ascii="Calibri" w:hAnsi="Calibri" w:cs="Calibri"/>
                <w:b/>
                <w:sz w:val="22"/>
                <w:szCs w:val="22"/>
              </w:rPr>
              <w:t xml:space="preserve">Agency law recognizes that a business must be free to impose standards </w:t>
            </w:r>
            <w:r>
              <w:rPr>
                <w:rFonts w:ascii="Calibri" w:hAnsi="Calibri" w:cs="Calibri"/>
                <w:b/>
                <w:sz w:val="22"/>
                <w:szCs w:val="22"/>
              </w:rPr>
              <w:t>f</w:t>
            </w:r>
            <w:r w:rsidRPr="005B29D3">
              <w:rPr>
                <w:rFonts w:ascii="Calibri" w:hAnsi="Calibri" w:cs="Calibri"/>
                <w:b/>
                <w:sz w:val="22"/>
                <w:szCs w:val="22"/>
              </w:rPr>
              <w:t>or acceptable service quality</w:t>
            </w:r>
            <w:r>
              <w:rPr>
                <w:rFonts w:ascii="Calibri" w:hAnsi="Calibri" w:cs="Calibri"/>
                <w:b/>
                <w:sz w:val="22"/>
                <w:szCs w:val="22"/>
              </w:rPr>
              <w:t xml:space="preserve"> </w:t>
            </w:r>
            <w:r w:rsidRPr="005B29D3">
              <w:rPr>
                <w:rFonts w:ascii="Calibri" w:hAnsi="Calibri" w:cs="Calibri"/>
                <w:b/>
                <w:sz w:val="22"/>
                <w:szCs w:val="22"/>
              </w:rPr>
              <w:t xml:space="preserve">without running </w:t>
            </w:r>
            <w:r>
              <w:rPr>
                <w:rFonts w:ascii="Calibri" w:hAnsi="Calibri" w:cs="Calibri"/>
                <w:b/>
                <w:sz w:val="22"/>
                <w:szCs w:val="22"/>
              </w:rPr>
              <w:t xml:space="preserve">the risk of transforming </w:t>
            </w:r>
            <w:r w:rsidRPr="005B29D3">
              <w:rPr>
                <w:rFonts w:ascii="Calibri" w:hAnsi="Calibri" w:cs="Calibri"/>
                <w:b/>
                <w:sz w:val="22"/>
                <w:szCs w:val="22"/>
              </w:rPr>
              <w:t>an independent contractor</w:t>
            </w:r>
            <w:r>
              <w:rPr>
                <w:rFonts w:ascii="Calibri" w:hAnsi="Calibri" w:cs="Calibri"/>
                <w:b/>
                <w:sz w:val="22"/>
                <w:szCs w:val="22"/>
              </w:rPr>
              <w:t xml:space="preserve"> i</w:t>
            </w:r>
            <w:r w:rsidRPr="005B29D3">
              <w:rPr>
                <w:rFonts w:ascii="Calibri" w:hAnsi="Calibri" w:cs="Calibri"/>
                <w:b/>
                <w:sz w:val="22"/>
                <w:szCs w:val="22"/>
              </w:rPr>
              <w:t>nto an agent</w:t>
            </w:r>
            <w:r>
              <w:rPr>
                <w:rFonts w:ascii="Calibri" w:hAnsi="Calibri" w:cs="Calibri"/>
                <w:b/>
                <w:sz w:val="22"/>
                <w:szCs w:val="22"/>
              </w:rPr>
              <w:t xml:space="preserve">.  </w:t>
            </w:r>
            <w:r w:rsidRPr="005B29D3">
              <w:rPr>
                <w:rFonts w:ascii="Calibri" w:hAnsi="Calibri" w:cs="Calibri"/>
                <w:b/>
                <w:sz w:val="22"/>
                <w:szCs w:val="22"/>
              </w:rPr>
              <w:t xml:space="preserve">Restatement (Third) of Agency § 1.01 </w:t>
            </w:r>
            <w:proofErr w:type="spellStart"/>
            <w:r w:rsidRPr="005B29D3">
              <w:rPr>
                <w:rFonts w:ascii="Calibri" w:hAnsi="Calibri" w:cs="Calibri"/>
                <w:b/>
                <w:sz w:val="22"/>
                <w:szCs w:val="22"/>
              </w:rPr>
              <w:t>cmt</w:t>
            </w:r>
            <w:proofErr w:type="spellEnd"/>
            <w:proofErr w:type="gramStart"/>
            <w:r w:rsidRPr="005B29D3">
              <w:rPr>
                <w:rFonts w:ascii="Calibri" w:hAnsi="Calibri" w:cs="Calibri"/>
                <w:b/>
                <w:sz w:val="22"/>
                <w:szCs w:val="22"/>
              </w:rPr>
              <w:t>. f(</w:t>
            </w:r>
            <w:proofErr w:type="gramEnd"/>
            <w:r w:rsidRPr="005B29D3">
              <w:rPr>
                <w:rFonts w:ascii="Calibri" w:hAnsi="Calibri" w:cs="Calibri"/>
                <w:b/>
                <w:sz w:val="22"/>
                <w:szCs w:val="22"/>
              </w:rPr>
              <w:t>1)</w:t>
            </w:r>
            <w:r>
              <w:rPr>
                <w:rFonts w:ascii="Calibri" w:hAnsi="Calibri" w:cs="Calibri"/>
                <w:b/>
                <w:sz w:val="22"/>
                <w:szCs w:val="22"/>
              </w:rPr>
              <w:t xml:space="preserve">; </w:t>
            </w:r>
            <w:proofErr w:type="spellStart"/>
            <w:r w:rsidRPr="005B29D3">
              <w:rPr>
                <w:rFonts w:ascii="Calibri" w:hAnsi="Calibri" w:cs="Calibri"/>
                <w:b/>
                <w:i/>
                <w:sz w:val="22"/>
                <w:szCs w:val="22"/>
              </w:rPr>
              <w:t>Cislaw</w:t>
            </w:r>
            <w:proofErr w:type="spellEnd"/>
            <w:r w:rsidRPr="005B29D3">
              <w:rPr>
                <w:rFonts w:ascii="Calibri" w:hAnsi="Calibri" w:cs="Calibri"/>
                <w:b/>
                <w:i/>
                <w:sz w:val="22"/>
                <w:szCs w:val="22"/>
              </w:rPr>
              <w:t xml:space="preserve"> v. Southland Corp.</w:t>
            </w:r>
            <w:r>
              <w:rPr>
                <w:rFonts w:ascii="Calibri" w:hAnsi="Calibri" w:cs="Calibri"/>
                <w:b/>
                <w:sz w:val="22"/>
                <w:szCs w:val="22"/>
              </w:rPr>
              <w:t xml:space="preserve"> </w:t>
            </w:r>
            <w:r w:rsidRPr="005B29D3">
              <w:rPr>
                <w:rFonts w:ascii="Calibri" w:hAnsi="Calibri" w:cs="Calibri"/>
                <w:b/>
                <w:sz w:val="22"/>
                <w:szCs w:val="22"/>
              </w:rPr>
              <w:t>(</w:t>
            </w:r>
            <w:r>
              <w:rPr>
                <w:rFonts w:ascii="Calibri" w:hAnsi="Calibri" w:cs="Calibri"/>
                <w:b/>
                <w:sz w:val="22"/>
                <w:szCs w:val="22"/>
              </w:rPr>
              <w:t xml:space="preserve">Cal. App. </w:t>
            </w:r>
            <w:r w:rsidRPr="005B29D3">
              <w:rPr>
                <w:rFonts w:ascii="Calibri" w:hAnsi="Calibri" w:cs="Calibri"/>
                <w:b/>
                <w:sz w:val="22"/>
                <w:szCs w:val="22"/>
              </w:rPr>
              <w:t>1992).</w:t>
            </w:r>
          </w:p>
        </w:tc>
      </w:tr>
      <w:tr w:rsidR="007C4BB5" w:rsidRPr="00907D75" w14:paraId="3D94DCB3" w14:textId="77777777" w:rsidTr="008649A2">
        <w:trPr>
          <w:trHeight w:val="4795"/>
        </w:trPr>
        <w:tc>
          <w:tcPr>
            <w:tcW w:w="5805" w:type="dxa"/>
            <w:vAlign w:val="center"/>
          </w:tcPr>
          <w:p w14:paraId="6101DD9A" w14:textId="58E9D55B"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would be the kind of operational control that would create an agency relationship?</w:t>
            </w:r>
          </w:p>
        </w:tc>
        <w:tc>
          <w:tcPr>
            <w:tcW w:w="5805" w:type="dxa"/>
            <w:vAlign w:val="center"/>
          </w:tcPr>
          <w:p w14:paraId="1F9F4E8B" w14:textId="15D269C0" w:rsidR="007C4BB5" w:rsidRDefault="007C4BB5" w:rsidP="00525419">
            <w:pPr>
              <w:pStyle w:val="O-BodyText"/>
              <w:spacing w:after="120"/>
              <w:ind w:right="65"/>
              <w:jc w:val="both"/>
              <w:rPr>
                <w:rFonts w:ascii="Calibri" w:hAnsi="Calibri" w:cs="Calibri"/>
                <w:b/>
                <w:sz w:val="22"/>
                <w:szCs w:val="22"/>
              </w:rPr>
            </w:pPr>
            <w:r w:rsidRPr="00AA66D0">
              <w:rPr>
                <w:rFonts w:ascii="Calibri" w:hAnsi="Calibri" w:cs="Calibri"/>
                <w:b/>
                <w:i/>
                <w:sz w:val="22"/>
                <w:szCs w:val="22"/>
              </w:rPr>
              <w:t>Huggins v. FedEx Ground Package Sys</w:t>
            </w:r>
            <w:proofErr w:type="gramStart"/>
            <w:r>
              <w:rPr>
                <w:rFonts w:ascii="Calibri" w:hAnsi="Calibri" w:cs="Calibri"/>
                <w:b/>
                <w:i/>
                <w:sz w:val="22"/>
                <w:szCs w:val="22"/>
              </w:rPr>
              <w:t>.</w:t>
            </w:r>
            <w:r w:rsidRPr="00AA66D0">
              <w:rPr>
                <w:rFonts w:ascii="Calibri" w:hAnsi="Calibri" w:cs="Calibri"/>
                <w:b/>
                <w:sz w:val="22"/>
                <w:szCs w:val="22"/>
              </w:rPr>
              <w:t xml:space="preserve"> </w:t>
            </w:r>
            <w:proofErr w:type="gramEnd"/>
            <w:r w:rsidRPr="00AA66D0">
              <w:rPr>
                <w:rFonts w:ascii="Calibri" w:hAnsi="Calibri" w:cs="Calibri"/>
                <w:b/>
                <w:sz w:val="22"/>
                <w:szCs w:val="22"/>
              </w:rPr>
              <w:t>(8th Cir. 2010)</w:t>
            </w:r>
            <w:r>
              <w:rPr>
                <w:rFonts w:ascii="Calibri" w:hAnsi="Calibri" w:cs="Calibri"/>
                <w:b/>
                <w:sz w:val="22"/>
                <w:szCs w:val="22"/>
              </w:rPr>
              <w:t xml:space="preserve">, </w:t>
            </w:r>
            <w:r w:rsidRPr="00AA66D0">
              <w:rPr>
                <w:rFonts w:ascii="Calibri" w:hAnsi="Calibri" w:cs="Calibri"/>
                <w:b/>
                <w:sz w:val="22"/>
                <w:szCs w:val="22"/>
              </w:rPr>
              <w:t>cited at AB43</w:t>
            </w:r>
            <w:r>
              <w:rPr>
                <w:rFonts w:ascii="Calibri" w:hAnsi="Calibri" w:cs="Calibri"/>
                <w:b/>
                <w:sz w:val="22"/>
                <w:szCs w:val="22"/>
              </w:rPr>
              <w:t xml:space="preserve">, shows </w:t>
            </w:r>
            <w:r w:rsidRPr="00AA66D0">
              <w:rPr>
                <w:rFonts w:ascii="Calibri" w:hAnsi="Calibri" w:cs="Calibri"/>
                <w:b/>
                <w:sz w:val="22"/>
                <w:szCs w:val="22"/>
              </w:rPr>
              <w:t xml:space="preserve">the operational control missing here.  </w:t>
            </w:r>
            <w:r>
              <w:rPr>
                <w:rFonts w:ascii="Calibri" w:hAnsi="Calibri" w:cs="Calibri"/>
                <w:b/>
                <w:sz w:val="22"/>
                <w:szCs w:val="22"/>
              </w:rPr>
              <w:t xml:space="preserve">In </w:t>
            </w:r>
            <w:r w:rsidRPr="00D16B38">
              <w:rPr>
                <w:rFonts w:ascii="Calibri" w:hAnsi="Calibri" w:cs="Calibri"/>
                <w:b/>
                <w:i/>
                <w:sz w:val="22"/>
                <w:szCs w:val="22"/>
              </w:rPr>
              <w:t>Huggins</w:t>
            </w:r>
            <w:r w:rsidRPr="00AA66D0">
              <w:rPr>
                <w:rFonts w:ascii="Calibri" w:hAnsi="Calibri" w:cs="Calibri"/>
                <w:b/>
                <w:sz w:val="22"/>
                <w:szCs w:val="22"/>
              </w:rPr>
              <w:t xml:space="preserve">, a company that delivered packages for FedEx was FedEx’s agent </w:t>
            </w:r>
            <w:r>
              <w:rPr>
                <w:rFonts w:ascii="Calibri" w:hAnsi="Calibri" w:cs="Calibri"/>
                <w:b/>
                <w:sz w:val="22"/>
                <w:szCs w:val="22"/>
              </w:rPr>
              <w:t>where its</w:t>
            </w:r>
            <w:r w:rsidRPr="00AA66D0">
              <w:rPr>
                <w:rFonts w:ascii="Calibri" w:hAnsi="Calibri" w:cs="Calibri"/>
                <w:b/>
                <w:sz w:val="22"/>
                <w:szCs w:val="22"/>
              </w:rPr>
              <w:t xml:space="preserve"> company drivers </w:t>
            </w:r>
            <w:r>
              <w:rPr>
                <w:rFonts w:ascii="Calibri" w:hAnsi="Calibri" w:cs="Calibri"/>
                <w:b/>
                <w:sz w:val="22"/>
                <w:szCs w:val="22"/>
              </w:rPr>
              <w:t>looked and acted l</w:t>
            </w:r>
            <w:r w:rsidRPr="00AA66D0">
              <w:rPr>
                <w:rFonts w:ascii="Calibri" w:hAnsi="Calibri" w:cs="Calibri"/>
                <w:b/>
                <w:sz w:val="22"/>
                <w:szCs w:val="22"/>
              </w:rPr>
              <w:t>ike FedEx employees</w:t>
            </w:r>
            <w:r>
              <w:rPr>
                <w:rFonts w:ascii="Calibri" w:hAnsi="Calibri" w:cs="Calibri"/>
                <w:b/>
                <w:sz w:val="22"/>
                <w:szCs w:val="22"/>
              </w:rPr>
              <w:t xml:space="preserve">, could be given drug and alcohols tests and disqualified by FedEx, were required to </w:t>
            </w:r>
            <w:r w:rsidRPr="00AA66D0">
              <w:rPr>
                <w:rFonts w:ascii="Calibri" w:hAnsi="Calibri" w:cs="Calibri"/>
                <w:b/>
                <w:sz w:val="22"/>
                <w:szCs w:val="22"/>
              </w:rPr>
              <w:t>submit daily fuel receipts and da</w:t>
            </w:r>
            <w:r>
              <w:rPr>
                <w:rFonts w:ascii="Calibri" w:hAnsi="Calibri" w:cs="Calibri"/>
                <w:b/>
                <w:sz w:val="22"/>
                <w:szCs w:val="22"/>
              </w:rPr>
              <w:t>ily shipping documents to FedEx, and were required to</w:t>
            </w:r>
            <w:r w:rsidRPr="00AA66D0">
              <w:rPr>
                <w:rFonts w:ascii="Calibri" w:hAnsi="Calibri" w:cs="Calibri"/>
                <w:b/>
                <w:sz w:val="22"/>
                <w:szCs w:val="22"/>
              </w:rPr>
              <w:t xml:space="preserve"> use vehicles that</w:t>
            </w:r>
            <w:r>
              <w:rPr>
                <w:rFonts w:ascii="Calibri" w:hAnsi="Calibri" w:cs="Calibri"/>
                <w:b/>
                <w:sz w:val="22"/>
                <w:szCs w:val="22"/>
              </w:rPr>
              <w:t xml:space="preserve"> identified them as part of the FedEx</w:t>
            </w:r>
            <w:r w:rsidRPr="00AA66D0">
              <w:rPr>
                <w:rFonts w:ascii="Calibri" w:hAnsi="Calibri" w:cs="Calibri"/>
                <w:b/>
                <w:sz w:val="22"/>
                <w:szCs w:val="22"/>
              </w:rPr>
              <w:t xml:space="preserve"> system.</w:t>
            </w:r>
            <w:r>
              <w:rPr>
                <w:rFonts w:ascii="Calibri" w:hAnsi="Calibri" w:cs="Calibri"/>
                <w:b/>
                <w:sz w:val="22"/>
                <w:szCs w:val="22"/>
              </w:rPr>
              <w:t xml:space="preserve"> </w:t>
            </w:r>
          </w:p>
        </w:tc>
      </w:tr>
      <w:tr w:rsidR="007C4BB5" w:rsidRPr="00907D75" w14:paraId="697E2C7C" w14:textId="77777777" w:rsidTr="008649A2">
        <w:trPr>
          <w:trHeight w:val="4795"/>
        </w:trPr>
        <w:tc>
          <w:tcPr>
            <w:tcW w:w="5805" w:type="dxa"/>
            <w:vAlign w:val="center"/>
          </w:tcPr>
          <w:p w14:paraId="4D7BCDD9" w14:textId="644D72BA"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How is this case different from </w:t>
            </w:r>
            <w:r w:rsidRPr="00D6485E">
              <w:rPr>
                <w:rFonts w:ascii="Calibri" w:hAnsi="Calibri" w:cs="Calibri"/>
                <w:b/>
                <w:i/>
                <w:sz w:val="28"/>
                <w:szCs w:val="28"/>
              </w:rPr>
              <w:t xml:space="preserve">Huggins v. FedEx Ground Package </w:t>
            </w:r>
            <w:proofErr w:type="gramStart"/>
            <w:r w:rsidRPr="00D6485E">
              <w:rPr>
                <w:rFonts w:ascii="Calibri" w:hAnsi="Calibri" w:cs="Calibri"/>
                <w:b/>
                <w:i/>
                <w:sz w:val="28"/>
                <w:szCs w:val="28"/>
              </w:rPr>
              <w:t>Sys.</w:t>
            </w:r>
            <w:proofErr w:type="gramEnd"/>
            <w:r w:rsidRPr="00D6485E">
              <w:rPr>
                <w:rFonts w:ascii="Calibri" w:hAnsi="Calibri" w:cs="Calibri"/>
                <w:b/>
                <w:sz w:val="28"/>
                <w:szCs w:val="28"/>
              </w:rPr>
              <w:t xml:space="preserve"> (8th Cir. 2010),</w:t>
            </w:r>
            <w:r>
              <w:rPr>
                <w:rFonts w:ascii="Calibri" w:hAnsi="Calibri" w:cs="Calibri"/>
                <w:b/>
                <w:sz w:val="28"/>
                <w:szCs w:val="28"/>
              </w:rPr>
              <w:t xml:space="preserve"> where a company delivering packages for FedEx was found to be FedEx’s agent?</w:t>
            </w:r>
          </w:p>
        </w:tc>
        <w:tc>
          <w:tcPr>
            <w:tcW w:w="5805" w:type="dxa"/>
            <w:vAlign w:val="center"/>
          </w:tcPr>
          <w:p w14:paraId="2194EE14" w14:textId="0BCA82C6" w:rsidR="007C4BB5" w:rsidRPr="00D6485E"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Unlike the delivery company in </w:t>
            </w:r>
            <w:r w:rsidRPr="00D6485E">
              <w:rPr>
                <w:rFonts w:ascii="Calibri" w:hAnsi="Calibri" w:cs="Calibri"/>
                <w:b/>
                <w:i/>
                <w:sz w:val="22"/>
                <w:szCs w:val="22"/>
              </w:rPr>
              <w:t>Huggins</w:t>
            </w:r>
            <w:r>
              <w:rPr>
                <w:rFonts w:ascii="Calibri" w:hAnsi="Calibri" w:cs="Calibri"/>
                <w:b/>
                <w:i/>
                <w:sz w:val="22"/>
                <w:szCs w:val="22"/>
              </w:rPr>
              <w:t xml:space="preserve"> v. FedEx</w:t>
            </w:r>
            <w:r>
              <w:rPr>
                <w:rFonts w:ascii="Calibri" w:hAnsi="Calibri" w:cs="Calibri"/>
                <w:b/>
                <w:sz w:val="22"/>
                <w:szCs w:val="22"/>
              </w:rPr>
              <w:t xml:space="preserve"> (8th Cir. 2010), where the company’s drivers looked and acted like FedEx employees, </w:t>
            </w:r>
            <w:r w:rsidRPr="00AA66D0">
              <w:rPr>
                <w:rFonts w:ascii="Calibri" w:hAnsi="Calibri" w:cs="Calibri"/>
                <w:b/>
                <w:sz w:val="22"/>
                <w:szCs w:val="22"/>
              </w:rPr>
              <w:t xml:space="preserve">DISH </w:t>
            </w:r>
            <w:r>
              <w:rPr>
                <w:rFonts w:ascii="Calibri" w:hAnsi="Calibri" w:cs="Calibri"/>
                <w:b/>
                <w:sz w:val="22"/>
                <w:szCs w:val="22"/>
              </w:rPr>
              <w:t>prohibited</w:t>
            </w:r>
            <w:r w:rsidRPr="00AA66D0">
              <w:rPr>
                <w:rFonts w:ascii="Calibri" w:hAnsi="Calibri" w:cs="Calibri"/>
                <w:b/>
                <w:sz w:val="22"/>
                <w:szCs w:val="22"/>
              </w:rPr>
              <w:t xml:space="preserve"> SSN from holding itself out as DISH</w:t>
            </w:r>
            <w:r>
              <w:rPr>
                <w:rFonts w:ascii="Calibri" w:hAnsi="Calibri" w:cs="Calibri"/>
                <w:b/>
                <w:sz w:val="22"/>
                <w:szCs w:val="22"/>
              </w:rPr>
              <w:t xml:space="preserve">.  </w:t>
            </w:r>
            <w:r w:rsidRPr="00AA66D0">
              <w:rPr>
                <w:rFonts w:ascii="Calibri" w:hAnsi="Calibri" w:cs="Calibri"/>
                <w:b/>
                <w:sz w:val="22"/>
                <w:szCs w:val="22"/>
              </w:rPr>
              <w:t xml:space="preserve">DISH </w:t>
            </w:r>
            <w:r>
              <w:rPr>
                <w:rFonts w:ascii="Calibri" w:hAnsi="Calibri" w:cs="Calibri"/>
                <w:b/>
                <w:sz w:val="22"/>
                <w:szCs w:val="22"/>
              </w:rPr>
              <w:t xml:space="preserve">also </w:t>
            </w:r>
            <w:r w:rsidRPr="00AA66D0">
              <w:rPr>
                <w:rFonts w:ascii="Calibri" w:hAnsi="Calibri" w:cs="Calibri"/>
                <w:b/>
                <w:sz w:val="22"/>
                <w:szCs w:val="22"/>
              </w:rPr>
              <w:t>required that callers “MUST identify th</w:t>
            </w:r>
            <w:r>
              <w:rPr>
                <w:rFonts w:ascii="Calibri" w:hAnsi="Calibri" w:cs="Calibri"/>
                <w:b/>
                <w:sz w:val="22"/>
                <w:szCs w:val="22"/>
              </w:rPr>
              <w:t>e company that they work for.”</w:t>
            </w:r>
          </w:p>
        </w:tc>
      </w:tr>
      <w:tr w:rsidR="007C4BB5" w:rsidRPr="00907D75" w14:paraId="02CCC165" w14:textId="77777777" w:rsidTr="008649A2">
        <w:trPr>
          <w:trHeight w:val="4795"/>
        </w:trPr>
        <w:tc>
          <w:tcPr>
            <w:tcW w:w="5805" w:type="dxa"/>
            <w:vAlign w:val="center"/>
          </w:tcPr>
          <w:p w14:paraId="703F66A1" w14:textId="6E257234"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Didn’t the parties’ contract give DISH control over SSN’s </w:t>
            </w:r>
            <w:r w:rsidRPr="007346F9">
              <w:rPr>
                <w:rFonts w:ascii="Calibri" w:hAnsi="Calibri" w:cs="Calibri"/>
                <w:b/>
                <w:sz w:val="28"/>
                <w:szCs w:val="28"/>
              </w:rPr>
              <w:t>marketing and power to impose requirements about telemarketing on SSN</w:t>
            </w:r>
            <w:r>
              <w:rPr>
                <w:rFonts w:ascii="Calibri" w:hAnsi="Calibri" w:cs="Calibri"/>
                <w:b/>
                <w:sz w:val="28"/>
                <w:szCs w:val="28"/>
              </w:rPr>
              <w:t>?</w:t>
            </w:r>
          </w:p>
        </w:tc>
        <w:tc>
          <w:tcPr>
            <w:tcW w:w="5805" w:type="dxa"/>
            <w:vAlign w:val="center"/>
          </w:tcPr>
          <w:p w14:paraId="30AB8174" w14:textId="76987AAA" w:rsidR="007C4BB5" w:rsidRPr="00F7604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T</w:t>
            </w:r>
            <w:r w:rsidRPr="00F76045">
              <w:rPr>
                <w:rFonts w:ascii="Calibri" w:hAnsi="Calibri" w:cs="Calibri"/>
                <w:b/>
                <w:sz w:val="22"/>
                <w:szCs w:val="22"/>
              </w:rPr>
              <w:t>hat misreads the contract</w:t>
            </w:r>
            <w:r>
              <w:rPr>
                <w:rFonts w:ascii="Calibri" w:hAnsi="Calibri" w:cs="Calibri"/>
                <w:b/>
                <w:sz w:val="22"/>
                <w:szCs w:val="22"/>
              </w:rPr>
              <w:t xml:space="preserve">. </w:t>
            </w:r>
            <w:r w:rsidRPr="00F76045">
              <w:rPr>
                <w:rFonts w:ascii="Calibri" w:hAnsi="Calibri" w:cs="Calibri"/>
                <w:b/>
                <w:sz w:val="22"/>
                <w:szCs w:val="22"/>
              </w:rPr>
              <w:t xml:space="preserve"> The contract merely grants DISH the power to decide what programming packages to sell, and at what price—and requires SSN to properly disclose information to customers.  This is classic quality control that cannot create agency.  Krakauer fail</w:t>
            </w:r>
            <w:r>
              <w:rPr>
                <w:rFonts w:ascii="Calibri" w:hAnsi="Calibri" w:cs="Calibri"/>
                <w:b/>
                <w:sz w:val="22"/>
                <w:szCs w:val="22"/>
              </w:rPr>
              <w:t>ed</w:t>
            </w:r>
            <w:r w:rsidRPr="00F76045">
              <w:rPr>
                <w:rFonts w:ascii="Calibri" w:hAnsi="Calibri" w:cs="Calibri"/>
                <w:b/>
                <w:sz w:val="22"/>
                <w:szCs w:val="22"/>
              </w:rPr>
              <w:t xml:space="preserve"> to address either legal poin</w:t>
            </w:r>
            <w:r>
              <w:rPr>
                <w:rFonts w:ascii="Calibri" w:hAnsi="Calibri" w:cs="Calibri"/>
                <w:b/>
                <w:sz w:val="22"/>
                <w:szCs w:val="22"/>
              </w:rPr>
              <w:t>t in his brief.</w:t>
            </w:r>
          </w:p>
          <w:p w14:paraId="4B512387" w14:textId="77777777" w:rsidR="007C4BB5" w:rsidRDefault="007C4BB5" w:rsidP="00525419">
            <w:pPr>
              <w:pStyle w:val="O-BodyText"/>
              <w:spacing w:after="120"/>
              <w:ind w:right="65"/>
              <w:jc w:val="both"/>
              <w:rPr>
                <w:rFonts w:ascii="Calibri" w:hAnsi="Calibri" w:cs="Calibri"/>
                <w:b/>
                <w:sz w:val="22"/>
                <w:szCs w:val="22"/>
              </w:rPr>
            </w:pPr>
          </w:p>
        </w:tc>
      </w:tr>
      <w:tr w:rsidR="007C4BB5" w:rsidRPr="00907D75" w14:paraId="215906F8" w14:textId="77777777" w:rsidTr="008649A2">
        <w:trPr>
          <w:trHeight w:val="4795"/>
        </w:trPr>
        <w:tc>
          <w:tcPr>
            <w:tcW w:w="5805" w:type="dxa"/>
            <w:vAlign w:val="center"/>
          </w:tcPr>
          <w:p w14:paraId="7981B388" w14:textId="4A4EC047"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Didn’t </w:t>
            </w:r>
            <w:proofErr w:type="spellStart"/>
            <w:r>
              <w:rPr>
                <w:rFonts w:ascii="Calibri" w:hAnsi="Calibri" w:cs="Calibri"/>
                <w:b/>
                <w:sz w:val="28"/>
                <w:szCs w:val="28"/>
              </w:rPr>
              <w:t>DISH’s</w:t>
            </w:r>
            <w:proofErr w:type="spellEnd"/>
            <w:r>
              <w:rPr>
                <w:rFonts w:ascii="Calibri" w:hAnsi="Calibri" w:cs="Calibri"/>
                <w:b/>
                <w:sz w:val="28"/>
                <w:szCs w:val="28"/>
              </w:rPr>
              <w:t xml:space="preserve"> c</w:t>
            </w:r>
            <w:r w:rsidRPr="009C68C2">
              <w:rPr>
                <w:rFonts w:ascii="Calibri" w:hAnsi="Calibri" w:cs="Calibri"/>
                <w:b/>
                <w:sz w:val="28"/>
                <w:szCs w:val="28"/>
              </w:rPr>
              <w:t>ompliance manager</w:t>
            </w:r>
            <w:r>
              <w:rPr>
                <w:rFonts w:ascii="Calibri" w:hAnsi="Calibri" w:cs="Calibri"/>
                <w:b/>
                <w:sz w:val="28"/>
                <w:szCs w:val="28"/>
              </w:rPr>
              <w:t xml:space="preserve"> know about </w:t>
            </w:r>
            <w:r w:rsidRPr="009C68C2">
              <w:rPr>
                <w:rFonts w:ascii="Calibri" w:hAnsi="Calibri" w:cs="Calibri"/>
                <w:b/>
                <w:sz w:val="28"/>
                <w:szCs w:val="28"/>
              </w:rPr>
              <w:t>two injunctions against SSN f</w:t>
            </w:r>
            <w:r>
              <w:rPr>
                <w:rFonts w:ascii="Calibri" w:hAnsi="Calibri" w:cs="Calibri"/>
                <w:b/>
                <w:sz w:val="28"/>
                <w:szCs w:val="28"/>
              </w:rPr>
              <w:t xml:space="preserve">or TCPA violations, specifically </w:t>
            </w:r>
            <w:r w:rsidRPr="009C68C2">
              <w:rPr>
                <w:rFonts w:ascii="Calibri" w:hAnsi="Calibri" w:cs="Calibri"/>
                <w:b/>
                <w:sz w:val="28"/>
                <w:szCs w:val="28"/>
              </w:rPr>
              <w:t>for illegally calling people on the do-not-call registry</w:t>
            </w:r>
            <w:r>
              <w:rPr>
                <w:rFonts w:ascii="Calibri" w:hAnsi="Calibri" w:cs="Calibri"/>
                <w:b/>
                <w:sz w:val="28"/>
                <w:szCs w:val="28"/>
              </w:rPr>
              <w:t>?</w:t>
            </w:r>
          </w:p>
        </w:tc>
        <w:tc>
          <w:tcPr>
            <w:tcW w:w="5805" w:type="dxa"/>
            <w:vAlign w:val="center"/>
          </w:tcPr>
          <w:p w14:paraId="7FD173EB" w14:textId="799F91F8" w:rsidR="007C4BB5" w:rsidRDefault="007C4BB5" w:rsidP="00525419">
            <w:pPr>
              <w:pStyle w:val="O-BodyText"/>
              <w:spacing w:after="120"/>
              <w:ind w:right="65"/>
              <w:jc w:val="both"/>
              <w:rPr>
                <w:rFonts w:ascii="Calibri" w:hAnsi="Calibri" w:cs="Calibri"/>
                <w:b/>
                <w:sz w:val="22"/>
                <w:szCs w:val="22"/>
              </w:rPr>
            </w:pPr>
            <w:r w:rsidRPr="009C68C2">
              <w:rPr>
                <w:rFonts w:ascii="Calibri" w:hAnsi="Calibri" w:cs="Calibri"/>
                <w:b/>
                <w:sz w:val="22"/>
                <w:szCs w:val="22"/>
                <w:highlight w:val="yellow"/>
              </w:rPr>
              <w:t>[Explain.]</w:t>
            </w:r>
          </w:p>
        </w:tc>
      </w:tr>
      <w:tr w:rsidR="007C4BB5" w:rsidRPr="00907D75" w14:paraId="2407C57F" w14:textId="77777777" w:rsidTr="008649A2">
        <w:trPr>
          <w:trHeight w:val="4795"/>
        </w:trPr>
        <w:tc>
          <w:tcPr>
            <w:tcW w:w="5805" w:type="dxa"/>
            <w:vAlign w:val="center"/>
          </w:tcPr>
          <w:p w14:paraId="1DC80987" w14:textId="7046FF62"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w:t>
            </w:r>
            <w:proofErr w:type="spellStart"/>
            <w:r>
              <w:rPr>
                <w:rFonts w:ascii="Calibri" w:hAnsi="Calibri" w:cs="Calibri"/>
                <w:b/>
                <w:sz w:val="28"/>
                <w:szCs w:val="28"/>
              </w:rPr>
              <w:t>DISH’s</w:t>
            </w:r>
            <w:proofErr w:type="spellEnd"/>
            <w:r>
              <w:rPr>
                <w:rFonts w:ascii="Calibri" w:hAnsi="Calibri" w:cs="Calibri"/>
                <w:b/>
                <w:sz w:val="28"/>
                <w:szCs w:val="28"/>
              </w:rPr>
              <w:t xml:space="preserve"> compliance manager do after learning of a class-action lawsuit against SSN for TCPA violations?</w:t>
            </w:r>
          </w:p>
        </w:tc>
        <w:tc>
          <w:tcPr>
            <w:tcW w:w="5805" w:type="dxa"/>
            <w:vAlign w:val="center"/>
          </w:tcPr>
          <w:p w14:paraId="1E2246ED" w14:textId="40D22B21" w:rsidR="007C4BB5" w:rsidRDefault="007C4BB5" w:rsidP="00525419">
            <w:pPr>
              <w:pStyle w:val="O-BodyText"/>
              <w:spacing w:after="120"/>
              <w:ind w:right="65"/>
              <w:jc w:val="both"/>
              <w:rPr>
                <w:rFonts w:ascii="Calibri" w:hAnsi="Calibri" w:cs="Calibri"/>
                <w:b/>
                <w:sz w:val="22"/>
                <w:szCs w:val="22"/>
              </w:rPr>
            </w:pPr>
            <w:r w:rsidRPr="009C68C2">
              <w:rPr>
                <w:rFonts w:ascii="Calibri" w:hAnsi="Calibri" w:cs="Calibri"/>
                <w:b/>
                <w:sz w:val="22"/>
                <w:szCs w:val="22"/>
                <w:highlight w:val="yellow"/>
              </w:rPr>
              <w:t>[Explain</w:t>
            </w:r>
            <w:r w:rsidR="003B3557">
              <w:rPr>
                <w:rFonts w:ascii="Calibri" w:hAnsi="Calibri" w:cs="Calibri"/>
                <w:b/>
                <w:sz w:val="22"/>
                <w:szCs w:val="22"/>
                <w:highlight w:val="yellow"/>
              </w:rPr>
              <w:t>.</w:t>
            </w:r>
            <w:r w:rsidRPr="009C68C2">
              <w:rPr>
                <w:rFonts w:ascii="Calibri" w:hAnsi="Calibri" w:cs="Calibri"/>
                <w:b/>
                <w:sz w:val="22"/>
                <w:szCs w:val="22"/>
                <w:highlight w:val="yellow"/>
              </w:rPr>
              <w:t>]</w:t>
            </w:r>
          </w:p>
        </w:tc>
      </w:tr>
      <w:tr w:rsidR="007C4BB5" w:rsidRPr="00907D75" w14:paraId="6FBF9041" w14:textId="77777777" w:rsidTr="008649A2">
        <w:trPr>
          <w:trHeight w:val="4795"/>
        </w:trPr>
        <w:tc>
          <w:tcPr>
            <w:tcW w:w="5805" w:type="dxa"/>
            <w:vAlign w:val="center"/>
          </w:tcPr>
          <w:p w14:paraId="5BA6A60B" w14:textId="2DE2BDD0"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At some point, were </w:t>
            </w:r>
            <w:proofErr w:type="spellStart"/>
            <w:r>
              <w:rPr>
                <w:rFonts w:ascii="Calibri" w:hAnsi="Calibri" w:cs="Calibri"/>
                <w:b/>
                <w:sz w:val="28"/>
                <w:szCs w:val="28"/>
              </w:rPr>
              <w:t>DISH’s</w:t>
            </w:r>
            <w:proofErr w:type="spellEnd"/>
            <w:r>
              <w:rPr>
                <w:rFonts w:ascii="Calibri" w:hAnsi="Calibri" w:cs="Calibri"/>
                <w:b/>
                <w:sz w:val="28"/>
                <w:szCs w:val="28"/>
              </w:rPr>
              <w:t xml:space="preserve"> commission payments to SSN being garnished because of SSN’s repeated violations of the do-not-call regulations?  AB11.</w:t>
            </w:r>
          </w:p>
        </w:tc>
        <w:tc>
          <w:tcPr>
            <w:tcW w:w="5805" w:type="dxa"/>
            <w:vAlign w:val="center"/>
          </w:tcPr>
          <w:p w14:paraId="233CD4E1" w14:textId="65BA8D78" w:rsidR="007C4BB5" w:rsidRDefault="007C4BB5" w:rsidP="00525419">
            <w:pPr>
              <w:pStyle w:val="O-BodyText"/>
              <w:spacing w:after="120"/>
              <w:ind w:right="65"/>
              <w:jc w:val="both"/>
              <w:rPr>
                <w:rFonts w:ascii="Calibri" w:hAnsi="Calibri" w:cs="Calibri"/>
                <w:b/>
                <w:sz w:val="22"/>
                <w:szCs w:val="22"/>
              </w:rPr>
            </w:pPr>
            <w:r w:rsidRPr="00091D5F">
              <w:rPr>
                <w:rFonts w:ascii="Calibri" w:hAnsi="Calibri" w:cs="Calibri"/>
                <w:b/>
                <w:sz w:val="22"/>
                <w:szCs w:val="22"/>
                <w:highlight w:val="yellow"/>
              </w:rPr>
              <w:t>[Explain</w:t>
            </w:r>
            <w:r w:rsidR="003B3557">
              <w:rPr>
                <w:rFonts w:ascii="Calibri" w:hAnsi="Calibri" w:cs="Calibri"/>
                <w:b/>
                <w:sz w:val="22"/>
                <w:szCs w:val="22"/>
                <w:highlight w:val="yellow"/>
              </w:rPr>
              <w:t>.</w:t>
            </w:r>
            <w:r w:rsidRPr="00091D5F">
              <w:rPr>
                <w:rFonts w:ascii="Calibri" w:hAnsi="Calibri" w:cs="Calibri"/>
                <w:b/>
                <w:sz w:val="22"/>
                <w:szCs w:val="22"/>
                <w:highlight w:val="yellow"/>
              </w:rPr>
              <w:t>]</w:t>
            </w:r>
          </w:p>
        </w:tc>
      </w:tr>
      <w:tr w:rsidR="007C4BB5" w:rsidRPr="00907D75" w14:paraId="2F1D616A" w14:textId="77777777" w:rsidTr="008649A2">
        <w:trPr>
          <w:trHeight w:val="4795"/>
        </w:trPr>
        <w:tc>
          <w:tcPr>
            <w:tcW w:w="5805" w:type="dxa"/>
            <w:vAlign w:val="center"/>
          </w:tcPr>
          <w:p w14:paraId="2CD1A070" w14:textId="50932A96"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Did DISH reward SSN with incentive trips after it learned of Krakauer’s complaint in 2009?</w:t>
            </w:r>
          </w:p>
        </w:tc>
        <w:tc>
          <w:tcPr>
            <w:tcW w:w="5805" w:type="dxa"/>
            <w:vAlign w:val="center"/>
          </w:tcPr>
          <w:p w14:paraId="0104C59A" w14:textId="70799441"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The incentive trip that Krakauer refers to occurred years before the calls to Krakauer and Campbell.  </w:t>
            </w:r>
          </w:p>
        </w:tc>
      </w:tr>
      <w:tr w:rsidR="007C4BB5" w:rsidRPr="00907D75" w14:paraId="6C3315F2" w14:textId="77777777" w:rsidTr="008649A2">
        <w:trPr>
          <w:trHeight w:val="4795"/>
        </w:trPr>
        <w:tc>
          <w:tcPr>
            <w:tcW w:w="5805" w:type="dxa"/>
            <w:vAlign w:val="center"/>
          </w:tcPr>
          <w:p w14:paraId="50C1BB06" w14:textId="7F057B6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Plaintiffs state that, after signing the </w:t>
            </w:r>
            <w:proofErr w:type="spellStart"/>
            <w:r>
              <w:rPr>
                <w:rFonts w:ascii="Calibri" w:hAnsi="Calibri" w:cs="Calibri"/>
                <w:b/>
                <w:sz w:val="28"/>
                <w:szCs w:val="28"/>
              </w:rPr>
              <w:t>AVC</w:t>
            </w:r>
            <w:proofErr w:type="spellEnd"/>
            <w:r>
              <w:rPr>
                <w:rFonts w:ascii="Calibri" w:hAnsi="Calibri" w:cs="Calibri"/>
                <w:b/>
                <w:sz w:val="28"/>
                <w:szCs w:val="28"/>
              </w:rPr>
              <w:t xml:space="preserve"> with the state AGs, </w:t>
            </w:r>
            <w:proofErr w:type="spellStart"/>
            <w:r>
              <w:rPr>
                <w:rFonts w:ascii="Calibri" w:hAnsi="Calibri" w:cs="Calibri"/>
                <w:b/>
                <w:sz w:val="28"/>
                <w:szCs w:val="28"/>
              </w:rPr>
              <w:t>DISH’s</w:t>
            </w:r>
            <w:proofErr w:type="spellEnd"/>
            <w:r>
              <w:rPr>
                <w:rFonts w:ascii="Calibri" w:hAnsi="Calibri" w:cs="Calibri"/>
                <w:b/>
                <w:sz w:val="28"/>
                <w:szCs w:val="28"/>
              </w:rPr>
              <w:t xml:space="preserve"> co-founder testified that nothing changed – DISH operated the same way before and after the </w:t>
            </w:r>
            <w:proofErr w:type="spellStart"/>
            <w:r>
              <w:rPr>
                <w:rFonts w:ascii="Calibri" w:hAnsi="Calibri" w:cs="Calibri"/>
                <w:b/>
                <w:sz w:val="28"/>
                <w:szCs w:val="28"/>
              </w:rPr>
              <w:t>AVC</w:t>
            </w:r>
            <w:proofErr w:type="spellEnd"/>
            <w:r>
              <w:rPr>
                <w:rFonts w:ascii="Calibri" w:hAnsi="Calibri" w:cs="Calibri"/>
                <w:b/>
                <w:sz w:val="28"/>
                <w:szCs w:val="28"/>
              </w:rPr>
              <w:t>.  Is that correct?</w:t>
            </w:r>
          </w:p>
        </w:tc>
        <w:tc>
          <w:tcPr>
            <w:tcW w:w="5805" w:type="dxa"/>
            <w:vAlign w:val="center"/>
          </w:tcPr>
          <w:p w14:paraId="3330A4E8" w14:textId="73409477"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w:t>
            </w:r>
            <w:r w:rsidRPr="00D16B38">
              <w:rPr>
                <w:rFonts w:ascii="Calibri" w:hAnsi="Calibri" w:cs="Calibri"/>
                <w:b/>
                <w:sz w:val="22"/>
                <w:szCs w:val="22"/>
              </w:rPr>
              <w:t xml:space="preserve">The court mischaracterized </w:t>
            </w:r>
            <w:proofErr w:type="spellStart"/>
            <w:r w:rsidRPr="00D16B38">
              <w:rPr>
                <w:rFonts w:ascii="Calibri" w:hAnsi="Calibri" w:cs="Calibri"/>
                <w:b/>
                <w:sz w:val="22"/>
                <w:szCs w:val="22"/>
              </w:rPr>
              <w:t>DISH’s</w:t>
            </w:r>
            <w:proofErr w:type="spellEnd"/>
            <w:r w:rsidRPr="00D16B38">
              <w:rPr>
                <w:rFonts w:ascii="Calibri" w:hAnsi="Calibri" w:cs="Calibri"/>
                <w:b/>
                <w:sz w:val="22"/>
                <w:szCs w:val="22"/>
              </w:rPr>
              <w:t xml:space="preserve"> co-founder as having said that the </w:t>
            </w:r>
            <w:proofErr w:type="spellStart"/>
            <w:r w:rsidRPr="00D16B38">
              <w:rPr>
                <w:rFonts w:ascii="Calibri" w:hAnsi="Calibri" w:cs="Calibri"/>
                <w:b/>
                <w:sz w:val="22"/>
                <w:szCs w:val="22"/>
              </w:rPr>
              <w:t>AVC</w:t>
            </w:r>
            <w:proofErr w:type="spellEnd"/>
            <w:r w:rsidRPr="00D16B38">
              <w:rPr>
                <w:rFonts w:ascii="Calibri" w:hAnsi="Calibri" w:cs="Calibri"/>
                <w:b/>
                <w:sz w:val="22"/>
                <w:szCs w:val="22"/>
              </w:rPr>
              <w:t xml:space="preserve"> “did not change </w:t>
            </w:r>
            <w:proofErr w:type="spellStart"/>
            <w:r w:rsidRPr="00D16B38">
              <w:rPr>
                <w:rFonts w:ascii="Calibri" w:hAnsi="Calibri" w:cs="Calibri"/>
                <w:b/>
                <w:sz w:val="22"/>
                <w:szCs w:val="22"/>
              </w:rPr>
              <w:t>DISH’s</w:t>
            </w:r>
            <w:proofErr w:type="spellEnd"/>
            <w:r w:rsidRPr="00D16B38">
              <w:rPr>
                <w:rFonts w:ascii="Calibri" w:hAnsi="Calibri" w:cs="Calibri"/>
                <w:b/>
                <w:sz w:val="22"/>
                <w:szCs w:val="22"/>
              </w:rPr>
              <w:t xml:space="preserve"> procedures at all.” The testimony was that DISH disciplined retailers both before and after the </w:t>
            </w:r>
            <w:proofErr w:type="spellStart"/>
            <w:r w:rsidRPr="00D16B38">
              <w:rPr>
                <w:rFonts w:ascii="Calibri" w:hAnsi="Calibri" w:cs="Calibri"/>
                <w:b/>
                <w:sz w:val="22"/>
                <w:szCs w:val="22"/>
              </w:rPr>
              <w:t>AVC</w:t>
            </w:r>
            <w:proofErr w:type="spellEnd"/>
            <w:proofErr w:type="gramStart"/>
            <w:r w:rsidRPr="00D16B38">
              <w:rPr>
                <w:rFonts w:ascii="Calibri" w:hAnsi="Calibri" w:cs="Calibri"/>
                <w:b/>
                <w:sz w:val="22"/>
                <w:szCs w:val="22"/>
              </w:rPr>
              <w:t>.</w:t>
            </w:r>
            <w:r>
              <w:rPr>
                <w:rFonts w:ascii="Calibri" w:hAnsi="Calibri" w:cs="Calibri"/>
                <w:b/>
                <w:sz w:val="22"/>
                <w:szCs w:val="22"/>
              </w:rPr>
              <w:t xml:space="preserve"> </w:t>
            </w:r>
            <w:proofErr w:type="gramEnd"/>
            <w:r>
              <w:rPr>
                <w:rFonts w:ascii="Calibri" w:hAnsi="Calibri" w:cs="Calibri"/>
                <w:b/>
                <w:sz w:val="22"/>
                <w:szCs w:val="22"/>
              </w:rPr>
              <w:t>Plus, as</w:t>
            </w:r>
            <w:r w:rsidRPr="00A15865">
              <w:rPr>
                <w:rFonts w:ascii="Calibri" w:hAnsi="Calibri" w:cs="Calibri"/>
                <w:b/>
                <w:sz w:val="22"/>
                <w:szCs w:val="22"/>
              </w:rPr>
              <w:t xml:space="preserve"> the federal court in Illinois found</w:t>
            </w:r>
            <w:r>
              <w:rPr>
                <w:rFonts w:ascii="Calibri" w:hAnsi="Calibri" w:cs="Calibri"/>
                <w:b/>
                <w:sz w:val="22"/>
                <w:szCs w:val="22"/>
              </w:rPr>
              <w:t xml:space="preserve">, </w:t>
            </w:r>
            <w:r w:rsidRPr="00A15865">
              <w:rPr>
                <w:rFonts w:ascii="Calibri" w:hAnsi="Calibri" w:cs="Calibri"/>
                <w:b/>
                <w:sz w:val="22"/>
                <w:szCs w:val="22"/>
              </w:rPr>
              <w:t xml:space="preserve">DISH made real changes </w:t>
            </w:r>
            <w:r>
              <w:rPr>
                <w:rFonts w:ascii="Calibri" w:hAnsi="Calibri" w:cs="Calibri"/>
                <w:b/>
                <w:sz w:val="22"/>
                <w:szCs w:val="22"/>
              </w:rPr>
              <w:t>in late 2008 and 2009</w:t>
            </w:r>
            <w:proofErr w:type="gramStart"/>
            <w:r>
              <w:rPr>
                <w:rFonts w:ascii="Calibri" w:hAnsi="Calibri" w:cs="Calibri"/>
                <w:b/>
                <w:sz w:val="22"/>
                <w:szCs w:val="22"/>
              </w:rPr>
              <w:t xml:space="preserve">. </w:t>
            </w:r>
            <w:proofErr w:type="gramEnd"/>
            <w:r>
              <w:rPr>
                <w:rFonts w:ascii="Calibri" w:hAnsi="Calibri" w:cs="Calibri"/>
                <w:b/>
                <w:sz w:val="22"/>
                <w:szCs w:val="22"/>
              </w:rPr>
              <w:t>It f</w:t>
            </w:r>
            <w:r w:rsidRPr="00A15865">
              <w:rPr>
                <w:rFonts w:ascii="Calibri" w:hAnsi="Calibri" w:cs="Calibri"/>
                <w:b/>
                <w:sz w:val="22"/>
                <w:szCs w:val="22"/>
              </w:rPr>
              <w:t>ired numerous Retailers, cut the number of Order Entry Retailers, and instituted changes in the Quality Assurance</w:t>
            </w:r>
            <w:r>
              <w:t xml:space="preserve"> </w:t>
            </w:r>
            <w:r>
              <w:rPr>
                <w:rFonts w:ascii="Calibri" w:hAnsi="Calibri" w:cs="Calibri"/>
                <w:b/>
                <w:sz w:val="22"/>
                <w:szCs w:val="22"/>
              </w:rPr>
              <w:t>program.</w:t>
            </w:r>
          </w:p>
        </w:tc>
      </w:tr>
      <w:tr w:rsidR="007C4BB5" w:rsidRPr="00907D75" w14:paraId="1A2427DA" w14:textId="77777777" w:rsidTr="008649A2">
        <w:trPr>
          <w:trHeight w:val="4795"/>
        </w:trPr>
        <w:tc>
          <w:tcPr>
            <w:tcW w:w="5805" w:type="dxa"/>
            <w:vAlign w:val="center"/>
          </w:tcPr>
          <w:p w14:paraId="06E38577" w14:textId="3A74E7F3"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steps did DISH take after entering the </w:t>
            </w:r>
            <w:proofErr w:type="spellStart"/>
            <w:r>
              <w:rPr>
                <w:rFonts w:ascii="Calibri" w:hAnsi="Calibri" w:cs="Calibri"/>
                <w:b/>
                <w:sz w:val="28"/>
                <w:szCs w:val="28"/>
              </w:rPr>
              <w:t>AVC</w:t>
            </w:r>
            <w:proofErr w:type="spellEnd"/>
            <w:r>
              <w:rPr>
                <w:rFonts w:ascii="Calibri" w:hAnsi="Calibri" w:cs="Calibri"/>
                <w:b/>
                <w:sz w:val="28"/>
                <w:szCs w:val="28"/>
              </w:rPr>
              <w:t xml:space="preserve"> in 2009 to monitor and enforce SSN’s compliance with telemarketing laws?</w:t>
            </w:r>
          </w:p>
        </w:tc>
        <w:tc>
          <w:tcPr>
            <w:tcW w:w="5805" w:type="dxa"/>
            <w:vAlign w:val="center"/>
          </w:tcPr>
          <w:p w14:paraId="6183D8E1" w14:textId="6B93467D" w:rsidR="007C4BB5" w:rsidRDefault="007C4BB5" w:rsidP="00525419">
            <w:pPr>
              <w:pStyle w:val="O-BodyText"/>
              <w:spacing w:after="120"/>
              <w:ind w:right="65"/>
              <w:jc w:val="both"/>
              <w:rPr>
                <w:rFonts w:ascii="Calibri" w:hAnsi="Calibri" w:cs="Calibri"/>
                <w:b/>
                <w:sz w:val="22"/>
                <w:szCs w:val="22"/>
              </w:rPr>
            </w:pPr>
            <w:r w:rsidRPr="0035273D">
              <w:rPr>
                <w:rFonts w:ascii="Calibri" w:hAnsi="Calibri" w:cs="Calibri"/>
                <w:b/>
                <w:sz w:val="22"/>
                <w:szCs w:val="22"/>
                <w:highlight w:val="yellow"/>
              </w:rPr>
              <w:t>[Explain.]</w:t>
            </w:r>
          </w:p>
        </w:tc>
      </w:tr>
      <w:tr w:rsidR="007C4BB5" w:rsidRPr="00907D75" w14:paraId="267B6128" w14:textId="77777777" w:rsidTr="008649A2">
        <w:trPr>
          <w:trHeight w:val="4795"/>
        </w:trPr>
        <w:tc>
          <w:tcPr>
            <w:tcW w:w="5805" w:type="dxa"/>
            <w:vAlign w:val="center"/>
          </w:tcPr>
          <w:p w14:paraId="7108F0D9" w14:textId="0B20FF1F"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The district court called </w:t>
            </w:r>
            <w:proofErr w:type="spellStart"/>
            <w:r>
              <w:rPr>
                <w:rFonts w:ascii="Calibri" w:hAnsi="Calibri" w:cs="Calibri"/>
                <w:b/>
                <w:sz w:val="28"/>
                <w:szCs w:val="28"/>
              </w:rPr>
              <w:t>DISH’s</w:t>
            </w:r>
            <w:proofErr w:type="spellEnd"/>
            <w:r>
              <w:rPr>
                <w:rFonts w:ascii="Calibri" w:hAnsi="Calibri" w:cs="Calibri"/>
                <w:b/>
                <w:sz w:val="28"/>
                <w:szCs w:val="28"/>
              </w:rPr>
              <w:t xml:space="preserve"> TCPA compliance policy “two-faced.”  Is that a fair characterization?</w:t>
            </w:r>
          </w:p>
        </w:tc>
        <w:tc>
          <w:tcPr>
            <w:tcW w:w="5805" w:type="dxa"/>
            <w:vAlign w:val="center"/>
          </w:tcPr>
          <w:p w14:paraId="7F0CBB53" w14:textId="43C71C3E" w:rsidR="007C4BB5" w:rsidRDefault="007C4BB5" w:rsidP="00525419">
            <w:pPr>
              <w:pStyle w:val="O-BodyText"/>
              <w:spacing w:after="120"/>
              <w:ind w:right="65"/>
              <w:jc w:val="both"/>
              <w:rPr>
                <w:rFonts w:ascii="Calibri" w:hAnsi="Calibri" w:cs="Calibri"/>
                <w:b/>
                <w:sz w:val="22"/>
                <w:szCs w:val="22"/>
              </w:rPr>
            </w:pPr>
            <w:r w:rsidRPr="0035273D">
              <w:rPr>
                <w:rFonts w:ascii="Calibri" w:hAnsi="Calibri" w:cs="Calibri"/>
                <w:b/>
                <w:sz w:val="22"/>
                <w:szCs w:val="22"/>
                <w:highlight w:val="yellow"/>
              </w:rPr>
              <w:t>[Explain</w:t>
            </w:r>
            <w:r w:rsidR="003B3557">
              <w:rPr>
                <w:rFonts w:ascii="Calibri" w:hAnsi="Calibri" w:cs="Calibri"/>
                <w:b/>
                <w:sz w:val="22"/>
                <w:szCs w:val="22"/>
                <w:highlight w:val="yellow"/>
              </w:rPr>
              <w:t>.</w:t>
            </w:r>
            <w:r w:rsidRPr="0035273D">
              <w:rPr>
                <w:rFonts w:ascii="Calibri" w:hAnsi="Calibri" w:cs="Calibri"/>
                <w:b/>
                <w:sz w:val="22"/>
                <w:szCs w:val="22"/>
                <w:highlight w:val="yellow"/>
              </w:rPr>
              <w:t>]</w:t>
            </w:r>
          </w:p>
        </w:tc>
      </w:tr>
      <w:tr w:rsidR="007C4BB5" w:rsidRPr="00907D75" w14:paraId="0ACA9F89" w14:textId="77777777" w:rsidTr="008649A2">
        <w:trPr>
          <w:trHeight w:val="4795"/>
        </w:trPr>
        <w:tc>
          <w:tcPr>
            <w:tcW w:w="5805" w:type="dxa"/>
            <w:vAlign w:val="center"/>
          </w:tcPr>
          <w:p w14:paraId="4E663BB9" w14:textId="19E534E5"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do you argue that the treble-damages award must be overturned?</w:t>
            </w:r>
          </w:p>
        </w:tc>
        <w:tc>
          <w:tcPr>
            <w:tcW w:w="5805" w:type="dxa"/>
            <w:vAlign w:val="center"/>
          </w:tcPr>
          <w:p w14:paraId="430DFDB3" w14:textId="2B3F7A51" w:rsidR="007C4BB5" w:rsidRDefault="007C4BB5" w:rsidP="00525419">
            <w:pPr>
              <w:pStyle w:val="O-BodyText"/>
              <w:spacing w:after="120"/>
              <w:ind w:right="65"/>
              <w:jc w:val="both"/>
              <w:rPr>
                <w:rFonts w:ascii="Calibri" w:hAnsi="Calibri" w:cs="Calibri"/>
                <w:b/>
                <w:sz w:val="22"/>
                <w:szCs w:val="22"/>
              </w:rPr>
            </w:pPr>
            <w:r w:rsidRPr="00BE0A9A">
              <w:rPr>
                <w:rFonts w:ascii="Calibri" w:hAnsi="Calibri" w:cs="Calibri"/>
                <w:b/>
                <w:sz w:val="22"/>
                <w:szCs w:val="22"/>
              </w:rPr>
              <w:t>The treble damages must be vacated if not reversed outright.  The district court applied the wrong legal standard</w:t>
            </w:r>
            <w:r>
              <w:rPr>
                <w:rFonts w:ascii="Calibri" w:hAnsi="Calibri" w:cs="Calibri"/>
                <w:b/>
                <w:sz w:val="22"/>
                <w:szCs w:val="22"/>
              </w:rPr>
              <w:t>, a</w:t>
            </w:r>
            <w:r w:rsidRPr="00BE0A9A">
              <w:rPr>
                <w:rFonts w:ascii="Calibri" w:hAnsi="Calibri" w:cs="Calibri"/>
                <w:b/>
                <w:sz w:val="22"/>
                <w:szCs w:val="22"/>
              </w:rPr>
              <w:t xml:space="preserve">nd the evidence is legally insufficient to punish DISH for SSN’s conduct.  </w:t>
            </w:r>
          </w:p>
        </w:tc>
      </w:tr>
      <w:tr w:rsidR="007C4BB5" w:rsidRPr="00907D75" w14:paraId="1F5BB9F6" w14:textId="77777777" w:rsidTr="008649A2">
        <w:trPr>
          <w:trHeight w:val="4795"/>
        </w:trPr>
        <w:tc>
          <w:tcPr>
            <w:tcW w:w="5805" w:type="dxa"/>
            <w:vAlign w:val="center"/>
          </w:tcPr>
          <w:p w14:paraId="79B0DBD4" w14:textId="541CBAA4"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is the standard for imposing treble damages?</w:t>
            </w:r>
          </w:p>
        </w:tc>
        <w:tc>
          <w:tcPr>
            <w:tcW w:w="5805" w:type="dxa"/>
            <w:vAlign w:val="center"/>
          </w:tcPr>
          <w:p w14:paraId="10EE41B7" w14:textId="41A494EB"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For treble damages, the TCPA</w:t>
            </w:r>
            <w:r w:rsidRPr="007B3458">
              <w:rPr>
                <w:rFonts w:ascii="Calibri" w:hAnsi="Calibri" w:cs="Calibri"/>
                <w:b/>
                <w:sz w:val="22"/>
                <w:szCs w:val="22"/>
              </w:rPr>
              <w:t xml:space="preserve"> requires</w:t>
            </w:r>
            <w:r>
              <w:rPr>
                <w:rFonts w:ascii="Calibri" w:hAnsi="Calibri" w:cs="Calibri"/>
                <w:b/>
                <w:sz w:val="22"/>
                <w:szCs w:val="22"/>
              </w:rPr>
              <w:t xml:space="preserve"> that</w:t>
            </w:r>
            <w:r w:rsidRPr="007B3458">
              <w:rPr>
                <w:rFonts w:ascii="Calibri" w:hAnsi="Calibri" w:cs="Calibri"/>
                <w:b/>
                <w:sz w:val="22"/>
                <w:szCs w:val="22"/>
              </w:rPr>
              <w:t xml:space="preserve"> “</w:t>
            </w:r>
            <w:r w:rsidRPr="001E1071">
              <w:rPr>
                <w:rFonts w:ascii="Calibri" w:hAnsi="Calibri" w:cs="Calibri"/>
                <w:b/>
                <w:sz w:val="22"/>
                <w:szCs w:val="22"/>
              </w:rPr>
              <w:t>the defendant</w:t>
            </w:r>
            <w:r w:rsidRPr="007B3458">
              <w:rPr>
                <w:rFonts w:ascii="Calibri" w:hAnsi="Calibri" w:cs="Calibri"/>
                <w:b/>
                <w:sz w:val="22"/>
                <w:szCs w:val="22"/>
              </w:rPr>
              <w:t xml:space="preserve"> willfully or knowingly violated the” TCPA.  </w:t>
            </w:r>
            <w:r w:rsidRPr="00D0272B">
              <w:rPr>
                <w:rFonts w:ascii="Calibri" w:hAnsi="Calibri" w:cs="Calibri"/>
                <w:b/>
                <w:sz w:val="22"/>
                <w:szCs w:val="22"/>
              </w:rPr>
              <w:t xml:space="preserve">47 U.S.C. </w:t>
            </w:r>
            <w:r w:rsidRPr="007B3458">
              <w:rPr>
                <w:rFonts w:ascii="Calibri" w:hAnsi="Calibri" w:cs="Calibri"/>
                <w:b/>
                <w:sz w:val="22"/>
                <w:szCs w:val="22"/>
              </w:rPr>
              <w:t>§ 227(c)(5)(C)</w:t>
            </w:r>
            <w:r>
              <w:rPr>
                <w:rFonts w:ascii="Calibri" w:hAnsi="Calibri" w:cs="Calibri"/>
                <w:b/>
                <w:sz w:val="22"/>
                <w:szCs w:val="22"/>
              </w:rPr>
              <w:t>.</w:t>
            </w:r>
          </w:p>
        </w:tc>
      </w:tr>
      <w:tr w:rsidR="007C4BB5" w:rsidRPr="00907D75" w14:paraId="1F0C7499" w14:textId="77777777" w:rsidTr="008649A2">
        <w:trPr>
          <w:trHeight w:val="4795"/>
        </w:trPr>
        <w:tc>
          <w:tcPr>
            <w:tcW w:w="5805" w:type="dxa"/>
            <w:vAlign w:val="center"/>
          </w:tcPr>
          <w:p w14:paraId="647184FA" w14:textId="2C6EE3DD" w:rsidR="007C4BB5" w:rsidRDefault="007C4BB5" w:rsidP="00525419">
            <w:pPr>
              <w:pStyle w:val="O-BodyText"/>
              <w:spacing w:after="120"/>
              <w:ind w:right="200"/>
              <w:jc w:val="both"/>
              <w:rPr>
                <w:rFonts w:ascii="Calibri" w:hAnsi="Calibri" w:cs="Calibri"/>
                <w:b/>
                <w:sz w:val="28"/>
                <w:szCs w:val="28"/>
              </w:rPr>
            </w:pPr>
            <w:r w:rsidRPr="00B200E1">
              <w:rPr>
                <w:rFonts w:ascii="Calibri" w:hAnsi="Calibri" w:cs="Calibri"/>
                <w:b/>
                <w:sz w:val="28"/>
                <w:szCs w:val="28"/>
              </w:rPr>
              <w:t xml:space="preserve">Krakauer </w:t>
            </w:r>
            <w:r>
              <w:rPr>
                <w:rFonts w:ascii="Calibri" w:hAnsi="Calibri" w:cs="Calibri"/>
                <w:b/>
                <w:sz w:val="28"/>
                <w:szCs w:val="28"/>
              </w:rPr>
              <w:t>cites</w:t>
            </w:r>
            <w:r w:rsidRPr="00B200E1">
              <w:rPr>
                <w:rFonts w:ascii="Calibri" w:hAnsi="Calibri" w:cs="Calibri"/>
                <w:b/>
                <w:sz w:val="28"/>
                <w:szCs w:val="28"/>
              </w:rPr>
              <w:t xml:space="preserve"> </w:t>
            </w:r>
            <w:r w:rsidRPr="00B200E1">
              <w:rPr>
                <w:rFonts w:ascii="Calibri" w:hAnsi="Calibri" w:cs="Calibri"/>
                <w:b/>
                <w:i/>
                <w:sz w:val="28"/>
                <w:szCs w:val="28"/>
              </w:rPr>
              <w:t xml:space="preserve">Louis </w:t>
            </w:r>
            <w:proofErr w:type="spellStart"/>
            <w:r w:rsidRPr="00B200E1">
              <w:rPr>
                <w:rFonts w:ascii="Calibri" w:hAnsi="Calibri" w:cs="Calibri"/>
                <w:b/>
                <w:i/>
                <w:sz w:val="28"/>
                <w:szCs w:val="28"/>
              </w:rPr>
              <w:t>Pizitz</w:t>
            </w:r>
            <w:proofErr w:type="spellEnd"/>
            <w:r w:rsidRPr="00B200E1">
              <w:rPr>
                <w:rFonts w:ascii="Calibri" w:hAnsi="Calibri" w:cs="Calibri"/>
                <w:b/>
                <w:i/>
                <w:sz w:val="28"/>
                <w:szCs w:val="28"/>
              </w:rPr>
              <w:t xml:space="preserve"> Dry Goods v. </w:t>
            </w:r>
            <w:proofErr w:type="spellStart"/>
            <w:r w:rsidRPr="00B200E1">
              <w:rPr>
                <w:rFonts w:ascii="Calibri" w:hAnsi="Calibri" w:cs="Calibri"/>
                <w:b/>
                <w:i/>
                <w:sz w:val="28"/>
                <w:szCs w:val="28"/>
              </w:rPr>
              <w:t>Yeldell</w:t>
            </w:r>
            <w:proofErr w:type="spellEnd"/>
            <w:r>
              <w:rPr>
                <w:rFonts w:ascii="Calibri" w:hAnsi="Calibri" w:cs="Calibri"/>
                <w:b/>
                <w:sz w:val="28"/>
                <w:szCs w:val="28"/>
              </w:rPr>
              <w:t xml:space="preserve"> </w:t>
            </w:r>
            <w:r w:rsidRPr="00B200E1">
              <w:rPr>
                <w:rFonts w:ascii="Calibri" w:hAnsi="Calibri" w:cs="Calibri"/>
                <w:b/>
                <w:sz w:val="28"/>
                <w:szCs w:val="28"/>
              </w:rPr>
              <w:t>(</w:t>
            </w:r>
            <w:r>
              <w:rPr>
                <w:rFonts w:ascii="Calibri" w:hAnsi="Calibri" w:cs="Calibri"/>
                <w:b/>
                <w:sz w:val="28"/>
                <w:szCs w:val="28"/>
              </w:rPr>
              <w:t xml:space="preserve">S. Ct. </w:t>
            </w:r>
            <w:r w:rsidRPr="00B200E1">
              <w:rPr>
                <w:rFonts w:ascii="Calibri" w:hAnsi="Calibri" w:cs="Calibri"/>
                <w:b/>
                <w:sz w:val="28"/>
                <w:szCs w:val="28"/>
              </w:rPr>
              <w:t>1927)</w:t>
            </w:r>
            <w:r>
              <w:rPr>
                <w:rFonts w:ascii="Calibri" w:hAnsi="Calibri" w:cs="Calibri"/>
                <w:b/>
                <w:sz w:val="28"/>
                <w:szCs w:val="28"/>
              </w:rPr>
              <w:t xml:space="preserve"> for the proposition that a principal can face punitive damages for his agent’s willful acts.  Is that correct?</w:t>
            </w:r>
          </w:p>
        </w:tc>
        <w:tc>
          <w:tcPr>
            <w:tcW w:w="5805" w:type="dxa"/>
            <w:vAlign w:val="center"/>
          </w:tcPr>
          <w:p w14:paraId="720759C9" w14:textId="4893530F" w:rsidR="007C4BB5" w:rsidRDefault="007C4BB5" w:rsidP="00525419">
            <w:pPr>
              <w:pStyle w:val="O-BodyText"/>
              <w:spacing w:after="120"/>
              <w:ind w:right="65"/>
              <w:jc w:val="both"/>
              <w:rPr>
                <w:rFonts w:ascii="Calibri" w:hAnsi="Calibri" w:cs="Calibri"/>
                <w:b/>
                <w:sz w:val="22"/>
                <w:szCs w:val="22"/>
              </w:rPr>
            </w:pPr>
            <w:proofErr w:type="spellStart"/>
            <w:r w:rsidRPr="00B200E1">
              <w:rPr>
                <w:rFonts w:ascii="Calibri" w:hAnsi="Calibri" w:cs="Calibri"/>
                <w:b/>
                <w:i/>
                <w:sz w:val="22"/>
                <w:szCs w:val="22"/>
              </w:rPr>
              <w:t>Yeldell</w:t>
            </w:r>
            <w:proofErr w:type="spellEnd"/>
            <w:r w:rsidRPr="00B200E1">
              <w:rPr>
                <w:rFonts w:ascii="Calibri" w:hAnsi="Calibri" w:cs="Calibri"/>
                <w:b/>
                <w:sz w:val="22"/>
                <w:szCs w:val="22"/>
              </w:rPr>
              <w:t xml:space="preserve"> </w:t>
            </w:r>
            <w:r>
              <w:rPr>
                <w:rFonts w:ascii="Calibri" w:hAnsi="Calibri" w:cs="Calibri"/>
                <w:b/>
                <w:sz w:val="22"/>
                <w:szCs w:val="22"/>
              </w:rPr>
              <w:t xml:space="preserve">(S. Ct. 1927) </w:t>
            </w:r>
            <w:r w:rsidRPr="00B200E1">
              <w:rPr>
                <w:rFonts w:ascii="Calibri" w:hAnsi="Calibri" w:cs="Calibri"/>
                <w:b/>
                <w:sz w:val="22"/>
                <w:szCs w:val="22"/>
              </w:rPr>
              <w:t>merely held that states</w:t>
            </w:r>
            <w:r w:rsidRPr="00B200E1">
              <w:rPr>
                <w:rFonts w:ascii="Calibri" w:hAnsi="Calibri" w:cs="Calibri"/>
                <w:b/>
                <w:i/>
                <w:sz w:val="22"/>
                <w:szCs w:val="22"/>
              </w:rPr>
              <w:t xml:space="preserve"> may</w:t>
            </w:r>
            <w:r w:rsidRPr="00B200E1">
              <w:rPr>
                <w:rFonts w:ascii="Calibri" w:hAnsi="Calibri" w:cs="Calibri"/>
                <w:b/>
                <w:sz w:val="22"/>
                <w:szCs w:val="22"/>
              </w:rPr>
              <w:t xml:space="preserve"> hold principals vicariously liable for punitive remedies without violating due process.  It confirms the federal rule that “[g]</w:t>
            </w:r>
            <w:proofErr w:type="spellStart"/>
            <w:r w:rsidRPr="00B200E1">
              <w:rPr>
                <w:rFonts w:ascii="Calibri" w:hAnsi="Calibri" w:cs="Calibri"/>
                <w:b/>
                <w:sz w:val="22"/>
                <w:szCs w:val="22"/>
              </w:rPr>
              <w:t>uilty</w:t>
            </w:r>
            <w:proofErr w:type="spellEnd"/>
            <w:r w:rsidRPr="00B200E1">
              <w:rPr>
                <w:rFonts w:ascii="Calibri" w:hAnsi="Calibri" w:cs="Calibri"/>
                <w:b/>
                <w:sz w:val="22"/>
                <w:szCs w:val="22"/>
              </w:rPr>
              <w:t xml:space="preserve"> intention on the part of the defendant is required in order to charge him with exemplary or punitive damages.”</w:t>
            </w:r>
          </w:p>
        </w:tc>
      </w:tr>
      <w:tr w:rsidR="007C4BB5" w:rsidRPr="00907D75" w14:paraId="0BB3C752" w14:textId="77777777" w:rsidTr="008649A2">
        <w:trPr>
          <w:trHeight w:val="4795"/>
        </w:trPr>
        <w:tc>
          <w:tcPr>
            <w:tcW w:w="5805" w:type="dxa"/>
            <w:vAlign w:val="center"/>
          </w:tcPr>
          <w:p w14:paraId="1B5BF745" w14:textId="5D8D75B7" w:rsidR="007C4BB5" w:rsidRPr="00B200E1"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How does Section 227(c)(5)’s imposition of liability for calls made “by or on behalf of the same entity” affect whether damages may be trebled?</w:t>
            </w:r>
          </w:p>
        </w:tc>
        <w:tc>
          <w:tcPr>
            <w:tcW w:w="5805" w:type="dxa"/>
            <w:vAlign w:val="center"/>
          </w:tcPr>
          <w:p w14:paraId="214F7CD5" w14:textId="01D3E3AE" w:rsidR="007C4BB5" w:rsidRPr="007B3458" w:rsidRDefault="007C4BB5" w:rsidP="00525419">
            <w:pPr>
              <w:pStyle w:val="O-BodyText"/>
              <w:spacing w:after="120"/>
              <w:ind w:right="65"/>
              <w:jc w:val="both"/>
              <w:rPr>
                <w:rFonts w:ascii="Calibri" w:hAnsi="Calibri" w:cs="Calibri"/>
                <w:b/>
                <w:sz w:val="22"/>
                <w:szCs w:val="22"/>
              </w:rPr>
            </w:pPr>
            <w:r w:rsidRPr="007B3458">
              <w:rPr>
                <w:rFonts w:ascii="Calibri" w:hAnsi="Calibri" w:cs="Calibri"/>
                <w:b/>
                <w:sz w:val="22"/>
                <w:szCs w:val="22"/>
              </w:rPr>
              <w:t>Section 227(c)(5) governs direct liability.  The treble-damages provision is different—like the common law, it requires “</w:t>
            </w:r>
            <w:r w:rsidRPr="007B3458">
              <w:rPr>
                <w:rFonts w:ascii="Calibri" w:hAnsi="Calibri" w:cs="Calibri"/>
                <w:b/>
                <w:i/>
                <w:sz w:val="22"/>
                <w:szCs w:val="22"/>
              </w:rPr>
              <w:t>the defendant</w:t>
            </w:r>
            <w:r w:rsidRPr="007B3458">
              <w:rPr>
                <w:rFonts w:ascii="Calibri" w:hAnsi="Calibri" w:cs="Calibri"/>
                <w:b/>
                <w:sz w:val="22"/>
                <w:szCs w:val="22"/>
              </w:rPr>
              <w:t xml:space="preserve"> willfully or knowingly violated the” TCPA.  </w:t>
            </w:r>
            <w:r w:rsidRPr="00D0272B">
              <w:rPr>
                <w:rFonts w:ascii="Calibri" w:hAnsi="Calibri" w:cs="Calibri"/>
                <w:b/>
                <w:sz w:val="22"/>
                <w:szCs w:val="22"/>
              </w:rPr>
              <w:t xml:space="preserve">47 U.S.C. </w:t>
            </w:r>
            <w:r w:rsidRPr="007B3458">
              <w:rPr>
                <w:rFonts w:ascii="Calibri" w:hAnsi="Calibri" w:cs="Calibri"/>
                <w:b/>
                <w:sz w:val="22"/>
                <w:szCs w:val="22"/>
              </w:rPr>
              <w:t>§ 227(c)(5)(C) (emphasis added)</w:t>
            </w:r>
            <w:r>
              <w:rPr>
                <w:rFonts w:ascii="Calibri" w:hAnsi="Calibri" w:cs="Calibri"/>
                <w:b/>
                <w:sz w:val="22"/>
                <w:szCs w:val="22"/>
              </w:rPr>
              <w:t>.</w:t>
            </w:r>
            <w:r w:rsidRPr="007B3458">
              <w:rPr>
                <w:rFonts w:ascii="Calibri" w:eastAsiaTheme="minorHAnsi" w:hAnsi="Calibri" w:cs="Calibri"/>
                <w:b/>
                <w:sz w:val="22"/>
                <w:szCs w:val="22"/>
              </w:rPr>
              <w:t xml:space="preserve"> </w:t>
            </w:r>
            <w:r>
              <w:rPr>
                <w:rFonts w:ascii="Calibri" w:eastAsiaTheme="minorHAnsi" w:hAnsi="Calibri" w:cs="Calibri"/>
                <w:b/>
                <w:sz w:val="22"/>
                <w:szCs w:val="22"/>
              </w:rPr>
              <w:t xml:space="preserve"> </w:t>
            </w:r>
            <w:r w:rsidRPr="007B3458">
              <w:rPr>
                <w:rFonts w:ascii="Calibri" w:hAnsi="Calibri" w:cs="Calibri"/>
                <w:b/>
                <w:sz w:val="22"/>
                <w:szCs w:val="22"/>
              </w:rPr>
              <w:t xml:space="preserve">The FCC decision that Krakauer cites </w:t>
            </w:r>
            <w:r>
              <w:rPr>
                <w:rFonts w:ascii="Calibri" w:hAnsi="Calibri" w:cs="Calibri"/>
                <w:b/>
                <w:sz w:val="22"/>
                <w:szCs w:val="22"/>
              </w:rPr>
              <w:t>also</w:t>
            </w:r>
            <w:r w:rsidRPr="007B3458">
              <w:rPr>
                <w:rFonts w:ascii="Calibri" w:hAnsi="Calibri" w:cs="Calibri"/>
                <w:b/>
                <w:sz w:val="22"/>
                <w:szCs w:val="22"/>
              </w:rPr>
              <w:t xml:space="preserve"> concerns direct liability, not treble damages</w:t>
            </w:r>
            <w:r>
              <w:rPr>
                <w:rFonts w:ascii="Calibri" w:hAnsi="Calibri" w:cs="Calibri"/>
                <w:b/>
                <w:sz w:val="22"/>
                <w:szCs w:val="22"/>
              </w:rPr>
              <w:t xml:space="preserve">. </w:t>
            </w:r>
            <w:r w:rsidRPr="007B3458">
              <w:rPr>
                <w:rFonts w:ascii="Calibri" w:hAnsi="Calibri" w:cs="Calibri"/>
                <w:b/>
                <w:i/>
                <w:sz w:val="22"/>
                <w:szCs w:val="22"/>
                <w:lang w:val="x-none"/>
              </w:rPr>
              <w:t xml:space="preserve"> In re Joint Pet. Filed by</w:t>
            </w:r>
            <w:r w:rsidRPr="007B3458">
              <w:rPr>
                <w:rFonts w:ascii="Calibri" w:hAnsi="Calibri" w:cs="Calibri"/>
                <w:b/>
                <w:i/>
                <w:sz w:val="22"/>
                <w:szCs w:val="22"/>
              </w:rPr>
              <w:t xml:space="preserve"> </w:t>
            </w:r>
            <w:r>
              <w:rPr>
                <w:rFonts w:ascii="Calibri" w:hAnsi="Calibri" w:cs="Calibri"/>
                <w:b/>
                <w:i/>
                <w:sz w:val="22"/>
                <w:szCs w:val="22"/>
                <w:lang w:val="x-none"/>
              </w:rPr>
              <w:t>Dish Network</w:t>
            </w:r>
            <w:r>
              <w:rPr>
                <w:rFonts w:ascii="Calibri" w:hAnsi="Calibri" w:cs="Calibri"/>
                <w:b/>
                <w:sz w:val="22"/>
                <w:szCs w:val="22"/>
              </w:rPr>
              <w:t xml:space="preserve"> </w:t>
            </w:r>
            <w:r w:rsidRPr="007B3458">
              <w:rPr>
                <w:rFonts w:ascii="Calibri" w:hAnsi="Calibri" w:cs="Calibri"/>
                <w:b/>
                <w:sz w:val="22"/>
                <w:szCs w:val="22"/>
                <w:lang w:val="x-none"/>
              </w:rPr>
              <w:t>(</w:t>
            </w:r>
            <w:r>
              <w:rPr>
                <w:rFonts w:ascii="Calibri" w:hAnsi="Calibri" w:cs="Calibri"/>
                <w:b/>
                <w:sz w:val="22"/>
                <w:szCs w:val="22"/>
              </w:rPr>
              <w:t xml:space="preserve">FCC </w:t>
            </w:r>
            <w:r w:rsidRPr="007B3458">
              <w:rPr>
                <w:rFonts w:ascii="Calibri" w:hAnsi="Calibri" w:cs="Calibri"/>
                <w:b/>
                <w:sz w:val="22"/>
                <w:szCs w:val="22"/>
                <w:lang w:val="x-none"/>
              </w:rPr>
              <w:t>2013</w:t>
            </w:r>
            <w:r w:rsidRPr="007B3458">
              <w:rPr>
                <w:rFonts w:ascii="Calibri" w:hAnsi="Calibri" w:cs="Calibri"/>
                <w:b/>
                <w:sz w:val="22"/>
                <w:szCs w:val="22"/>
              </w:rPr>
              <w:t>).</w:t>
            </w:r>
          </w:p>
          <w:p w14:paraId="3229E144" w14:textId="4B1C87F0" w:rsidR="007C4BB5" w:rsidRPr="00B200E1" w:rsidRDefault="007C4BB5" w:rsidP="00525419">
            <w:pPr>
              <w:pStyle w:val="O-BodyText"/>
              <w:spacing w:after="120"/>
              <w:ind w:right="65"/>
              <w:jc w:val="both"/>
              <w:rPr>
                <w:rFonts w:ascii="Calibri" w:hAnsi="Calibri" w:cs="Calibri"/>
                <w:b/>
                <w:sz w:val="22"/>
                <w:szCs w:val="22"/>
                <w:highlight w:val="yellow"/>
              </w:rPr>
            </w:pPr>
          </w:p>
        </w:tc>
      </w:tr>
      <w:tr w:rsidR="007C4BB5" w:rsidRPr="00907D75" w14:paraId="4381A661" w14:textId="77777777" w:rsidTr="008649A2">
        <w:trPr>
          <w:trHeight w:val="4795"/>
        </w:trPr>
        <w:tc>
          <w:tcPr>
            <w:tcW w:w="5805" w:type="dxa"/>
            <w:vAlign w:val="center"/>
          </w:tcPr>
          <w:p w14:paraId="5689B3BE" w14:textId="779C0B3A"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Are you challenging the finding that SSN willfully and knowingly violated the TCPA?</w:t>
            </w:r>
          </w:p>
        </w:tc>
        <w:tc>
          <w:tcPr>
            <w:tcW w:w="5805" w:type="dxa"/>
            <w:vAlign w:val="center"/>
          </w:tcPr>
          <w:p w14:paraId="7BC15909" w14:textId="348EB6F5" w:rsidR="007C4BB5" w:rsidRDefault="003B3557" w:rsidP="00525419">
            <w:pPr>
              <w:pStyle w:val="O-BodyText"/>
              <w:spacing w:after="120"/>
              <w:ind w:right="65"/>
              <w:jc w:val="both"/>
              <w:rPr>
                <w:rFonts w:ascii="Calibri" w:hAnsi="Calibri" w:cs="Calibri"/>
                <w:b/>
                <w:sz w:val="22"/>
                <w:szCs w:val="22"/>
              </w:rPr>
            </w:pPr>
            <w:r w:rsidRPr="003B3557">
              <w:rPr>
                <w:rFonts w:ascii="Calibri" w:hAnsi="Calibri" w:cs="Calibri"/>
                <w:b/>
                <w:sz w:val="22"/>
                <w:szCs w:val="22"/>
                <w:highlight w:val="yellow"/>
              </w:rPr>
              <w:t>[Explain.]</w:t>
            </w:r>
          </w:p>
        </w:tc>
      </w:tr>
      <w:tr w:rsidR="007C4BB5" w:rsidRPr="00907D75" w14:paraId="1126B347" w14:textId="77777777" w:rsidTr="008649A2">
        <w:trPr>
          <w:trHeight w:val="4795"/>
        </w:trPr>
        <w:tc>
          <w:tcPr>
            <w:tcW w:w="5805" w:type="dxa"/>
            <w:vAlign w:val="center"/>
          </w:tcPr>
          <w:p w14:paraId="01B2A798" w14:textId="130D8C6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What was the basis of the district court’s finding that DISH acted willfully?</w:t>
            </w:r>
          </w:p>
        </w:tc>
        <w:tc>
          <w:tcPr>
            <w:tcW w:w="5805" w:type="dxa"/>
            <w:vAlign w:val="center"/>
          </w:tcPr>
          <w:p w14:paraId="3DD435F4" w14:textId="3F1F46FD"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The district court found that DISH acted willfully based on (1) the </w:t>
            </w:r>
            <w:r w:rsidRPr="00FC55F0">
              <w:rPr>
                <w:rFonts w:ascii="Calibri" w:hAnsi="Calibri" w:cs="Calibri"/>
                <w:b/>
                <w:sz w:val="22"/>
                <w:szCs w:val="22"/>
              </w:rPr>
              <w:t>“traditional rule” that a principal is liable for the willful acts of his agent committed within the scope of the agent’s actual authority</w:t>
            </w:r>
            <w:r>
              <w:rPr>
                <w:rFonts w:ascii="Calibri" w:hAnsi="Calibri" w:cs="Calibri"/>
                <w:b/>
                <w:sz w:val="22"/>
                <w:szCs w:val="22"/>
              </w:rPr>
              <w:t>;</w:t>
            </w:r>
            <w:r w:rsidRPr="00FC55F0">
              <w:rPr>
                <w:rFonts w:ascii="Calibri" w:hAnsi="Calibri" w:cs="Calibri"/>
                <w:b/>
                <w:sz w:val="22"/>
                <w:szCs w:val="22"/>
              </w:rPr>
              <w:t xml:space="preserve"> </w:t>
            </w:r>
            <w:r>
              <w:rPr>
                <w:rFonts w:ascii="Calibri" w:hAnsi="Calibri" w:cs="Calibri"/>
                <w:b/>
                <w:sz w:val="22"/>
                <w:szCs w:val="22"/>
              </w:rPr>
              <w:t>and (2) its conclusion</w:t>
            </w:r>
            <w:r w:rsidRPr="00FC55F0">
              <w:rPr>
                <w:rFonts w:ascii="Calibri" w:hAnsi="Calibri" w:cs="Calibri"/>
                <w:b/>
                <w:sz w:val="22"/>
                <w:szCs w:val="22"/>
              </w:rPr>
              <w:t xml:space="preserve"> that </w:t>
            </w:r>
            <w:r>
              <w:rPr>
                <w:rFonts w:ascii="Calibri" w:hAnsi="Calibri" w:cs="Calibri"/>
                <w:b/>
                <w:sz w:val="22"/>
                <w:szCs w:val="22"/>
              </w:rPr>
              <w:t>DISH “</w:t>
            </w:r>
            <w:r w:rsidRPr="00FC55F0">
              <w:rPr>
                <w:rFonts w:ascii="Calibri" w:hAnsi="Calibri" w:cs="Calibri"/>
                <w:b/>
                <w:sz w:val="22"/>
                <w:szCs w:val="22"/>
              </w:rPr>
              <w:t>knew or should have known that its agent, SSN, was violating the TCPA.”</w:t>
            </w:r>
          </w:p>
        </w:tc>
      </w:tr>
      <w:tr w:rsidR="007C4BB5" w:rsidRPr="00907D75" w14:paraId="043FC7A0" w14:textId="77777777" w:rsidTr="008649A2">
        <w:trPr>
          <w:trHeight w:val="4795"/>
        </w:trPr>
        <w:tc>
          <w:tcPr>
            <w:tcW w:w="5805" w:type="dxa"/>
            <w:vAlign w:val="center"/>
          </w:tcPr>
          <w:p w14:paraId="6F05546A" w14:textId="1AAA1A0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Supreme Court say about a principal’s liability for the acts of his agent in </w:t>
            </w:r>
            <w:r w:rsidRPr="002F6154">
              <w:rPr>
                <w:rFonts w:ascii="Calibri" w:hAnsi="Calibri" w:cs="Calibri"/>
                <w:b/>
                <w:i/>
                <w:sz w:val="28"/>
                <w:szCs w:val="28"/>
              </w:rPr>
              <w:t xml:space="preserve">Louis </w:t>
            </w:r>
            <w:proofErr w:type="spellStart"/>
            <w:r w:rsidRPr="002F6154">
              <w:rPr>
                <w:rFonts w:ascii="Calibri" w:hAnsi="Calibri" w:cs="Calibri"/>
                <w:b/>
                <w:i/>
                <w:sz w:val="28"/>
                <w:szCs w:val="28"/>
              </w:rPr>
              <w:t>Pizitz</w:t>
            </w:r>
            <w:proofErr w:type="spellEnd"/>
            <w:r w:rsidRPr="002F6154">
              <w:rPr>
                <w:rFonts w:ascii="Calibri" w:hAnsi="Calibri" w:cs="Calibri"/>
                <w:b/>
                <w:i/>
                <w:sz w:val="28"/>
                <w:szCs w:val="28"/>
              </w:rPr>
              <w:t xml:space="preserve"> Dry Goods v. </w:t>
            </w:r>
            <w:proofErr w:type="spellStart"/>
            <w:r w:rsidRPr="002F6154">
              <w:rPr>
                <w:rFonts w:ascii="Calibri" w:hAnsi="Calibri" w:cs="Calibri"/>
                <w:b/>
                <w:i/>
                <w:sz w:val="28"/>
                <w:szCs w:val="28"/>
              </w:rPr>
              <w:t>Yeldell</w:t>
            </w:r>
            <w:proofErr w:type="spellEnd"/>
            <w:r>
              <w:rPr>
                <w:rFonts w:ascii="Calibri" w:hAnsi="Calibri" w:cs="Calibri"/>
                <w:b/>
                <w:sz w:val="28"/>
                <w:szCs w:val="28"/>
              </w:rPr>
              <w:t xml:space="preserve"> </w:t>
            </w:r>
            <w:r w:rsidRPr="002F6154">
              <w:rPr>
                <w:rFonts w:ascii="Calibri" w:hAnsi="Calibri" w:cs="Calibri"/>
                <w:b/>
                <w:sz w:val="28"/>
                <w:szCs w:val="28"/>
              </w:rPr>
              <w:t>(</w:t>
            </w:r>
            <w:r>
              <w:rPr>
                <w:rFonts w:ascii="Calibri" w:hAnsi="Calibri" w:cs="Calibri"/>
                <w:b/>
                <w:sz w:val="28"/>
                <w:szCs w:val="28"/>
              </w:rPr>
              <w:t xml:space="preserve">S. Ct. </w:t>
            </w:r>
            <w:r w:rsidRPr="002F6154">
              <w:rPr>
                <w:rFonts w:ascii="Calibri" w:hAnsi="Calibri" w:cs="Calibri"/>
                <w:b/>
                <w:sz w:val="28"/>
                <w:szCs w:val="28"/>
              </w:rPr>
              <w:t>1927</w:t>
            </w:r>
            <w:r>
              <w:rPr>
                <w:rFonts w:ascii="Calibri" w:hAnsi="Calibri" w:cs="Calibri"/>
                <w:b/>
                <w:sz w:val="28"/>
                <w:szCs w:val="28"/>
              </w:rPr>
              <w:t>)?</w:t>
            </w:r>
          </w:p>
        </w:tc>
        <w:tc>
          <w:tcPr>
            <w:tcW w:w="5805" w:type="dxa"/>
            <w:vAlign w:val="center"/>
          </w:tcPr>
          <w:p w14:paraId="3A8465BD" w14:textId="20F86547"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highlight w:val="yellow"/>
              </w:rPr>
              <w:t xml:space="preserve">From Krakauer’s brief:  </w:t>
            </w:r>
            <w:r w:rsidRPr="001E1071">
              <w:rPr>
                <w:rFonts w:ascii="Calibri" w:hAnsi="Calibri" w:cs="Calibri"/>
                <w:b/>
                <w:sz w:val="22"/>
                <w:szCs w:val="22"/>
                <w:highlight w:val="yellow"/>
              </w:rPr>
              <w:t xml:space="preserve">In </w:t>
            </w:r>
            <w:r w:rsidRPr="001E1071">
              <w:rPr>
                <w:rFonts w:ascii="Calibri" w:hAnsi="Calibri" w:cs="Calibri"/>
                <w:b/>
                <w:i/>
                <w:sz w:val="22"/>
                <w:szCs w:val="22"/>
                <w:highlight w:val="yellow"/>
              </w:rPr>
              <w:t xml:space="preserve">Louis </w:t>
            </w:r>
            <w:proofErr w:type="spellStart"/>
            <w:r w:rsidRPr="001E1071">
              <w:rPr>
                <w:rFonts w:ascii="Calibri" w:hAnsi="Calibri" w:cs="Calibri"/>
                <w:b/>
                <w:i/>
                <w:sz w:val="22"/>
                <w:szCs w:val="22"/>
                <w:highlight w:val="yellow"/>
              </w:rPr>
              <w:t>Pizitz</w:t>
            </w:r>
            <w:proofErr w:type="spellEnd"/>
            <w:r w:rsidRPr="001E1071">
              <w:rPr>
                <w:rFonts w:ascii="Calibri" w:hAnsi="Calibri" w:cs="Calibri"/>
                <w:b/>
                <w:i/>
                <w:sz w:val="22"/>
                <w:szCs w:val="22"/>
                <w:highlight w:val="yellow"/>
              </w:rPr>
              <w:t xml:space="preserve"> Dry Goods v. </w:t>
            </w:r>
            <w:proofErr w:type="spellStart"/>
            <w:r w:rsidRPr="001E1071">
              <w:rPr>
                <w:rFonts w:ascii="Calibri" w:hAnsi="Calibri" w:cs="Calibri"/>
                <w:b/>
                <w:i/>
                <w:sz w:val="22"/>
                <w:szCs w:val="22"/>
                <w:highlight w:val="yellow"/>
              </w:rPr>
              <w:t>Yeldell</w:t>
            </w:r>
            <w:proofErr w:type="spellEnd"/>
            <w:r w:rsidRPr="001E1071">
              <w:rPr>
                <w:rFonts w:ascii="Calibri" w:hAnsi="Calibri" w:cs="Calibri"/>
                <w:b/>
                <w:sz w:val="22"/>
                <w:szCs w:val="22"/>
                <w:highlight w:val="yellow"/>
              </w:rPr>
              <w:t xml:space="preserve"> (S. Ct. 1927), the Supreme Court upheld a punitive-damages award against a principal for an agent’s </w:t>
            </w:r>
            <w:r w:rsidRPr="001E1071">
              <w:rPr>
                <w:rFonts w:ascii="Calibri" w:hAnsi="Calibri" w:cs="Calibri"/>
                <w:b/>
                <w:i/>
                <w:sz w:val="22"/>
                <w:szCs w:val="22"/>
                <w:highlight w:val="yellow"/>
              </w:rPr>
              <w:t xml:space="preserve">negligent </w:t>
            </w:r>
            <w:r w:rsidRPr="001E1071">
              <w:rPr>
                <w:rFonts w:ascii="Calibri" w:hAnsi="Calibri" w:cs="Calibri"/>
                <w:b/>
                <w:sz w:val="22"/>
                <w:szCs w:val="22"/>
                <w:highlight w:val="yellow"/>
              </w:rPr>
              <w:t>acts</w:t>
            </w:r>
            <w:r>
              <w:rPr>
                <w:rFonts w:ascii="Calibri" w:hAnsi="Calibri" w:cs="Calibri"/>
                <w:b/>
                <w:sz w:val="22"/>
                <w:szCs w:val="22"/>
                <w:highlight w:val="yellow"/>
              </w:rPr>
              <w:t>.  AB47</w:t>
            </w:r>
            <w:r w:rsidRPr="001E1071">
              <w:rPr>
                <w:rFonts w:ascii="Calibri" w:hAnsi="Calibri" w:cs="Calibri"/>
                <w:b/>
                <w:sz w:val="22"/>
                <w:szCs w:val="22"/>
                <w:highlight w:val="yellow"/>
              </w:rPr>
              <w:t>.</w:t>
            </w:r>
          </w:p>
        </w:tc>
      </w:tr>
      <w:tr w:rsidR="007C4BB5" w:rsidRPr="00907D75" w14:paraId="27161DFA" w14:textId="77777777" w:rsidTr="008649A2">
        <w:trPr>
          <w:trHeight w:val="4795"/>
        </w:trPr>
        <w:tc>
          <w:tcPr>
            <w:tcW w:w="5805" w:type="dxa"/>
            <w:vAlign w:val="center"/>
          </w:tcPr>
          <w:p w14:paraId="7848A669" w14:textId="5D4C105C"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Does </w:t>
            </w:r>
            <w:r w:rsidRPr="00577B18">
              <w:rPr>
                <w:rFonts w:ascii="Calibri" w:hAnsi="Calibri" w:cs="Calibri"/>
                <w:b/>
                <w:i/>
                <w:sz w:val="28"/>
                <w:szCs w:val="28"/>
              </w:rPr>
              <w:t xml:space="preserve">Kolstad v. Am. Dental </w:t>
            </w:r>
            <w:proofErr w:type="spellStart"/>
            <w:r w:rsidRPr="00577B18">
              <w:rPr>
                <w:rFonts w:ascii="Calibri" w:hAnsi="Calibri" w:cs="Calibri"/>
                <w:b/>
                <w:i/>
                <w:sz w:val="28"/>
                <w:szCs w:val="28"/>
              </w:rPr>
              <w:t>Ass’n</w:t>
            </w:r>
            <w:proofErr w:type="spellEnd"/>
            <w:r>
              <w:rPr>
                <w:rFonts w:ascii="Calibri" w:hAnsi="Calibri" w:cs="Calibri"/>
                <w:b/>
                <w:sz w:val="28"/>
                <w:szCs w:val="28"/>
              </w:rPr>
              <w:t xml:space="preserve"> (S. Ct. 1999) say that </w:t>
            </w:r>
            <w:r w:rsidRPr="00577B18">
              <w:rPr>
                <w:rFonts w:ascii="Calibri" w:hAnsi="Calibri" w:cs="Calibri"/>
                <w:b/>
                <w:sz w:val="28"/>
                <w:szCs w:val="28"/>
              </w:rPr>
              <w:t xml:space="preserve">principals may avoid punitive-damages liability for their agents’ willful acts </w:t>
            </w:r>
            <w:r>
              <w:rPr>
                <w:rFonts w:ascii="Calibri" w:hAnsi="Calibri" w:cs="Calibri"/>
                <w:b/>
                <w:sz w:val="28"/>
                <w:szCs w:val="28"/>
              </w:rPr>
              <w:t xml:space="preserve">only </w:t>
            </w:r>
            <w:r w:rsidRPr="00577B18">
              <w:rPr>
                <w:rFonts w:ascii="Calibri" w:hAnsi="Calibri" w:cs="Calibri"/>
                <w:b/>
                <w:sz w:val="28"/>
                <w:szCs w:val="28"/>
              </w:rPr>
              <w:t xml:space="preserve">if they engage in </w:t>
            </w:r>
            <w:r>
              <w:rPr>
                <w:rFonts w:ascii="Calibri" w:hAnsi="Calibri" w:cs="Calibri"/>
                <w:b/>
                <w:sz w:val="28"/>
                <w:szCs w:val="28"/>
              </w:rPr>
              <w:t>“</w:t>
            </w:r>
            <w:r w:rsidRPr="00577B18">
              <w:rPr>
                <w:rFonts w:ascii="Calibri" w:hAnsi="Calibri" w:cs="Calibri"/>
                <w:b/>
                <w:sz w:val="28"/>
                <w:szCs w:val="28"/>
              </w:rPr>
              <w:t>good faith efforts</w:t>
            </w:r>
            <w:r>
              <w:rPr>
                <w:rFonts w:ascii="Calibri" w:hAnsi="Calibri" w:cs="Calibri"/>
                <w:b/>
                <w:sz w:val="28"/>
                <w:szCs w:val="28"/>
              </w:rPr>
              <w:t>”</w:t>
            </w:r>
            <w:r w:rsidRPr="00577B18">
              <w:rPr>
                <w:rFonts w:ascii="Calibri" w:hAnsi="Calibri" w:cs="Calibri"/>
                <w:b/>
                <w:sz w:val="28"/>
                <w:szCs w:val="28"/>
              </w:rPr>
              <w:t xml:space="preserve"> to ensure compliance</w:t>
            </w:r>
            <w:r>
              <w:rPr>
                <w:rFonts w:ascii="Calibri" w:hAnsi="Calibri" w:cs="Calibri"/>
                <w:b/>
                <w:sz w:val="28"/>
                <w:szCs w:val="28"/>
              </w:rPr>
              <w:t>?  AB48–49.</w:t>
            </w:r>
          </w:p>
        </w:tc>
        <w:tc>
          <w:tcPr>
            <w:tcW w:w="5805" w:type="dxa"/>
            <w:vAlign w:val="center"/>
          </w:tcPr>
          <w:p w14:paraId="16251151" w14:textId="4601AB1E" w:rsidR="007C4BB5" w:rsidRPr="00E727F9"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w:t>
            </w:r>
            <w:r w:rsidRPr="00E727F9">
              <w:rPr>
                <w:rFonts w:ascii="Calibri" w:hAnsi="Calibri" w:cs="Calibri"/>
                <w:b/>
                <w:sz w:val="22"/>
                <w:szCs w:val="22"/>
              </w:rPr>
              <w:t xml:space="preserve">There is no such </w:t>
            </w:r>
            <w:r>
              <w:rPr>
                <w:rFonts w:ascii="Calibri" w:hAnsi="Calibri" w:cs="Calibri"/>
                <w:b/>
                <w:sz w:val="22"/>
                <w:szCs w:val="22"/>
              </w:rPr>
              <w:t xml:space="preserve">“good faith efforts” </w:t>
            </w:r>
            <w:r w:rsidRPr="00E727F9">
              <w:rPr>
                <w:rFonts w:ascii="Calibri" w:hAnsi="Calibri" w:cs="Calibri"/>
                <w:b/>
                <w:sz w:val="22"/>
                <w:szCs w:val="22"/>
              </w:rPr>
              <w:t xml:space="preserve">rule.  </w:t>
            </w:r>
            <w:r w:rsidRPr="00E727F9">
              <w:rPr>
                <w:rFonts w:ascii="Calibri" w:hAnsi="Calibri" w:cs="Calibri"/>
                <w:b/>
                <w:i/>
                <w:sz w:val="22"/>
                <w:szCs w:val="22"/>
              </w:rPr>
              <w:t>Kolstad</w:t>
            </w:r>
            <w:r>
              <w:rPr>
                <w:rFonts w:ascii="Calibri" w:hAnsi="Calibri" w:cs="Calibri"/>
                <w:b/>
                <w:sz w:val="22"/>
                <w:szCs w:val="22"/>
              </w:rPr>
              <w:t xml:space="preserve"> states</w:t>
            </w:r>
            <w:r w:rsidRPr="00E727F9">
              <w:rPr>
                <w:rFonts w:ascii="Calibri" w:hAnsi="Calibri" w:cs="Calibri"/>
                <w:b/>
                <w:sz w:val="22"/>
                <w:szCs w:val="22"/>
              </w:rPr>
              <w:t xml:space="preserve"> that willfulness requires that the defendant </w:t>
            </w:r>
            <w:r w:rsidRPr="00E727F9">
              <w:rPr>
                <w:rFonts w:ascii="Calibri" w:hAnsi="Calibri" w:cs="Calibri"/>
                <w:b/>
                <w:i/>
                <w:sz w:val="22"/>
                <w:szCs w:val="22"/>
              </w:rPr>
              <w:t>itself</w:t>
            </w:r>
            <w:r w:rsidRPr="00E727F9">
              <w:rPr>
                <w:rFonts w:ascii="Calibri" w:hAnsi="Calibri" w:cs="Calibri"/>
                <w:b/>
                <w:sz w:val="22"/>
                <w:szCs w:val="22"/>
              </w:rPr>
              <w:t xml:space="preserve"> engaged in “reckless disregard of federally protected rights.”  </w:t>
            </w:r>
            <w:r>
              <w:rPr>
                <w:rFonts w:ascii="Calibri" w:hAnsi="Calibri" w:cs="Calibri"/>
                <w:b/>
                <w:sz w:val="22"/>
                <w:szCs w:val="22"/>
              </w:rPr>
              <w:t>And</w:t>
            </w:r>
            <w:r w:rsidRPr="00E727F9">
              <w:rPr>
                <w:rFonts w:ascii="Calibri" w:hAnsi="Calibri" w:cs="Calibri"/>
                <w:b/>
                <w:i/>
                <w:sz w:val="22"/>
                <w:szCs w:val="22"/>
              </w:rPr>
              <w:t xml:space="preserve"> </w:t>
            </w:r>
            <w:proofErr w:type="gramStart"/>
            <w:r w:rsidRPr="00E727F9">
              <w:rPr>
                <w:rFonts w:ascii="Calibri" w:hAnsi="Calibri" w:cs="Calibri"/>
                <w:b/>
                <w:i/>
                <w:sz w:val="22"/>
                <w:szCs w:val="22"/>
              </w:rPr>
              <w:t>The</w:t>
            </w:r>
            <w:proofErr w:type="gramEnd"/>
            <w:r w:rsidRPr="00E727F9">
              <w:rPr>
                <w:rFonts w:ascii="Calibri" w:hAnsi="Calibri" w:cs="Calibri"/>
                <w:b/>
                <w:i/>
                <w:sz w:val="22"/>
                <w:szCs w:val="22"/>
              </w:rPr>
              <w:t xml:space="preserve"> Amiable Nancy</w:t>
            </w:r>
            <w:r w:rsidRPr="00E727F9">
              <w:rPr>
                <w:rFonts w:ascii="Calibri" w:hAnsi="Calibri" w:cs="Calibri"/>
                <w:b/>
                <w:sz w:val="22"/>
                <w:szCs w:val="22"/>
              </w:rPr>
              <w:t xml:space="preserve"> (</w:t>
            </w:r>
            <w:r>
              <w:rPr>
                <w:rFonts w:ascii="Calibri" w:hAnsi="Calibri" w:cs="Calibri"/>
                <w:b/>
                <w:sz w:val="22"/>
                <w:szCs w:val="22"/>
              </w:rPr>
              <w:t xml:space="preserve">S. Ct. </w:t>
            </w:r>
            <w:r w:rsidRPr="00E727F9">
              <w:rPr>
                <w:rFonts w:ascii="Calibri" w:hAnsi="Calibri" w:cs="Calibri"/>
                <w:b/>
                <w:sz w:val="22"/>
                <w:szCs w:val="22"/>
              </w:rPr>
              <w:t>1818)</w:t>
            </w:r>
            <w:r>
              <w:rPr>
                <w:rFonts w:ascii="Calibri" w:hAnsi="Calibri" w:cs="Calibri"/>
                <w:b/>
                <w:sz w:val="22"/>
                <w:szCs w:val="22"/>
              </w:rPr>
              <w:t xml:space="preserve"> doesn’t </w:t>
            </w:r>
            <w:r w:rsidRPr="00E727F9">
              <w:rPr>
                <w:rFonts w:ascii="Calibri" w:hAnsi="Calibri" w:cs="Calibri"/>
                <w:b/>
                <w:sz w:val="22"/>
                <w:szCs w:val="22"/>
              </w:rPr>
              <w:t xml:space="preserve">mention </w:t>
            </w:r>
            <w:r>
              <w:rPr>
                <w:rFonts w:ascii="Calibri" w:hAnsi="Calibri" w:cs="Calibri"/>
                <w:b/>
                <w:sz w:val="22"/>
                <w:szCs w:val="22"/>
              </w:rPr>
              <w:t>good faith at all</w:t>
            </w:r>
            <w:r w:rsidRPr="00E727F9">
              <w:rPr>
                <w:rFonts w:ascii="Calibri" w:hAnsi="Calibri" w:cs="Calibri"/>
                <w:b/>
                <w:sz w:val="22"/>
                <w:szCs w:val="22"/>
              </w:rPr>
              <w:t>.</w:t>
            </w:r>
          </w:p>
        </w:tc>
      </w:tr>
      <w:tr w:rsidR="007C4BB5" w:rsidRPr="00907D75" w14:paraId="115F0B95" w14:textId="77777777" w:rsidTr="008649A2">
        <w:trPr>
          <w:trHeight w:val="4795"/>
        </w:trPr>
        <w:tc>
          <w:tcPr>
            <w:tcW w:w="5805" w:type="dxa"/>
            <w:vAlign w:val="center"/>
          </w:tcPr>
          <w:p w14:paraId="24C38B0D" w14:textId="5185A73F"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argue that the district court erred by finding that DISH “had reason to </w:t>
            </w:r>
            <w:proofErr w:type="gramStart"/>
            <w:r>
              <w:rPr>
                <w:rFonts w:ascii="Calibri" w:hAnsi="Calibri" w:cs="Calibri"/>
                <w:b/>
                <w:sz w:val="28"/>
                <w:szCs w:val="28"/>
              </w:rPr>
              <w:t>know, or</w:t>
            </w:r>
            <w:proofErr w:type="gramEnd"/>
            <w:r>
              <w:rPr>
                <w:rFonts w:ascii="Calibri" w:hAnsi="Calibri" w:cs="Calibri"/>
                <w:b/>
                <w:sz w:val="28"/>
                <w:szCs w:val="28"/>
              </w:rPr>
              <w:t xml:space="preserve"> should have known” that SSN’s conduct would violate the TCPA.  How was that error?</w:t>
            </w:r>
          </w:p>
        </w:tc>
        <w:tc>
          <w:tcPr>
            <w:tcW w:w="5805" w:type="dxa"/>
            <w:vAlign w:val="center"/>
          </w:tcPr>
          <w:p w14:paraId="7CBA47BD" w14:textId="22434552" w:rsidR="007C4BB5" w:rsidRPr="00A03D22" w:rsidRDefault="007C4BB5" w:rsidP="00525419">
            <w:pPr>
              <w:pStyle w:val="O-BodyText"/>
              <w:spacing w:after="120"/>
              <w:ind w:right="65"/>
              <w:jc w:val="both"/>
              <w:rPr>
                <w:rFonts w:ascii="Calibri" w:hAnsi="Calibri" w:cs="Calibri"/>
                <w:b/>
                <w:sz w:val="22"/>
                <w:szCs w:val="22"/>
                <w:highlight w:val="yellow"/>
              </w:rPr>
            </w:pPr>
            <w:r w:rsidRPr="009838B3">
              <w:rPr>
                <w:rFonts w:ascii="Calibri" w:hAnsi="Calibri" w:cs="Calibri"/>
                <w:b/>
                <w:sz w:val="22"/>
                <w:szCs w:val="22"/>
              </w:rPr>
              <w:t>The district court’s “should have known” standard is the classic negligence formulation.</w:t>
            </w:r>
            <w:r>
              <w:rPr>
                <w:rFonts w:ascii="Calibri" w:hAnsi="Calibri" w:cs="Calibri"/>
                <w:b/>
                <w:sz w:val="22"/>
                <w:szCs w:val="22"/>
              </w:rPr>
              <w:t xml:space="preserve">  </w:t>
            </w:r>
            <w:r w:rsidRPr="009838B3">
              <w:rPr>
                <w:rFonts w:ascii="Calibri" w:hAnsi="Calibri" w:cs="Calibri"/>
                <w:b/>
                <w:sz w:val="22"/>
                <w:szCs w:val="22"/>
              </w:rPr>
              <w:t xml:space="preserve">That, alone, requires a remand.  </w:t>
            </w:r>
            <w:r w:rsidRPr="009838B3">
              <w:rPr>
                <w:rFonts w:ascii="Calibri" w:hAnsi="Calibri" w:cs="Calibri"/>
                <w:b/>
                <w:i/>
                <w:sz w:val="22"/>
                <w:szCs w:val="22"/>
              </w:rPr>
              <w:t>Raleigh Wake Citizens Association v. Wake County Board of Elections</w:t>
            </w:r>
            <w:r>
              <w:rPr>
                <w:rFonts w:ascii="Calibri" w:hAnsi="Calibri" w:cs="Calibri"/>
                <w:b/>
                <w:sz w:val="22"/>
                <w:szCs w:val="22"/>
              </w:rPr>
              <w:t xml:space="preserve"> </w:t>
            </w:r>
            <w:r w:rsidRPr="009838B3">
              <w:rPr>
                <w:rFonts w:ascii="Calibri" w:hAnsi="Calibri" w:cs="Calibri"/>
                <w:b/>
                <w:sz w:val="22"/>
                <w:szCs w:val="22"/>
              </w:rPr>
              <w:t>(4th Cir. 2016)</w:t>
            </w:r>
            <w:r w:rsidR="003B3557">
              <w:rPr>
                <w:rFonts w:ascii="Calibri" w:hAnsi="Calibri" w:cs="Calibri"/>
                <w:b/>
                <w:sz w:val="22"/>
                <w:szCs w:val="22"/>
              </w:rPr>
              <w:t>.</w:t>
            </w:r>
          </w:p>
        </w:tc>
      </w:tr>
      <w:tr w:rsidR="007C4BB5" w:rsidRPr="00907D75" w14:paraId="3118F1DE" w14:textId="77777777" w:rsidTr="008649A2">
        <w:trPr>
          <w:trHeight w:val="4795"/>
        </w:trPr>
        <w:tc>
          <w:tcPr>
            <w:tcW w:w="5805" w:type="dxa"/>
            <w:vAlign w:val="center"/>
          </w:tcPr>
          <w:p w14:paraId="4BABBBE4" w14:textId="64F0A6D4"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Does the failure to monitor and investigate SSN make DISH liable for SSN’s bad conduct?</w:t>
            </w:r>
          </w:p>
        </w:tc>
        <w:tc>
          <w:tcPr>
            <w:tcW w:w="5805" w:type="dxa"/>
            <w:vAlign w:val="center"/>
          </w:tcPr>
          <w:p w14:paraId="16540A39" w14:textId="4F05E24B" w:rsidR="007C4BB5" w:rsidRPr="00D0272B"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No.  The TCPA</w:t>
            </w:r>
            <w:r w:rsidRPr="00D0272B">
              <w:rPr>
                <w:rFonts w:ascii="Calibri" w:hAnsi="Calibri" w:cs="Calibri"/>
                <w:b/>
                <w:sz w:val="22"/>
                <w:szCs w:val="22"/>
              </w:rPr>
              <w:t xml:space="preserve"> creates no such duty.</w:t>
            </w:r>
            <w:r>
              <w:rPr>
                <w:rFonts w:ascii="Calibri" w:hAnsi="Calibri" w:cs="Calibri"/>
                <w:b/>
                <w:sz w:val="22"/>
                <w:szCs w:val="22"/>
              </w:rPr>
              <w:t xml:space="preserve">  Congress made “</w:t>
            </w:r>
            <w:r w:rsidRPr="00D0272B">
              <w:rPr>
                <w:rFonts w:ascii="Calibri" w:hAnsi="Calibri" w:cs="Calibri"/>
                <w:b/>
                <w:sz w:val="22"/>
                <w:szCs w:val="22"/>
              </w:rPr>
              <w:t xml:space="preserve">establishing and implementing … reasonable practices and procedures to effectively prevent” TCPA violations an </w:t>
            </w:r>
            <w:r w:rsidRPr="00D0272B">
              <w:rPr>
                <w:rFonts w:ascii="Calibri" w:hAnsi="Calibri" w:cs="Calibri"/>
                <w:b/>
                <w:i/>
                <w:sz w:val="22"/>
                <w:szCs w:val="22"/>
              </w:rPr>
              <w:t>affirmative defense</w:t>
            </w:r>
            <w:r w:rsidRPr="00D0272B">
              <w:rPr>
                <w:rFonts w:ascii="Calibri" w:hAnsi="Calibri" w:cs="Calibri"/>
                <w:b/>
                <w:sz w:val="22"/>
                <w:szCs w:val="22"/>
              </w:rPr>
              <w:t xml:space="preserve"> to TCPA liability, but never suggested that failing to do so </w:t>
            </w:r>
            <w:r w:rsidRPr="00D0272B">
              <w:rPr>
                <w:rFonts w:ascii="Calibri" w:hAnsi="Calibri" w:cs="Calibri"/>
                <w:b/>
                <w:i/>
                <w:sz w:val="22"/>
                <w:szCs w:val="22"/>
              </w:rPr>
              <w:t xml:space="preserve">creates </w:t>
            </w:r>
            <w:r w:rsidRPr="00D0272B">
              <w:rPr>
                <w:rFonts w:ascii="Calibri" w:hAnsi="Calibri" w:cs="Calibri"/>
                <w:b/>
                <w:sz w:val="22"/>
                <w:szCs w:val="22"/>
              </w:rPr>
              <w:t>TCPA liability, much less for enhanced</w:t>
            </w:r>
            <w:r w:rsidRPr="00D0272B">
              <w:rPr>
                <w:rFonts w:ascii="Calibri" w:hAnsi="Calibri" w:cs="Calibri"/>
                <w:b/>
                <w:i/>
                <w:sz w:val="22"/>
                <w:szCs w:val="22"/>
              </w:rPr>
              <w:t xml:space="preserve"> </w:t>
            </w:r>
            <w:r w:rsidRPr="00D0272B">
              <w:rPr>
                <w:rFonts w:ascii="Calibri" w:hAnsi="Calibri" w:cs="Calibri"/>
                <w:b/>
                <w:sz w:val="22"/>
                <w:szCs w:val="22"/>
              </w:rPr>
              <w:t>damages.  47 U.S.C. § 227(c)(5)(C).</w:t>
            </w:r>
          </w:p>
        </w:tc>
      </w:tr>
      <w:tr w:rsidR="007C4BB5" w:rsidRPr="00907D75" w14:paraId="60B4E73A" w14:textId="77777777" w:rsidTr="008649A2">
        <w:trPr>
          <w:trHeight w:val="4795"/>
        </w:trPr>
        <w:tc>
          <w:tcPr>
            <w:tcW w:w="5805" w:type="dxa"/>
            <w:vAlign w:val="center"/>
          </w:tcPr>
          <w:p w14:paraId="10073E27" w14:textId="5123012D"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is required to find willfulness where a principal fails to act?</w:t>
            </w:r>
          </w:p>
        </w:tc>
        <w:tc>
          <w:tcPr>
            <w:tcW w:w="5805" w:type="dxa"/>
            <w:vAlign w:val="center"/>
          </w:tcPr>
          <w:p w14:paraId="00E8092E" w14:textId="4DBF38A4"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Even i</w:t>
            </w:r>
            <w:r w:rsidRPr="008017D6">
              <w:rPr>
                <w:rFonts w:ascii="Calibri" w:hAnsi="Calibri" w:cs="Calibri"/>
                <w:b/>
                <w:sz w:val="22"/>
                <w:szCs w:val="22"/>
              </w:rPr>
              <w:t xml:space="preserve">n the cases Krakauer cites, willfulness required a failure to act in the face of a clear duty to do so.  AB4, 50 (citing </w:t>
            </w:r>
            <w:r w:rsidRPr="008017D6">
              <w:rPr>
                <w:rFonts w:ascii="Calibri" w:hAnsi="Calibri" w:cs="Calibri"/>
                <w:b/>
                <w:i/>
                <w:sz w:val="22"/>
                <w:szCs w:val="22"/>
              </w:rPr>
              <w:t>United States v. Blankenshi</w:t>
            </w:r>
            <w:r w:rsidRPr="008017D6">
              <w:rPr>
                <w:rFonts w:ascii="Calibri" w:hAnsi="Calibri" w:cs="Calibri"/>
                <w:b/>
                <w:sz w:val="22"/>
                <w:szCs w:val="22"/>
              </w:rPr>
              <w:t>p</w:t>
            </w:r>
            <w:r>
              <w:rPr>
                <w:rFonts w:ascii="Calibri" w:hAnsi="Calibri" w:cs="Calibri"/>
                <w:b/>
                <w:sz w:val="22"/>
                <w:szCs w:val="22"/>
              </w:rPr>
              <w:t xml:space="preserve"> </w:t>
            </w:r>
            <w:r w:rsidRPr="008017D6">
              <w:rPr>
                <w:rFonts w:ascii="Calibri" w:hAnsi="Calibri" w:cs="Calibri"/>
                <w:b/>
                <w:sz w:val="22"/>
                <w:szCs w:val="22"/>
              </w:rPr>
              <w:t xml:space="preserve">(4th Cir. 2017); </w:t>
            </w:r>
            <w:r w:rsidRPr="008017D6">
              <w:rPr>
                <w:rFonts w:ascii="Calibri" w:hAnsi="Calibri" w:cs="Calibri"/>
                <w:b/>
                <w:i/>
                <w:sz w:val="22"/>
                <w:szCs w:val="22"/>
              </w:rPr>
              <w:t>Redman v. RadioShack Corp</w:t>
            </w:r>
            <w:r>
              <w:rPr>
                <w:rFonts w:ascii="Calibri" w:hAnsi="Calibri" w:cs="Calibri"/>
                <w:b/>
                <w:i/>
                <w:sz w:val="22"/>
                <w:szCs w:val="22"/>
              </w:rPr>
              <w:t>.</w:t>
            </w:r>
            <w:r w:rsidRPr="008017D6">
              <w:rPr>
                <w:rFonts w:ascii="Calibri" w:hAnsi="Calibri" w:cs="Calibri"/>
                <w:b/>
                <w:sz w:val="22"/>
                <w:szCs w:val="22"/>
              </w:rPr>
              <w:t xml:space="preserve"> (7th Cir. 2014))</w:t>
            </w:r>
            <w:r>
              <w:rPr>
                <w:rFonts w:ascii="Calibri" w:hAnsi="Calibri" w:cs="Calibri"/>
                <w:b/>
                <w:sz w:val="22"/>
                <w:szCs w:val="22"/>
              </w:rPr>
              <w:t>.</w:t>
            </w:r>
          </w:p>
        </w:tc>
      </w:tr>
      <w:tr w:rsidR="007C4BB5" w:rsidRPr="00907D75" w14:paraId="745F31D5" w14:textId="77777777" w:rsidTr="008649A2">
        <w:trPr>
          <w:trHeight w:val="4795"/>
        </w:trPr>
        <w:tc>
          <w:tcPr>
            <w:tcW w:w="5805" w:type="dxa"/>
            <w:vAlign w:val="center"/>
          </w:tcPr>
          <w:p w14:paraId="72EB882D" w14:textId="7726DE56"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Did the district court find that DISH knowingly violated the TCPA?</w:t>
            </w:r>
          </w:p>
        </w:tc>
        <w:tc>
          <w:tcPr>
            <w:tcW w:w="5805" w:type="dxa"/>
            <w:vAlign w:val="center"/>
          </w:tcPr>
          <w:p w14:paraId="50D41CBC" w14:textId="3DCB7C27"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No.  T</w:t>
            </w:r>
            <w:r w:rsidRPr="0059629D">
              <w:rPr>
                <w:rFonts w:ascii="Calibri" w:hAnsi="Calibri" w:cs="Calibri"/>
                <w:b/>
                <w:sz w:val="22"/>
                <w:szCs w:val="22"/>
              </w:rPr>
              <w:t xml:space="preserve">he </w:t>
            </w:r>
            <w:r>
              <w:rPr>
                <w:rFonts w:ascii="Calibri" w:hAnsi="Calibri" w:cs="Calibri"/>
                <w:b/>
                <w:sz w:val="22"/>
                <w:szCs w:val="22"/>
              </w:rPr>
              <w:t xml:space="preserve">district </w:t>
            </w:r>
            <w:r w:rsidRPr="0059629D">
              <w:rPr>
                <w:rFonts w:ascii="Calibri" w:hAnsi="Calibri" w:cs="Calibri"/>
                <w:b/>
                <w:sz w:val="22"/>
                <w:szCs w:val="22"/>
              </w:rPr>
              <w:t xml:space="preserve">court’s order addressed only the </w:t>
            </w:r>
            <w:r w:rsidRPr="00F13A7C">
              <w:rPr>
                <w:rFonts w:ascii="Calibri" w:hAnsi="Calibri" w:cs="Calibri"/>
                <w:b/>
                <w:i/>
                <w:sz w:val="22"/>
                <w:szCs w:val="22"/>
              </w:rPr>
              <w:t>willfulness</w:t>
            </w:r>
            <w:r w:rsidRPr="0059629D">
              <w:rPr>
                <w:rFonts w:ascii="Calibri" w:hAnsi="Calibri" w:cs="Calibri"/>
                <w:b/>
                <w:sz w:val="22"/>
                <w:szCs w:val="22"/>
              </w:rPr>
              <w:t xml:space="preserve"> of </w:t>
            </w:r>
            <w:proofErr w:type="spellStart"/>
            <w:r w:rsidRPr="0059629D">
              <w:rPr>
                <w:rFonts w:ascii="Calibri" w:hAnsi="Calibri" w:cs="Calibri"/>
                <w:b/>
                <w:sz w:val="22"/>
                <w:szCs w:val="22"/>
              </w:rPr>
              <w:t>DISH’s</w:t>
            </w:r>
            <w:proofErr w:type="spellEnd"/>
            <w:r w:rsidRPr="0059629D">
              <w:rPr>
                <w:rFonts w:ascii="Calibri" w:hAnsi="Calibri" w:cs="Calibri"/>
                <w:b/>
                <w:sz w:val="22"/>
                <w:szCs w:val="22"/>
              </w:rPr>
              <w:t xml:space="preserve"> conduct</w:t>
            </w:r>
            <w:r>
              <w:rPr>
                <w:rFonts w:ascii="Calibri" w:hAnsi="Calibri" w:cs="Calibri"/>
                <w:b/>
                <w:sz w:val="22"/>
                <w:szCs w:val="22"/>
              </w:rPr>
              <w:t xml:space="preserve">. </w:t>
            </w:r>
            <w:r w:rsidRPr="0059629D">
              <w:rPr>
                <w:rFonts w:ascii="Calibri" w:hAnsi="Calibri" w:cs="Calibri"/>
                <w:b/>
                <w:sz w:val="22"/>
                <w:szCs w:val="22"/>
              </w:rPr>
              <w:t xml:space="preserve"> Moreover, Krakauer points only to statements that DISH knew about possible </w:t>
            </w:r>
            <w:r w:rsidRPr="0059629D">
              <w:rPr>
                <w:rFonts w:ascii="Calibri" w:hAnsi="Calibri" w:cs="Calibri"/>
                <w:b/>
                <w:i/>
                <w:sz w:val="22"/>
                <w:szCs w:val="22"/>
              </w:rPr>
              <w:t xml:space="preserve">past </w:t>
            </w:r>
            <w:r w:rsidRPr="0059629D">
              <w:rPr>
                <w:rFonts w:ascii="Calibri" w:hAnsi="Calibri" w:cs="Calibri"/>
                <w:b/>
                <w:sz w:val="22"/>
                <w:szCs w:val="22"/>
              </w:rPr>
              <w:t xml:space="preserve">transgressions by SSN.  </w:t>
            </w:r>
            <w:r>
              <w:rPr>
                <w:rFonts w:ascii="Calibri" w:hAnsi="Calibri" w:cs="Calibri"/>
                <w:b/>
                <w:sz w:val="22"/>
                <w:szCs w:val="22"/>
              </w:rPr>
              <w:t>But a</w:t>
            </w:r>
            <w:r w:rsidRPr="0059629D">
              <w:rPr>
                <w:rFonts w:ascii="Calibri" w:hAnsi="Calibri" w:cs="Calibri"/>
                <w:b/>
                <w:sz w:val="22"/>
                <w:szCs w:val="22"/>
              </w:rPr>
              <w:t xml:space="preserve"> knowing violation</w:t>
            </w:r>
            <w:r>
              <w:rPr>
                <w:rFonts w:ascii="Calibri" w:hAnsi="Calibri" w:cs="Calibri"/>
                <w:b/>
                <w:sz w:val="22"/>
                <w:szCs w:val="22"/>
              </w:rPr>
              <w:t xml:space="preserve"> </w:t>
            </w:r>
            <w:r w:rsidRPr="0059629D">
              <w:rPr>
                <w:rFonts w:ascii="Calibri" w:hAnsi="Calibri" w:cs="Calibri"/>
                <w:b/>
                <w:sz w:val="22"/>
                <w:szCs w:val="22"/>
              </w:rPr>
              <w:t xml:space="preserve">requires knowledge of the conduct that violates the statute.  </w:t>
            </w:r>
            <w:proofErr w:type="spellStart"/>
            <w:r w:rsidRPr="0059629D">
              <w:rPr>
                <w:rFonts w:ascii="Calibri" w:hAnsi="Calibri" w:cs="Calibri"/>
                <w:b/>
                <w:i/>
                <w:sz w:val="22"/>
                <w:szCs w:val="22"/>
              </w:rPr>
              <w:t>Lary</w:t>
            </w:r>
            <w:proofErr w:type="spellEnd"/>
            <w:r w:rsidRPr="0059629D">
              <w:rPr>
                <w:rFonts w:ascii="Calibri" w:hAnsi="Calibri" w:cs="Calibri"/>
                <w:b/>
                <w:i/>
                <w:sz w:val="22"/>
                <w:szCs w:val="22"/>
              </w:rPr>
              <w:t xml:space="preserve"> v. Trinity Physician Financial &amp; Ins. Servs</w:t>
            </w:r>
            <w:proofErr w:type="gramStart"/>
            <w:r>
              <w:rPr>
                <w:rFonts w:ascii="Calibri" w:hAnsi="Calibri" w:cs="Calibri"/>
                <w:b/>
                <w:i/>
                <w:sz w:val="22"/>
                <w:szCs w:val="22"/>
              </w:rPr>
              <w:t>.</w:t>
            </w:r>
            <w:r w:rsidRPr="0059629D">
              <w:rPr>
                <w:rFonts w:ascii="Calibri" w:hAnsi="Calibri" w:cs="Calibri"/>
                <w:b/>
                <w:sz w:val="22"/>
                <w:szCs w:val="22"/>
              </w:rPr>
              <w:t xml:space="preserve"> </w:t>
            </w:r>
            <w:proofErr w:type="gramEnd"/>
            <w:r w:rsidRPr="0059629D">
              <w:rPr>
                <w:rFonts w:ascii="Calibri" w:hAnsi="Calibri" w:cs="Calibri"/>
                <w:b/>
                <w:sz w:val="22"/>
                <w:szCs w:val="22"/>
              </w:rPr>
              <w:t>(11th Cir. 2015).</w:t>
            </w:r>
          </w:p>
        </w:tc>
      </w:tr>
      <w:tr w:rsidR="007C4BB5" w:rsidRPr="00907D75" w14:paraId="69BC4793" w14:textId="77777777" w:rsidTr="008649A2">
        <w:trPr>
          <w:trHeight w:val="4795"/>
        </w:trPr>
        <w:tc>
          <w:tcPr>
            <w:tcW w:w="5805" w:type="dxa"/>
            <w:vAlign w:val="center"/>
          </w:tcPr>
          <w:p w14:paraId="466D283C" w14:textId="0058AE2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was it reasonable for DISH to believe it was complying with the TCPA?</w:t>
            </w:r>
          </w:p>
        </w:tc>
        <w:tc>
          <w:tcPr>
            <w:tcW w:w="5805" w:type="dxa"/>
            <w:vAlign w:val="center"/>
          </w:tcPr>
          <w:p w14:paraId="42DF2743" w14:textId="09C710BE" w:rsidR="007C4BB5" w:rsidRPr="00F77B93" w:rsidRDefault="007C4BB5" w:rsidP="00525419">
            <w:pPr>
              <w:pStyle w:val="O-BodyText"/>
              <w:spacing w:after="120"/>
              <w:ind w:right="65"/>
              <w:jc w:val="both"/>
              <w:rPr>
                <w:rFonts w:ascii="Calibri" w:hAnsi="Calibri" w:cs="Calibri"/>
                <w:b/>
                <w:sz w:val="22"/>
                <w:szCs w:val="22"/>
              </w:rPr>
            </w:pPr>
            <w:r w:rsidRPr="00F77B93">
              <w:rPr>
                <w:rFonts w:ascii="Calibri" w:hAnsi="Calibri" w:cs="Calibri"/>
                <w:b/>
                <w:i/>
                <w:sz w:val="22"/>
                <w:szCs w:val="22"/>
              </w:rPr>
              <w:t>First</w:t>
            </w:r>
            <w:r w:rsidRPr="00F77B93">
              <w:rPr>
                <w:rFonts w:ascii="Calibri" w:hAnsi="Calibri" w:cs="Calibri"/>
                <w:b/>
                <w:sz w:val="22"/>
                <w:szCs w:val="22"/>
              </w:rPr>
              <w:t xml:space="preserve">, it was reasonable to conclude that SSN was not </w:t>
            </w:r>
            <w:proofErr w:type="spellStart"/>
            <w:r w:rsidRPr="00F77B93">
              <w:rPr>
                <w:rFonts w:ascii="Calibri" w:hAnsi="Calibri" w:cs="Calibri"/>
                <w:b/>
                <w:sz w:val="22"/>
                <w:szCs w:val="22"/>
              </w:rPr>
              <w:t>DISH’s</w:t>
            </w:r>
            <w:proofErr w:type="spellEnd"/>
            <w:r w:rsidRPr="00F77B93">
              <w:rPr>
                <w:rFonts w:ascii="Calibri" w:hAnsi="Calibri" w:cs="Calibri"/>
                <w:b/>
                <w:sz w:val="22"/>
                <w:szCs w:val="22"/>
              </w:rPr>
              <w:t xml:space="preserve"> agent</w:t>
            </w:r>
            <w:r>
              <w:rPr>
                <w:rFonts w:ascii="Calibri" w:hAnsi="Calibri" w:cs="Calibri"/>
                <w:b/>
                <w:sz w:val="22"/>
                <w:szCs w:val="22"/>
              </w:rPr>
              <w:t xml:space="preserve">. </w:t>
            </w:r>
            <w:r w:rsidR="003B3557">
              <w:rPr>
                <w:rFonts w:ascii="Calibri" w:hAnsi="Calibri" w:cs="Calibri"/>
                <w:b/>
                <w:sz w:val="22"/>
                <w:szCs w:val="22"/>
              </w:rPr>
              <w:t xml:space="preserve"> </w:t>
            </w:r>
            <w:r w:rsidRPr="003B3557">
              <w:rPr>
                <w:rFonts w:ascii="Calibri" w:hAnsi="Calibri" w:cs="Calibri"/>
                <w:b/>
                <w:sz w:val="22"/>
                <w:szCs w:val="22"/>
              </w:rPr>
              <w:t xml:space="preserve">And </w:t>
            </w:r>
            <w:r w:rsidRPr="003B3557">
              <w:rPr>
                <w:rFonts w:ascii="Calibri" w:hAnsi="Calibri" w:cs="Calibri"/>
                <w:b/>
                <w:i/>
                <w:sz w:val="22"/>
                <w:szCs w:val="22"/>
              </w:rPr>
              <w:t>second</w:t>
            </w:r>
            <w:r w:rsidRPr="003B3557">
              <w:rPr>
                <w:rFonts w:ascii="Calibri" w:hAnsi="Calibri" w:cs="Calibri"/>
                <w:b/>
                <w:sz w:val="22"/>
                <w:szCs w:val="22"/>
              </w:rPr>
              <w:t>, at the time of the calls, no court had imposed vicarious liability on a seller like DISH.</w:t>
            </w:r>
            <w:r w:rsidRPr="009B25FD">
              <w:rPr>
                <w:rFonts w:ascii="Calibri" w:hAnsi="Calibri" w:cs="Calibri"/>
                <w:b/>
                <w:sz w:val="22"/>
                <w:szCs w:val="22"/>
              </w:rPr>
              <w:t xml:space="preserve">  </w:t>
            </w:r>
            <w:proofErr w:type="spellStart"/>
            <w:r>
              <w:rPr>
                <w:rFonts w:ascii="Calibri" w:hAnsi="Calibri" w:cs="Calibri"/>
                <w:b/>
                <w:sz w:val="22"/>
                <w:szCs w:val="22"/>
              </w:rPr>
              <w:t>DISH’s</w:t>
            </w:r>
            <w:proofErr w:type="spellEnd"/>
            <w:r>
              <w:rPr>
                <w:rFonts w:ascii="Calibri" w:hAnsi="Calibri" w:cs="Calibri"/>
                <w:b/>
                <w:sz w:val="22"/>
                <w:szCs w:val="22"/>
              </w:rPr>
              <w:t xml:space="preserve"> objectively reasonable beliefs foreclosed punitive damages.</w:t>
            </w:r>
          </w:p>
          <w:p w14:paraId="64AD5C56" w14:textId="77777777" w:rsidR="007C4BB5" w:rsidRDefault="007C4BB5" w:rsidP="00525419">
            <w:pPr>
              <w:pStyle w:val="O-BodyText"/>
              <w:spacing w:after="120"/>
              <w:ind w:right="65"/>
              <w:jc w:val="both"/>
              <w:rPr>
                <w:rFonts w:ascii="Calibri" w:hAnsi="Calibri" w:cs="Calibri"/>
                <w:b/>
                <w:sz w:val="22"/>
                <w:szCs w:val="22"/>
              </w:rPr>
            </w:pPr>
          </w:p>
        </w:tc>
      </w:tr>
      <w:tr w:rsidR="007C4BB5" w:rsidRPr="00907D75" w14:paraId="44B34807" w14:textId="77777777" w:rsidTr="008649A2">
        <w:trPr>
          <w:trHeight w:val="4795"/>
        </w:trPr>
        <w:tc>
          <w:tcPr>
            <w:tcW w:w="5805" w:type="dxa"/>
            <w:vAlign w:val="center"/>
          </w:tcPr>
          <w:p w14:paraId="5DFD4E82" w14:textId="13C90CEA" w:rsidR="007C4BB5" w:rsidRDefault="007C4BB5" w:rsidP="00525419">
            <w:pPr>
              <w:pStyle w:val="O-BodyText"/>
              <w:spacing w:after="120"/>
              <w:ind w:right="200"/>
              <w:jc w:val="both"/>
              <w:rPr>
                <w:rFonts w:ascii="Calibri" w:hAnsi="Calibri" w:cs="Calibri"/>
                <w:b/>
                <w:sz w:val="28"/>
                <w:szCs w:val="28"/>
              </w:rPr>
            </w:pPr>
            <w:r w:rsidRPr="00F77B93">
              <w:rPr>
                <w:rFonts w:ascii="Calibri" w:hAnsi="Calibri" w:cs="Calibri"/>
                <w:b/>
                <w:sz w:val="28"/>
                <w:szCs w:val="28"/>
              </w:rPr>
              <w:lastRenderedPageBreak/>
              <w:t xml:space="preserve">Why was it reasonable for DISH to </w:t>
            </w:r>
            <w:r>
              <w:rPr>
                <w:rFonts w:ascii="Calibri" w:hAnsi="Calibri" w:cs="Calibri"/>
                <w:b/>
                <w:sz w:val="28"/>
                <w:szCs w:val="28"/>
              </w:rPr>
              <w:t xml:space="preserve">conclude that SSN was not </w:t>
            </w:r>
            <w:proofErr w:type="spellStart"/>
            <w:r>
              <w:rPr>
                <w:rFonts w:ascii="Calibri" w:hAnsi="Calibri" w:cs="Calibri"/>
                <w:b/>
                <w:sz w:val="28"/>
                <w:szCs w:val="28"/>
              </w:rPr>
              <w:t>DISH’s</w:t>
            </w:r>
            <w:proofErr w:type="spellEnd"/>
            <w:r>
              <w:rPr>
                <w:rFonts w:ascii="Calibri" w:hAnsi="Calibri" w:cs="Calibri"/>
                <w:b/>
                <w:sz w:val="28"/>
                <w:szCs w:val="28"/>
              </w:rPr>
              <w:t xml:space="preserve"> agent?</w:t>
            </w:r>
          </w:p>
        </w:tc>
        <w:tc>
          <w:tcPr>
            <w:tcW w:w="5805" w:type="dxa"/>
            <w:vAlign w:val="center"/>
          </w:tcPr>
          <w:p w14:paraId="59B9B721" w14:textId="07DED84A" w:rsidR="007C4BB5" w:rsidRPr="00F77B93"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I</w:t>
            </w:r>
            <w:r w:rsidRPr="00F77B93">
              <w:rPr>
                <w:rFonts w:ascii="Calibri" w:hAnsi="Calibri" w:cs="Calibri"/>
                <w:b/>
                <w:sz w:val="22"/>
                <w:szCs w:val="22"/>
              </w:rPr>
              <w:t xml:space="preserve">t was reasonable to conclude that SSN was not </w:t>
            </w:r>
            <w:proofErr w:type="spellStart"/>
            <w:r w:rsidRPr="00F77B93">
              <w:rPr>
                <w:rFonts w:ascii="Calibri" w:hAnsi="Calibri" w:cs="Calibri"/>
                <w:b/>
                <w:sz w:val="22"/>
                <w:szCs w:val="22"/>
              </w:rPr>
              <w:t>DISH’s</w:t>
            </w:r>
            <w:proofErr w:type="spellEnd"/>
            <w:r w:rsidRPr="00F77B93">
              <w:rPr>
                <w:rFonts w:ascii="Calibri" w:hAnsi="Calibri" w:cs="Calibri"/>
                <w:b/>
                <w:sz w:val="22"/>
                <w:szCs w:val="22"/>
              </w:rPr>
              <w:t xml:space="preserve"> agent</w:t>
            </w:r>
            <w:r>
              <w:rPr>
                <w:rFonts w:ascii="Calibri" w:hAnsi="Calibri" w:cs="Calibri"/>
                <w:b/>
                <w:sz w:val="22"/>
                <w:szCs w:val="22"/>
              </w:rPr>
              <w:t xml:space="preserve"> given </w:t>
            </w:r>
            <w:r w:rsidRPr="00F77B93">
              <w:rPr>
                <w:rFonts w:ascii="Calibri" w:hAnsi="Calibri" w:cs="Calibri"/>
                <w:b/>
                <w:sz w:val="22"/>
                <w:szCs w:val="22"/>
              </w:rPr>
              <w:t xml:space="preserve">(1) the plain language of the </w:t>
            </w:r>
            <w:r>
              <w:rPr>
                <w:rFonts w:ascii="Calibri" w:hAnsi="Calibri" w:cs="Calibri"/>
                <w:b/>
                <w:sz w:val="22"/>
                <w:szCs w:val="22"/>
              </w:rPr>
              <w:t>Retailer A</w:t>
            </w:r>
            <w:r w:rsidRPr="00F77B93">
              <w:rPr>
                <w:rFonts w:ascii="Calibri" w:hAnsi="Calibri" w:cs="Calibri"/>
                <w:b/>
                <w:sz w:val="22"/>
                <w:szCs w:val="22"/>
              </w:rPr>
              <w:t>greement</w:t>
            </w:r>
            <w:r>
              <w:rPr>
                <w:rFonts w:ascii="Calibri" w:hAnsi="Calibri" w:cs="Calibri"/>
                <w:b/>
                <w:sz w:val="22"/>
                <w:szCs w:val="22"/>
              </w:rPr>
              <w:t xml:space="preserve">; </w:t>
            </w:r>
            <w:r w:rsidRPr="00F77B93">
              <w:rPr>
                <w:rFonts w:ascii="Calibri" w:hAnsi="Calibri" w:cs="Calibri"/>
                <w:b/>
                <w:sz w:val="22"/>
                <w:szCs w:val="22"/>
              </w:rPr>
              <w:t xml:space="preserve">(2) before the class period, a district court held that </w:t>
            </w:r>
            <w:proofErr w:type="spellStart"/>
            <w:r w:rsidRPr="00F77B93">
              <w:rPr>
                <w:rFonts w:ascii="Calibri" w:hAnsi="Calibri" w:cs="Calibri"/>
                <w:b/>
                <w:sz w:val="22"/>
                <w:szCs w:val="22"/>
              </w:rPr>
              <w:t>DISH’s</w:t>
            </w:r>
            <w:proofErr w:type="spellEnd"/>
            <w:r w:rsidRPr="00F77B93">
              <w:rPr>
                <w:rFonts w:ascii="Calibri" w:hAnsi="Calibri" w:cs="Calibri"/>
                <w:b/>
                <w:sz w:val="22"/>
                <w:szCs w:val="22"/>
              </w:rPr>
              <w:t xml:space="preserve"> </w:t>
            </w:r>
            <w:r>
              <w:rPr>
                <w:rFonts w:ascii="Calibri" w:hAnsi="Calibri" w:cs="Calibri"/>
                <w:b/>
                <w:sz w:val="22"/>
                <w:szCs w:val="22"/>
              </w:rPr>
              <w:t>Retailer A</w:t>
            </w:r>
            <w:r w:rsidRPr="00F77B93">
              <w:rPr>
                <w:rFonts w:ascii="Calibri" w:hAnsi="Calibri" w:cs="Calibri"/>
                <w:b/>
                <w:sz w:val="22"/>
                <w:szCs w:val="22"/>
              </w:rPr>
              <w:t>greement created no agency relationship</w:t>
            </w:r>
            <w:r>
              <w:rPr>
                <w:rFonts w:ascii="Calibri" w:hAnsi="Calibri" w:cs="Calibri"/>
                <w:b/>
                <w:sz w:val="22"/>
                <w:szCs w:val="22"/>
              </w:rPr>
              <w:t xml:space="preserve">; </w:t>
            </w:r>
            <w:r w:rsidRPr="00F77B93">
              <w:rPr>
                <w:rFonts w:ascii="Calibri" w:hAnsi="Calibri" w:cs="Calibri"/>
                <w:b/>
                <w:sz w:val="22"/>
                <w:szCs w:val="22"/>
              </w:rPr>
              <w:t>and (3) SSN disregard</w:t>
            </w:r>
            <w:r>
              <w:rPr>
                <w:rFonts w:ascii="Calibri" w:hAnsi="Calibri" w:cs="Calibri"/>
                <w:b/>
                <w:sz w:val="22"/>
                <w:szCs w:val="22"/>
              </w:rPr>
              <w:t>ed</w:t>
            </w:r>
            <w:r w:rsidRPr="00F77B93">
              <w:rPr>
                <w:rFonts w:ascii="Calibri" w:hAnsi="Calibri" w:cs="Calibri"/>
                <w:b/>
                <w:sz w:val="22"/>
                <w:szCs w:val="22"/>
              </w:rPr>
              <w:t xml:space="preserve"> </w:t>
            </w:r>
            <w:proofErr w:type="spellStart"/>
            <w:r w:rsidRPr="00F77B93">
              <w:rPr>
                <w:rFonts w:ascii="Calibri" w:hAnsi="Calibri" w:cs="Calibri"/>
                <w:b/>
                <w:sz w:val="22"/>
                <w:szCs w:val="22"/>
              </w:rPr>
              <w:t>DISH’s</w:t>
            </w:r>
            <w:proofErr w:type="spellEnd"/>
            <w:r w:rsidRPr="00F77B93">
              <w:rPr>
                <w:rFonts w:ascii="Calibri" w:hAnsi="Calibri" w:cs="Calibri"/>
                <w:b/>
                <w:sz w:val="22"/>
                <w:szCs w:val="22"/>
              </w:rPr>
              <w:t xml:space="preserve"> clear instructions when it called Registry </w:t>
            </w:r>
            <w:r>
              <w:rPr>
                <w:rFonts w:ascii="Calibri" w:hAnsi="Calibri" w:cs="Calibri"/>
                <w:b/>
                <w:sz w:val="22"/>
                <w:szCs w:val="22"/>
              </w:rPr>
              <w:t>numbers, including Krakauer’s.</w:t>
            </w:r>
          </w:p>
        </w:tc>
      </w:tr>
      <w:tr w:rsidR="007C4BB5" w:rsidRPr="00907D75" w14:paraId="49C8BE2C" w14:textId="77777777" w:rsidTr="008649A2">
        <w:trPr>
          <w:trHeight w:val="4795"/>
        </w:trPr>
        <w:tc>
          <w:tcPr>
            <w:tcW w:w="5805" w:type="dxa"/>
            <w:vAlign w:val="center"/>
          </w:tcPr>
          <w:p w14:paraId="38157F23" w14:textId="04121752"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Doesn’t “willful” conduct mean conduct that involves “</w:t>
            </w:r>
            <w:r w:rsidRPr="00F60470">
              <w:rPr>
                <w:rFonts w:ascii="Calibri" w:hAnsi="Calibri" w:cs="Calibri"/>
                <w:b/>
                <w:sz w:val="28"/>
                <w:szCs w:val="28"/>
              </w:rPr>
              <w:t xml:space="preserve">an unjustifiably high risk of harm that is either known or so obvious that it should be known.” </w:t>
            </w:r>
            <w:r w:rsidRPr="00F60470">
              <w:rPr>
                <w:rFonts w:ascii="Calibri" w:hAnsi="Calibri" w:cs="Calibri"/>
                <w:b/>
                <w:i/>
                <w:sz w:val="28"/>
                <w:szCs w:val="28"/>
              </w:rPr>
              <w:t>Safeco Ins. Co. of Am. v. Burr</w:t>
            </w:r>
            <w:r w:rsidRPr="00F60470">
              <w:rPr>
                <w:rFonts w:ascii="Calibri" w:hAnsi="Calibri" w:cs="Calibri"/>
                <w:b/>
                <w:sz w:val="28"/>
                <w:szCs w:val="28"/>
              </w:rPr>
              <w:t xml:space="preserve"> (</w:t>
            </w:r>
            <w:r>
              <w:rPr>
                <w:rFonts w:ascii="Calibri" w:hAnsi="Calibri" w:cs="Calibri"/>
                <w:b/>
                <w:sz w:val="28"/>
                <w:szCs w:val="28"/>
              </w:rPr>
              <w:t xml:space="preserve">S. Ct. </w:t>
            </w:r>
            <w:r w:rsidRPr="00F60470">
              <w:rPr>
                <w:rFonts w:ascii="Calibri" w:hAnsi="Calibri" w:cs="Calibri"/>
                <w:b/>
                <w:sz w:val="28"/>
                <w:szCs w:val="28"/>
              </w:rPr>
              <w:t>2007)</w:t>
            </w:r>
            <w:r>
              <w:rPr>
                <w:rFonts w:ascii="Calibri" w:hAnsi="Calibri" w:cs="Calibri"/>
                <w:b/>
                <w:sz w:val="28"/>
                <w:szCs w:val="28"/>
              </w:rPr>
              <w:t>.</w:t>
            </w:r>
          </w:p>
        </w:tc>
        <w:tc>
          <w:tcPr>
            <w:tcW w:w="5805" w:type="dxa"/>
            <w:vAlign w:val="center"/>
          </w:tcPr>
          <w:p w14:paraId="2BBB4166" w14:textId="34D9F41C" w:rsidR="007C4BB5" w:rsidRDefault="007C4BB5" w:rsidP="00525419">
            <w:pPr>
              <w:pStyle w:val="O-BodyText"/>
              <w:spacing w:after="120"/>
              <w:ind w:right="65"/>
              <w:jc w:val="both"/>
              <w:rPr>
                <w:rFonts w:ascii="Calibri" w:hAnsi="Calibri" w:cs="Calibri"/>
                <w:b/>
                <w:sz w:val="22"/>
                <w:szCs w:val="22"/>
                <w:highlight w:val="yellow"/>
              </w:rPr>
            </w:pPr>
            <w:r>
              <w:rPr>
                <w:rFonts w:ascii="Calibri" w:hAnsi="Calibri" w:cs="Calibri"/>
                <w:b/>
                <w:sz w:val="22"/>
                <w:szCs w:val="22"/>
                <w:highlight w:val="yellow"/>
              </w:rPr>
              <w:t>[Explain.]</w:t>
            </w:r>
          </w:p>
        </w:tc>
      </w:tr>
      <w:tr w:rsidR="007C4BB5" w:rsidRPr="00907D75" w14:paraId="3578ADC1" w14:textId="77777777" w:rsidTr="008649A2">
        <w:trPr>
          <w:trHeight w:val="4795"/>
        </w:trPr>
        <w:tc>
          <w:tcPr>
            <w:tcW w:w="5805" w:type="dxa"/>
            <w:vAlign w:val="center"/>
          </w:tcPr>
          <w:p w14:paraId="20CBBBE8" w14:textId="2F10B12D"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Why do you argue that DISH doesn’t owe a duty of care under the TCPA?  OB64.  Doesn’t the TCPA impose such a duty?</w:t>
            </w:r>
          </w:p>
        </w:tc>
        <w:tc>
          <w:tcPr>
            <w:tcW w:w="5805" w:type="dxa"/>
            <w:vAlign w:val="center"/>
          </w:tcPr>
          <w:p w14:paraId="42F4694E" w14:textId="05995E91" w:rsidR="007C4BB5" w:rsidRDefault="007C4BB5" w:rsidP="00525419">
            <w:pPr>
              <w:pStyle w:val="O-BodyText"/>
              <w:spacing w:after="120"/>
              <w:ind w:right="65"/>
              <w:jc w:val="both"/>
              <w:rPr>
                <w:rFonts w:ascii="Calibri" w:hAnsi="Calibri" w:cs="Calibri"/>
                <w:b/>
                <w:sz w:val="22"/>
                <w:szCs w:val="22"/>
                <w:highlight w:val="yellow"/>
              </w:rPr>
            </w:pPr>
            <w:r>
              <w:rPr>
                <w:rFonts w:ascii="Calibri" w:hAnsi="Calibri" w:cs="Calibri"/>
                <w:b/>
                <w:sz w:val="22"/>
                <w:szCs w:val="22"/>
                <w:highlight w:val="yellow"/>
              </w:rPr>
              <w:t>[Explain.]</w:t>
            </w:r>
          </w:p>
        </w:tc>
      </w:tr>
      <w:tr w:rsidR="007C4BB5" w:rsidRPr="00907D75" w14:paraId="5C2C0FAC" w14:textId="77777777" w:rsidTr="008649A2">
        <w:trPr>
          <w:trHeight w:val="4795"/>
        </w:trPr>
        <w:tc>
          <w:tcPr>
            <w:tcW w:w="5805" w:type="dxa"/>
            <w:vAlign w:val="center"/>
          </w:tcPr>
          <w:p w14:paraId="46617C39" w14:textId="30262C1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Didn’t the district court find that </w:t>
            </w:r>
            <w:proofErr w:type="spellStart"/>
            <w:r>
              <w:rPr>
                <w:rFonts w:ascii="Calibri" w:hAnsi="Calibri" w:cs="Calibri"/>
                <w:b/>
                <w:sz w:val="28"/>
                <w:szCs w:val="28"/>
              </w:rPr>
              <w:t>DISH’s</w:t>
            </w:r>
            <w:proofErr w:type="spellEnd"/>
            <w:r>
              <w:rPr>
                <w:rFonts w:ascii="Calibri" w:hAnsi="Calibri" w:cs="Calibri"/>
                <w:b/>
                <w:sz w:val="28"/>
                <w:szCs w:val="28"/>
              </w:rPr>
              <w:t xml:space="preserve"> conduct was </w:t>
            </w:r>
            <w:r w:rsidRPr="00F13A7C">
              <w:rPr>
                <w:rFonts w:ascii="Calibri" w:hAnsi="Calibri" w:cs="Calibri"/>
                <w:b/>
                <w:i/>
                <w:sz w:val="28"/>
                <w:szCs w:val="28"/>
              </w:rPr>
              <w:t>knowing</w:t>
            </w:r>
            <w:r>
              <w:rPr>
                <w:rFonts w:ascii="Calibri" w:hAnsi="Calibri" w:cs="Calibri"/>
                <w:b/>
                <w:sz w:val="28"/>
                <w:szCs w:val="28"/>
              </w:rPr>
              <w:t>?</w:t>
            </w:r>
          </w:p>
        </w:tc>
        <w:tc>
          <w:tcPr>
            <w:tcW w:w="5805" w:type="dxa"/>
            <w:vAlign w:val="center"/>
          </w:tcPr>
          <w:p w14:paraId="094B61C5" w14:textId="28769AA8" w:rsidR="007C4BB5" w:rsidRPr="00351AA9" w:rsidRDefault="007C4BB5" w:rsidP="00525419">
            <w:pPr>
              <w:pStyle w:val="O-BodyText"/>
              <w:spacing w:after="120"/>
              <w:ind w:right="65"/>
              <w:jc w:val="both"/>
              <w:rPr>
                <w:rFonts w:ascii="Calibri" w:hAnsi="Calibri" w:cs="Calibri"/>
                <w:b/>
                <w:sz w:val="22"/>
                <w:szCs w:val="22"/>
              </w:rPr>
            </w:pPr>
            <w:r w:rsidRPr="00F13A7C">
              <w:rPr>
                <w:rFonts w:ascii="Calibri" w:hAnsi="Calibri" w:cs="Calibri"/>
                <w:b/>
                <w:sz w:val="22"/>
                <w:szCs w:val="22"/>
                <w:highlight w:val="yellow"/>
              </w:rPr>
              <w:t xml:space="preserve">The district court found that (1) DISH had received many complaints and </w:t>
            </w:r>
            <w:r w:rsidRPr="00F13A7C">
              <w:rPr>
                <w:rFonts w:ascii="Calibri" w:hAnsi="Calibri" w:cs="Calibri"/>
                <w:b/>
                <w:i/>
                <w:sz w:val="22"/>
                <w:szCs w:val="22"/>
                <w:highlight w:val="yellow"/>
              </w:rPr>
              <w:t xml:space="preserve">knew </w:t>
            </w:r>
            <w:r w:rsidRPr="00F13A7C">
              <w:rPr>
                <w:rFonts w:ascii="Calibri" w:hAnsi="Calibri" w:cs="Calibri"/>
                <w:b/>
                <w:sz w:val="22"/>
                <w:szCs w:val="22"/>
                <w:highlight w:val="yellow"/>
              </w:rPr>
              <w:t xml:space="preserve">of at least three lawsuits; (2) </w:t>
            </w:r>
            <w:r w:rsidRPr="00F13A7C">
              <w:rPr>
                <w:rFonts w:ascii="Calibri" w:hAnsi="Calibri" w:cs="Calibri"/>
                <w:b/>
                <w:i/>
                <w:sz w:val="22"/>
                <w:szCs w:val="22"/>
                <w:highlight w:val="yellow"/>
              </w:rPr>
              <w:t xml:space="preserve">knew </w:t>
            </w:r>
            <w:r w:rsidRPr="00F13A7C">
              <w:rPr>
                <w:rFonts w:ascii="Calibri" w:hAnsi="Calibri" w:cs="Calibri"/>
                <w:b/>
                <w:sz w:val="22"/>
                <w:szCs w:val="22"/>
                <w:highlight w:val="yellow"/>
              </w:rPr>
              <w:t xml:space="preserve">SSN’s explanations were not credible; and (3) </w:t>
            </w:r>
            <w:r w:rsidRPr="00F13A7C">
              <w:rPr>
                <w:rFonts w:ascii="Calibri" w:hAnsi="Calibri" w:cs="Calibri"/>
                <w:b/>
                <w:i/>
                <w:sz w:val="22"/>
                <w:szCs w:val="22"/>
                <w:highlight w:val="yellow"/>
              </w:rPr>
              <w:t xml:space="preserve">knew </w:t>
            </w:r>
            <w:r w:rsidRPr="00F13A7C">
              <w:rPr>
                <w:rFonts w:ascii="Calibri" w:hAnsi="Calibri" w:cs="Calibri"/>
                <w:b/>
                <w:sz w:val="22"/>
                <w:szCs w:val="22"/>
                <w:highlight w:val="yellow"/>
              </w:rPr>
              <w:t xml:space="preserve">SSN was not scrubbing all its lists or keeping call records.  </w:t>
            </w:r>
            <w:r>
              <w:rPr>
                <w:rFonts w:ascii="Calibri" w:hAnsi="Calibri" w:cs="Calibri"/>
                <w:b/>
                <w:sz w:val="22"/>
                <w:szCs w:val="22"/>
                <w:highlight w:val="yellow"/>
              </w:rPr>
              <w:t>AB51.</w:t>
            </w:r>
          </w:p>
          <w:p w14:paraId="24E76575" w14:textId="284747A7" w:rsidR="007C4BB5" w:rsidRPr="00351AA9" w:rsidRDefault="007C4BB5" w:rsidP="00525419">
            <w:pPr>
              <w:pStyle w:val="O-BodyText"/>
              <w:spacing w:after="120"/>
              <w:ind w:right="65"/>
              <w:jc w:val="both"/>
              <w:rPr>
                <w:rFonts w:ascii="Calibri" w:hAnsi="Calibri" w:cs="Calibri"/>
                <w:b/>
                <w:sz w:val="22"/>
                <w:szCs w:val="22"/>
              </w:rPr>
            </w:pPr>
          </w:p>
        </w:tc>
      </w:tr>
      <w:tr w:rsidR="007C4BB5" w:rsidRPr="00907D75" w14:paraId="708F486B" w14:textId="77777777" w:rsidTr="008649A2">
        <w:trPr>
          <w:trHeight w:val="4795"/>
        </w:trPr>
        <w:tc>
          <w:tcPr>
            <w:tcW w:w="5805" w:type="dxa"/>
            <w:vAlign w:val="center"/>
          </w:tcPr>
          <w:p w14:paraId="28B48AC4" w14:textId="2126D1B2"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Didn’t the district court, at a minimum, find that DISH was reckless, </w:t>
            </w:r>
            <w:r w:rsidRPr="008F0623">
              <w:rPr>
                <w:rFonts w:ascii="Calibri" w:hAnsi="Calibri" w:cs="Calibri"/>
                <w:b/>
                <w:i/>
                <w:sz w:val="28"/>
                <w:szCs w:val="28"/>
              </w:rPr>
              <w:t>i.e.</w:t>
            </w:r>
            <w:r>
              <w:rPr>
                <w:rFonts w:ascii="Calibri" w:hAnsi="Calibri" w:cs="Calibri"/>
                <w:b/>
                <w:sz w:val="28"/>
                <w:szCs w:val="28"/>
              </w:rPr>
              <w:t>, entailing an unjustifiably high risk of harm?</w:t>
            </w:r>
          </w:p>
        </w:tc>
        <w:tc>
          <w:tcPr>
            <w:tcW w:w="5805" w:type="dxa"/>
            <w:vAlign w:val="center"/>
          </w:tcPr>
          <w:p w14:paraId="313C477D" w14:textId="6484B9DE" w:rsidR="007C4BB5" w:rsidRPr="00A56D5A" w:rsidRDefault="007C4BB5" w:rsidP="00525419">
            <w:pPr>
              <w:pStyle w:val="O-BodyText"/>
              <w:spacing w:after="120"/>
              <w:ind w:right="65"/>
              <w:jc w:val="both"/>
              <w:rPr>
                <w:rFonts w:ascii="Calibri" w:hAnsi="Calibri" w:cs="Calibri"/>
                <w:b/>
                <w:sz w:val="22"/>
                <w:szCs w:val="22"/>
                <w:highlight w:val="yellow"/>
              </w:rPr>
            </w:pPr>
            <w:r w:rsidRPr="00A56D5A">
              <w:rPr>
                <w:rFonts w:ascii="Calibri" w:hAnsi="Calibri" w:cs="Calibri"/>
                <w:b/>
                <w:sz w:val="22"/>
                <w:szCs w:val="22"/>
                <w:highlight w:val="yellow"/>
              </w:rPr>
              <w:t>The district court stated: “This case does not involve an inadvertent or occasional violation.</w:t>
            </w:r>
            <w:r>
              <w:rPr>
                <w:rFonts w:ascii="Calibri" w:hAnsi="Calibri" w:cs="Calibri"/>
                <w:b/>
                <w:sz w:val="22"/>
                <w:szCs w:val="22"/>
                <w:highlight w:val="yellow"/>
              </w:rPr>
              <w:t xml:space="preserve"> </w:t>
            </w:r>
            <w:r w:rsidRPr="00A56D5A">
              <w:rPr>
                <w:rFonts w:ascii="Calibri" w:hAnsi="Calibri" w:cs="Calibri"/>
                <w:b/>
                <w:sz w:val="22"/>
                <w:szCs w:val="22"/>
                <w:highlight w:val="yellow"/>
              </w:rPr>
              <w:t xml:space="preserve"> It involves a sustained and ingrained practice of violating the law.” “Under these circumstances, what Dish calls a mistaken belief is actually willful ignorance.” AB50.</w:t>
            </w:r>
          </w:p>
        </w:tc>
      </w:tr>
      <w:tr w:rsidR="007C4BB5" w:rsidRPr="00907D75" w14:paraId="542FCCF0" w14:textId="77777777" w:rsidTr="008649A2">
        <w:trPr>
          <w:trHeight w:val="4795"/>
        </w:trPr>
        <w:tc>
          <w:tcPr>
            <w:tcW w:w="5805" w:type="dxa"/>
            <w:vAlign w:val="center"/>
          </w:tcPr>
          <w:p w14:paraId="3924C1C8" w14:textId="0A5B3103"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Did </w:t>
            </w:r>
            <w:r w:rsidRPr="006B230F">
              <w:rPr>
                <w:rFonts w:ascii="Calibri" w:hAnsi="Calibri" w:cs="Calibri"/>
                <w:b/>
                <w:sz w:val="28"/>
                <w:szCs w:val="28"/>
              </w:rPr>
              <w:t>DISH recklessly disregard a risk that SSN was committing widespread TCPA violations</w:t>
            </w:r>
            <w:r>
              <w:rPr>
                <w:rFonts w:ascii="Calibri" w:hAnsi="Calibri" w:cs="Calibri"/>
                <w:b/>
                <w:sz w:val="28"/>
                <w:szCs w:val="28"/>
              </w:rPr>
              <w:t>?</w:t>
            </w:r>
            <w:r w:rsidRPr="006B230F">
              <w:rPr>
                <w:rFonts w:ascii="Calibri" w:hAnsi="Calibri" w:cs="Calibri"/>
                <w:b/>
                <w:sz w:val="28"/>
                <w:szCs w:val="28"/>
              </w:rPr>
              <w:t xml:space="preserve">  </w:t>
            </w:r>
          </w:p>
        </w:tc>
        <w:tc>
          <w:tcPr>
            <w:tcW w:w="5805" w:type="dxa"/>
            <w:vAlign w:val="center"/>
          </w:tcPr>
          <w:p w14:paraId="522AEF6B" w14:textId="2BF447D3"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No.  </w:t>
            </w:r>
            <w:r w:rsidRPr="009B603D">
              <w:rPr>
                <w:rFonts w:ascii="Calibri" w:hAnsi="Calibri" w:cs="Calibri"/>
                <w:b/>
                <w:sz w:val="22"/>
                <w:szCs w:val="22"/>
              </w:rPr>
              <w:t>DISH did not recklessly disregard any widespread risk.  DISH received only five complaints between SSN’s management change in 2006 and the class period</w:t>
            </w:r>
            <w:r>
              <w:rPr>
                <w:rFonts w:ascii="Calibri" w:hAnsi="Calibri" w:cs="Calibri"/>
                <w:b/>
                <w:sz w:val="22"/>
                <w:szCs w:val="22"/>
              </w:rPr>
              <w:t>.  And Krakauer didn’t r</w:t>
            </w:r>
            <w:r w:rsidRPr="009B603D">
              <w:rPr>
                <w:rFonts w:ascii="Calibri" w:hAnsi="Calibri" w:cs="Calibri"/>
                <w:b/>
                <w:sz w:val="22"/>
                <w:szCs w:val="22"/>
              </w:rPr>
              <w:t>espond to unrefuted testimony that one complaint a year—out of millions of calls—</w:t>
            </w:r>
            <w:r>
              <w:rPr>
                <w:rFonts w:ascii="Calibri" w:hAnsi="Calibri" w:cs="Calibri"/>
                <w:b/>
                <w:sz w:val="22"/>
                <w:szCs w:val="22"/>
              </w:rPr>
              <w:t>is evidence of</w:t>
            </w:r>
            <w:r w:rsidRPr="009B603D">
              <w:rPr>
                <w:rFonts w:ascii="Calibri" w:hAnsi="Calibri" w:cs="Calibri"/>
                <w:b/>
                <w:sz w:val="22"/>
                <w:szCs w:val="22"/>
              </w:rPr>
              <w:t xml:space="preserve"> TCPA </w:t>
            </w:r>
            <w:r w:rsidRPr="009B603D">
              <w:rPr>
                <w:rFonts w:ascii="Calibri" w:hAnsi="Calibri" w:cs="Calibri"/>
                <w:b/>
                <w:i/>
                <w:sz w:val="22"/>
                <w:szCs w:val="22"/>
              </w:rPr>
              <w:t>compliance</w:t>
            </w:r>
            <w:r>
              <w:rPr>
                <w:rFonts w:ascii="Calibri" w:hAnsi="Calibri" w:cs="Calibri"/>
                <w:b/>
                <w:sz w:val="22"/>
                <w:szCs w:val="22"/>
              </w:rPr>
              <w:t>.</w:t>
            </w:r>
          </w:p>
        </w:tc>
      </w:tr>
      <w:tr w:rsidR="007C4BB5" w:rsidRPr="00907D75" w14:paraId="28D67D3B" w14:textId="77777777" w:rsidTr="008649A2">
        <w:trPr>
          <w:trHeight w:val="4795"/>
        </w:trPr>
        <w:tc>
          <w:tcPr>
            <w:tcW w:w="5805" w:type="dxa"/>
            <w:vAlign w:val="center"/>
          </w:tcPr>
          <w:p w14:paraId="7DF6C54D" w14:textId="39A4E899"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W</w:t>
            </w:r>
            <w:r w:rsidRPr="007F4569">
              <w:rPr>
                <w:rFonts w:ascii="Calibri" w:hAnsi="Calibri" w:cs="Calibri"/>
                <w:b/>
                <w:sz w:val="28"/>
                <w:szCs w:val="28"/>
              </w:rPr>
              <w:t xml:space="preserve">hat evidence establishes that DISH recklessly disregarded the substantial likelihood of widespread violations?  </w:t>
            </w:r>
          </w:p>
        </w:tc>
        <w:tc>
          <w:tcPr>
            <w:tcW w:w="5805" w:type="dxa"/>
            <w:vAlign w:val="center"/>
          </w:tcPr>
          <w:p w14:paraId="7EFC1C4C" w14:textId="2F0C916F" w:rsidR="007C4BB5" w:rsidRDefault="007C4BB5" w:rsidP="00525419">
            <w:pPr>
              <w:pStyle w:val="O-BodyText"/>
              <w:spacing w:after="120"/>
              <w:ind w:right="65"/>
              <w:jc w:val="both"/>
              <w:rPr>
                <w:rFonts w:ascii="Calibri" w:hAnsi="Calibri" w:cs="Calibri"/>
                <w:b/>
                <w:sz w:val="22"/>
                <w:szCs w:val="22"/>
              </w:rPr>
            </w:pPr>
            <w:r>
              <w:rPr>
                <w:rFonts w:ascii="Calibri" w:hAnsi="Calibri" w:cs="Calibri"/>
                <w:b/>
                <w:sz w:val="22"/>
                <w:szCs w:val="22"/>
              </w:rPr>
              <w:t xml:space="preserve">Krakauer </w:t>
            </w:r>
            <w:r w:rsidRPr="007F4569">
              <w:rPr>
                <w:rFonts w:ascii="Calibri" w:hAnsi="Calibri" w:cs="Calibri"/>
                <w:b/>
                <w:sz w:val="22"/>
                <w:szCs w:val="22"/>
              </w:rPr>
              <w:t>cites a 2005 DISH email</w:t>
            </w:r>
            <w:proofErr w:type="gramStart"/>
            <w:r>
              <w:rPr>
                <w:rFonts w:ascii="Calibri" w:hAnsi="Calibri" w:cs="Calibri"/>
                <w:b/>
                <w:sz w:val="22"/>
                <w:szCs w:val="22"/>
              </w:rPr>
              <w:t>—</w:t>
            </w:r>
            <w:r w:rsidRPr="00C13694">
              <w:rPr>
                <w:rFonts w:ascii="Calibri" w:hAnsi="Calibri" w:cs="Calibri"/>
                <w:b/>
                <w:sz w:val="22"/>
                <w:szCs w:val="22"/>
              </w:rPr>
              <w:t>“</w:t>
            </w:r>
            <w:proofErr w:type="gramEnd"/>
            <w:r w:rsidRPr="00C13694">
              <w:rPr>
                <w:rFonts w:ascii="Calibri" w:hAnsi="Calibri" w:cs="Calibri"/>
                <w:b/>
                <w:sz w:val="22"/>
                <w:szCs w:val="22"/>
              </w:rPr>
              <w:t>SSN is a problem because we know what he is doing. ... Eventually, someone will try to use that against us.”</w:t>
            </w:r>
            <w:r>
              <w:rPr>
                <w:rFonts w:ascii="Calibri" w:hAnsi="Calibri" w:cs="Calibri"/>
                <w:b/>
                <w:sz w:val="22"/>
                <w:szCs w:val="22"/>
              </w:rPr>
              <w:t xml:space="preserve"> That email was sent </w:t>
            </w:r>
            <w:r w:rsidRPr="007F4569">
              <w:rPr>
                <w:rFonts w:ascii="Calibri" w:hAnsi="Calibri" w:cs="Calibri"/>
                <w:b/>
                <w:i/>
                <w:sz w:val="22"/>
                <w:szCs w:val="22"/>
              </w:rPr>
              <w:t>five years</w:t>
            </w:r>
            <w:r w:rsidRPr="007F4569">
              <w:rPr>
                <w:rFonts w:ascii="Calibri" w:hAnsi="Calibri" w:cs="Calibri"/>
                <w:b/>
                <w:sz w:val="22"/>
                <w:szCs w:val="22"/>
              </w:rPr>
              <w:t xml:space="preserve"> before the class period, did not concern SSN calls, and </w:t>
            </w:r>
            <w:r>
              <w:rPr>
                <w:rFonts w:ascii="Calibri" w:hAnsi="Calibri" w:cs="Calibri"/>
                <w:b/>
                <w:sz w:val="22"/>
                <w:szCs w:val="22"/>
              </w:rPr>
              <w:t>a</w:t>
            </w:r>
            <w:r w:rsidRPr="007F4569">
              <w:rPr>
                <w:rFonts w:ascii="Calibri" w:hAnsi="Calibri" w:cs="Calibri"/>
                <w:b/>
                <w:sz w:val="22"/>
                <w:szCs w:val="22"/>
              </w:rPr>
              <w:t xml:space="preserve">ddressed robocalling that SSN </w:t>
            </w:r>
            <w:r>
              <w:rPr>
                <w:rFonts w:ascii="Calibri" w:hAnsi="Calibri" w:cs="Calibri"/>
                <w:b/>
                <w:sz w:val="22"/>
                <w:szCs w:val="22"/>
              </w:rPr>
              <w:t>stopped</w:t>
            </w:r>
            <w:r w:rsidRPr="007F4569">
              <w:rPr>
                <w:rFonts w:ascii="Calibri" w:hAnsi="Calibri" w:cs="Calibri"/>
                <w:b/>
                <w:sz w:val="22"/>
                <w:szCs w:val="22"/>
              </w:rPr>
              <w:t xml:space="preserve"> that year. </w:t>
            </w:r>
            <w:r>
              <w:rPr>
                <w:rFonts w:ascii="Calibri" w:hAnsi="Calibri" w:cs="Calibri"/>
                <w:b/>
                <w:sz w:val="22"/>
                <w:szCs w:val="22"/>
              </w:rPr>
              <w:t xml:space="preserve"> Krakauer also c</w:t>
            </w:r>
            <w:r w:rsidRPr="007F4569">
              <w:rPr>
                <w:rFonts w:ascii="Calibri" w:hAnsi="Calibri" w:cs="Calibri"/>
                <w:b/>
                <w:sz w:val="22"/>
                <w:szCs w:val="22"/>
              </w:rPr>
              <w:t xml:space="preserve">ites an email </w:t>
            </w:r>
            <w:r>
              <w:rPr>
                <w:rFonts w:ascii="Calibri" w:hAnsi="Calibri" w:cs="Calibri"/>
                <w:b/>
                <w:sz w:val="22"/>
                <w:szCs w:val="22"/>
              </w:rPr>
              <w:t xml:space="preserve">stating </w:t>
            </w:r>
            <w:r w:rsidRPr="00C13694">
              <w:rPr>
                <w:rFonts w:ascii="Calibri" w:hAnsi="Calibri" w:cs="Calibri"/>
                <w:b/>
                <w:sz w:val="22"/>
                <w:szCs w:val="22"/>
              </w:rPr>
              <w:t>that</w:t>
            </w:r>
            <w:r w:rsidRPr="007F4569">
              <w:rPr>
                <w:rFonts w:ascii="Calibri" w:hAnsi="Calibri" w:cs="Calibri"/>
                <w:b/>
                <w:sz w:val="22"/>
                <w:szCs w:val="22"/>
              </w:rPr>
              <w:t xml:space="preserve"> DISH </w:t>
            </w:r>
            <w:r>
              <w:rPr>
                <w:rFonts w:ascii="Calibri" w:hAnsi="Calibri" w:cs="Calibri"/>
                <w:b/>
                <w:sz w:val="22"/>
                <w:szCs w:val="22"/>
              </w:rPr>
              <w:t xml:space="preserve">would send “our standard </w:t>
            </w:r>
            <w:proofErr w:type="gramStart"/>
            <w:r>
              <w:rPr>
                <w:rFonts w:ascii="Calibri" w:hAnsi="Calibri" w:cs="Calibri"/>
                <w:b/>
                <w:sz w:val="22"/>
                <w:szCs w:val="22"/>
              </w:rPr>
              <w:t>go</w:t>
            </w:r>
            <w:proofErr w:type="gramEnd"/>
            <w:r>
              <w:rPr>
                <w:rFonts w:ascii="Calibri" w:hAnsi="Calibri" w:cs="Calibri"/>
                <w:b/>
                <w:sz w:val="22"/>
                <w:szCs w:val="22"/>
              </w:rPr>
              <w:t xml:space="preserve"> after SSN letter” in response to complaints about SSN.  But sending those letters </w:t>
            </w:r>
            <w:r w:rsidRPr="007F4569">
              <w:rPr>
                <w:rFonts w:ascii="Calibri" w:hAnsi="Calibri" w:cs="Calibri"/>
                <w:b/>
                <w:sz w:val="22"/>
                <w:szCs w:val="22"/>
              </w:rPr>
              <w:t xml:space="preserve">shows diligence.  Nothing about these </w:t>
            </w:r>
            <w:r>
              <w:rPr>
                <w:rFonts w:ascii="Calibri" w:hAnsi="Calibri" w:cs="Calibri"/>
                <w:b/>
                <w:sz w:val="22"/>
                <w:szCs w:val="22"/>
              </w:rPr>
              <w:t xml:space="preserve">two examples </w:t>
            </w:r>
            <w:r w:rsidRPr="007F4569">
              <w:rPr>
                <w:rFonts w:ascii="Calibri" w:hAnsi="Calibri" w:cs="Calibri"/>
                <w:b/>
                <w:sz w:val="22"/>
                <w:szCs w:val="22"/>
              </w:rPr>
              <w:t xml:space="preserve">demonstrates a substantial risk of widespread violations, and they do not </w:t>
            </w:r>
            <w:r>
              <w:rPr>
                <w:rFonts w:ascii="Calibri" w:hAnsi="Calibri" w:cs="Calibri"/>
                <w:b/>
                <w:sz w:val="22"/>
                <w:szCs w:val="22"/>
              </w:rPr>
              <w:t xml:space="preserve">come close to </w:t>
            </w:r>
            <w:r w:rsidRPr="007F4569">
              <w:rPr>
                <w:rFonts w:ascii="Calibri" w:hAnsi="Calibri" w:cs="Calibri"/>
                <w:b/>
                <w:sz w:val="22"/>
                <w:szCs w:val="22"/>
              </w:rPr>
              <w:t>justify</w:t>
            </w:r>
            <w:r>
              <w:rPr>
                <w:rFonts w:ascii="Calibri" w:hAnsi="Calibri" w:cs="Calibri"/>
                <w:b/>
                <w:sz w:val="22"/>
                <w:szCs w:val="22"/>
              </w:rPr>
              <w:t>ing</w:t>
            </w:r>
            <w:r w:rsidRPr="007F4569">
              <w:rPr>
                <w:rFonts w:ascii="Calibri" w:hAnsi="Calibri" w:cs="Calibri"/>
                <w:b/>
                <w:sz w:val="22"/>
                <w:szCs w:val="22"/>
              </w:rPr>
              <w:t xml:space="preserve"> an additional $40 million in liability.</w:t>
            </w:r>
          </w:p>
        </w:tc>
      </w:tr>
      <w:tr w:rsidR="007C4BB5" w:rsidRPr="00907D75" w14:paraId="70D5C4A0" w14:textId="77777777" w:rsidTr="008649A2">
        <w:trPr>
          <w:trHeight w:val="4795"/>
        </w:trPr>
        <w:tc>
          <w:tcPr>
            <w:tcW w:w="5805" w:type="dxa"/>
            <w:vAlign w:val="center"/>
          </w:tcPr>
          <w:p w14:paraId="5704E750" w14:textId="428423BE"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 xml:space="preserve">You argue that DISH shouldn’t be held liable just because </w:t>
            </w:r>
            <w:r w:rsidRPr="00E748AF">
              <w:rPr>
                <w:rFonts w:ascii="Calibri" w:hAnsi="Calibri" w:cs="Calibri"/>
                <w:b/>
                <w:sz w:val="28"/>
                <w:szCs w:val="28"/>
              </w:rPr>
              <w:t xml:space="preserve">no court or agency had held, at the time of </w:t>
            </w:r>
            <w:r>
              <w:rPr>
                <w:rFonts w:ascii="Calibri" w:hAnsi="Calibri" w:cs="Calibri"/>
                <w:b/>
                <w:sz w:val="28"/>
                <w:szCs w:val="28"/>
              </w:rPr>
              <w:t>SSN’s</w:t>
            </w:r>
            <w:r w:rsidRPr="00E748AF">
              <w:rPr>
                <w:rFonts w:ascii="Calibri" w:hAnsi="Calibri" w:cs="Calibri"/>
                <w:b/>
                <w:sz w:val="28"/>
                <w:szCs w:val="28"/>
              </w:rPr>
              <w:t xml:space="preserve"> calls, that a seller could be liable under the TCPA for calls it did not place.</w:t>
            </w:r>
            <w:r>
              <w:rPr>
                <w:rFonts w:ascii="Calibri" w:hAnsi="Calibri" w:cs="Calibri"/>
                <w:b/>
                <w:sz w:val="28"/>
                <w:szCs w:val="28"/>
              </w:rPr>
              <w:t xml:space="preserve">   But doesn’t the text of the TCPA control rather than a lack of authority at the time of the violation?</w:t>
            </w:r>
          </w:p>
        </w:tc>
        <w:tc>
          <w:tcPr>
            <w:tcW w:w="5805" w:type="dxa"/>
            <w:vAlign w:val="center"/>
          </w:tcPr>
          <w:p w14:paraId="722AD90D" w14:textId="52DB71FC" w:rsidR="007C4BB5" w:rsidRPr="006B230F" w:rsidRDefault="007C4BB5" w:rsidP="00525419">
            <w:pPr>
              <w:pStyle w:val="O-BodyText"/>
              <w:spacing w:after="120"/>
              <w:ind w:right="65"/>
              <w:jc w:val="both"/>
              <w:rPr>
                <w:rFonts w:ascii="Calibri" w:hAnsi="Calibri" w:cs="Calibri"/>
                <w:b/>
                <w:sz w:val="22"/>
                <w:szCs w:val="22"/>
                <w:highlight w:val="yellow"/>
              </w:rPr>
            </w:pPr>
            <w:r w:rsidRPr="006B230F">
              <w:rPr>
                <w:rFonts w:ascii="Calibri" w:hAnsi="Calibri" w:cs="Calibri"/>
                <w:b/>
                <w:sz w:val="22"/>
                <w:szCs w:val="22"/>
                <w:highlight w:val="yellow"/>
              </w:rPr>
              <w:t>[Explain.]</w:t>
            </w:r>
          </w:p>
        </w:tc>
      </w:tr>
      <w:tr w:rsidR="007C4BB5" w:rsidRPr="00907D75" w14:paraId="54C18334" w14:textId="77777777" w:rsidTr="008649A2">
        <w:trPr>
          <w:trHeight w:val="4795"/>
        </w:trPr>
        <w:tc>
          <w:tcPr>
            <w:tcW w:w="5805" w:type="dxa"/>
            <w:vAlign w:val="center"/>
          </w:tcPr>
          <w:p w14:paraId="32C73D9D" w14:textId="769C7E53"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t>Did DISH have a “</w:t>
            </w:r>
            <w:r w:rsidRPr="007A3CE0">
              <w:rPr>
                <w:rFonts w:ascii="Calibri" w:hAnsi="Calibri" w:cs="Calibri"/>
                <w:b/>
                <w:sz w:val="28"/>
                <w:szCs w:val="28"/>
              </w:rPr>
              <w:t xml:space="preserve">standard go after SSN letter.” </w:t>
            </w:r>
            <w:r>
              <w:rPr>
                <w:rFonts w:ascii="Calibri" w:hAnsi="Calibri" w:cs="Calibri"/>
                <w:b/>
                <w:sz w:val="28"/>
                <w:szCs w:val="28"/>
              </w:rPr>
              <w:t xml:space="preserve"> Doesn’t that show that it knew of complaints about SSN’s illegal telemarketing practices?</w:t>
            </w:r>
          </w:p>
        </w:tc>
        <w:tc>
          <w:tcPr>
            <w:tcW w:w="5805" w:type="dxa"/>
            <w:vAlign w:val="center"/>
          </w:tcPr>
          <w:p w14:paraId="20937A24" w14:textId="47B09F72" w:rsidR="007C4BB5" w:rsidRDefault="007C4BB5" w:rsidP="00525419">
            <w:pPr>
              <w:pStyle w:val="O-BodyText"/>
              <w:spacing w:after="120"/>
              <w:ind w:right="65"/>
              <w:jc w:val="both"/>
              <w:rPr>
                <w:rFonts w:ascii="Calibri" w:hAnsi="Calibri" w:cs="Calibri"/>
                <w:b/>
                <w:sz w:val="22"/>
                <w:szCs w:val="22"/>
              </w:rPr>
            </w:pPr>
            <w:r w:rsidRPr="004F5731">
              <w:rPr>
                <w:rFonts w:ascii="Calibri" w:hAnsi="Calibri" w:cs="Calibri"/>
                <w:b/>
                <w:sz w:val="22"/>
                <w:szCs w:val="22"/>
                <w:highlight w:val="yellow"/>
              </w:rPr>
              <w:t>[Explain.]</w:t>
            </w:r>
          </w:p>
        </w:tc>
      </w:tr>
      <w:tr w:rsidR="007C4BB5" w:rsidRPr="00907D75" w14:paraId="45F6BAC7" w14:textId="77777777" w:rsidTr="008649A2">
        <w:trPr>
          <w:trHeight w:val="4795"/>
        </w:trPr>
        <w:tc>
          <w:tcPr>
            <w:tcW w:w="5805" w:type="dxa"/>
            <w:vAlign w:val="center"/>
          </w:tcPr>
          <w:p w14:paraId="01354CC6" w14:textId="72F6AD00" w:rsidR="007C4BB5" w:rsidRDefault="007C4BB5" w:rsidP="00525419">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the district court abuse its discretion in trebling the damages award?</w:t>
            </w:r>
          </w:p>
        </w:tc>
        <w:tc>
          <w:tcPr>
            <w:tcW w:w="5805" w:type="dxa"/>
            <w:vAlign w:val="center"/>
          </w:tcPr>
          <w:p w14:paraId="74CF0B70" w14:textId="1D2442F2" w:rsidR="007C4BB5" w:rsidRDefault="007C4BB5" w:rsidP="00525419">
            <w:pPr>
              <w:pStyle w:val="O-BodyText"/>
              <w:spacing w:after="120"/>
              <w:ind w:right="65"/>
              <w:jc w:val="both"/>
              <w:rPr>
                <w:rFonts w:ascii="Calibri" w:hAnsi="Calibri" w:cs="Calibri"/>
                <w:b/>
                <w:sz w:val="22"/>
                <w:szCs w:val="22"/>
              </w:rPr>
            </w:pPr>
            <w:r w:rsidRPr="004F5731">
              <w:rPr>
                <w:rFonts w:ascii="Calibri" w:hAnsi="Calibri" w:cs="Calibri"/>
                <w:b/>
                <w:sz w:val="22"/>
                <w:szCs w:val="22"/>
                <w:highlight w:val="yellow"/>
              </w:rPr>
              <w:t>[Explain.]</w:t>
            </w:r>
          </w:p>
        </w:tc>
      </w:tr>
    </w:tbl>
    <w:p w14:paraId="36F63221" w14:textId="64A0A80E" w:rsidR="000959CC" w:rsidRPr="005D723B" w:rsidRDefault="000959CC" w:rsidP="001C1A04">
      <w:pPr>
        <w:pStyle w:val="Heading1"/>
        <w:numPr>
          <w:ilvl w:val="0"/>
          <w:numId w:val="0"/>
        </w:numPr>
        <w:spacing w:after="120"/>
        <w:rPr>
          <w:rFonts w:ascii="Calibri" w:hAnsi="Calibri" w:cs="Calibri"/>
          <w:sz w:val="52"/>
          <w:szCs w:val="52"/>
        </w:rPr>
      </w:pPr>
    </w:p>
    <w:sectPr w:rsidR="000959CC" w:rsidRPr="005D723B" w:rsidSect="00B93971">
      <w:endnotePr>
        <w:numFmt w:val="upperLetter"/>
      </w:endnotePr>
      <w:pgSz w:w="12240" w:h="15840" w:code="1"/>
      <w:pgMar w:top="720" w:right="346" w:bottom="288" w:left="34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0A4A7" w14:textId="77777777" w:rsidR="00AD72A4" w:rsidRDefault="00AD72A4">
      <w:r>
        <w:separator/>
      </w:r>
    </w:p>
  </w:endnote>
  <w:endnote w:type="continuationSeparator" w:id="0">
    <w:p w14:paraId="5E54F273" w14:textId="77777777" w:rsidR="00AD72A4" w:rsidRDefault="00AD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46A3" w14:textId="77777777" w:rsidR="00AD72A4" w:rsidRDefault="00AD72A4">
      <w:r>
        <w:separator/>
      </w:r>
    </w:p>
  </w:footnote>
  <w:footnote w:type="continuationSeparator" w:id="0">
    <w:p w14:paraId="5554B61A" w14:textId="77777777" w:rsidR="00AD72A4" w:rsidRDefault="00AD7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029"/>
    <w:multiLevelType w:val="hybridMultilevel"/>
    <w:tmpl w:val="9DB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443A1"/>
    <w:multiLevelType w:val="multilevel"/>
    <w:tmpl w:val="911A3498"/>
    <w:lvl w:ilvl="0">
      <w:start w:val="2"/>
      <w:numFmt w:val="decimal"/>
      <w:lvlText w:val="%1."/>
      <w:lvlJc w:val="left"/>
      <w:pPr>
        <w:tabs>
          <w:tab w:val="left" w:pos="648"/>
        </w:tabs>
      </w:pPr>
      <w:rPr>
        <w:rFonts w:ascii="Garamond" w:eastAsia="Garamond" w:hAnsi="Garamond"/>
        <w:b/>
        <w:color w:val="000000"/>
        <w:spacing w:val="-2"/>
        <w:w w:val="100"/>
        <w:sz w:val="2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FF2E72"/>
    <w:multiLevelType w:val="hybridMultilevel"/>
    <w:tmpl w:val="0C6E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E20DF"/>
    <w:multiLevelType w:val="hybridMultilevel"/>
    <w:tmpl w:val="87EC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F5A8B"/>
    <w:multiLevelType w:val="hybridMultilevel"/>
    <w:tmpl w:val="9904C026"/>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07352CF6"/>
    <w:multiLevelType w:val="hybridMultilevel"/>
    <w:tmpl w:val="2BC80216"/>
    <w:lvl w:ilvl="0" w:tplc="6A908DAE">
      <w:start w:val="1"/>
      <w:numFmt w:val="lowerLetter"/>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5679B"/>
    <w:multiLevelType w:val="multilevel"/>
    <w:tmpl w:val="FE28D3D2"/>
    <w:lvl w:ilvl="0">
      <w:start w:val="1"/>
      <w:numFmt w:val="decimal"/>
      <w:pStyle w:val="ListNumber"/>
      <w:lvlText w:val="%1."/>
      <w:lvlJc w:val="left"/>
      <w:pPr>
        <w:tabs>
          <w:tab w:val="num" w:pos="720"/>
        </w:tabs>
        <w:ind w:left="720" w:hanging="360"/>
      </w:pPr>
      <w:rPr>
        <w:rFonts w:ascii="Calibri" w:hAnsi="Calibri"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7" w15:restartNumberingAfterBreak="0">
    <w:nsid w:val="08985782"/>
    <w:multiLevelType w:val="hybridMultilevel"/>
    <w:tmpl w:val="A6B4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23534"/>
    <w:multiLevelType w:val="hybridMultilevel"/>
    <w:tmpl w:val="862E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14024"/>
    <w:multiLevelType w:val="hybridMultilevel"/>
    <w:tmpl w:val="DFEE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282E1D"/>
    <w:multiLevelType w:val="hybridMultilevel"/>
    <w:tmpl w:val="77AC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86A45"/>
    <w:multiLevelType w:val="hybridMultilevel"/>
    <w:tmpl w:val="712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DF2D75"/>
    <w:multiLevelType w:val="hybridMultilevel"/>
    <w:tmpl w:val="602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7679F"/>
    <w:multiLevelType w:val="hybridMultilevel"/>
    <w:tmpl w:val="258CE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B6F11"/>
    <w:multiLevelType w:val="hybridMultilevel"/>
    <w:tmpl w:val="62C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B804DF"/>
    <w:multiLevelType w:val="hybridMultilevel"/>
    <w:tmpl w:val="1598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5B5A9F"/>
    <w:multiLevelType w:val="hybridMultilevel"/>
    <w:tmpl w:val="BC16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3E5BCA"/>
    <w:multiLevelType w:val="hybridMultilevel"/>
    <w:tmpl w:val="425A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052ABA"/>
    <w:multiLevelType w:val="hybridMultilevel"/>
    <w:tmpl w:val="B28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6505A"/>
    <w:multiLevelType w:val="hybridMultilevel"/>
    <w:tmpl w:val="B77C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9D7B41"/>
    <w:multiLevelType w:val="hybridMultilevel"/>
    <w:tmpl w:val="879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063428"/>
    <w:multiLevelType w:val="hybridMultilevel"/>
    <w:tmpl w:val="6314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5C69DB"/>
    <w:multiLevelType w:val="hybridMultilevel"/>
    <w:tmpl w:val="88B2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A270AB"/>
    <w:multiLevelType w:val="hybridMultilevel"/>
    <w:tmpl w:val="56D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C37892"/>
    <w:multiLevelType w:val="hybridMultilevel"/>
    <w:tmpl w:val="9408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C87FF6"/>
    <w:multiLevelType w:val="hybridMultilevel"/>
    <w:tmpl w:val="ACEE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E962EE"/>
    <w:multiLevelType w:val="hybridMultilevel"/>
    <w:tmpl w:val="3234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3C060F"/>
    <w:multiLevelType w:val="hybridMultilevel"/>
    <w:tmpl w:val="238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9" w15:restartNumberingAfterBreak="0">
    <w:nsid w:val="1DC12E10"/>
    <w:multiLevelType w:val="hybridMultilevel"/>
    <w:tmpl w:val="CD60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D51B63"/>
    <w:multiLevelType w:val="hybridMultilevel"/>
    <w:tmpl w:val="BD0A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FF2392"/>
    <w:multiLevelType w:val="hybridMultilevel"/>
    <w:tmpl w:val="7D3E3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19E6C6B"/>
    <w:multiLevelType w:val="hybridMultilevel"/>
    <w:tmpl w:val="4AF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59770D"/>
    <w:multiLevelType w:val="hybridMultilevel"/>
    <w:tmpl w:val="0F60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9D4477"/>
    <w:multiLevelType w:val="hybridMultilevel"/>
    <w:tmpl w:val="B5E48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63460FE"/>
    <w:multiLevelType w:val="hybridMultilevel"/>
    <w:tmpl w:val="917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5E1243"/>
    <w:multiLevelType w:val="hybridMultilevel"/>
    <w:tmpl w:val="C7D6D408"/>
    <w:lvl w:ilvl="0" w:tplc="9BC2DE46">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38" w15:restartNumberingAfterBreak="0">
    <w:nsid w:val="26E1454B"/>
    <w:multiLevelType w:val="hybridMultilevel"/>
    <w:tmpl w:val="47109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ED018E"/>
    <w:multiLevelType w:val="hybridMultilevel"/>
    <w:tmpl w:val="B53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3964BA"/>
    <w:multiLevelType w:val="hybridMultilevel"/>
    <w:tmpl w:val="1CBE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9350943"/>
    <w:multiLevelType w:val="hybridMultilevel"/>
    <w:tmpl w:val="82D6BDF4"/>
    <w:lvl w:ilvl="0" w:tplc="836AEF58">
      <w:start w:val="1"/>
      <w:numFmt w:val="bullet"/>
      <w:pStyle w:val="OResumeSidebarBullet"/>
      <w:lvlText w:val=""/>
      <w:lvlJc w:val="left"/>
      <w:pPr>
        <w:tabs>
          <w:tab w:val="num" w:pos="180"/>
        </w:tabs>
        <w:ind w:left="180" w:hanging="18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29E74778"/>
    <w:multiLevelType w:val="hybridMultilevel"/>
    <w:tmpl w:val="F9C0D3B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3" w15:restartNumberingAfterBreak="0">
    <w:nsid w:val="2BDA0329"/>
    <w:multiLevelType w:val="hybridMultilevel"/>
    <w:tmpl w:val="F2B2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9462C9"/>
    <w:multiLevelType w:val="hybridMultilevel"/>
    <w:tmpl w:val="2E7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0F3282"/>
    <w:multiLevelType w:val="multilevel"/>
    <w:tmpl w:val="1F02DA58"/>
    <w:name w:val="HeadingStyles||Heading|3|3|0|1|0|33||1|0|33||1|0|33||1|0|32||1|0|32||1|0|32||1|0|32||1|0|32||1|0|32||"/>
    <w:styleLink w:val="CovingtonHeadings12"/>
    <w:lvl w:ilvl="0">
      <w:start w:val="1"/>
      <w:numFmt w:val="upperRoman"/>
      <w:pStyle w:val="Heading1"/>
      <w:lvlText w:val="%1."/>
      <w:lvlJc w:val="left"/>
      <w:pPr>
        <w:tabs>
          <w:tab w:val="num" w:pos="1440"/>
        </w:tabs>
        <w:ind w:left="2160" w:hanging="1440"/>
      </w:pPr>
      <w:rPr>
        <w:rFonts w:ascii="Arial" w:hAnsi="Arial" w:cs="Arial" w:hint="default"/>
        <w:b/>
        <w:sz w:val="72"/>
        <w:u w:val="none"/>
      </w:rPr>
    </w:lvl>
    <w:lvl w:ilvl="1">
      <w:start w:val="1"/>
      <w:numFmt w:val="upperLetter"/>
      <w:pStyle w:val="Heading2"/>
      <w:lvlText w:val="%2."/>
      <w:lvlJc w:val="left"/>
      <w:pPr>
        <w:tabs>
          <w:tab w:val="num" w:pos="2160"/>
        </w:tabs>
        <w:ind w:left="2160" w:hanging="720"/>
      </w:pPr>
      <w:rPr>
        <w:rFonts w:ascii="Arial" w:hAnsi="Arial" w:cs="Arial" w:hint="default"/>
        <w:b/>
        <w:sz w:val="48"/>
        <w:u w:val="none"/>
      </w:rPr>
    </w:lvl>
    <w:lvl w:ilvl="2">
      <w:start w:val="1"/>
      <w:numFmt w:val="decimal"/>
      <w:pStyle w:val="Heading3"/>
      <w:lvlText w:val="%3."/>
      <w:lvlJc w:val="left"/>
      <w:pPr>
        <w:tabs>
          <w:tab w:val="num" w:pos="2880"/>
        </w:tabs>
        <w:ind w:left="2880" w:hanging="720"/>
      </w:pPr>
      <w:rPr>
        <w:rFonts w:ascii="Arial" w:hAnsi="Arial" w:cs="Arial" w:hint="default"/>
        <w:b/>
        <w:sz w:val="36"/>
        <w:u w:val="none"/>
      </w:rPr>
    </w:lvl>
    <w:lvl w:ilvl="3">
      <w:start w:val="1"/>
      <w:numFmt w:val="lowerLetter"/>
      <w:pStyle w:val="Heading4"/>
      <w:lvlText w:val="%4)"/>
      <w:lvlJc w:val="left"/>
      <w:pPr>
        <w:tabs>
          <w:tab w:val="num" w:pos="3600"/>
        </w:tabs>
        <w:ind w:left="3600" w:hanging="720"/>
      </w:pPr>
      <w:rPr>
        <w:rFonts w:hint="default"/>
      </w:rPr>
    </w:lvl>
    <w:lvl w:ilvl="4">
      <w:start w:val="1"/>
      <w:numFmt w:val="decimal"/>
      <w:pStyle w:val="Heading5"/>
      <w:lvlText w:val="(%5)"/>
      <w:lvlJc w:val="left"/>
      <w:pPr>
        <w:tabs>
          <w:tab w:val="num" w:pos="4320"/>
        </w:tabs>
        <w:ind w:left="4320" w:hanging="720"/>
      </w:pPr>
      <w:rPr>
        <w:rFonts w:hint="default"/>
      </w:rPr>
    </w:lvl>
    <w:lvl w:ilvl="5">
      <w:start w:val="1"/>
      <w:numFmt w:val="lowerLetter"/>
      <w:pStyle w:val="Heading6"/>
      <w:lvlText w:val="(%6)"/>
      <w:lvlJc w:val="left"/>
      <w:pPr>
        <w:tabs>
          <w:tab w:val="num" w:pos="5040"/>
        </w:tabs>
        <w:ind w:left="5040" w:hanging="720"/>
      </w:pPr>
      <w:rPr>
        <w:rFonts w:hint="default"/>
      </w:rPr>
    </w:lvl>
    <w:lvl w:ilvl="6">
      <w:start w:val="1"/>
      <w:numFmt w:val="lowerRoman"/>
      <w:pStyle w:val="Heading7"/>
      <w:lvlText w:val="(%7)"/>
      <w:lvlJc w:val="left"/>
      <w:pPr>
        <w:tabs>
          <w:tab w:val="num" w:pos="5760"/>
        </w:tabs>
        <w:ind w:left="5760" w:hanging="720"/>
      </w:pPr>
      <w:rPr>
        <w:rFonts w:hint="default"/>
      </w:rPr>
    </w:lvl>
    <w:lvl w:ilvl="7">
      <w:start w:val="1"/>
      <w:numFmt w:val="lowerLetter"/>
      <w:pStyle w:val="Heading8"/>
      <w:lvlText w:val="(%8)"/>
      <w:lvlJc w:val="left"/>
      <w:pPr>
        <w:tabs>
          <w:tab w:val="num" w:pos="6480"/>
        </w:tabs>
        <w:ind w:left="6480" w:hanging="720"/>
      </w:pPr>
      <w:rPr>
        <w:rFonts w:hint="default"/>
      </w:rPr>
    </w:lvl>
    <w:lvl w:ilvl="8">
      <w:start w:val="1"/>
      <w:numFmt w:val="lowerRoman"/>
      <w:pStyle w:val="Heading9"/>
      <w:lvlText w:val="(%9)"/>
      <w:lvlJc w:val="left"/>
      <w:pPr>
        <w:tabs>
          <w:tab w:val="num" w:pos="7200"/>
        </w:tabs>
        <w:ind w:left="7200" w:hanging="720"/>
      </w:pPr>
      <w:rPr>
        <w:rFonts w:hint="default"/>
      </w:rPr>
    </w:lvl>
  </w:abstractNum>
  <w:abstractNum w:abstractNumId="46" w15:restartNumberingAfterBreak="0">
    <w:nsid w:val="2EEE2AFF"/>
    <w:multiLevelType w:val="hybridMultilevel"/>
    <w:tmpl w:val="9A1CA910"/>
    <w:lvl w:ilvl="0" w:tplc="EEAE1DD4">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47" w15:restartNumberingAfterBreak="0">
    <w:nsid w:val="30031021"/>
    <w:multiLevelType w:val="hybridMultilevel"/>
    <w:tmpl w:val="FD3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76320A"/>
    <w:multiLevelType w:val="hybridMultilevel"/>
    <w:tmpl w:val="B36E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1A72359"/>
    <w:multiLevelType w:val="hybridMultilevel"/>
    <w:tmpl w:val="ACD6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BA46F5"/>
    <w:multiLevelType w:val="hybridMultilevel"/>
    <w:tmpl w:val="C514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2DD7575"/>
    <w:multiLevelType w:val="hybridMultilevel"/>
    <w:tmpl w:val="A88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303267E"/>
    <w:multiLevelType w:val="hybridMultilevel"/>
    <w:tmpl w:val="C40E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7349A1"/>
    <w:multiLevelType w:val="multilevel"/>
    <w:tmpl w:val="1BB69786"/>
    <w:lvl w:ilvl="0">
      <w:start w:val="1"/>
      <w:numFmt w:val="decimal"/>
      <w:suff w:val="nothing"/>
      <w:lvlText w:val="Article %1"/>
      <w:lvlJc w:val="left"/>
      <w:pPr>
        <w:tabs>
          <w:tab w:val="num" w:pos="720"/>
        </w:tabs>
        <w:ind w:left="0" w:firstLine="0"/>
      </w:pPr>
      <w:rPr>
        <w:b w:val="0"/>
        <w:i w:val="0"/>
        <w:caps/>
        <w:smallCaps w:val="0"/>
        <w:strike w:val="0"/>
        <w:dstrike w:val="0"/>
        <w:outline w:val="0"/>
        <w:shadow w:val="0"/>
        <w:emboss w:val="0"/>
        <w:imprint w:val="0"/>
        <w:vanish w:val="0"/>
        <w:color w:val="auto"/>
        <w:u w:val="none"/>
        <w:effect w:val="none"/>
        <w:vertAlign w:val="baseline"/>
      </w:rPr>
    </w:lvl>
    <w:lvl w:ilvl="1">
      <w:start w:val="1"/>
      <w:numFmt w:val="decimal"/>
      <w:lvlText w:val="%1.%2"/>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 w:ilvl="2">
      <w:start w:val="1"/>
      <w:numFmt w:val="decimal"/>
      <w:lvlText w:val="%1.%2.%3"/>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3">
      <w:start w:val="1"/>
      <w:numFmt w:val="lowerLetter"/>
      <w:lvlText w:val="(%4)"/>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4">
      <w:start w:val="1"/>
      <w:numFmt w:val="lowerRoman"/>
      <w:lvlText w:val="(%5)"/>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lvl w:ilvl="5">
      <w:start w:val="1"/>
      <w:numFmt w:val="decimal"/>
      <w:lvlText w:val="(%6)"/>
      <w:lvlJc w:val="left"/>
      <w:pPr>
        <w:tabs>
          <w:tab w:val="num" w:pos="4320"/>
        </w:tabs>
        <w:ind w:left="0" w:firstLine="3600"/>
      </w:pPr>
      <w:rPr>
        <w:b w:val="0"/>
        <w:i w:val="0"/>
        <w:caps w:val="0"/>
        <w:strike w:val="0"/>
        <w:dstrike w:val="0"/>
        <w:outline w:val="0"/>
        <w:shadow w:val="0"/>
        <w:emboss w:val="0"/>
        <w:imprint w:val="0"/>
        <w:vanish w:val="0"/>
        <w:color w:val="auto"/>
        <w:u w:val="none"/>
        <w:effect w:val="none"/>
        <w:vertAlign w:val="baseline"/>
      </w:rPr>
    </w:lvl>
    <w:lvl w:ilvl="6">
      <w:start w:val="1"/>
      <w:numFmt w:val="lowerLetter"/>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7">
      <w:start w:val="1"/>
      <w:numFmt w:val="lowerRoman"/>
      <w:lvlText w:val="(%8)"/>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8">
      <w:start w:val="1"/>
      <w:numFmt w:val="decimal"/>
      <w:lvlText w:val="(%9)"/>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abstractNum>
  <w:abstractNum w:abstractNumId="55" w15:restartNumberingAfterBreak="0">
    <w:nsid w:val="35A9474F"/>
    <w:multiLevelType w:val="hybridMultilevel"/>
    <w:tmpl w:val="1DB88320"/>
    <w:lvl w:ilvl="0" w:tplc="87C0392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56" w15:restartNumberingAfterBreak="0">
    <w:nsid w:val="36E23518"/>
    <w:multiLevelType w:val="hybridMultilevel"/>
    <w:tmpl w:val="4FC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185A71"/>
    <w:multiLevelType w:val="hybridMultilevel"/>
    <w:tmpl w:val="E9FC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8D4ADE"/>
    <w:multiLevelType w:val="hybridMultilevel"/>
    <w:tmpl w:val="CE60E528"/>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59" w15:restartNumberingAfterBreak="0">
    <w:nsid w:val="39FC3C4C"/>
    <w:multiLevelType w:val="hybridMultilevel"/>
    <w:tmpl w:val="E5B8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AB020B9"/>
    <w:multiLevelType w:val="hybridMultilevel"/>
    <w:tmpl w:val="1640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AFD3106"/>
    <w:multiLevelType w:val="hybridMultilevel"/>
    <w:tmpl w:val="D5FE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254D4A"/>
    <w:multiLevelType w:val="hybridMultilevel"/>
    <w:tmpl w:val="49E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4657A5"/>
    <w:multiLevelType w:val="hybridMultilevel"/>
    <w:tmpl w:val="1B5C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323356"/>
    <w:multiLevelType w:val="hybridMultilevel"/>
    <w:tmpl w:val="5546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ECA7C06"/>
    <w:multiLevelType w:val="hybridMultilevel"/>
    <w:tmpl w:val="75B0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0913E0B"/>
    <w:multiLevelType w:val="hybridMultilevel"/>
    <w:tmpl w:val="DAB2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F34151"/>
    <w:multiLevelType w:val="hybridMultilevel"/>
    <w:tmpl w:val="A392B52A"/>
    <w:lvl w:ilvl="0" w:tplc="6076FBC0">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68" w15:restartNumberingAfterBreak="0">
    <w:nsid w:val="42476836"/>
    <w:multiLevelType w:val="hybridMultilevel"/>
    <w:tmpl w:val="7F2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AC15A4"/>
    <w:multiLevelType w:val="hybridMultilevel"/>
    <w:tmpl w:val="B608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594145E"/>
    <w:multiLevelType w:val="hybridMultilevel"/>
    <w:tmpl w:val="F7FA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7E85E9E"/>
    <w:multiLevelType w:val="hybridMultilevel"/>
    <w:tmpl w:val="3CEC7D0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2" w15:restartNumberingAfterBreak="0">
    <w:nsid w:val="49B2660A"/>
    <w:multiLevelType w:val="hybridMultilevel"/>
    <w:tmpl w:val="B0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A404F6E"/>
    <w:multiLevelType w:val="hybridMultilevel"/>
    <w:tmpl w:val="F400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A4E4A8F"/>
    <w:multiLevelType w:val="hybridMultilevel"/>
    <w:tmpl w:val="2C2C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AD33FF7"/>
    <w:multiLevelType w:val="hybridMultilevel"/>
    <w:tmpl w:val="5994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B1653BA"/>
    <w:multiLevelType w:val="hybridMultilevel"/>
    <w:tmpl w:val="8956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C593CC6"/>
    <w:multiLevelType w:val="hybridMultilevel"/>
    <w:tmpl w:val="7832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760462"/>
    <w:multiLevelType w:val="hybridMultilevel"/>
    <w:tmpl w:val="B7A60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4C9232B1"/>
    <w:multiLevelType w:val="hybridMultilevel"/>
    <w:tmpl w:val="DACA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567924"/>
    <w:multiLevelType w:val="hybridMultilevel"/>
    <w:tmpl w:val="795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FDC6368"/>
    <w:multiLevelType w:val="hybridMultilevel"/>
    <w:tmpl w:val="A21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28031F5"/>
    <w:multiLevelType w:val="hybridMultilevel"/>
    <w:tmpl w:val="972E35F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3" w15:restartNumberingAfterBreak="0">
    <w:nsid w:val="53A659BA"/>
    <w:multiLevelType w:val="hybridMultilevel"/>
    <w:tmpl w:val="44DAF15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4" w15:restartNumberingAfterBreak="0">
    <w:nsid w:val="55061906"/>
    <w:multiLevelType w:val="hybridMultilevel"/>
    <w:tmpl w:val="49C0D0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5" w15:restartNumberingAfterBreak="0">
    <w:nsid w:val="57E702C4"/>
    <w:multiLevelType w:val="hybridMultilevel"/>
    <w:tmpl w:val="8B5820EE"/>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86" w15:restartNumberingAfterBreak="0">
    <w:nsid w:val="580E6495"/>
    <w:multiLevelType w:val="hybridMultilevel"/>
    <w:tmpl w:val="C5FC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91F4F51"/>
    <w:multiLevelType w:val="hybridMultilevel"/>
    <w:tmpl w:val="177A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99B4B4F"/>
    <w:multiLevelType w:val="hybridMultilevel"/>
    <w:tmpl w:val="C94E3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9F5B1C"/>
    <w:multiLevelType w:val="hybridMultilevel"/>
    <w:tmpl w:val="00EA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B713825"/>
    <w:multiLevelType w:val="hybridMultilevel"/>
    <w:tmpl w:val="4E22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C0907F0"/>
    <w:multiLevelType w:val="hybridMultilevel"/>
    <w:tmpl w:val="534E5A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C876793"/>
    <w:multiLevelType w:val="hybridMultilevel"/>
    <w:tmpl w:val="92DA1A7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3" w15:restartNumberingAfterBreak="0">
    <w:nsid w:val="5DE728BA"/>
    <w:multiLevelType w:val="hybridMultilevel"/>
    <w:tmpl w:val="6656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5FF8714D"/>
    <w:multiLevelType w:val="hybridMultilevel"/>
    <w:tmpl w:val="E20EB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6" w15:restartNumberingAfterBreak="0">
    <w:nsid w:val="601541EF"/>
    <w:multiLevelType w:val="hybridMultilevel"/>
    <w:tmpl w:val="5A30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CD5BB9"/>
    <w:multiLevelType w:val="hybridMultilevel"/>
    <w:tmpl w:val="0F3C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5431458"/>
    <w:multiLevelType w:val="hybridMultilevel"/>
    <w:tmpl w:val="5EC88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67BC71BF"/>
    <w:multiLevelType w:val="multilevel"/>
    <w:tmpl w:val="3306FCE8"/>
    <w:name w:val="zzmpJeremysSch||Jeremy's Scheme|3|1|1|1|0|32||1|0|32||1|0|32||1|0|32||1|0|32||1|0|37||1|0|37||1|0|37||1|0|37||"/>
    <w:lvl w:ilvl="0">
      <w:start w:val="1"/>
      <w:numFmt w:val="upperRoman"/>
      <w:pStyle w:val="JeremysSchL1"/>
      <w:lvlText w:val="%1."/>
      <w:lvlJc w:val="left"/>
      <w:pPr>
        <w:tabs>
          <w:tab w:val="num" w:pos="720"/>
        </w:tabs>
        <w:ind w:left="720" w:hanging="720"/>
      </w:pPr>
      <w:rPr>
        <w:b w:val="0"/>
        <w:i w:val="0"/>
        <w:caps w:val="0"/>
        <w:color w:val="auto"/>
        <w:u w:val="none"/>
      </w:rPr>
    </w:lvl>
    <w:lvl w:ilvl="1">
      <w:start w:val="1"/>
      <w:numFmt w:val="upperLetter"/>
      <w:pStyle w:val="JeremysSchL2"/>
      <w:lvlText w:val="%2."/>
      <w:lvlJc w:val="left"/>
      <w:pPr>
        <w:tabs>
          <w:tab w:val="num" w:pos="1440"/>
        </w:tabs>
        <w:ind w:left="1440" w:hanging="720"/>
      </w:pPr>
      <w:rPr>
        <w:b/>
        <w:i w:val="0"/>
        <w:caps w:val="0"/>
        <w:color w:val="auto"/>
        <w:u w:val="none"/>
      </w:rPr>
    </w:lvl>
    <w:lvl w:ilvl="2">
      <w:start w:val="1"/>
      <w:numFmt w:val="decimal"/>
      <w:pStyle w:val="JeremysSchL3"/>
      <w:lvlText w:val="%3."/>
      <w:lvlJc w:val="left"/>
      <w:pPr>
        <w:tabs>
          <w:tab w:val="num" w:pos="2160"/>
        </w:tabs>
        <w:ind w:left="2160" w:hanging="720"/>
      </w:pPr>
      <w:rPr>
        <w:b/>
        <w:i w:val="0"/>
        <w:caps w:val="0"/>
        <w:color w:val="auto"/>
        <w:u w:val="none"/>
      </w:rPr>
    </w:lvl>
    <w:lvl w:ilvl="3">
      <w:start w:val="1"/>
      <w:numFmt w:val="lowerLetter"/>
      <w:pStyle w:val="JeremysSchL4"/>
      <w:lvlText w:val="%4."/>
      <w:lvlJc w:val="left"/>
      <w:pPr>
        <w:tabs>
          <w:tab w:val="num" w:pos="2880"/>
        </w:tabs>
        <w:ind w:left="2880" w:hanging="720"/>
      </w:pPr>
      <w:rPr>
        <w:b/>
        <w:i w:val="0"/>
        <w:caps w:val="0"/>
        <w:color w:val="auto"/>
        <w:u w:val="none"/>
      </w:rPr>
    </w:lvl>
    <w:lvl w:ilvl="4">
      <w:start w:val="1"/>
      <w:numFmt w:val="decimal"/>
      <w:pStyle w:val="JeremysSchL5"/>
      <w:lvlText w:val="(%5)"/>
      <w:lvlJc w:val="left"/>
      <w:pPr>
        <w:tabs>
          <w:tab w:val="num" w:pos="3600"/>
        </w:tabs>
        <w:ind w:left="3600" w:hanging="720"/>
      </w:pPr>
      <w:rPr>
        <w:b/>
        <w:caps w:val="0"/>
        <w:color w:val="auto"/>
        <w:u w:val="none"/>
      </w:rPr>
    </w:lvl>
    <w:lvl w:ilvl="5">
      <w:start w:val="1"/>
      <w:numFmt w:val="lowerLetter"/>
      <w:pStyle w:val="JeremysSchL6"/>
      <w:lvlText w:val="(%6)"/>
      <w:lvlJc w:val="left"/>
      <w:pPr>
        <w:tabs>
          <w:tab w:val="num" w:pos="4320"/>
        </w:tabs>
        <w:ind w:left="4320" w:hanging="720"/>
      </w:pPr>
      <w:rPr>
        <w:b/>
        <w:i w:val="0"/>
        <w:caps w:val="0"/>
        <w:color w:val="auto"/>
        <w:u w:val="none"/>
      </w:rPr>
    </w:lvl>
    <w:lvl w:ilvl="6">
      <w:start w:val="1"/>
      <w:numFmt w:val="lowerRoman"/>
      <w:pStyle w:val="JeremysSchL7"/>
      <w:lvlText w:val="(%7)"/>
      <w:lvlJc w:val="left"/>
      <w:pPr>
        <w:tabs>
          <w:tab w:val="num" w:pos="5040"/>
        </w:tabs>
        <w:ind w:left="5040" w:hanging="720"/>
      </w:pPr>
      <w:rPr>
        <w:b/>
        <w:i w:val="0"/>
        <w:caps w:val="0"/>
        <w:color w:val="auto"/>
        <w:u w:val="none"/>
      </w:rPr>
    </w:lvl>
    <w:lvl w:ilvl="7">
      <w:start w:val="1"/>
      <w:numFmt w:val="lowerLetter"/>
      <w:pStyle w:val="JeremysSchL8"/>
      <w:lvlText w:val="%8)"/>
      <w:lvlJc w:val="left"/>
      <w:pPr>
        <w:tabs>
          <w:tab w:val="num" w:pos="5760"/>
        </w:tabs>
        <w:ind w:left="5760" w:hanging="720"/>
      </w:pPr>
      <w:rPr>
        <w:b/>
        <w:i w:val="0"/>
        <w:caps w:val="0"/>
        <w:color w:val="auto"/>
        <w:u w:val="none"/>
      </w:rPr>
    </w:lvl>
    <w:lvl w:ilvl="8">
      <w:start w:val="1"/>
      <w:numFmt w:val="lowerRoman"/>
      <w:pStyle w:val="JeremysSchL9"/>
      <w:lvlText w:val="%9)"/>
      <w:lvlJc w:val="left"/>
      <w:pPr>
        <w:tabs>
          <w:tab w:val="num" w:pos="6480"/>
        </w:tabs>
        <w:ind w:left="6480" w:hanging="720"/>
      </w:pPr>
      <w:rPr>
        <w:b/>
        <w:i w:val="0"/>
        <w:caps w:val="0"/>
        <w:color w:val="auto"/>
        <w:u w:val="none"/>
      </w:rPr>
    </w:lvl>
  </w:abstractNum>
  <w:abstractNum w:abstractNumId="100" w15:restartNumberingAfterBreak="0">
    <w:nsid w:val="68845037"/>
    <w:multiLevelType w:val="hybridMultilevel"/>
    <w:tmpl w:val="1846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C803D33"/>
    <w:multiLevelType w:val="hybridMultilevel"/>
    <w:tmpl w:val="1498633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02" w15:restartNumberingAfterBreak="0">
    <w:nsid w:val="6C961225"/>
    <w:multiLevelType w:val="hybridMultilevel"/>
    <w:tmpl w:val="7514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D1D52ED"/>
    <w:multiLevelType w:val="hybridMultilevel"/>
    <w:tmpl w:val="32FE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2027A6"/>
    <w:multiLevelType w:val="hybridMultilevel"/>
    <w:tmpl w:val="6CF6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F380696"/>
    <w:multiLevelType w:val="hybridMultilevel"/>
    <w:tmpl w:val="9F2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3710BAA"/>
    <w:multiLevelType w:val="hybridMultilevel"/>
    <w:tmpl w:val="761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38B6E86"/>
    <w:multiLevelType w:val="hybridMultilevel"/>
    <w:tmpl w:val="D9D8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44E1E96"/>
    <w:multiLevelType w:val="hybridMultilevel"/>
    <w:tmpl w:val="0BD8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5005791"/>
    <w:multiLevelType w:val="hybridMultilevel"/>
    <w:tmpl w:val="4998E2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1" w15:restartNumberingAfterBreak="0">
    <w:nsid w:val="75FA549D"/>
    <w:multiLevelType w:val="hybridMultilevel"/>
    <w:tmpl w:val="9776F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6F61D13"/>
    <w:multiLevelType w:val="hybridMultilevel"/>
    <w:tmpl w:val="3FD8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8FF305A"/>
    <w:multiLevelType w:val="hybridMultilevel"/>
    <w:tmpl w:val="767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A1C5BA6"/>
    <w:multiLevelType w:val="hybridMultilevel"/>
    <w:tmpl w:val="76EE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AA5686B"/>
    <w:multiLevelType w:val="hybridMultilevel"/>
    <w:tmpl w:val="4342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CC43832"/>
    <w:multiLevelType w:val="hybridMultilevel"/>
    <w:tmpl w:val="296A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D714BA"/>
    <w:multiLevelType w:val="hybridMultilevel"/>
    <w:tmpl w:val="CE5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CE4118B"/>
    <w:multiLevelType w:val="hybridMultilevel"/>
    <w:tmpl w:val="58B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DA86F0C"/>
    <w:multiLevelType w:val="hybridMultilevel"/>
    <w:tmpl w:val="F21A9204"/>
    <w:lvl w:ilvl="0" w:tplc="268C1102">
      <w:start w:val="1"/>
      <w:numFmt w:val="bullet"/>
      <w:pStyle w:val="OResumeArticle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FA827D9"/>
    <w:multiLevelType w:val="hybridMultilevel"/>
    <w:tmpl w:val="D34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52"/>
  </w:num>
  <w:num w:numId="3">
    <w:abstractNumId w:val="35"/>
  </w:num>
  <w:num w:numId="4">
    <w:abstractNumId w:val="106"/>
  </w:num>
  <w:num w:numId="5">
    <w:abstractNumId w:val="94"/>
  </w:num>
  <w:num w:numId="6">
    <w:abstractNumId w:val="119"/>
  </w:num>
  <w:num w:numId="7">
    <w:abstractNumId w:val="41"/>
  </w:num>
  <w:num w:numId="8">
    <w:abstractNumId w:val="6"/>
  </w:num>
  <w:num w:numId="9">
    <w:abstractNumId w:val="45"/>
  </w:num>
  <w:num w:numId="10">
    <w:abstractNumId w:val="105"/>
  </w:num>
  <w:num w:numId="11">
    <w:abstractNumId w:val="110"/>
  </w:num>
  <w:num w:numId="12">
    <w:abstractNumId w:val="73"/>
  </w:num>
  <w:num w:numId="13">
    <w:abstractNumId w:val="64"/>
  </w:num>
  <w:num w:numId="14">
    <w:abstractNumId w:val="22"/>
  </w:num>
  <w:num w:numId="15">
    <w:abstractNumId w:val="57"/>
  </w:num>
  <w:num w:numId="16">
    <w:abstractNumId w:val="36"/>
  </w:num>
  <w:num w:numId="17">
    <w:abstractNumId w:val="62"/>
  </w:num>
  <w:num w:numId="18">
    <w:abstractNumId w:val="96"/>
  </w:num>
  <w:num w:numId="19">
    <w:abstractNumId w:val="11"/>
  </w:num>
  <w:num w:numId="20">
    <w:abstractNumId w:val="120"/>
  </w:num>
  <w:num w:numId="21">
    <w:abstractNumId w:val="75"/>
  </w:num>
  <w:num w:numId="22">
    <w:abstractNumId w:val="53"/>
  </w:num>
  <w:num w:numId="23">
    <w:abstractNumId w:val="86"/>
  </w:num>
  <w:num w:numId="24">
    <w:abstractNumId w:val="93"/>
  </w:num>
  <w:num w:numId="25">
    <w:abstractNumId w:val="80"/>
  </w:num>
  <w:num w:numId="26">
    <w:abstractNumId w:val="61"/>
  </w:num>
  <w:num w:numId="27">
    <w:abstractNumId w:val="15"/>
  </w:num>
  <w:num w:numId="28">
    <w:abstractNumId w:val="3"/>
  </w:num>
  <w:num w:numId="29">
    <w:abstractNumId w:val="108"/>
  </w:num>
  <w:num w:numId="30">
    <w:abstractNumId w:val="113"/>
  </w:num>
  <w:num w:numId="31">
    <w:abstractNumId w:val="95"/>
  </w:num>
  <w:num w:numId="32">
    <w:abstractNumId w:val="44"/>
  </w:num>
  <w:num w:numId="33">
    <w:abstractNumId w:val="91"/>
  </w:num>
  <w:num w:numId="34">
    <w:abstractNumId w:val="109"/>
  </w:num>
  <w:num w:numId="35">
    <w:abstractNumId w:val="16"/>
  </w:num>
  <w:num w:numId="36">
    <w:abstractNumId w:val="58"/>
  </w:num>
  <w:num w:numId="37">
    <w:abstractNumId w:val="107"/>
  </w:num>
  <w:num w:numId="38">
    <w:abstractNumId w:val="69"/>
  </w:num>
  <w:num w:numId="39">
    <w:abstractNumId w:val="32"/>
  </w:num>
  <w:num w:numId="40">
    <w:abstractNumId w:val="29"/>
  </w:num>
  <w:num w:numId="41">
    <w:abstractNumId w:val="39"/>
  </w:num>
  <w:num w:numId="42">
    <w:abstractNumId w:val="68"/>
  </w:num>
  <w:num w:numId="43">
    <w:abstractNumId w:val="9"/>
  </w:num>
  <w:num w:numId="44">
    <w:abstractNumId w:val="14"/>
  </w:num>
  <w:num w:numId="45">
    <w:abstractNumId w:val="12"/>
  </w:num>
  <w:num w:numId="46">
    <w:abstractNumId w:val="66"/>
  </w:num>
  <w:num w:numId="47">
    <w:abstractNumId w:val="51"/>
  </w:num>
  <w:num w:numId="48">
    <w:abstractNumId w:val="115"/>
  </w:num>
  <w:num w:numId="49">
    <w:abstractNumId w:val="23"/>
  </w:num>
  <w:num w:numId="50">
    <w:abstractNumId w:val="100"/>
  </w:num>
  <w:num w:numId="51">
    <w:abstractNumId w:val="43"/>
  </w:num>
  <w:num w:numId="52">
    <w:abstractNumId w:val="74"/>
  </w:num>
  <w:num w:numId="53">
    <w:abstractNumId w:val="87"/>
  </w:num>
  <w:num w:numId="54">
    <w:abstractNumId w:val="26"/>
  </w:num>
  <w:num w:numId="55">
    <w:abstractNumId w:val="47"/>
  </w:num>
  <w:num w:numId="56">
    <w:abstractNumId w:val="81"/>
  </w:num>
  <w:num w:numId="57">
    <w:abstractNumId w:val="20"/>
  </w:num>
  <w:num w:numId="58">
    <w:abstractNumId w:val="21"/>
  </w:num>
  <w:num w:numId="59">
    <w:abstractNumId w:val="40"/>
  </w:num>
  <w:num w:numId="60">
    <w:abstractNumId w:val="89"/>
  </w:num>
  <w:num w:numId="61">
    <w:abstractNumId w:val="76"/>
  </w:num>
  <w:num w:numId="62">
    <w:abstractNumId w:val="10"/>
  </w:num>
  <w:num w:numId="63">
    <w:abstractNumId w:val="114"/>
  </w:num>
  <w:num w:numId="64">
    <w:abstractNumId w:val="27"/>
  </w:num>
  <w:num w:numId="65">
    <w:abstractNumId w:val="56"/>
  </w:num>
  <w:num w:numId="66">
    <w:abstractNumId w:val="97"/>
  </w:num>
  <w:num w:numId="67">
    <w:abstractNumId w:val="0"/>
  </w:num>
  <w:num w:numId="68">
    <w:abstractNumId w:val="116"/>
  </w:num>
  <w:num w:numId="69">
    <w:abstractNumId w:val="99"/>
  </w:num>
  <w:num w:numId="70">
    <w:abstractNumId w:val="42"/>
  </w:num>
  <w:num w:numId="71">
    <w:abstractNumId w:val="92"/>
  </w:num>
  <w:num w:numId="72">
    <w:abstractNumId w:val="82"/>
  </w:num>
  <w:num w:numId="73">
    <w:abstractNumId w:val="71"/>
  </w:num>
  <w:num w:numId="74">
    <w:abstractNumId w:val="83"/>
  </w:num>
  <w:num w:numId="75">
    <w:abstractNumId w:val="50"/>
  </w:num>
  <w:num w:numId="76">
    <w:abstractNumId w:val="7"/>
  </w:num>
  <w:num w:numId="77">
    <w:abstractNumId w:val="25"/>
  </w:num>
  <w:num w:numId="78">
    <w:abstractNumId w:val="90"/>
  </w:num>
  <w:num w:numId="79">
    <w:abstractNumId w:val="111"/>
  </w:num>
  <w:num w:numId="80">
    <w:abstractNumId w:val="72"/>
  </w:num>
  <w:num w:numId="81">
    <w:abstractNumId w:val="30"/>
  </w:num>
  <w:num w:numId="82">
    <w:abstractNumId w:val="49"/>
  </w:num>
  <w:num w:numId="83">
    <w:abstractNumId w:val="34"/>
  </w:num>
  <w:num w:numId="84">
    <w:abstractNumId w:val="17"/>
  </w:num>
  <w:num w:numId="85">
    <w:abstractNumId w:val="63"/>
  </w:num>
  <w:num w:numId="86">
    <w:abstractNumId w:val="19"/>
  </w:num>
  <w:num w:numId="87">
    <w:abstractNumId w:val="48"/>
  </w:num>
  <w:num w:numId="88">
    <w:abstractNumId w:val="118"/>
  </w:num>
  <w:num w:numId="89">
    <w:abstractNumId w:val="24"/>
  </w:num>
  <w:num w:numId="90">
    <w:abstractNumId w:val="8"/>
  </w:num>
  <w:num w:numId="91">
    <w:abstractNumId w:val="2"/>
  </w:num>
  <w:num w:numId="92">
    <w:abstractNumId w:val="70"/>
  </w:num>
  <w:num w:numId="93">
    <w:abstractNumId w:val="4"/>
  </w:num>
  <w:num w:numId="94">
    <w:abstractNumId w:val="112"/>
  </w:num>
  <w:num w:numId="95">
    <w:abstractNumId w:val="79"/>
  </w:num>
  <w:num w:numId="96">
    <w:abstractNumId w:val="103"/>
  </w:num>
  <w:num w:numId="97">
    <w:abstractNumId w:val="77"/>
  </w:num>
  <w:num w:numId="98">
    <w:abstractNumId w:val="60"/>
  </w:num>
  <w:num w:numId="99">
    <w:abstractNumId w:val="33"/>
  </w:num>
  <w:num w:numId="100">
    <w:abstractNumId w:val="102"/>
  </w:num>
  <w:num w:numId="101">
    <w:abstractNumId w:val="88"/>
  </w:num>
  <w:num w:numId="102">
    <w:abstractNumId w:val="5"/>
  </w:num>
  <w:num w:numId="103">
    <w:abstractNumId w:val="38"/>
  </w:num>
  <w:num w:numId="104">
    <w:abstractNumId w:val="13"/>
  </w:num>
  <w:num w:numId="105">
    <w:abstractNumId w:val="54"/>
  </w:num>
  <w:num w:numId="106">
    <w:abstractNumId w:val="31"/>
  </w:num>
  <w:num w:numId="107">
    <w:abstractNumId w:val="101"/>
  </w:num>
  <w:num w:numId="108">
    <w:abstractNumId w:val="85"/>
  </w:num>
  <w:num w:numId="109">
    <w:abstractNumId w:val="117"/>
  </w:num>
  <w:num w:numId="110">
    <w:abstractNumId w:val="84"/>
  </w:num>
  <w:num w:numId="111">
    <w:abstractNumId w:val="98"/>
  </w:num>
  <w:num w:numId="112">
    <w:abstractNumId w:val="59"/>
  </w:num>
  <w:num w:numId="113">
    <w:abstractNumId w:val="104"/>
  </w:num>
  <w:num w:numId="114">
    <w:abstractNumId w:val="18"/>
  </w:num>
  <w:num w:numId="115">
    <w:abstractNumId w:val="65"/>
  </w:num>
  <w:num w:numId="116">
    <w:abstractNumId w:val="1"/>
  </w:num>
  <w:num w:numId="117">
    <w:abstractNumId w:val="78"/>
  </w:num>
  <w:num w:numId="118">
    <w:abstractNumId w:val="37"/>
  </w:num>
  <w:num w:numId="119">
    <w:abstractNumId w:val="55"/>
  </w:num>
  <w:num w:numId="120">
    <w:abstractNumId w:val="67"/>
  </w:num>
  <w:num w:numId="121">
    <w:abstractNumId w:val="4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adingStyles" w:val="||Heading|3|3|0|1|0|33||1|0|33||1|0|33||1|0|32||1|0|32||1|0|32||1|0|32||1|0|32||1|0|32||"/>
    <w:docVar w:name="strDocID" w:val="4130-3983-2086"/>
    <w:docVar w:name="zzmp10NoTrailerPromptID" w:val="NG-TKD98IZ4.4130-3983-2086.6"/>
    <w:docVar w:name="zzmpFixedCurScheme" w:val="ingStyles"/>
    <w:docVar w:name="zzmpFixedCurScheme_9.0" w:val="1HeadingStyles"/>
    <w:docVar w:name="zzmpnSession" w:val="0.6909449"/>
  </w:docVars>
  <w:rsids>
    <w:rsidRoot w:val="00786A14"/>
    <w:rsid w:val="00001368"/>
    <w:rsid w:val="00003224"/>
    <w:rsid w:val="000035AB"/>
    <w:rsid w:val="000038D5"/>
    <w:rsid w:val="00003BD7"/>
    <w:rsid w:val="000040DE"/>
    <w:rsid w:val="00004F5E"/>
    <w:rsid w:val="00005378"/>
    <w:rsid w:val="00005C4D"/>
    <w:rsid w:val="00007F14"/>
    <w:rsid w:val="000105DF"/>
    <w:rsid w:val="0001070A"/>
    <w:rsid w:val="00010965"/>
    <w:rsid w:val="000123E8"/>
    <w:rsid w:val="000131AC"/>
    <w:rsid w:val="00013881"/>
    <w:rsid w:val="00014DC7"/>
    <w:rsid w:val="00014E5F"/>
    <w:rsid w:val="00014EDF"/>
    <w:rsid w:val="00016545"/>
    <w:rsid w:val="00016799"/>
    <w:rsid w:val="000168C4"/>
    <w:rsid w:val="00017A18"/>
    <w:rsid w:val="0002073C"/>
    <w:rsid w:val="00020A25"/>
    <w:rsid w:val="00020D83"/>
    <w:rsid w:val="000211EF"/>
    <w:rsid w:val="00021281"/>
    <w:rsid w:val="00021389"/>
    <w:rsid w:val="00022A7C"/>
    <w:rsid w:val="000246E0"/>
    <w:rsid w:val="00024D80"/>
    <w:rsid w:val="00025133"/>
    <w:rsid w:val="0002533E"/>
    <w:rsid w:val="00025B1E"/>
    <w:rsid w:val="0002716B"/>
    <w:rsid w:val="00027914"/>
    <w:rsid w:val="00030285"/>
    <w:rsid w:val="000307FF"/>
    <w:rsid w:val="00031147"/>
    <w:rsid w:val="00031F84"/>
    <w:rsid w:val="00031F98"/>
    <w:rsid w:val="00032A29"/>
    <w:rsid w:val="000338ED"/>
    <w:rsid w:val="0003627B"/>
    <w:rsid w:val="000370A7"/>
    <w:rsid w:val="00037CEE"/>
    <w:rsid w:val="0004042E"/>
    <w:rsid w:val="00042803"/>
    <w:rsid w:val="0004294D"/>
    <w:rsid w:val="00042D55"/>
    <w:rsid w:val="00043100"/>
    <w:rsid w:val="00044363"/>
    <w:rsid w:val="000443C0"/>
    <w:rsid w:val="0004705D"/>
    <w:rsid w:val="0004795A"/>
    <w:rsid w:val="00047CF5"/>
    <w:rsid w:val="00050B48"/>
    <w:rsid w:val="00051577"/>
    <w:rsid w:val="000515D4"/>
    <w:rsid w:val="00051F13"/>
    <w:rsid w:val="00052197"/>
    <w:rsid w:val="000535C9"/>
    <w:rsid w:val="00053791"/>
    <w:rsid w:val="00053A11"/>
    <w:rsid w:val="00053A5F"/>
    <w:rsid w:val="00054839"/>
    <w:rsid w:val="0005584A"/>
    <w:rsid w:val="00056E7F"/>
    <w:rsid w:val="00057904"/>
    <w:rsid w:val="00057AC4"/>
    <w:rsid w:val="00060049"/>
    <w:rsid w:val="0006037B"/>
    <w:rsid w:val="00062510"/>
    <w:rsid w:val="00064A82"/>
    <w:rsid w:val="00064CFF"/>
    <w:rsid w:val="00064EB0"/>
    <w:rsid w:val="000652D4"/>
    <w:rsid w:val="000653CF"/>
    <w:rsid w:val="00066547"/>
    <w:rsid w:val="00066A8D"/>
    <w:rsid w:val="000678E6"/>
    <w:rsid w:val="00070CA5"/>
    <w:rsid w:val="0007186D"/>
    <w:rsid w:val="00071C35"/>
    <w:rsid w:val="000736CA"/>
    <w:rsid w:val="00074624"/>
    <w:rsid w:val="0007492F"/>
    <w:rsid w:val="00076F42"/>
    <w:rsid w:val="0007765E"/>
    <w:rsid w:val="00077E79"/>
    <w:rsid w:val="00080628"/>
    <w:rsid w:val="00081198"/>
    <w:rsid w:val="00083189"/>
    <w:rsid w:val="00083CB2"/>
    <w:rsid w:val="000840E7"/>
    <w:rsid w:val="00084332"/>
    <w:rsid w:val="000850D1"/>
    <w:rsid w:val="00085F98"/>
    <w:rsid w:val="00086DAC"/>
    <w:rsid w:val="00086FE2"/>
    <w:rsid w:val="000872BF"/>
    <w:rsid w:val="000874BA"/>
    <w:rsid w:val="00087D7F"/>
    <w:rsid w:val="0009020A"/>
    <w:rsid w:val="00090FC7"/>
    <w:rsid w:val="00091D5F"/>
    <w:rsid w:val="0009208A"/>
    <w:rsid w:val="000920CD"/>
    <w:rsid w:val="000928BB"/>
    <w:rsid w:val="00093373"/>
    <w:rsid w:val="00093A2A"/>
    <w:rsid w:val="00093F20"/>
    <w:rsid w:val="00095709"/>
    <w:rsid w:val="000959CC"/>
    <w:rsid w:val="00096B61"/>
    <w:rsid w:val="0009725A"/>
    <w:rsid w:val="000978A1"/>
    <w:rsid w:val="000979C8"/>
    <w:rsid w:val="00097BF8"/>
    <w:rsid w:val="00097EC5"/>
    <w:rsid w:val="000A0BF4"/>
    <w:rsid w:val="000A11DA"/>
    <w:rsid w:val="000A1A46"/>
    <w:rsid w:val="000A20A6"/>
    <w:rsid w:val="000A2784"/>
    <w:rsid w:val="000A32E7"/>
    <w:rsid w:val="000A37C8"/>
    <w:rsid w:val="000A4157"/>
    <w:rsid w:val="000A4B3A"/>
    <w:rsid w:val="000A583C"/>
    <w:rsid w:val="000A633C"/>
    <w:rsid w:val="000A695B"/>
    <w:rsid w:val="000A6CC4"/>
    <w:rsid w:val="000A7623"/>
    <w:rsid w:val="000A7A40"/>
    <w:rsid w:val="000A7FD2"/>
    <w:rsid w:val="000B02E6"/>
    <w:rsid w:val="000B0D14"/>
    <w:rsid w:val="000B0D48"/>
    <w:rsid w:val="000B0D76"/>
    <w:rsid w:val="000B1FA1"/>
    <w:rsid w:val="000B2B4A"/>
    <w:rsid w:val="000B4494"/>
    <w:rsid w:val="000B522C"/>
    <w:rsid w:val="000B6460"/>
    <w:rsid w:val="000B69B4"/>
    <w:rsid w:val="000C02DF"/>
    <w:rsid w:val="000C09EA"/>
    <w:rsid w:val="000C0F54"/>
    <w:rsid w:val="000C1BBA"/>
    <w:rsid w:val="000C1FAB"/>
    <w:rsid w:val="000C31C9"/>
    <w:rsid w:val="000C3AF4"/>
    <w:rsid w:val="000C3EB8"/>
    <w:rsid w:val="000C55C6"/>
    <w:rsid w:val="000C7AC3"/>
    <w:rsid w:val="000D00B2"/>
    <w:rsid w:val="000D03A6"/>
    <w:rsid w:val="000D0AF1"/>
    <w:rsid w:val="000D0E3F"/>
    <w:rsid w:val="000D1EA5"/>
    <w:rsid w:val="000D2735"/>
    <w:rsid w:val="000D2DA5"/>
    <w:rsid w:val="000D3877"/>
    <w:rsid w:val="000D5399"/>
    <w:rsid w:val="000D5B49"/>
    <w:rsid w:val="000D5E8F"/>
    <w:rsid w:val="000D6DDA"/>
    <w:rsid w:val="000D7EA8"/>
    <w:rsid w:val="000E0B8C"/>
    <w:rsid w:val="000E1885"/>
    <w:rsid w:val="000E1B7A"/>
    <w:rsid w:val="000E28CB"/>
    <w:rsid w:val="000E30DF"/>
    <w:rsid w:val="000E35A7"/>
    <w:rsid w:val="000E4B5D"/>
    <w:rsid w:val="000E4EB3"/>
    <w:rsid w:val="000E5684"/>
    <w:rsid w:val="000E66B4"/>
    <w:rsid w:val="000E7E01"/>
    <w:rsid w:val="000F0FF2"/>
    <w:rsid w:val="000F371C"/>
    <w:rsid w:val="000F39FF"/>
    <w:rsid w:val="000F41FD"/>
    <w:rsid w:val="000F51BD"/>
    <w:rsid w:val="000F5D03"/>
    <w:rsid w:val="000F5D48"/>
    <w:rsid w:val="00100599"/>
    <w:rsid w:val="00100DF3"/>
    <w:rsid w:val="00101BFB"/>
    <w:rsid w:val="00102E9E"/>
    <w:rsid w:val="00103040"/>
    <w:rsid w:val="00103558"/>
    <w:rsid w:val="001043E7"/>
    <w:rsid w:val="00105222"/>
    <w:rsid w:val="00105ED1"/>
    <w:rsid w:val="0010622F"/>
    <w:rsid w:val="00110280"/>
    <w:rsid w:val="00110938"/>
    <w:rsid w:val="001114E5"/>
    <w:rsid w:val="001122EB"/>
    <w:rsid w:val="00112B1E"/>
    <w:rsid w:val="00112FF2"/>
    <w:rsid w:val="0011304D"/>
    <w:rsid w:val="0011322D"/>
    <w:rsid w:val="001142A9"/>
    <w:rsid w:val="00114B26"/>
    <w:rsid w:val="00114FAC"/>
    <w:rsid w:val="00115077"/>
    <w:rsid w:val="00116E9E"/>
    <w:rsid w:val="001201F7"/>
    <w:rsid w:val="001214C9"/>
    <w:rsid w:val="00122544"/>
    <w:rsid w:val="001225EA"/>
    <w:rsid w:val="00122A02"/>
    <w:rsid w:val="00122DC1"/>
    <w:rsid w:val="00122FD2"/>
    <w:rsid w:val="00124B58"/>
    <w:rsid w:val="001257BB"/>
    <w:rsid w:val="0012611D"/>
    <w:rsid w:val="0012651A"/>
    <w:rsid w:val="00126772"/>
    <w:rsid w:val="00126825"/>
    <w:rsid w:val="00126FC7"/>
    <w:rsid w:val="001272FB"/>
    <w:rsid w:val="00127BC0"/>
    <w:rsid w:val="001301A4"/>
    <w:rsid w:val="00131A5E"/>
    <w:rsid w:val="00131C19"/>
    <w:rsid w:val="001324AE"/>
    <w:rsid w:val="001332E6"/>
    <w:rsid w:val="00133D39"/>
    <w:rsid w:val="00133EB9"/>
    <w:rsid w:val="00134609"/>
    <w:rsid w:val="001377E5"/>
    <w:rsid w:val="001403BC"/>
    <w:rsid w:val="00140A8F"/>
    <w:rsid w:val="00140B4A"/>
    <w:rsid w:val="00141A5E"/>
    <w:rsid w:val="00142460"/>
    <w:rsid w:val="0014251C"/>
    <w:rsid w:val="00144022"/>
    <w:rsid w:val="001441D3"/>
    <w:rsid w:val="00144E40"/>
    <w:rsid w:val="00145095"/>
    <w:rsid w:val="00145379"/>
    <w:rsid w:val="0014552F"/>
    <w:rsid w:val="0014712E"/>
    <w:rsid w:val="001472D5"/>
    <w:rsid w:val="0015055E"/>
    <w:rsid w:val="00151096"/>
    <w:rsid w:val="00151893"/>
    <w:rsid w:val="00152160"/>
    <w:rsid w:val="0015288F"/>
    <w:rsid w:val="001537B6"/>
    <w:rsid w:val="001555AF"/>
    <w:rsid w:val="001565AB"/>
    <w:rsid w:val="0015727E"/>
    <w:rsid w:val="00157DA5"/>
    <w:rsid w:val="00160F60"/>
    <w:rsid w:val="00164684"/>
    <w:rsid w:val="00164F0C"/>
    <w:rsid w:val="00165479"/>
    <w:rsid w:val="0016586C"/>
    <w:rsid w:val="00165870"/>
    <w:rsid w:val="001669E6"/>
    <w:rsid w:val="00170593"/>
    <w:rsid w:val="00170918"/>
    <w:rsid w:val="001712CD"/>
    <w:rsid w:val="00171489"/>
    <w:rsid w:val="001725C9"/>
    <w:rsid w:val="00174220"/>
    <w:rsid w:val="00174F45"/>
    <w:rsid w:val="001754BB"/>
    <w:rsid w:val="00176B36"/>
    <w:rsid w:val="00177690"/>
    <w:rsid w:val="00177AB6"/>
    <w:rsid w:val="00177F2F"/>
    <w:rsid w:val="00177F48"/>
    <w:rsid w:val="00180601"/>
    <w:rsid w:val="00180B36"/>
    <w:rsid w:val="00181344"/>
    <w:rsid w:val="00181D53"/>
    <w:rsid w:val="00182F2B"/>
    <w:rsid w:val="00183249"/>
    <w:rsid w:val="0018382A"/>
    <w:rsid w:val="0018383A"/>
    <w:rsid w:val="001839C6"/>
    <w:rsid w:val="00184DCC"/>
    <w:rsid w:val="00184EAC"/>
    <w:rsid w:val="0018553C"/>
    <w:rsid w:val="0018584D"/>
    <w:rsid w:val="00185D44"/>
    <w:rsid w:val="001861F3"/>
    <w:rsid w:val="00186B58"/>
    <w:rsid w:val="00187291"/>
    <w:rsid w:val="0019079B"/>
    <w:rsid w:val="00190DE7"/>
    <w:rsid w:val="00191BF1"/>
    <w:rsid w:val="00192D67"/>
    <w:rsid w:val="00195D58"/>
    <w:rsid w:val="00196419"/>
    <w:rsid w:val="001A0235"/>
    <w:rsid w:val="001A1D8D"/>
    <w:rsid w:val="001A1E02"/>
    <w:rsid w:val="001A266D"/>
    <w:rsid w:val="001A33B0"/>
    <w:rsid w:val="001A4EAC"/>
    <w:rsid w:val="001A5E21"/>
    <w:rsid w:val="001A75DA"/>
    <w:rsid w:val="001B025D"/>
    <w:rsid w:val="001B1577"/>
    <w:rsid w:val="001B1E62"/>
    <w:rsid w:val="001B3187"/>
    <w:rsid w:val="001B3255"/>
    <w:rsid w:val="001B3E89"/>
    <w:rsid w:val="001B423A"/>
    <w:rsid w:val="001B46C1"/>
    <w:rsid w:val="001B519B"/>
    <w:rsid w:val="001B6111"/>
    <w:rsid w:val="001B62DB"/>
    <w:rsid w:val="001B6B9C"/>
    <w:rsid w:val="001B6CD2"/>
    <w:rsid w:val="001B7CE6"/>
    <w:rsid w:val="001B7E08"/>
    <w:rsid w:val="001B7E66"/>
    <w:rsid w:val="001C051E"/>
    <w:rsid w:val="001C07C5"/>
    <w:rsid w:val="001C0851"/>
    <w:rsid w:val="001C0EC6"/>
    <w:rsid w:val="001C1A04"/>
    <w:rsid w:val="001C39FA"/>
    <w:rsid w:val="001C3F57"/>
    <w:rsid w:val="001C3FE1"/>
    <w:rsid w:val="001C4203"/>
    <w:rsid w:val="001C436D"/>
    <w:rsid w:val="001C5C3F"/>
    <w:rsid w:val="001C5D37"/>
    <w:rsid w:val="001C64F2"/>
    <w:rsid w:val="001C77E4"/>
    <w:rsid w:val="001C7A68"/>
    <w:rsid w:val="001C7C03"/>
    <w:rsid w:val="001C7CE7"/>
    <w:rsid w:val="001D0FF5"/>
    <w:rsid w:val="001D1540"/>
    <w:rsid w:val="001D271A"/>
    <w:rsid w:val="001D2769"/>
    <w:rsid w:val="001D364F"/>
    <w:rsid w:val="001D40CC"/>
    <w:rsid w:val="001D6AC1"/>
    <w:rsid w:val="001D6BBC"/>
    <w:rsid w:val="001D6C2F"/>
    <w:rsid w:val="001D6EDC"/>
    <w:rsid w:val="001E06A9"/>
    <w:rsid w:val="001E1071"/>
    <w:rsid w:val="001E10B1"/>
    <w:rsid w:val="001E1986"/>
    <w:rsid w:val="001E1C6A"/>
    <w:rsid w:val="001E1DCC"/>
    <w:rsid w:val="001E2AB6"/>
    <w:rsid w:val="001E35FF"/>
    <w:rsid w:val="001E3643"/>
    <w:rsid w:val="001E4271"/>
    <w:rsid w:val="001E4900"/>
    <w:rsid w:val="001E748F"/>
    <w:rsid w:val="001F0662"/>
    <w:rsid w:val="001F2B10"/>
    <w:rsid w:val="001F3210"/>
    <w:rsid w:val="001F354B"/>
    <w:rsid w:val="001F3AB4"/>
    <w:rsid w:val="001F3DB6"/>
    <w:rsid w:val="001F541C"/>
    <w:rsid w:val="001F5D4A"/>
    <w:rsid w:val="001F6672"/>
    <w:rsid w:val="00200A79"/>
    <w:rsid w:val="00200FA4"/>
    <w:rsid w:val="00203E24"/>
    <w:rsid w:val="002043D1"/>
    <w:rsid w:val="00204564"/>
    <w:rsid w:val="0020465D"/>
    <w:rsid w:val="00204716"/>
    <w:rsid w:val="0020526A"/>
    <w:rsid w:val="0020552B"/>
    <w:rsid w:val="00205598"/>
    <w:rsid w:val="0020669A"/>
    <w:rsid w:val="00206AE9"/>
    <w:rsid w:val="00206E03"/>
    <w:rsid w:val="00207263"/>
    <w:rsid w:val="0020744F"/>
    <w:rsid w:val="00210824"/>
    <w:rsid w:val="0021147B"/>
    <w:rsid w:val="00211CE3"/>
    <w:rsid w:val="00213865"/>
    <w:rsid w:val="0021455B"/>
    <w:rsid w:val="0021499A"/>
    <w:rsid w:val="00215649"/>
    <w:rsid w:val="002163DA"/>
    <w:rsid w:val="002166DC"/>
    <w:rsid w:val="002167E9"/>
    <w:rsid w:val="00216849"/>
    <w:rsid w:val="00216BDB"/>
    <w:rsid w:val="00220616"/>
    <w:rsid w:val="002209DF"/>
    <w:rsid w:val="00220F6D"/>
    <w:rsid w:val="00220FBF"/>
    <w:rsid w:val="0022135A"/>
    <w:rsid w:val="002221AB"/>
    <w:rsid w:val="002226AF"/>
    <w:rsid w:val="00222D4E"/>
    <w:rsid w:val="002239E2"/>
    <w:rsid w:val="00223BAC"/>
    <w:rsid w:val="0022453C"/>
    <w:rsid w:val="0022520F"/>
    <w:rsid w:val="00225375"/>
    <w:rsid w:val="00226D6C"/>
    <w:rsid w:val="002274FF"/>
    <w:rsid w:val="0022789C"/>
    <w:rsid w:val="00227A30"/>
    <w:rsid w:val="0023004F"/>
    <w:rsid w:val="00230CEF"/>
    <w:rsid w:val="002315AC"/>
    <w:rsid w:val="00232ACB"/>
    <w:rsid w:val="00233433"/>
    <w:rsid w:val="00233572"/>
    <w:rsid w:val="0023390F"/>
    <w:rsid w:val="002350E6"/>
    <w:rsid w:val="00235671"/>
    <w:rsid w:val="00235B63"/>
    <w:rsid w:val="00236783"/>
    <w:rsid w:val="002378F2"/>
    <w:rsid w:val="00241BCB"/>
    <w:rsid w:val="00242E9E"/>
    <w:rsid w:val="00245464"/>
    <w:rsid w:val="0025017A"/>
    <w:rsid w:val="0025069B"/>
    <w:rsid w:val="00250E71"/>
    <w:rsid w:val="002511DA"/>
    <w:rsid w:val="00251EC9"/>
    <w:rsid w:val="00252326"/>
    <w:rsid w:val="002536F4"/>
    <w:rsid w:val="00253F84"/>
    <w:rsid w:val="00254744"/>
    <w:rsid w:val="00255365"/>
    <w:rsid w:val="002553AD"/>
    <w:rsid w:val="002576AE"/>
    <w:rsid w:val="00257A16"/>
    <w:rsid w:val="00260D1A"/>
    <w:rsid w:val="00261702"/>
    <w:rsid w:val="00261D54"/>
    <w:rsid w:val="00261E52"/>
    <w:rsid w:val="00262FCA"/>
    <w:rsid w:val="00263564"/>
    <w:rsid w:val="00264559"/>
    <w:rsid w:val="00265737"/>
    <w:rsid w:val="00266F36"/>
    <w:rsid w:val="00267885"/>
    <w:rsid w:val="00267938"/>
    <w:rsid w:val="00273889"/>
    <w:rsid w:val="002777AD"/>
    <w:rsid w:val="002808C9"/>
    <w:rsid w:val="00280D0E"/>
    <w:rsid w:val="00281BBA"/>
    <w:rsid w:val="00282B8D"/>
    <w:rsid w:val="00284AA2"/>
    <w:rsid w:val="00284BD6"/>
    <w:rsid w:val="00284C45"/>
    <w:rsid w:val="00284F28"/>
    <w:rsid w:val="0028623B"/>
    <w:rsid w:val="00286659"/>
    <w:rsid w:val="0028675D"/>
    <w:rsid w:val="00286BA7"/>
    <w:rsid w:val="002870F0"/>
    <w:rsid w:val="002877E5"/>
    <w:rsid w:val="00287EE3"/>
    <w:rsid w:val="002904A9"/>
    <w:rsid w:val="002905F5"/>
    <w:rsid w:val="00290607"/>
    <w:rsid w:val="002907CC"/>
    <w:rsid w:val="00290B26"/>
    <w:rsid w:val="002910BC"/>
    <w:rsid w:val="002911E6"/>
    <w:rsid w:val="002914CA"/>
    <w:rsid w:val="002915AB"/>
    <w:rsid w:val="002922DD"/>
    <w:rsid w:val="002927F4"/>
    <w:rsid w:val="002928EA"/>
    <w:rsid w:val="00293338"/>
    <w:rsid w:val="00293524"/>
    <w:rsid w:val="002937EA"/>
    <w:rsid w:val="00293E70"/>
    <w:rsid w:val="0029401F"/>
    <w:rsid w:val="002944CA"/>
    <w:rsid w:val="002948F9"/>
    <w:rsid w:val="00295166"/>
    <w:rsid w:val="00295E64"/>
    <w:rsid w:val="00296F35"/>
    <w:rsid w:val="002977BC"/>
    <w:rsid w:val="002A0779"/>
    <w:rsid w:val="002A1740"/>
    <w:rsid w:val="002A1A37"/>
    <w:rsid w:val="002A20C9"/>
    <w:rsid w:val="002A2315"/>
    <w:rsid w:val="002A3F9D"/>
    <w:rsid w:val="002A4486"/>
    <w:rsid w:val="002A4A97"/>
    <w:rsid w:val="002A72F4"/>
    <w:rsid w:val="002B1086"/>
    <w:rsid w:val="002B1B82"/>
    <w:rsid w:val="002B2020"/>
    <w:rsid w:val="002B43E6"/>
    <w:rsid w:val="002B4CEF"/>
    <w:rsid w:val="002B5BD8"/>
    <w:rsid w:val="002B5CC2"/>
    <w:rsid w:val="002B7358"/>
    <w:rsid w:val="002B7442"/>
    <w:rsid w:val="002C013C"/>
    <w:rsid w:val="002C02A1"/>
    <w:rsid w:val="002C1603"/>
    <w:rsid w:val="002C160C"/>
    <w:rsid w:val="002C1C24"/>
    <w:rsid w:val="002C24EF"/>
    <w:rsid w:val="002C27F9"/>
    <w:rsid w:val="002C29D9"/>
    <w:rsid w:val="002C31AB"/>
    <w:rsid w:val="002C342A"/>
    <w:rsid w:val="002C43F9"/>
    <w:rsid w:val="002C4457"/>
    <w:rsid w:val="002C5709"/>
    <w:rsid w:val="002C5DB8"/>
    <w:rsid w:val="002C65C6"/>
    <w:rsid w:val="002C6A17"/>
    <w:rsid w:val="002C6CA4"/>
    <w:rsid w:val="002C6EEB"/>
    <w:rsid w:val="002C76FE"/>
    <w:rsid w:val="002C7ECC"/>
    <w:rsid w:val="002D0861"/>
    <w:rsid w:val="002D1FC4"/>
    <w:rsid w:val="002D3E86"/>
    <w:rsid w:val="002D4671"/>
    <w:rsid w:val="002D50B8"/>
    <w:rsid w:val="002D522E"/>
    <w:rsid w:val="002D5CB8"/>
    <w:rsid w:val="002D72F3"/>
    <w:rsid w:val="002E0290"/>
    <w:rsid w:val="002E1F2D"/>
    <w:rsid w:val="002E261E"/>
    <w:rsid w:val="002E26FB"/>
    <w:rsid w:val="002E2C18"/>
    <w:rsid w:val="002E2FF5"/>
    <w:rsid w:val="002E5C4C"/>
    <w:rsid w:val="002E5E1A"/>
    <w:rsid w:val="002E5F30"/>
    <w:rsid w:val="002E600C"/>
    <w:rsid w:val="002E67C3"/>
    <w:rsid w:val="002E6965"/>
    <w:rsid w:val="002E756A"/>
    <w:rsid w:val="002F04C1"/>
    <w:rsid w:val="002F13D9"/>
    <w:rsid w:val="002F1CF5"/>
    <w:rsid w:val="002F2AD3"/>
    <w:rsid w:val="002F5201"/>
    <w:rsid w:val="002F5BE6"/>
    <w:rsid w:val="002F6154"/>
    <w:rsid w:val="002F6964"/>
    <w:rsid w:val="002F6E38"/>
    <w:rsid w:val="003000A4"/>
    <w:rsid w:val="00300AE9"/>
    <w:rsid w:val="0030115D"/>
    <w:rsid w:val="003041E4"/>
    <w:rsid w:val="00304299"/>
    <w:rsid w:val="003054A0"/>
    <w:rsid w:val="003058FA"/>
    <w:rsid w:val="00306390"/>
    <w:rsid w:val="00306AB8"/>
    <w:rsid w:val="00307758"/>
    <w:rsid w:val="00310776"/>
    <w:rsid w:val="0031085A"/>
    <w:rsid w:val="0031234F"/>
    <w:rsid w:val="0031260E"/>
    <w:rsid w:val="0031266C"/>
    <w:rsid w:val="00313630"/>
    <w:rsid w:val="00313CC3"/>
    <w:rsid w:val="0031404C"/>
    <w:rsid w:val="003144F4"/>
    <w:rsid w:val="003155B3"/>
    <w:rsid w:val="0031575C"/>
    <w:rsid w:val="00316AEA"/>
    <w:rsid w:val="00317DF1"/>
    <w:rsid w:val="00317E77"/>
    <w:rsid w:val="00322EE6"/>
    <w:rsid w:val="00323FE4"/>
    <w:rsid w:val="003248A1"/>
    <w:rsid w:val="00324F2F"/>
    <w:rsid w:val="00325CD5"/>
    <w:rsid w:val="003266AB"/>
    <w:rsid w:val="00326C2C"/>
    <w:rsid w:val="00326C3C"/>
    <w:rsid w:val="00330405"/>
    <w:rsid w:val="0033064C"/>
    <w:rsid w:val="0033073D"/>
    <w:rsid w:val="00332244"/>
    <w:rsid w:val="00333D8C"/>
    <w:rsid w:val="00334932"/>
    <w:rsid w:val="00334B57"/>
    <w:rsid w:val="00335B23"/>
    <w:rsid w:val="00336D86"/>
    <w:rsid w:val="00337CED"/>
    <w:rsid w:val="003400F7"/>
    <w:rsid w:val="0034085B"/>
    <w:rsid w:val="00340BC9"/>
    <w:rsid w:val="00340CC0"/>
    <w:rsid w:val="003417F2"/>
    <w:rsid w:val="003419BD"/>
    <w:rsid w:val="003425E6"/>
    <w:rsid w:val="003431B5"/>
    <w:rsid w:val="00343D7B"/>
    <w:rsid w:val="00344E19"/>
    <w:rsid w:val="0034764A"/>
    <w:rsid w:val="00347895"/>
    <w:rsid w:val="00350576"/>
    <w:rsid w:val="003505B1"/>
    <w:rsid w:val="00351071"/>
    <w:rsid w:val="0035118A"/>
    <w:rsid w:val="00351763"/>
    <w:rsid w:val="00351796"/>
    <w:rsid w:val="00351AA9"/>
    <w:rsid w:val="0035273D"/>
    <w:rsid w:val="003529B2"/>
    <w:rsid w:val="00353C38"/>
    <w:rsid w:val="003546C3"/>
    <w:rsid w:val="00354792"/>
    <w:rsid w:val="00355065"/>
    <w:rsid w:val="00355E02"/>
    <w:rsid w:val="00356038"/>
    <w:rsid w:val="003563A3"/>
    <w:rsid w:val="003563AF"/>
    <w:rsid w:val="00357C59"/>
    <w:rsid w:val="00357D7A"/>
    <w:rsid w:val="00360835"/>
    <w:rsid w:val="00360B20"/>
    <w:rsid w:val="0036107A"/>
    <w:rsid w:val="00361921"/>
    <w:rsid w:val="003639B9"/>
    <w:rsid w:val="00363A6A"/>
    <w:rsid w:val="00363B4F"/>
    <w:rsid w:val="00364828"/>
    <w:rsid w:val="00364A95"/>
    <w:rsid w:val="0036610C"/>
    <w:rsid w:val="00367F44"/>
    <w:rsid w:val="00372481"/>
    <w:rsid w:val="00373315"/>
    <w:rsid w:val="0037342F"/>
    <w:rsid w:val="00373971"/>
    <w:rsid w:val="00373DFE"/>
    <w:rsid w:val="00374C1D"/>
    <w:rsid w:val="00374F70"/>
    <w:rsid w:val="00375221"/>
    <w:rsid w:val="0037569D"/>
    <w:rsid w:val="00375B9C"/>
    <w:rsid w:val="00377EF9"/>
    <w:rsid w:val="00380945"/>
    <w:rsid w:val="00381C06"/>
    <w:rsid w:val="00381F3F"/>
    <w:rsid w:val="00381FB3"/>
    <w:rsid w:val="0038203E"/>
    <w:rsid w:val="00382539"/>
    <w:rsid w:val="003830FF"/>
    <w:rsid w:val="0038352D"/>
    <w:rsid w:val="0038714B"/>
    <w:rsid w:val="003877F1"/>
    <w:rsid w:val="00390582"/>
    <w:rsid w:val="00393CBE"/>
    <w:rsid w:val="00394670"/>
    <w:rsid w:val="0039560D"/>
    <w:rsid w:val="003960AA"/>
    <w:rsid w:val="00397266"/>
    <w:rsid w:val="00397344"/>
    <w:rsid w:val="003A1407"/>
    <w:rsid w:val="003A214C"/>
    <w:rsid w:val="003A2B16"/>
    <w:rsid w:val="003A2D17"/>
    <w:rsid w:val="003A324C"/>
    <w:rsid w:val="003A44CD"/>
    <w:rsid w:val="003A46D0"/>
    <w:rsid w:val="003A4A59"/>
    <w:rsid w:val="003A647C"/>
    <w:rsid w:val="003A671E"/>
    <w:rsid w:val="003A6DA2"/>
    <w:rsid w:val="003A7FD3"/>
    <w:rsid w:val="003B0DA1"/>
    <w:rsid w:val="003B19C4"/>
    <w:rsid w:val="003B30F7"/>
    <w:rsid w:val="003B31BD"/>
    <w:rsid w:val="003B3557"/>
    <w:rsid w:val="003B3A3C"/>
    <w:rsid w:val="003B42B3"/>
    <w:rsid w:val="003B4386"/>
    <w:rsid w:val="003B4ABD"/>
    <w:rsid w:val="003B5F01"/>
    <w:rsid w:val="003B673A"/>
    <w:rsid w:val="003C0E8E"/>
    <w:rsid w:val="003C2255"/>
    <w:rsid w:val="003C2B00"/>
    <w:rsid w:val="003C3BE8"/>
    <w:rsid w:val="003C571A"/>
    <w:rsid w:val="003C5EE9"/>
    <w:rsid w:val="003C6C9B"/>
    <w:rsid w:val="003C77E2"/>
    <w:rsid w:val="003D0BBF"/>
    <w:rsid w:val="003D15DC"/>
    <w:rsid w:val="003D1767"/>
    <w:rsid w:val="003D1F00"/>
    <w:rsid w:val="003D35BF"/>
    <w:rsid w:val="003D4069"/>
    <w:rsid w:val="003D6450"/>
    <w:rsid w:val="003D6778"/>
    <w:rsid w:val="003D6C7C"/>
    <w:rsid w:val="003D6CA2"/>
    <w:rsid w:val="003D7ABB"/>
    <w:rsid w:val="003E0DB0"/>
    <w:rsid w:val="003E0E30"/>
    <w:rsid w:val="003E128C"/>
    <w:rsid w:val="003E31C9"/>
    <w:rsid w:val="003E4AD7"/>
    <w:rsid w:val="003E4D38"/>
    <w:rsid w:val="003E4EA5"/>
    <w:rsid w:val="003E5496"/>
    <w:rsid w:val="003E56AB"/>
    <w:rsid w:val="003F023A"/>
    <w:rsid w:val="003F06F9"/>
    <w:rsid w:val="003F07E1"/>
    <w:rsid w:val="003F42BE"/>
    <w:rsid w:val="003F69C6"/>
    <w:rsid w:val="003F6D60"/>
    <w:rsid w:val="004005BA"/>
    <w:rsid w:val="00400776"/>
    <w:rsid w:val="00401B67"/>
    <w:rsid w:val="004021B6"/>
    <w:rsid w:val="00402404"/>
    <w:rsid w:val="0040289D"/>
    <w:rsid w:val="00402B54"/>
    <w:rsid w:val="00403616"/>
    <w:rsid w:val="00404D14"/>
    <w:rsid w:val="004053E1"/>
    <w:rsid w:val="00405FC1"/>
    <w:rsid w:val="00407B5F"/>
    <w:rsid w:val="00411B61"/>
    <w:rsid w:val="00411B6F"/>
    <w:rsid w:val="00411CB3"/>
    <w:rsid w:val="00411CEA"/>
    <w:rsid w:val="004125E5"/>
    <w:rsid w:val="00412D98"/>
    <w:rsid w:val="0041355E"/>
    <w:rsid w:val="0041572B"/>
    <w:rsid w:val="00416F2C"/>
    <w:rsid w:val="0041718D"/>
    <w:rsid w:val="004173D6"/>
    <w:rsid w:val="004179A8"/>
    <w:rsid w:val="00417E41"/>
    <w:rsid w:val="0042018F"/>
    <w:rsid w:val="00420D6B"/>
    <w:rsid w:val="00421A86"/>
    <w:rsid w:val="00422081"/>
    <w:rsid w:val="00424B80"/>
    <w:rsid w:val="00425356"/>
    <w:rsid w:val="0042562A"/>
    <w:rsid w:val="004256DE"/>
    <w:rsid w:val="00425998"/>
    <w:rsid w:val="004269E7"/>
    <w:rsid w:val="00426BC3"/>
    <w:rsid w:val="0042701C"/>
    <w:rsid w:val="00427038"/>
    <w:rsid w:val="0042704B"/>
    <w:rsid w:val="0043029C"/>
    <w:rsid w:val="00430D6C"/>
    <w:rsid w:val="00430F54"/>
    <w:rsid w:val="0043247C"/>
    <w:rsid w:val="00432680"/>
    <w:rsid w:val="00432952"/>
    <w:rsid w:val="00432959"/>
    <w:rsid w:val="00432A08"/>
    <w:rsid w:val="00435387"/>
    <w:rsid w:val="0043540E"/>
    <w:rsid w:val="00436C7A"/>
    <w:rsid w:val="00436F08"/>
    <w:rsid w:val="00437322"/>
    <w:rsid w:val="00437351"/>
    <w:rsid w:val="00437F16"/>
    <w:rsid w:val="00442070"/>
    <w:rsid w:val="0044228A"/>
    <w:rsid w:val="00442998"/>
    <w:rsid w:val="00443357"/>
    <w:rsid w:val="004435A8"/>
    <w:rsid w:val="004435F5"/>
    <w:rsid w:val="00443BE4"/>
    <w:rsid w:val="00443EAC"/>
    <w:rsid w:val="004448BB"/>
    <w:rsid w:val="00445753"/>
    <w:rsid w:val="00445887"/>
    <w:rsid w:val="00446739"/>
    <w:rsid w:val="00447432"/>
    <w:rsid w:val="00447662"/>
    <w:rsid w:val="00447B9D"/>
    <w:rsid w:val="00447CF1"/>
    <w:rsid w:val="00451559"/>
    <w:rsid w:val="004524CC"/>
    <w:rsid w:val="00452C48"/>
    <w:rsid w:val="00454F2E"/>
    <w:rsid w:val="0045572E"/>
    <w:rsid w:val="0045749B"/>
    <w:rsid w:val="004601E3"/>
    <w:rsid w:val="00461A4B"/>
    <w:rsid w:val="00461B87"/>
    <w:rsid w:val="00462EEE"/>
    <w:rsid w:val="0046376E"/>
    <w:rsid w:val="004647B4"/>
    <w:rsid w:val="00464BA5"/>
    <w:rsid w:val="00464D83"/>
    <w:rsid w:val="004661F1"/>
    <w:rsid w:val="004672AB"/>
    <w:rsid w:val="00472CBE"/>
    <w:rsid w:val="004734CE"/>
    <w:rsid w:val="004738F8"/>
    <w:rsid w:val="004754F0"/>
    <w:rsid w:val="00475717"/>
    <w:rsid w:val="00475C74"/>
    <w:rsid w:val="00476257"/>
    <w:rsid w:val="00476E2A"/>
    <w:rsid w:val="0048041C"/>
    <w:rsid w:val="00480520"/>
    <w:rsid w:val="004806AE"/>
    <w:rsid w:val="00480894"/>
    <w:rsid w:val="00480CBB"/>
    <w:rsid w:val="00480CE6"/>
    <w:rsid w:val="0048154A"/>
    <w:rsid w:val="00483867"/>
    <w:rsid w:val="0048410F"/>
    <w:rsid w:val="004851F2"/>
    <w:rsid w:val="00485B4D"/>
    <w:rsid w:val="00486095"/>
    <w:rsid w:val="004860EB"/>
    <w:rsid w:val="004874AA"/>
    <w:rsid w:val="00487856"/>
    <w:rsid w:val="004904D1"/>
    <w:rsid w:val="004929A4"/>
    <w:rsid w:val="00492EC5"/>
    <w:rsid w:val="00493AC7"/>
    <w:rsid w:val="00493BA7"/>
    <w:rsid w:val="00495AB6"/>
    <w:rsid w:val="00496C37"/>
    <w:rsid w:val="00497177"/>
    <w:rsid w:val="004A1288"/>
    <w:rsid w:val="004A1384"/>
    <w:rsid w:val="004A1D52"/>
    <w:rsid w:val="004A25DC"/>
    <w:rsid w:val="004A2838"/>
    <w:rsid w:val="004A2A9B"/>
    <w:rsid w:val="004A3593"/>
    <w:rsid w:val="004A37E5"/>
    <w:rsid w:val="004A3BD5"/>
    <w:rsid w:val="004A49C0"/>
    <w:rsid w:val="004A4C2F"/>
    <w:rsid w:val="004A5161"/>
    <w:rsid w:val="004A5704"/>
    <w:rsid w:val="004A60BE"/>
    <w:rsid w:val="004A655E"/>
    <w:rsid w:val="004A6C5F"/>
    <w:rsid w:val="004B0A2A"/>
    <w:rsid w:val="004B0ABB"/>
    <w:rsid w:val="004B14CC"/>
    <w:rsid w:val="004B1B0F"/>
    <w:rsid w:val="004B25D1"/>
    <w:rsid w:val="004B327E"/>
    <w:rsid w:val="004B4097"/>
    <w:rsid w:val="004B5316"/>
    <w:rsid w:val="004B710F"/>
    <w:rsid w:val="004B7E9B"/>
    <w:rsid w:val="004C05E5"/>
    <w:rsid w:val="004C16A8"/>
    <w:rsid w:val="004C2259"/>
    <w:rsid w:val="004C2A65"/>
    <w:rsid w:val="004C32C9"/>
    <w:rsid w:val="004C3426"/>
    <w:rsid w:val="004C4FC3"/>
    <w:rsid w:val="004C5074"/>
    <w:rsid w:val="004C593F"/>
    <w:rsid w:val="004D007F"/>
    <w:rsid w:val="004D0569"/>
    <w:rsid w:val="004D10DB"/>
    <w:rsid w:val="004D131A"/>
    <w:rsid w:val="004D1419"/>
    <w:rsid w:val="004D1530"/>
    <w:rsid w:val="004D20EF"/>
    <w:rsid w:val="004D2A56"/>
    <w:rsid w:val="004D2AC4"/>
    <w:rsid w:val="004D2EAF"/>
    <w:rsid w:val="004D2EE9"/>
    <w:rsid w:val="004D3206"/>
    <w:rsid w:val="004D5526"/>
    <w:rsid w:val="004D552C"/>
    <w:rsid w:val="004D5A79"/>
    <w:rsid w:val="004D606C"/>
    <w:rsid w:val="004D7F9D"/>
    <w:rsid w:val="004E0595"/>
    <w:rsid w:val="004E131D"/>
    <w:rsid w:val="004E2199"/>
    <w:rsid w:val="004E2298"/>
    <w:rsid w:val="004E3FF6"/>
    <w:rsid w:val="004E5313"/>
    <w:rsid w:val="004E5C72"/>
    <w:rsid w:val="004E6BE0"/>
    <w:rsid w:val="004E703D"/>
    <w:rsid w:val="004E7604"/>
    <w:rsid w:val="004E7F0D"/>
    <w:rsid w:val="004F0ABF"/>
    <w:rsid w:val="004F0DEA"/>
    <w:rsid w:val="004F0EF8"/>
    <w:rsid w:val="004F2707"/>
    <w:rsid w:val="004F3B3C"/>
    <w:rsid w:val="004F451A"/>
    <w:rsid w:val="004F473D"/>
    <w:rsid w:val="004F5731"/>
    <w:rsid w:val="004F633E"/>
    <w:rsid w:val="004F72EC"/>
    <w:rsid w:val="004F74B3"/>
    <w:rsid w:val="00500882"/>
    <w:rsid w:val="005009BE"/>
    <w:rsid w:val="00503112"/>
    <w:rsid w:val="0050336E"/>
    <w:rsid w:val="00505BFC"/>
    <w:rsid w:val="0050733A"/>
    <w:rsid w:val="00507713"/>
    <w:rsid w:val="00507724"/>
    <w:rsid w:val="00510825"/>
    <w:rsid w:val="00510BFF"/>
    <w:rsid w:val="00511128"/>
    <w:rsid w:val="0051158E"/>
    <w:rsid w:val="00512368"/>
    <w:rsid w:val="005137C2"/>
    <w:rsid w:val="005155ED"/>
    <w:rsid w:val="00515AFB"/>
    <w:rsid w:val="00516400"/>
    <w:rsid w:val="00517050"/>
    <w:rsid w:val="00517411"/>
    <w:rsid w:val="005206F4"/>
    <w:rsid w:val="00520BF4"/>
    <w:rsid w:val="00521715"/>
    <w:rsid w:val="00521AF0"/>
    <w:rsid w:val="005227F9"/>
    <w:rsid w:val="00522F8E"/>
    <w:rsid w:val="005231CC"/>
    <w:rsid w:val="005237E1"/>
    <w:rsid w:val="005240DF"/>
    <w:rsid w:val="00524EBD"/>
    <w:rsid w:val="00525419"/>
    <w:rsid w:val="0052717C"/>
    <w:rsid w:val="00530EF4"/>
    <w:rsid w:val="00532532"/>
    <w:rsid w:val="005329B1"/>
    <w:rsid w:val="00532C38"/>
    <w:rsid w:val="00533136"/>
    <w:rsid w:val="00534C22"/>
    <w:rsid w:val="00535993"/>
    <w:rsid w:val="0053625D"/>
    <w:rsid w:val="005365D1"/>
    <w:rsid w:val="005375FF"/>
    <w:rsid w:val="00540756"/>
    <w:rsid w:val="00541085"/>
    <w:rsid w:val="00541F2A"/>
    <w:rsid w:val="005420DA"/>
    <w:rsid w:val="00542C95"/>
    <w:rsid w:val="0054334D"/>
    <w:rsid w:val="0054372A"/>
    <w:rsid w:val="005445B2"/>
    <w:rsid w:val="00544DF0"/>
    <w:rsid w:val="00545936"/>
    <w:rsid w:val="00547F1D"/>
    <w:rsid w:val="00550F36"/>
    <w:rsid w:val="00551590"/>
    <w:rsid w:val="005516B8"/>
    <w:rsid w:val="005517D9"/>
    <w:rsid w:val="00551DE4"/>
    <w:rsid w:val="00553542"/>
    <w:rsid w:val="00553784"/>
    <w:rsid w:val="00555273"/>
    <w:rsid w:val="00555C49"/>
    <w:rsid w:val="00556058"/>
    <w:rsid w:val="0055633C"/>
    <w:rsid w:val="00556559"/>
    <w:rsid w:val="00557E27"/>
    <w:rsid w:val="00557FA1"/>
    <w:rsid w:val="00560B4B"/>
    <w:rsid w:val="0056259A"/>
    <w:rsid w:val="00562665"/>
    <w:rsid w:val="00562680"/>
    <w:rsid w:val="0056332E"/>
    <w:rsid w:val="00564859"/>
    <w:rsid w:val="005652C0"/>
    <w:rsid w:val="0056535E"/>
    <w:rsid w:val="005654DA"/>
    <w:rsid w:val="005657E1"/>
    <w:rsid w:val="00565BD9"/>
    <w:rsid w:val="0056636D"/>
    <w:rsid w:val="005665D6"/>
    <w:rsid w:val="00570081"/>
    <w:rsid w:val="00570469"/>
    <w:rsid w:val="005708C5"/>
    <w:rsid w:val="00571AA3"/>
    <w:rsid w:val="005724ED"/>
    <w:rsid w:val="00573624"/>
    <w:rsid w:val="005741B8"/>
    <w:rsid w:val="005746A4"/>
    <w:rsid w:val="00574980"/>
    <w:rsid w:val="0057593C"/>
    <w:rsid w:val="0057751F"/>
    <w:rsid w:val="00577B18"/>
    <w:rsid w:val="00577E24"/>
    <w:rsid w:val="005809B7"/>
    <w:rsid w:val="00580A2A"/>
    <w:rsid w:val="00581861"/>
    <w:rsid w:val="00582011"/>
    <w:rsid w:val="00582248"/>
    <w:rsid w:val="005847A8"/>
    <w:rsid w:val="00585BA6"/>
    <w:rsid w:val="00586FF9"/>
    <w:rsid w:val="00590968"/>
    <w:rsid w:val="00590E0E"/>
    <w:rsid w:val="00593039"/>
    <w:rsid w:val="00593DF2"/>
    <w:rsid w:val="00593EA6"/>
    <w:rsid w:val="00594DFE"/>
    <w:rsid w:val="0059502B"/>
    <w:rsid w:val="0059612E"/>
    <w:rsid w:val="0059629D"/>
    <w:rsid w:val="0059695B"/>
    <w:rsid w:val="00596C53"/>
    <w:rsid w:val="00596CB8"/>
    <w:rsid w:val="00596FFE"/>
    <w:rsid w:val="00597004"/>
    <w:rsid w:val="00597087"/>
    <w:rsid w:val="005A1029"/>
    <w:rsid w:val="005A11B6"/>
    <w:rsid w:val="005A1D09"/>
    <w:rsid w:val="005A2F10"/>
    <w:rsid w:val="005A3DFC"/>
    <w:rsid w:val="005A41FF"/>
    <w:rsid w:val="005A450A"/>
    <w:rsid w:val="005A458C"/>
    <w:rsid w:val="005A4A80"/>
    <w:rsid w:val="005A5364"/>
    <w:rsid w:val="005A6CF6"/>
    <w:rsid w:val="005A722C"/>
    <w:rsid w:val="005B0153"/>
    <w:rsid w:val="005B0F0C"/>
    <w:rsid w:val="005B29D3"/>
    <w:rsid w:val="005B34D0"/>
    <w:rsid w:val="005B3540"/>
    <w:rsid w:val="005B3693"/>
    <w:rsid w:val="005B4315"/>
    <w:rsid w:val="005B59E3"/>
    <w:rsid w:val="005B71A2"/>
    <w:rsid w:val="005B72D1"/>
    <w:rsid w:val="005C04CC"/>
    <w:rsid w:val="005C05CC"/>
    <w:rsid w:val="005C4630"/>
    <w:rsid w:val="005C492D"/>
    <w:rsid w:val="005C4A57"/>
    <w:rsid w:val="005C532B"/>
    <w:rsid w:val="005C59C8"/>
    <w:rsid w:val="005D0931"/>
    <w:rsid w:val="005D0B97"/>
    <w:rsid w:val="005D1D24"/>
    <w:rsid w:val="005D2885"/>
    <w:rsid w:val="005D2A24"/>
    <w:rsid w:val="005D2A50"/>
    <w:rsid w:val="005D3B00"/>
    <w:rsid w:val="005D54CD"/>
    <w:rsid w:val="005D5D1A"/>
    <w:rsid w:val="005D648B"/>
    <w:rsid w:val="005D68AB"/>
    <w:rsid w:val="005D723B"/>
    <w:rsid w:val="005E13C1"/>
    <w:rsid w:val="005E1576"/>
    <w:rsid w:val="005E171A"/>
    <w:rsid w:val="005E2047"/>
    <w:rsid w:val="005E2E8F"/>
    <w:rsid w:val="005E3D60"/>
    <w:rsid w:val="005E43FF"/>
    <w:rsid w:val="005E5179"/>
    <w:rsid w:val="005E5199"/>
    <w:rsid w:val="005E6C4D"/>
    <w:rsid w:val="005E710F"/>
    <w:rsid w:val="005F0946"/>
    <w:rsid w:val="005F1489"/>
    <w:rsid w:val="005F26AB"/>
    <w:rsid w:val="005F2816"/>
    <w:rsid w:val="005F2E84"/>
    <w:rsid w:val="005F3A8E"/>
    <w:rsid w:val="005F3AE5"/>
    <w:rsid w:val="005F53E4"/>
    <w:rsid w:val="005F673E"/>
    <w:rsid w:val="005F71CE"/>
    <w:rsid w:val="005F7517"/>
    <w:rsid w:val="006008FF"/>
    <w:rsid w:val="00600E7E"/>
    <w:rsid w:val="00601196"/>
    <w:rsid w:val="00601B8B"/>
    <w:rsid w:val="00602EF4"/>
    <w:rsid w:val="00603294"/>
    <w:rsid w:val="006041AA"/>
    <w:rsid w:val="0060427C"/>
    <w:rsid w:val="006045E4"/>
    <w:rsid w:val="0060471B"/>
    <w:rsid w:val="006059E3"/>
    <w:rsid w:val="00606B10"/>
    <w:rsid w:val="00610B22"/>
    <w:rsid w:val="0061173E"/>
    <w:rsid w:val="00611744"/>
    <w:rsid w:val="006119AD"/>
    <w:rsid w:val="006122CB"/>
    <w:rsid w:val="00613385"/>
    <w:rsid w:val="00613731"/>
    <w:rsid w:val="00614415"/>
    <w:rsid w:val="00614448"/>
    <w:rsid w:val="00614782"/>
    <w:rsid w:val="00614E90"/>
    <w:rsid w:val="00616410"/>
    <w:rsid w:val="00616A9D"/>
    <w:rsid w:val="00616CFA"/>
    <w:rsid w:val="00616F8D"/>
    <w:rsid w:val="00620ECF"/>
    <w:rsid w:val="006217DD"/>
    <w:rsid w:val="0062191E"/>
    <w:rsid w:val="0062233B"/>
    <w:rsid w:val="00622804"/>
    <w:rsid w:val="00622ACF"/>
    <w:rsid w:val="00623BAC"/>
    <w:rsid w:val="006258AF"/>
    <w:rsid w:val="00625B48"/>
    <w:rsid w:val="00627489"/>
    <w:rsid w:val="00630A7A"/>
    <w:rsid w:val="00631A6D"/>
    <w:rsid w:val="00631B1A"/>
    <w:rsid w:val="00632682"/>
    <w:rsid w:val="00632781"/>
    <w:rsid w:val="00632B78"/>
    <w:rsid w:val="00633B36"/>
    <w:rsid w:val="00635640"/>
    <w:rsid w:val="00636824"/>
    <w:rsid w:val="00636A1D"/>
    <w:rsid w:val="006370D8"/>
    <w:rsid w:val="00637233"/>
    <w:rsid w:val="00637516"/>
    <w:rsid w:val="006401AF"/>
    <w:rsid w:val="00641A9D"/>
    <w:rsid w:val="00642868"/>
    <w:rsid w:val="00642C9E"/>
    <w:rsid w:val="00642CC9"/>
    <w:rsid w:val="006437B9"/>
    <w:rsid w:val="00644236"/>
    <w:rsid w:val="00644CF3"/>
    <w:rsid w:val="0064515C"/>
    <w:rsid w:val="00645CC8"/>
    <w:rsid w:val="006463AF"/>
    <w:rsid w:val="00646CDD"/>
    <w:rsid w:val="00650CF1"/>
    <w:rsid w:val="00651CB7"/>
    <w:rsid w:val="00652AA3"/>
    <w:rsid w:val="00652EC7"/>
    <w:rsid w:val="0065352E"/>
    <w:rsid w:val="00653663"/>
    <w:rsid w:val="00653E9E"/>
    <w:rsid w:val="00654749"/>
    <w:rsid w:val="00655062"/>
    <w:rsid w:val="00655134"/>
    <w:rsid w:val="0065640F"/>
    <w:rsid w:val="00661260"/>
    <w:rsid w:val="00661417"/>
    <w:rsid w:val="00661D85"/>
    <w:rsid w:val="0066215A"/>
    <w:rsid w:val="00662290"/>
    <w:rsid w:val="006632FB"/>
    <w:rsid w:val="006639B6"/>
    <w:rsid w:val="006639D0"/>
    <w:rsid w:val="00666123"/>
    <w:rsid w:val="00667007"/>
    <w:rsid w:val="00667AE0"/>
    <w:rsid w:val="006708B2"/>
    <w:rsid w:val="00670A01"/>
    <w:rsid w:val="006719BD"/>
    <w:rsid w:val="006720A9"/>
    <w:rsid w:val="0067212D"/>
    <w:rsid w:val="00673C47"/>
    <w:rsid w:val="0067487E"/>
    <w:rsid w:val="00675F8F"/>
    <w:rsid w:val="00676A47"/>
    <w:rsid w:val="00676E62"/>
    <w:rsid w:val="00680FB4"/>
    <w:rsid w:val="00681231"/>
    <w:rsid w:val="006812F8"/>
    <w:rsid w:val="00681753"/>
    <w:rsid w:val="00681B7A"/>
    <w:rsid w:val="00683923"/>
    <w:rsid w:val="00683AE4"/>
    <w:rsid w:val="00684FE2"/>
    <w:rsid w:val="006850E0"/>
    <w:rsid w:val="00686AC9"/>
    <w:rsid w:val="00686D9A"/>
    <w:rsid w:val="006870A0"/>
    <w:rsid w:val="00690F16"/>
    <w:rsid w:val="00691D87"/>
    <w:rsid w:val="0069259E"/>
    <w:rsid w:val="006938A1"/>
    <w:rsid w:val="00694BD4"/>
    <w:rsid w:val="00695960"/>
    <w:rsid w:val="00695F67"/>
    <w:rsid w:val="006A0167"/>
    <w:rsid w:val="006A0B73"/>
    <w:rsid w:val="006A192A"/>
    <w:rsid w:val="006A212F"/>
    <w:rsid w:val="006A232A"/>
    <w:rsid w:val="006A3567"/>
    <w:rsid w:val="006A3CE1"/>
    <w:rsid w:val="006A4B6C"/>
    <w:rsid w:val="006A5857"/>
    <w:rsid w:val="006A5D97"/>
    <w:rsid w:val="006A62D6"/>
    <w:rsid w:val="006A65FE"/>
    <w:rsid w:val="006A6A80"/>
    <w:rsid w:val="006A71FF"/>
    <w:rsid w:val="006A7854"/>
    <w:rsid w:val="006A7D41"/>
    <w:rsid w:val="006B16B4"/>
    <w:rsid w:val="006B1D37"/>
    <w:rsid w:val="006B230F"/>
    <w:rsid w:val="006B2C3B"/>
    <w:rsid w:val="006B2FBB"/>
    <w:rsid w:val="006B31A8"/>
    <w:rsid w:val="006B4A59"/>
    <w:rsid w:val="006B617B"/>
    <w:rsid w:val="006B69F0"/>
    <w:rsid w:val="006B6BE6"/>
    <w:rsid w:val="006B7633"/>
    <w:rsid w:val="006C03D8"/>
    <w:rsid w:val="006C08A1"/>
    <w:rsid w:val="006C1095"/>
    <w:rsid w:val="006C3B91"/>
    <w:rsid w:val="006C550B"/>
    <w:rsid w:val="006C5EF6"/>
    <w:rsid w:val="006C6A86"/>
    <w:rsid w:val="006C6E91"/>
    <w:rsid w:val="006C76D1"/>
    <w:rsid w:val="006D1C5E"/>
    <w:rsid w:val="006D2CE2"/>
    <w:rsid w:val="006D346C"/>
    <w:rsid w:val="006D443C"/>
    <w:rsid w:val="006D4C8C"/>
    <w:rsid w:val="006D4FF5"/>
    <w:rsid w:val="006D6F90"/>
    <w:rsid w:val="006D71D5"/>
    <w:rsid w:val="006E056D"/>
    <w:rsid w:val="006E0F73"/>
    <w:rsid w:val="006E1648"/>
    <w:rsid w:val="006E1667"/>
    <w:rsid w:val="006E17C7"/>
    <w:rsid w:val="006E1F6E"/>
    <w:rsid w:val="006E2A0A"/>
    <w:rsid w:val="006E3207"/>
    <w:rsid w:val="006E536F"/>
    <w:rsid w:val="006E57AE"/>
    <w:rsid w:val="006E58F1"/>
    <w:rsid w:val="006E5B68"/>
    <w:rsid w:val="006E7367"/>
    <w:rsid w:val="006F0880"/>
    <w:rsid w:val="006F1DB5"/>
    <w:rsid w:val="006F226D"/>
    <w:rsid w:val="006F427F"/>
    <w:rsid w:val="006F5255"/>
    <w:rsid w:val="006F5D56"/>
    <w:rsid w:val="006F5F18"/>
    <w:rsid w:val="006F63DA"/>
    <w:rsid w:val="006F6589"/>
    <w:rsid w:val="00700038"/>
    <w:rsid w:val="00700426"/>
    <w:rsid w:val="00701E50"/>
    <w:rsid w:val="007032E4"/>
    <w:rsid w:val="00703995"/>
    <w:rsid w:val="00705CF3"/>
    <w:rsid w:val="00706D09"/>
    <w:rsid w:val="00707493"/>
    <w:rsid w:val="007104AB"/>
    <w:rsid w:val="00710652"/>
    <w:rsid w:val="007108E2"/>
    <w:rsid w:val="007118A6"/>
    <w:rsid w:val="007127E4"/>
    <w:rsid w:val="007136DE"/>
    <w:rsid w:val="00714250"/>
    <w:rsid w:val="00714854"/>
    <w:rsid w:val="00716C99"/>
    <w:rsid w:val="00716FAF"/>
    <w:rsid w:val="00722B6A"/>
    <w:rsid w:val="00723A33"/>
    <w:rsid w:val="007249BC"/>
    <w:rsid w:val="00724EAD"/>
    <w:rsid w:val="00725033"/>
    <w:rsid w:val="00725D96"/>
    <w:rsid w:val="0072659B"/>
    <w:rsid w:val="0072767B"/>
    <w:rsid w:val="007276EC"/>
    <w:rsid w:val="00727A05"/>
    <w:rsid w:val="00727CC2"/>
    <w:rsid w:val="00727F56"/>
    <w:rsid w:val="00730423"/>
    <w:rsid w:val="0073125C"/>
    <w:rsid w:val="007312A2"/>
    <w:rsid w:val="00731EE1"/>
    <w:rsid w:val="007322CE"/>
    <w:rsid w:val="007325C8"/>
    <w:rsid w:val="007326CB"/>
    <w:rsid w:val="00732F77"/>
    <w:rsid w:val="007346F9"/>
    <w:rsid w:val="007352D7"/>
    <w:rsid w:val="0073559A"/>
    <w:rsid w:val="00736223"/>
    <w:rsid w:val="00736E3A"/>
    <w:rsid w:val="00737C30"/>
    <w:rsid w:val="00737F66"/>
    <w:rsid w:val="00740354"/>
    <w:rsid w:val="0074099B"/>
    <w:rsid w:val="00740DAB"/>
    <w:rsid w:val="00741262"/>
    <w:rsid w:val="007415CC"/>
    <w:rsid w:val="0074208A"/>
    <w:rsid w:val="00742C2C"/>
    <w:rsid w:val="0074306C"/>
    <w:rsid w:val="007431E5"/>
    <w:rsid w:val="00743556"/>
    <w:rsid w:val="007438C4"/>
    <w:rsid w:val="00744078"/>
    <w:rsid w:val="007440F2"/>
    <w:rsid w:val="0074452A"/>
    <w:rsid w:val="00745023"/>
    <w:rsid w:val="00746AE1"/>
    <w:rsid w:val="00746C9F"/>
    <w:rsid w:val="007470F1"/>
    <w:rsid w:val="00750913"/>
    <w:rsid w:val="00750B50"/>
    <w:rsid w:val="00750B91"/>
    <w:rsid w:val="00750E76"/>
    <w:rsid w:val="0075138C"/>
    <w:rsid w:val="007538BD"/>
    <w:rsid w:val="00753C34"/>
    <w:rsid w:val="0075467C"/>
    <w:rsid w:val="00754B03"/>
    <w:rsid w:val="007562A1"/>
    <w:rsid w:val="00756797"/>
    <w:rsid w:val="007569C7"/>
    <w:rsid w:val="00756D1C"/>
    <w:rsid w:val="0075701B"/>
    <w:rsid w:val="00760F75"/>
    <w:rsid w:val="0076277D"/>
    <w:rsid w:val="007639B9"/>
    <w:rsid w:val="00763DFC"/>
    <w:rsid w:val="00763ED5"/>
    <w:rsid w:val="00765869"/>
    <w:rsid w:val="007670B1"/>
    <w:rsid w:val="007670EE"/>
    <w:rsid w:val="0077164B"/>
    <w:rsid w:val="00772155"/>
    <w:rsid w:val="0077381E"/>
    <w:rsid w:val="00773AA3"/>
    <w:rsid w:val="00773C7C"/>
    <w:rsid w:val="00774D92"/>
    <w:rsid w:val="0077560E"/>
    <w:rsid w:val="00775897"/>
    <w:rsid w:val="00775A12"/>
    <w:rsid w:val="007761E0"/>
    <w:rsid w:val="007772D4"/>
    <w:rsid w:val="007807D1"/>
    <w:rsid w:val="0078194A"/>
    <w:rsid w:val="00781D33"/>
    <w:rsid w:val="00782E31"/>
    <w:rsid w:val="0078365D"/>
    <w:rsid w:val="00784066"/>
    <w:rsid w:val="00786443"/>
    <w:rsid w:val="00786A14"/>
    <w:rsid w:val="00786CC0"/>
    <w:rsid w:val="0078750C"/>
    <w:rsid w:val="007900B0"/>
    <w:rsid w:val="00790643"/>
    <w:rsid w:val="00792DAA"/>
    <w:rsid w:val="00792FA2"/>
    <w:rsid w:val="00793B3B"/>
    <w:rsid w:val="0079466A"/>
    <w:rsid w:val="00794B21"/>
    <w:rsid w:val="00795D15"/>
    <w:rsid w:val="00796391"/>
    <w:rsid w:val="007A0720"/>
    <w:rsid w:val="007A0EA6"/>
    <w:rsid w:val="007A18A4"/>
    <w:rsid w:val="007A211B"/>
    <w:rsid w:val="007A32B4"/>
    <w:rsid w:val="007A370E"/>
    <w:rsid w:val="007A3CE0"/>
    <w:rsid w:val="007A4ED2"/>
    <w:rsid w:val="007A5FD1"/>
    <w:rsid w:val="007B046A"/>
    <w:rsid w:val="007B17D9"/>
    <w:rsid w:val="007B1952"/>
    <w:rsid w:val="007B1C29"/>
    <w:rsid w:val="007B3458"/>
    <w:rsid w:val="007B3812"/>
    <w:rsid w:val="007B4136"/>
    <w:rsid w:val="007B5983"/>
    <w:rsid w:val="007B64C7"/>
    <w:rsid w:val="007B7F09"/>
    <w:rsid w:val="007C02A7"/>
    <w:rsid w:val="007C063F"/>
    <w:rsid w:val="007C0E24"/>
    <w:rsid w:val="007C1BEB"/>
    <w:rsid w:val="007C2CE3"/>
    <w:rsid w:val="007C2DFE"/>
    <w:rsid w:val="007C3B14"/>
    <w:rsid w:val="007C4377"/>
    <w:rsid w:val="007C4BB5"/>
    <w:rsid w:val="007C4CB4"/>
    <w:rsid w:val="007C5E6C"/>
    <w:rsid w:val="007C65D5"/>
    <w:rsid w:val="007C6A0B"/>
    <w:rsid w:val="007C793A"/>
    <w:rsid w:val="007D06CF"/>
    <w:rsid w:val="007D0892"/>
    <w:rsid w:val="007D0E65"/>
    <w:rsid w:val="007D22F3"/>
    <w:rsid w:val="007D3071"/>
    <w:rsid w:val="007D3D3C"/>
    <w:rsid w:val="007D3FBF"/>
    <w:rsid w:val="007D48F9"/>
    <w:rsid w:val="007D4B72"/>
    <w:rsid w:val="007D5253"/>
    <w:rsid w:val="007D5599"/>
    <w:rsid w:val="007D55C8"/>
    <w:rsid w:val="007D5918"/>
    <w:rsid w:val="007D5E24"/>
    <w:rsid w:val="007D6105"/>
    <w:rsid w:val="007D66EA"/>
    <w:rsid w:val="007D66F3"/>
    <w:rsid w:val="007D6792"/>
    <w:rsid w:val="007D77FA"/>
    <w:rsid w:val="007E1602"/>
    <w:rsid w:val="007E1738"/>
    <w:rsid w:val="007E1B94"/>
    <w:rsid w:val="007E20D0"/>
    <w:rsid w:val="007E239B"/>
    <w:rsid w:val="007E3512"/>
    <w:rsid w:val="007E40CE"/>
    <w:rsid w:val="007E53AB"/>
    <w:rsid w:val="007E6452"/>
    <w:rsid w:val="007E79B4"/>
    <w:rsid w:val="007E7D2F"/>
    <w:rsid w:val="007E7FBB"/>
    <w:rsid w:val="007F0588"/>
    <w:rsid w:val="007F0F1E"/>
    <w:rsid w:val="007F11CE"/>
    <w:rsid w:val="007F1F58"/>
    <w:rsid w:val="007F44BD"/>
    <w:rsid w:val="007F4569"/>
    <w:rsid w:val="007F6176"/>
    <w:rsid w:val="007F6511"/>
    <w:rsid w:val="007F6BCE"/>
    <w:rsid w:val="007F6C63"/>
    <w:rsid w:val="007F7824"/>
    <w:rsid w:val="007F7DF3"/>
    <w:rsid w:val="007F7F15"/>
    <w:rsid w:val="0080121D"/>
    <w:rsid w:val="008017D6"/>
    <w:rsid w:val="00801AF6"/>
    <w:rsid w:val="008049DB"/>
    <w:rsid w:val="008067B1"/>
    <w:rsid w:val="00807750"/>
    <w:rsid w:val="008103DE"/>
    <w:rsid w:val="00810D27"/>
    <w:rsid w:val="00811591"/>
    <w:rsid w:val="00811B96"/>
    <w:rsid w:val="00811FD4"/>
    <w:rsid w:val="008139FF"/>
    <w:rsid w:val="00813EA2"/>
    <w:rsid w:val="008146EC"/>
    <w:rsid w:val="00814737"/>
    <w:rsid w:val="00814A43"/>
    <w:rsid w:val="0081582B"/>
    <w:rsid w:val="008160A6"/>
    <w:rsid w:val="0081673A"/>
    <w:rsid w:val="00817046"/>
    <w:rsid w:val="00817492"/>
    <w:rsid w:val="00817C7F"/>
    <w:rsid w:val="008201E1"/>
    <w:rsid w:val="008208F0"/>
    <w:rsid w:val="00820F5A"/>
    <w:rsid w:val="00822398"/>
    <w:rsid w:val="008229BC"/>
    <w:rsid w:val="0082314C"/>
    <w:rsid w:val="00823E8E"/>
    <w:rsid w:val="0082553A"/>
    <w:rsid w:val="00825577"/>
    <w:rsid w:val="0082675B"/>
    <w:rsid w:val="008277FF"/>
    <w:rsid w:val="00831301"/>
    <w:rsid w:val="00832926"/>
    <w:rsid w:val="00833503"/>
    <w:rsid w:val="00833716"/>
    <w:rsid w:val="00833CA4"/>
    <w:rsid w:val="00834E3E"/>
    <w:rsid w:val="00836D2D"/>
    <w:rsid w:val="008375FC"/>
    <w:rsid w:val="00837605"/>
    <w:rsid w:val="00837AA2"/>
    <w:rsid w:val="0084049F"/>
    <w:rsid w:val="0084055D"/>
    <w:rsid w:val="00840FE0"/>
    <w:rsid w:val="0084210E"/>
    <w:rsid w:val="00842A40"/>
    <w:rsid w:val="00842BA3"/>
    <w:rsid w:val="00842D1B"/>
    <w:rsid w:val="00842F0E"/>
    <w:rsid w:val="00843618"/>
    <w:rsid w:val="00843E87"/>
    <w:rsid w:val="008443EA"/>
    <w:rsid w:val="00844E66"/>
    <w:rsid w:val="00845D38"/>
    <w:rsid w:val="00847C4E"/>
    <w:rsid w:val="008511A8"/>
    <w:rsid w:val="00852598"/>
    <w:rsid w:val="0085282F"/>
    <w:rsid w:val="0085308C"/>
    <w:rsid w:val="00853863"/>
    <w:rsid w:val="00853CFB"/>
    <w:rsid w:val="00855062"/>
    <w:rsid w:val="00855B0E"/>
    <w:rsid w:val="00857D5D"/>
    <w:rsid w:val="00857E84"/>
    <w:rsid w:val="00860048"/>
    <w:rsid w:val="0086015D"/>
    <w:rsid w:val="00860989"/>
    <w:rsid w:val="00860C20"/>
    <w:rsid w:val="00861513"/>
    <w:rsid w:val="008615F0"/>
    <w:rsid w:val="0086197F"/>
    <w:rsid w:val="00861E03"/>
    <w:rsid w:val="008623A6"/>
    <w:rsid w:val="008634ED"/>
    <w:rsid w:val="00864194"/>
    <w:rsid w:val="008649A2"/>
    <w:rsid w:val="00864B10"/>
    <w:rsid w:val="0086501C"/>
    <w:rsid w:val="00865063"/>
    <w:rsid w:val="008652DB"/>
    <w:rsid w:val="00865759"/>
    <w:rsid w:val="00865CFC"/>
    <w:rsid w:val="00865E93"/>
    <w:rsid w:val="0086609D"/>
    <w:rsid w:val="0087007C"/>
    <w:rsid w:val="00871059"/>
    <w:rsid w:val="0087284A"/>
    <w:rsid w:val="00872C70"/>
    <w:rsid w:val="00874964"/>
    <w:rsid w:val="0087539A"/>
    <w:rsid w:val="008753D4"/>
    <w:rsid w:val="008759F7"/>
    <w:rsid w:val="00876F50"/>
    <w:rsid w:val="00877DAA"/>
    <w:rsid w:val="008827F3"/>
    <w:rsid w:val="00883338"/>
    <w:rsid w:val="0088450B"/>
    <w:rsid w:val="0088490A"/>
    <w:rsid w:val="00884BA7"/>
    <w:rsid w:val="008851AE"/>
    <w:rsid w:val="00886C10"/>
    <w:rsid w:val="00886D02"/>
    <w:rsid w:val="008870C6"/>
    <w:rsid w:val="00887178"/>
    <w:rsid w:val="0089000D"/>
    <w:rsid w:val="008919BF"/>
    <w:rsid w:val="0089205C"/>
    <w:rsid w:val="00893DF2"/>
    <w:rsid w:val="00894AF3"/>
    <w:rsid w:val="00895B61"/>
    <w:rsid w:val="00895BAB"/>
    <w:rsid w:val="00896601"/>
    <w:rsid w:val="0089689A"/>
    <w:rsid w:val="00897822"/>
    <w:rsid w:val="00897C4A"/>
    <w:rsid w:val="00897D18"/>
    <w:rsid w:val="00897EAD"/>
    <w:rsid w:val="008A0539"/>
    <w:rsid w:val="008A0D46"/>
    <w:rsid w:val="008A0E35"/>
    <w:rsid w:val="008A1F8C"/>
    <w:rsid w:val="008A20E4"/>
    <w:rsid w:val="008A34CF"/>
    <w:rsid w:val="008A4338"/>
    <w:rsid w:val="008A4919"/>
    <w:rsid w:val="008A54A7"/>
    <w:rsid w:val="008A5A16"/>
    <w:rsid w:val="008A5CF4"/>
    <w:rsid w:val="008A5D51"/>
    <w:rsid w:val="008A6895"/>
    <w:rsid w:val="008A6FF4"/>
    <w:rsid w:val="008B1235"/>
    <w:rsid w:val="008B2D37"/>
    <w:rsid w:val="008B2FA1"/>
    <w:rsid w:val="008B31F3"/>
    <w:rsid w:val="008B362C"/>
    <w:rsid w:val="008B4604"/>
    <w:rsid w:val="008B4B1E"/>
    <w:rsid w:val="008B5EA5"/>
    <w:rsid w:val="008B6222"/>
    <w:rsid w:val="008B66A6"/>
    <w:rsid w:val="008B7405"/>
    <w:rsid w:val="008B7910"/>
    <w:rsid w:val="008B7C74"/>
    <w:rsid w:val="008C0BD5"/>
    <w:rsid w:val="008C0CD9"/>
    <w:rsid w:val="008C186A"/>
    <w:rsid w:val="008C1971"/>
    <w:rsid w:val="008C1CC8"/>
    <w:rsid w:val="008C2545"/>
    <w:rsid w:val="008C425F"/>
    <w:rsid w:val="008C64EA"/>
    <w:rsid w:val="008C6953"/>
    <w:rsid w:val="008C7524"/>
    <w:rsid w:val="008C7669"/>
    <w:rsid w:val="008D018C"/>
    <w:rsid w:val="008D0C13"/>
    <w:rsid w:val="008D1956"/>
    <w:rsid w:val="008D1B77"/>
    <w:rsid w:val="008D1BE2"/>
    <w:rsid w:val="008D1E03"/>
    <w:rsid w:val="008D21CB"/>
    <w:rsid w:val="008D33BD"/>
    <w:rsid w:val="008D3BA9"/>
    <w:rsid w:val="008D3CE1"/>
    <w:rsid w:val="008D3D31"/>
    <w:rsid w:val="008D3DF7"/>
    <w:rsid w:val="008D4622"/>
    <w:rsid w:val="008D61A2"/>
    <w:rsid w:val="008D61AF"/>
    <w:rsid w:val="008D6486"/>
    <w:rsid w:val="008D670D"/>
    <w:rsid w:val="008E1F0F"/>
    <w:rsid w:val="008E2C6B"/>
    <w:rsid w:val="008E35DD"/>
    <w:rsid w:val="008E4274"/>
    <w:rsid w:val="008E4ADF"/>
    <w:rsid w:val="008E4F76"/>
    <w:rsid w:val="008E56B2"/>
    <w:rsid w:val="008E6102"/>
    <w:rsid w:val="008E6446"/>
    <w:rsid w:val="008E6B38"/>
    <w:rsid w:val="008E761C"/>
    <w:rsid w:val="008E7A75"/>
    <w:rsid w:val="008F0623"/>
    <w:rsid w:val="008F0E55"/>
    <w:rsid w:val="008F2898"/>
    <w:rsid w:val="008F28A3"/>
    <w:rsid w:val="008F3296"/>
    <w:rsid w:val="008F3702"/>
    <w:rsid w:val="008F3E5F"/>
    <w:rsid w:val="008F440C"/>
    <w:rsid w:val="008F48B6"/>
    <w:rsid w:val="008F4B7D"/>
    <w:rsid w:val="008F4C93"/>
    <w:rsid w:val="008F6020"/>
    <w:rsid w:val="008F613B"/>
    <w:rsid w:val="008F6BDB"/>
    <w:rsid w:val="008F72A2"/>
    <w:rsid w:val="008F7798"/>
    <w:rsid w:val="008F7912"/>
    <w:rsid w:val="0090001F"/>
    <w:rsid w:val="009008DF"/>
    <w:rsid w:val="00900CD4"/>
    <w:rsid w:val="00902C1A"/>
    <w:rsid w:val="00904392"/>
    <w:rsid w:val="00904FA8"/>
    <w:rsid w:val="00905DF4"/>
    <w:rsid w:val="0090621F"/>
    <w:rsid w:val="00906463"/>
    <w:rsid w:val="00907CE6"/>
    <w:rsid w:val="00907D75"/>
    <w:rsid w:val="00907F2E"/>
    <w:rsid w:val="0091115D"/>
    <w:rsid w:val="00911AFA"/>
    <w:rsid w:val="00911D7A"/>
    <w:rsid w:val="009126FC"/>
    <w:rsid w:val="00912F02"/>
    <w:rsid w:val="00913A70"/>
    <w:rsid w:val="00917012"/>
    <w:rsid w:val="009176F9"/>
    <w:rsid w:val="0091777C"/>
    <w:rsid w:val="00917C14"/>
    <w:rsid w:val="00920D4C"/>
    <w:rsid w:val="00920F06"/>
    <w:rsid w:val="00921573"/>
    <w:rsid w:val="00922D5E"/>
    <w:rsid w:val="009241AF"/>
    <w:rsid w:val="00924FF5"/>
    <w:rsid w:val="0092688E"/>
    <w:rsid w:val="009306B9"/>
    <w:rsid w:val="009308EA"/>
    <w:rsid w:val="0093166D"/>
    <w:rsid w:val="009336D6"/>
    <w:rsid w:val="00933A5B"/>
    <w:rsid w:val="0093480B"/>
    <w:rsid w:val="00934EFB"/>
    <w:rsid w:val="009357D9"/>
    <w:rsid w:val="00935A0B"/>
    <w:rsid w:val="00936146"/>
    <w:rsid w:val="0093717C"/>
    <w:rsid w:val="00937D81"/>
    <w:rsid w:val="00940E52"/>
    <w:rsid w:val="009417CD"/>
    <w:rsid w:val="0094294F"/>
    <w:rsid w:val="00942F3B"/>
    <w:rsid w:val="009438FC"/>
    <w:rsid w:val="009439FC"/>
    <w:rsid w:val="00944C7C"/>
    <w:rsid w:val="0094559E"/>
    <w:rsid w:val="00946313"/>
    <w:rsid w:val="00946322"/>
    <w:rsid w:val="009465DF"/>
    <w:rsid w:val="009472CC"/>
    <w:rsid w:val="0094763B"/>
    <w:rsid w:val="00947DDD"/>
    <w:rsid w:val="0095030A"/>
    <w:rsid w:val="00950461"/>
    <w:rsid w:val="00951CC5"/>
    <w:rsid w:val="009539F3"/>
    <w:rsid w:val="00954244"/>
    <w:rsid w:val="00955793"/>
    <w:rsid w:val="00956164"/>
    <w:rsid w:val="0095773D"/>
    <w:rsid w:val="00960CEA"/>
    <w:rsid w:val="00962977"/>
    <w:rsid w:val="0096352C"/>
    <w:rsid w:val="00964612"/>
    <w:rsid w:val="00964704"/>
    <w:rsid w:val="00964D41"/>
    <w:rsid w:val="0096694C"/>
    <w:rsid w:val="00966CC7"/>
    <w:rsid w:val="00967043"/>
    <w:rsid w:val="009676EB"/>
    <w:rsid w:val="00967759"/>
    <w:rsid w:val="00967E6C"/>
    <w:rsid w:val="00967EED"/>
    <w:rsid w:val="0097046A"/>
    <w:rsid w:val="0097349C"/>
    <w:rsid w:val="00973BAD"/>
    <w:rsid w:val="00974386"/>
    <w:rsid w:val="00975457"/>
    <w:rsid w:val="00975F12"/>
    <w:rsid w:val="00976369"/>
    <w:rsid w:val="009801C3"/>
    <w:rsid w:val="00980EEC"/>
    <w:rsid w:val="00982C7B"/>
    <w:rsid w:val="009838B3"/>
    <w:rsid w:val="009843CF"/>
    <w:rsid w:val="00984572"/>
    <w:rsid w:val="0098516D"/>
    <w:rsid w:val="009866F5"/>
    <w:rsid w:val="009879D7"/>
    <w:rsid w:val="009901AF"/>
    <w:rsid w:val="00990CB1"/>
    <w:rsid w:val="00991D5F"/>
    <w:rsid w:val="009926D3"/>
    <w:rsid w:val="0099285A"/>
    <w:rsid w:val="00992ADF"/>
    <w:rsid w:val="00992B3E"/>
    <w:rsid w:val="00992C4A"/>
    <w:rsid w:val="00992ED0"/>
    <w:rsid w:val="009930D9"/>
    <w:rsid w:val="00993C81"/>
    <w:rsid w:val="00993FDE"/>
    <w:rsid w:val="009947DF"/>
    <w:rsid w:val="00994992"/>
    <w:rsid w:val="00994A65"/>
    <w:rsid w:val="00994BB1"/>
    <w:rsid w:val="0099523E"/>
    <w:rsid w:val="0099557E"/>
    <w:rsid w:val="00995F2C"/>
    <w:rsid w:val="00996212"/>
    <w:rsid w:val="0099658F"/>
    <w:rsid w:val="009970CF"/>
    <w:rsid w:val="009971AE"/>
    <w:rsid w:val="00997D91"/>
    <w:rsid w:val="009A07EF"/>
    <w:rsid w:val="009A2FFD"/>
    <w:rsid w:val="009A39E1"/>
    <w:rsid w:val="009A3D23"/>
    <w:rsid w:val="009A5A17"/>
    <w:rsid w:val="009A6290"/>
    <w:rsid w:val="009A7685"/>
    <w:rsid w:val="009B058C"/>
    <w:rsid w:val="009B0768"/>
    <w:rsid w:val="009B07C9"/>
    <w:rsid w:val="009B14D1"/>
    <w:rsid w:val="009B25FD"/>
    <w:rsid w:val="009B2B50"/>
    <w:rsid w:val="009B2DFE"/>
    <w:rsid w:val="009B3F52"/>
    <w:rsid w:val="009B4475"/>
    <w:rsid w:val="009B4533"/>
    <w:rsid w:val="009B4A7C"/>
    <w:rsid w:val="009B5C4B"/>
    <w:rsid w:val="009B603D"/>
    <w:rsid w:val="009B6881"/>
    <w:rsid w:val="009C04FC"/>
    <w:rsid w:val="009C0CF0"/>
    <w:rsid w:val="009C17D6"/>
    <w:rsid w:val="009C1A5B"/>
    <w:rsid w:val="009C1FFD"/>
    <w:rsid w:val="009C295F"/>
    <w:rsid w:val="009C2FC3"/>
    <w:rsid w:val="009C339F"/>
    <w:rsid w:val="009C33C0"/>
    <w:rsid w:val="009C448D"/>
    <w:rsid w:val="009C4E95"/>
    <w:rsid w:val="009C6601"/>
    <w:rsid w:val="009C6838"/>
    <w:rsid w:val="009C6893"/>
    <w:rsid w:val="009C68C2"/>
    <w:rsid w:val="009C7279"/>
    <w:rsid w:val="009D1481"/>
    <w:rsid w:val="009D1D96"/>
    <w:rsid w:val="009D2857"/>
    <w:rsid w:val="009D360B"/>
    <w:rsid w:val="009D516B"/>
    <w:rsid w:val="009D51A6"/>
    <w:rsid w:val="009D57EE"/>
    <w:rsid w:val="009D5853"/>
    <w:rsid w:val="009D6116"/>
    <w:rsid w:val="009D61F8"/>
    <w:rsid w:val="009D6BE0"/>
    <w:rsid w:val="009D7A99"/>
    <w:rsid w:val="009E077E"/>
    <w:rsid w:val="009E1FC5"/>
    <w:rsid w:val="009E39AC"/>
    <w:rsid w:val="009E39F7"/>
    <w:rsid w:val="009E56E1"/>
    <w:rsid w:val="009E5959"/>
    <w:rsid w:val="009E60E4"/>
    <w:rsid w:val="009E673F"/>
    <w:rsid w:val="009E74A7"/>
    <w:rsid w:val="009E7520"/>
    <w:rsid w:val="009E794F"/>
    <w:rsid w:val="009F0BB0"/>
    <w:rsid w:val="009F1534"/>
    <w:rsid w:val="009F18CF"/>
    <w:rsid w:val="009F1A78"/>
    <w:rsid w:val="009F1C06"/>
    <w:rsid w:val="009F222D"/>
    <w:rsid w:val="009F2442"/>
    <w:rsid w:val="009F2D3D"/>
    <w:rsid w:val="009F2DA1"/>
    <w:rsid w:val="009F33AB"/>
    <w:rsid w:val="009F3A6E"/>
    <w:rsid w:val="009F53F6"/>
    <w:rsid w:val="009F5421"/>
    <w:rsid w:val="009F7EBA"/>
    <w:rsid w:val="00A01CFE"/>
    <w:rsid w:val="00A023BC"/>
    <w:rsid w:val="00A0360D"/>
    <w:rsid w:val="00A0378F"/>
    <w:rsid w:val="00A03D22"/>
    <w:rsid w:val="00A04CDC"/>
    <w:rsid w:val="00A04FC1"/>
    <w:rsid w:val="00A05B53"/>
    <w:rsid w:val="00A066C1"/>
    <w:rsid w:val="00A06F00"/>
    <w:rsid w:val="00A11111"/>
    <w:rsid w:val="00A1197D"/>
    <w:rsid w:val="00A11E3F"/>
    <w:rsid w:val="00A1249F"/>
    <w:rsid w:val="00A134FB"/>
    <w:rsid w:val="00A13AE6"/>
    <w:rsid w:val="00A13DE8"/>
    <w:rsid w:val="00A14506"/>
    <w:rsid w:val="00A15750"/>
    <w:rsid w:val="00A15865"/>
    <w:rsid w:val="00A16155"/>
    <w:rsid w:val="00A179C3"/>
    <w:rsid w:val="00A17DFF"/>
    <w:rsid w:val="00A2076C"/>
    <w:rsid w:val="00A21A47"/>
    <w:rsid w:val="00A21ABE"/>
    <w:rsid w:val="00A21CA8"/>
    <w:rsid w:val="00A22D72"/>
    <w:rsid w:val="00A22EF2"/>
    <w:rsid w:val="00A23D2E"/>
    <w:rsid w:val="00A24871"/>
    <w:rsid w:val="00A24E13"/>
    <w:rsid w:val="00A2543B"/>
    <w:rsid w:val="00A254DD"/>
    <w:rsid w:val="00A259C0"/>
    <w:rsid w:val="00A25ED9"/>
    <w:rsid w:val="00A2642C"/>
    <w:rsid w:val="00A273D0"/>
    <w:rsid w:val="00A30999"/>
    <w:rsid w:val="00A30CEB"/>
    <w:rsid w:val="00A31336"/>
    <w:rsid w:val="00A313EC"/>
    <w:rsid w:val="00A318B5"/>
    <w:rsid w:val="00A32094"/>
    <w:rsid w:val="00A3240E"/>
    <w:rsid w:val="00A328A2"/>
    <w:rsid w:val="00A33549"/>
    <w:rsid w:val="00A33CBD"/>
    <w:rsid w:val="00A34C31"/>
    <w:rsid w:val="00A34CBD"/>
    <w:rsid w:val="00A35713"/>
    <w:rsid w:val="00A35E3C"/>
    <w:rsid w:val="00A368E4"/>
    <w:rsid w:val="00A373D1"/>
    <w:rsid w:val="00A37E9E"/>
    <w:rsid w:val="00A40068"/>
    <w:rsid w:val="00A407B2"/>
    <w:rsid w:val="00A41043"/>
    <w:rsid w:val="00A41DDC"/>
    <w:rsid w:val="00A4200D"/>
    <w:rsid w:val="00A443B6"/>
    <w:rsid w:val="00A47110"/>
    <w:rsid w:val="00A500F5"/>
    <w:rsid w:val="00A507A1"/>
    <w:rsid w:val="00A50F49"/>
    <w:rsid w:val="00A51012"/>
    <w:rsid w:val="00A517E2"/>
    <w:rsid w:val="00A522D6"/>
    <w:rsid w:val="00A53452"/>
    <w:rsid w:val="00A535D8"/>
    <w:rsid w:val="00A53DAD"/>
    <w:rsid w:val="00A543AD"/>
    <w:rsid w:val="00A547CF"/>
    <w:rsid w:val="00A552FC"/>
    <w:rsid w:val="00A55C18"/>
    <w:rsid w:val="00A56785"/>
    <w:rsid w:val="00A56AF6"/>
    <w:rsid w:val="00A56D5A"/>
    <w:rsid w:val="00A57352"/>
    <w:rsid w:val="00A60077"/>
    <w:rsid w:val="00A60701"/>
    <w:rsid w:val="00A611B7"/>
    <w:rsid w:val="00A618D4"/>
    <w:rsid w:val="00A63879"/>
    <w:rsid w:val="00A666C0"/>
    <w:rsid w:val="00A67095"/>
    <w:rsid w:val="00A70D0E"/>
    <w:rsid w:val="00A71756"/>
    <w:rsid w:val="00A72737"/>
    <w:rsid w:val="00A7333C"/>
    <w:rsid w:val="00A73587"/>
    <w:rsid w:val="00A73838"/>
    <w:rsid w:val="00A73CE3"/>
    <w:rsid w:val="00A73FFF"/>
    <w:rsid w:val="00A74BCC"/>
    <w:rsid w:val="00A74CD0"/>
    <w:rsid w:val="00A74D9A"/>
    <w:rsid w:val="00A7543E"/>
    <w:rsid w:val="00A7674E"/>
    <w:rsid w:val="00A770A5"/>
    <w:rsid w:val="00A77933"/>
    <w:rsid w:val="00A77E18"/>
    <w:rsid w:val="00A82ED9"/>
    <w:rsid w:val="00A84DFE"/>
    <w:rsid w:val="00A855B4"/>
    <w:rsid w:val="00A86CCB"/>
    <w:rsid w:val="00A919ED"/>
    <w:rsid w:val="00A91D81"/>
    <w:rsid w:val="00A92524"/>
    <w:rsid w:val="00A9271F"/>
    <w:rsid w:val="00A929AB"/>
    <w:rsid w:val="00A92AED"/>
    <w:rsid w:val="00A931AA"/>
    <w:rsid w:val="00A954AE"/>
    <w:rsid w:val="00A95536"/>
    <w:rsid w:val="00A96F1B"/>
    <w:rsid w:val="00AA0042"/>
    <w:rsid w:val="00AA0104"/>
    <w:rsid w:val="00AA1428"/>
    <w:rsid w:val="00AA3935"/>
    <w:rsid w:val="00AA50BE"/>
    <w:rsid w:val="00AA5384"/>
    <w:rsid w:val="00AA61CC"/>
    <w:rsid w:val="00AA664D"/>
    <w:rsid w:val="00AA66D0"/>
    <w:rsid w:val="00AA7931"/>
    <w:rsid w:val="00AA7E40"/>
    <w:rsid w:val="00AB0579"/>
    <w:rsid w:val="00AB3AD4"/>
    <w:rsid w:val="00AB53FC"/>
    <w:rsid w:val="00AB620F"/>
    <w:rsid w:val="00AB6B9A"/>
    <w:rsid w:val="00AB7E78"/>
    <w:rsid w:val="00AC0748"/>
    <w:rsid w:val="00AC1157"/>
    <w:rsid w:val="00AC13A9"/>
    <w:rsid w:val="00AC186F"/>
    <w:rsid w:val="00AC1967"/>
    <w:rsid w:val="00AC1A63"/>
    <w:rsid w:val="00AC1B07"/>
    <w:rsid w:val="00AC1F07"/>
    <w:rsid w:val="00AC263C"/>
    <w:rsid w:val="00AC28B1"/>
    <w:rsid w:val="00AC2A6B"/>
    <w:rsid w:val="00AC31C7"/>
    <w:rsid w:val="00AC3512"/>
    <w:rsid w:val="00AC3625"/>
    <w:rsid w:val="00AC41D3"/>
    <w:rsid w:val="00AC4428"/>
    <w:rsid w:val="00AC5FC4"/>
    <w:rsid w:val="00AC77E3"/>
    <w:rsid w:val="00AC78AA"/>
    <w:rsid w:val="00AD080F"/>
    <w:rsid w:val="00AD1014"/>
    <w:rsid w:val="00AD11FD"/>
    <w:rsid w:val="00AD2DC3"/>
    <w:rsid w:val="00AD39B1"/>
    <w:rsid w:val="00AD43EF"/>
    <w:rsid w:val="00AD613A"/>
    <w:rsid w:val="00AD7068"/>
    <w:rsid w:val="00AD729D"/>
    <w:rsid w:val="00AD72A4"/>
    <w:rsid w:val="00AD78E2"/>
    <w:rsid w:val="00AE3E23"/>
    <w:rsid w:val="00AE5A7E"/>
    <w:rsid w:val="00AE5BBB"/>
    <w:rsid w:val="00AE60D2"/>
    <w:rsid w:val="00AE6AF4"/>
    <w:rsid w:val="00AE6FEE"/>
    <w:rsid w:val="00AE7011"/>
    <w:rsid w:val="00AE7083"/>
    <w:rsid w:val="00AE7587"/>
    <w:rsid w:val="00AE78D1"/>
    <w:rsid w:val="00AF074E"/>
    <w:rsid w:val="00AF0C2E"/>
    <w:rsid w:val="00AF19C9"/>
    <w:rsid w:val="00AF2E44"/>
    <w:rsid w:val="00AF3464"/>
    <w:rsid w:val="00AF4191"/>
    <w:rsid w:val="00AF4F19"/>
    <w:rsid w:val="00AF5527"/>
    <w:rsid w:val="00AF57CE"/>
    <w:rsid w:val="00AF65B9"/>
    <w:rsid w:val="00AF757C"/>
    <w:rsid w:val="00AF7956"/>
    <w:rsid w:val="00B008DF"/>
    <w:rsid w:val="00B00AAE"/>
    <w:rsid w:val="00B0102C"/>
    <w:rsid w:val="00B01F88"/>
    <w:rsid w:val="00B02B64"/>
    <w:rsid w:val="00B02E1C"/>
    <w:rsid w:val="00B02F4E"/>
    <w:rsid w:val="00B03360"/>
    <w:rsid w:val="00B03393"/>
    <w:rsid w:val="00B043F9"/>
    <w:rsid w:val="00B046FF"/>
    <w:rsid w:val="00B04969"/>
    <w:rsid w:val="00B04B10"/>
    <w:rsid w:val="00B04B5B"/>
    <w:rsid w:val="00B05614"/>
    <w:rsid w:val="00B05749"/>
    <w:rsid w:val="00B05836"/>
    <w:rsid w:val="00B06400"/>
    <w:rsid w:val="00B06A0A"/>
    <w:rsid w:val="00B06D3F"/>
    <w:rsid w:val="00B07110"/>
    <w:rsid w:val="00B1060E"/>
    <w:rsid w:val="00B10B88"/>
    <w:rsid w:val="00B11A51"/>
    <w:rsid w:val="00B150CC"/>
    <w:rsid w:val="00B200E1"/>
    <w:rsid w:val="00B212BC"/>
    <w:rsid w:val="00B21694"/>
    <w:rsid w:val="00B21E6E"/>
    <w:rsid w:val="00B21F32"/>
    <w:rsid w:val="00B23E75"/>
    <w:rsid w:val="00B24FB9"/>
    <w:rsid w:val="00B24FD5"/>
    <w:rsid w:val="00B260A5"/>
    <w:rsid w:val="00B269E4"/>
    <w:rsid w:val="00B26ACC"/>
    <w:rsid w:val="00B3157B"/>
    <w:rsid w:val="00B335FB"/>
    <w:rsid w:val="00B33E9C"/>
    <w:rsid w:val="00B346C4"/>
    <w:rsid w:val="00B34AA9"/>
    <w:rsid w:val="00B34CE5"/>
    <w:rsid w:val="00B3560B"/>
    <w:rsid w:val="00B35C7E"/>
    <w:rsid w:val="00B36092"/>
    <w:rsid w:val="00B3756B"/>
    <w:rsid w:val="00B37C73"/>
    <w:rsid w:val="00B37F70"/>
    <w:rsid w:val="00B42717"/>
    <w:rsid w:val="00B42BC1"/>
    <w:rsid w:val="00B43544"/>
    <w:rsid w:val="00B4375C"/>
    <w:rsid w:val="00B43BDA"/>
    <w:rsid w:val="00B43D23"/>
    <w:rsid w:val="00B44F9F"/>
    <w:rsid w:val="00B45B10"/>
    <w:rsid w:val="00B45CAC"/>
    <w:rsid w:val="00B4615E"/>
    <w:rsid w:val="00B46751"/>
    <w:rsid w:val="00B5080C"/>
    <w:rsid w:val="00B50C0C"/>
    <w:rsid w:val="00B510E9"/>
    <w:rsid w:val="00B51D2E"/>
    <w:rsid w:val="00B52FC7"/>
    <w:rsid w:val="00B53CF7"/>
    <w:rsid w:val="00B54032"/>
    <w:rsid w:val="00B54582"/>
    <w:rsid w:val="00B54EC7"/>
    <w:rsid w:val="00B559F5"/>
    <w:rsid w:val="00B5732A"/>
    <w:rsid w:val="00B60814"/>
    <w:rsid w:val="00B60A76"/>
    <w:rsid w:val="00B6181B"/>
    <w:rsid w:val="00B61A6D"/>
    <w:rsid w:val="00B620B6"/>
    <w:rsid w:val="00B6322B"/>
    <w:rsid w:val="00B654C9"/>
    <w:rsid w:val="00B65702"/>
    <w:rsid w:val="00B65D24"/>
    <w:rsid w:val="00B6640A"/>
    <w:rsid w:val="00B6650F"/>
    <w:rsid w:val="00B666E1"/>
    <w:rsid w:val="00B668BB"/>
    <w:rsid w:val="00B6690F"/>
    <w:rsid w:val="00B66F96"/>
    <w:rsid w:val="00B67BCA"/>
    <w:rsid w:val="00B703F7"/>
    <w:rsid w:val="00B70F0B"/>
    <w:rsid w:val="00B718DA"/>
    <w:rsid w:val="00B74423"/>
    <w:rsid w:val="00B74AC4"/>
    <w:rsid w:val="00B75918"/>
    <w:rsid w:val="00B7598D"/>
    <w:rsid w:val="00B76524"/>
    <w:rsid w:val="00B77EF0"/>
    <w:rsid w:val="00B77FAA"/>
    <w:rsid w:val="00B801E0"/>
    <w:rsid w:val="00B802B1"/>
    <w:rsid w:val="00B815F0"/>
    <w:rsid w:val="00B81828"/>
    <w:rsid w:val="00B82129"/>
    <w:rsid w:val="00B82E91"/>
    <w:rsid w:val="00B84913"/>
    <w:rsid w:val="00B854F5"/>
    <w:rsid w:val="00B8557E"/>
    <w:rsid w:val="00B86AC3"/>
    <w:rsid w:val="00B87053"/>
    <w:rsid w:val="00B87E78"/>
    <w:rsid w:val="00B87F91"/>
    <w:rsid w:val="00B9041C"/>
    <w:rsid w:val="00B909EC"/>
    <w:rsid w:val="00B911EF"/>
    <w:rsid w:val="00B91217"/>
    <w:rsid w:val="00B93003"/>
    <w:rsid w:val="00B93436"/>
    <w:rsid w:val="00B93971"/>
    <w:rsid w:val="00B95A52"/>
    <w:rsid w:val="00B95B1D"/>
    <w:rsid w:val="00B962E3"/>
    <w:rsid w:val="00B9632B"/>
    <w:rsid w:val="00B96479"/>
    <w:rsid w:val="00B96879"/>
    <w:rsid w:val="00B96BE8"/>
    <w:rsid w:val="00B97B72"/>
    <w:rsid w:val="00B97C3E"/>
    <w:rsid w:val="00B97DDB"/>
    <w:rsid w:val="00BA0B89"/>
    <w:rsid w:val="00BA0D52"/>
    <w:rsid w:val="00BA13C9"/>
    <w:rsid w:val="00BA1B53"/>
    <w:rsid w:val="00BA2259"/>
    <w:rsid w:val="00BA47D8"/>
    <w:rsid w:val="00BA5A75"/>
    <w:rsid w:val="00BA5BAC"/>
    <w:rsid w:val="00BA636C"/>
    <w:rsid w:val="00BA6609"/>
    <w:rsid w:val="00BA77BB"/>
    <w:rsid w:val="00BA7827"/>
    <w:rsid w:val="00BB0039"/>
    <w:rsid w:val="00BB0AD0"/>
    <w:rsid w:val="00BB0B7B"/>
    <w:rsid w:val="00BB0C93"/>
    <w:rsid w:val="00BB0F03"/>
    <w:rsid w:val="00BB1390"/>
    <w:rsid w:val="00BB15EE"/>
    <w:rsid w:val="00BB2547"/>
    <w:rsid w:val="00BB47FB"/>
    <w:rsid w:val="00BB61C4"/>
    <w:rsid w:val="00BB7091"/>
    <w:rsid w:val="00BB7910"/>
    <w:rsid w:val="00BB7DB9"/>
    <w:rsid w:val="00BB7F69"/>
    <w:rsid w:val="00BC000F"/>
    <w:rsid w:val="00BC2688"/>
    <w:rsid w:val="00BC2801"/>
    <w:rsid w:val="00BC2D3D"/>
    <w:rsid w:val="00BC35E8"/>
    <w:rsid w:val="00BC4295"/>
    <w:rsid w:val="00BC438F"/>
    <w:rsid w:val="00BC4AC1"/>
    <w:rsid w:val="00BC5275"/>
    <w:rsid w:val="00BC5662"/>
    <w:rsid w:val="00BC5FB1"/>
    <w:rsid w:val="00BC5FBE"/>
    <w:rsid w:val="00BC6E6E"/>
    <w:rsid w:val="00BD07D1"/>
    <w:rsid w:val="00BD0EA6"/>
    <w:rsid w:val="00BD361B"/>
    <w:rsid w:val="00BD39D3"/>
    <w:rsid w:val="00BD3BAE"/>
    <w:rsid w:val="00BD3E0F"/>
    <w:rsid w:val="00BD4B29"/>
    <w:rsid w:val="00BD515D"/>
    <w:rsid w:val="00BD5A62"/>
    <w:rsid w:val="00BD5B0E"/>
    <w:rsid w:val="00BD5DC9"/>
    <w:rsid w:val="00BE005F"/>
    <w:rsid w:val="00BE0708"/>
    <w:rsid w:val="00BE0A9A"/>
    <w:rsid w:val="00BE1438"/>
    <w:rsid w:val="00BE18FF"/>
    <w:rsid w:val="00BE238C"/>
    <w:rsid w:val="00BE32F0"/>
    <w:rsid w:val="00BE3692"/>
    <w:rsid w:val="00BE3853"/>
    <w:rsid w:val="00BE3C66"/>
    <w:rsid w:val="00BE3F5A"/>
    <w:rsid w:val="00BE3FD2"/>
    <w:rsid w:val="00BE4C63"/>
    <w:rsid w:val="00BE4F32"/>
    <w:rsid w:val="00BE50A2"/>
    <w:rsid w:val="00BE533B"/>
    <w:rsid w:val="00BE5943"/>
    <w:rsid w:val="00BE70B1"/>
    <w:rsid w:val="00BE79D1"/>
    <w:rsid w:val="00BF0021"/>
    <w:rsid w:val="00BF0CDE"/>
    <w:rsid w:val="00BF168A"/>
    <w:rsid w:val="00BF224F"/>
    <w:rsid w:val="00BF430A"/>
    <w:rsid w:val="00BF4C58"/>
    <w:rsid w:val="00BF4F70"/>
    <w:rsid w:val="00BF697B"/>
    <w:rsid w:val="00BF7ED4"/>
    <w:rsid w:val="00C00019"/>
    <w:rsid w:val="00C00292"/>
    <w:rsid w:val="00C01E42"/>
    <w:rsid w:val="00C02922"/>
    <w:rsid w:val="00C02F74"/>
    <w:rsid w:val="00C0487E"/>
    <w:rsid w:val="00C04C6A"/>
    <w:rsid w:val="00C04CCC"/>
    <w:rsid w:val="00C068A8"/>
    <w:rsid w:val="00C06B01"/>
    <w:rsid w:val="00C1037A"/>
    <w:rsid w:val="00C13694"/>
    <w:rsid w:val="00C14400"/>
    <w:rsid w:val="00C15F0B"/>
    <w:rsid w:val="00C165AA"/>
    <w:rsid w:val="00C16C0D"/>
    <w:rsid w:val="00C16E9C"/>
    <w:rsid w:val="00C20D10"/>
    <w:rsid w:val="00C21016"/>
    <w:rsid w:val="00C210D2"/>
    <w:rsid w:val="00C21227"/>
    <w:rsid w:val="00C215E1"/>
    <w:rsid w:val="00C217BB"/>
    <w:rsid w:val="00C22881"/>
    <w:rsid w:val="00C230BB"/>
    <w:rsid w:val="00C246AF"/>
    <w:rsid w:val="00C249B3"/>
    <w:rsid w:val="00C24A0C"/>
    <w:rsid w:val="00C251A7"/>
    <w:rsid w:val="00C253DD"/>
    <w:rsid w:val="00C25FBC"/>
    <w:rsid w:val="00C26664"/>
    <w:rsid w:val="00C269B8"/>
    <w:rsid w:val="00C26DA0"/>
    <w:rsid w:val="00C2760E"/>
    <w:rsid w:val="00C27B6A"/>
    <w:rsid w:val="00C308A2"/>
    <w:rsid w:val="00C30D7C"/>
    <w:rsid w:val="00C31068"/>
    <w:rsid w:val="00C31385"/>
    <w:rsid w:val="00C3151D"/>
    <w:rsid w:val="00C31CD4"/>
    <w:rsid w:val="00C32C9A"/>
    <w:rsid w:val="00C32F8A"/>
    <w:rsid w:val="00C3305C"/>
    <w:rsid w:val="00C335D3"/>
    <w:rsid w:val="00C33CBF"/>
    <w:rsid w:val="00C346C3"/>
    <w:rsid w:val="00C36092"/>
    <w:rsid w:val="00C36133"/>
    <w:rsid w:val="00C36956"/>
    <w:rsid w:val="00C36BDB"/>
    <w:rsid w:val="00C3734C"/>
    <w:rsid w:val="00C40BFD"/>
    <w:rsid w:val="00C41239"/>
    <w:rsid w:val="00C41FC6"/>
    <w:rsid w:val="00C4328B"/>
    <w:rsid w:val="00C4342E"/>
    <w:rsid w:val="00C440B4"/>
    <w:rsid w:val="00C44329"/>
    <w:rsid w:val="00C449B6"/>
    <w:rsid w:val="00C44D35"/>
    <w:rsid w:val="00C44F10"/>
    <w:rsid w:val="00C454E3"/>
    <w:rsid w:val="00C45574"/>
    <w:rsid w:val="00C45773"/>
    <w:rsid w:val="00C45FF4"/>
    <w:rsid w:val="00C46000"/>
    <w:rsid w:val="00C50607"/>
    <w:rsid w:val="00C50A0E"/>
    <w:rsid w:val="00C510DD"/>
    <w:rsid w:val="00C51D50"/>
    <w:rsid w:val="00C526B7"/>
    <w:rsid w:val="00C52A6F"/>
    <w:rsid w:val="00C53212"/>
    <w:rsid w:val="00C532FF"/>
    <w:rsid w:val="00C537FC"/>
    <w:rsid w:val="00C53976"/>
    <w:rsid w:val="00C53A4A"/>
    <w:rsid w:val="00C55360"/>
    <w:rsid w:val="00C55EE6"/>
    <w:rsid w:val="00C579F9"/>
    <w:rsid w:val="00C60CA7"/>
    <w:rsid w:val="00C613F9"/>
    <w:rsid w:val="00C61607"/>
    <w:rsid w:val="00C63E9A"/>
    <w:rsid w:val="00C653DB"/>
    <w:rsid w:val="00C65542"/>
    <w:rsid w:val="00C65A8F"/>
    <w:rsid w:val="00C704B0"/>
    <w:rsid w:val="00C725ED"/>
    <w:rsid w:val="00C73B91"/>
    <w:rsid w:val="00C73D2D"/>
    <w:rsid w:val="00C73EE4"/>
    <w:rsid w:val="00C7494C"/>
    <w:rsid w:val="00C74D5C"/>
    <w:rsid w:val="00C74E1B"/>
    <w:rsid w:val="00C77E19"/>
    <w:rsid w:val="00C808D9"/>
    <w:rsid w:val="00C810F1"/>
    <w:rsid w:val="00C852EA"/>
    <w:rsid w:val="00C85F10"/>
    <w:rsid w:val="00C86831"/>
    <w:rsid w:val="00C8730A"/>
    <w:rsid w:val="00C87532"/>
    <w:rsid w:val="00C875AC"/>
    <w:rsid w:val="00C87D93"/>
    <w:rsid w:val="00C9276A"/>
    <w:rsid w:val="00C94620"/>
    <w:rsid w:val="00C946E9"/>
    <w:rsid w:val="00C95593"/>
    <w:rsid w:val="00C95DE1"/>
    <w:rsid w:val="00C9623E"/>
    <w:rsid w:val="00C963E3"/>
    <w:rsid w:val="00C96A84"/>
    <w:rsid w:val="00C97C1A"/>
    <w:rsid w:val="00C97F33"/>
    <w:rsid w:val="00CA0957"/>
    <w:rsid w:val="00CA4AF4"/>
    <w:rsid w:val="00CA5C69"/>
    <w:rsid w:val="00CA62A1"/>
    <w:rsid w:val="00CA79D1"/>
    <w:rsid w:val="00CA7D1B"/>
    <w:rsid w:val="00CB0657"/>
    <w:rsid w:val="00CB1640"/>
    <w:rsid w:val="00CB2E79"/>
    <w:rsid w:val="00CB2F9A"/>
    <w:rsid w:val="00CB37E7"/>
    <w:rsid w:val="00CB3A73"/>
    <w:rsid w:val="00CB48F7"/>
    <w:rsid w:val="00CB4BE0"/>
    <w:rsid w:val="00CB5629"/>
    <w:rsid w:val="00CB6D4E"/>
    <w:rsid w:val="00CB7CE6"/>
    <w:rsid w:val="00CC0191"/>
    <w:rsid w:val="00CC01CB"/>
    <w:rsid w:val="00CC0547"/>
    <w:rsid w:val="00CC09C1"/>
    <w:rsid w:val="00CC09D8"/>
    <w:rsid w:val="00CC0B9C"/>
    <w:rsid w:val="00CC1DA0"/>
    <w:rsid w:val="00CC38D4"/>
    <w:rsid w:val="00CC3B2B"/>
    <w:rsid w:val="00CC42CD"/>
    <w:rsid w:val="00CC4EA3"/>
    <w:rsid w:val="00CC5516"/>
    <w:rsid w:val="00CC5AAB"/>
    <w:rsid w:val="00CC739A"/>
    <w:rsid w:val="00CC73B4"/>
    <w:rsid w:val="00CC73EE"/>
    <w:rsid w:val="00CC7AEF"/>
    <w:rsid w:val="00CD0D05"/>
    <w:rsid w:val="00CD1EB8"/>
    <w:rsid w:val="00CD2326"/>
    <w:rsid w:val="00CD25CF"/>
    <w:rsid w:val="00CD26E4"/>
    <w:rsid w:val="00CD31BA"/>
    <w:rsid w:val="00CD3DD1"/>
    <w:rsid w:val="00CD3FBF"/>
    <w:rsid w:val="00CD534B"/>
    <w:rsid w:val="00CD63FF"/>
    <w:rsid w:val="00CD69BB"/>
    <w:rsid w:val="00CD7477"/>
    <w:rsid w:val="00CE004E"/>
    <w:rsid w:val="00CE03BF"/>
    <w:rsid w:val="00CE08C8"/>
    <w:rsid w:val="00CE0B3B"/>
    <w:rsid w:val="00CE0DCC"/>
    <w:rsid w:val="00CE10FC"/>
    <w:rsid w:val="00CE1B57"/>
    <w:rsid w:val="00CE2B4B"/>
    <w:rsid w:val="00CE4801"/>
    <w:rsid w:val="00CE4B38"/>
    <w:rsid w:val="00CE4F15"/>
    <w:rsid w:val="00CE5A63"/>
    <w:rsid w:val="00CE7A5F"/>
    <w:rsid w:val="00CF0F4D"/>
    <w:rsid w:val="00CF0FA7"/>
    <w:rsid w:val="00CF3398"/>
    <w:rsid w:val="00CF3796"/>
    <w:rsid w:val="00CF3861"/>
    <w:rsid w:val="00CF3BBA"/>
    <w:rsid w:val="00CF5DE7"/>
    <w:rsid w:val="00CF6975"/>
    <w:rsid w:val="00CF78EF"/>
    <w:rsid w:val="00CF7DDD"/>
    <w:rsid w:val="00D006B4"/>
    <w:rsid w:val="00D00AE6"/>
    <w:rsid w:val="00D00E4F"/>
    <w:rsid w:val="00D015C0"/>
    <w:rsid w:val="00D01B3E"/>
    <w:rsid w:val="00D0272B"/>
    <w:rsid w:val="00D027F0"/>
    <w:rsid w:val="00D03529"/>
    <w:rsid w:val="00D04C86"/>
    <w:rsid w:val="00D06560"/>
    <w:rsid w:val="00D067C0"/>
    <w:rsid w:val="00D10873"/>
    <w:rsid w:val="00D114D8"/>
    <w:rsid w:val="00D12FE8"/>
    <w:rsid w:val="00D141F4"/>
    <w:rsid w:val="00D15622"/>
    <w:rsid w:val="00D15990"/>
    <w:rsid w:val="00D15A2B"/>
    <w:rsid w:val="00D15DFB"/>
    <w:rsid w:val="00D160FE"/>
    <w:rsid w:val="00D16B38"/>
    <w:rsid w:val="00D170EF"/>
    <w:rsid w:val="00D1713B"/>
    <w:rsid w:val="00D2107B"/>
    <w:rsid w:val="00D21E40"/>
    <w:rsid w:val="00D22ACF"/>
    <w:rsid w:val="00D23600"/>
    <w:rsid w:val="00D24174"/>
    <w:rsid w:val="00D24EB4"/>
    <w:rsid w:val="00D26332"/>
    <w:rsid w:val="00D264BD"/>
    <w:rsid w:val="00D26D78"/>
    <w:rsid w:val="00D30578"/>
    <w:rsid w:val="00D3193F"/>
    <w:rsid w:val="00D32566"/>
    <w:rsid w:val="00D33AD0"/>
    <w:rsid w:val="00D33FD9"/>
    <w:rsid w:val="00D34576"/>
    <w:rsid w:val="00D34881"/>
    <w:rsid w:val="00D35899"/>
    <w:rsid w:val="00D35DE2"/>
    <w:rsid w:val="00D364D2"/>
    <w:rsid w:val="00D40560"/>
    <w:rsid w:val="00D405E4"/>
    <w:rsid w:val="00D41DC7"/>
    <w:rsid w:val="00D4327F"/>
    <w:rsid w:val="00D43D12"/>
    <w:rsid w:val="00D44111"/>
    <w:rsid w:val="00D44169"/>
    <w:rsid w:val="00D4501B"/>
    <w:rsid w:val="00D4574A"/>
    <w:rsid w:val="00D45C45"/>
    <w:rsid w:val="00D45D3B"/>
    <w:rsid w:val="00D50A5D"/>
    <w:rsid w:val="00D51842"/>
    <w:rsid w:val="00D522EA"/>
    <w:rsid w:val="00D52547"/>
    <w:rsid w:val="00D53294"/>
    <w:rsid w:val="00D537B7"/>
    <w:rsid w:val="00D53CA2"/>
    <w:rsid w:val="00D54395"/>
    <w:rsid w:val="00D549E3"/>
    <w:rsid w:val="00D55366"/>
    <w:rsid w:val="00D55806"/>
    <w:rsid w:val="00D55EF0"/>
    <w:rsid w:val="00D5601A"/>
    <w:rsid w:val="00D56B48"/>
    <w:rsid w:val="00D56CD2"/>
    <w:rsid w:val="00D56F76"/>
    <w:rsid w:val="00D5743B"/>
    <w:rsid w:val="00D60313"/>
    <w:rsid w:val="00D6091E"/>
    <w:rsid w:val="00D613D5"/>
    <w:rsid w:val="00D61973"/>
    <w:rsid w:val="00D637CF"/>
    <w:rsid w:val="00D6485E"/>
    <w:rsid w:val="00D64FC8"/>
    <w:rsid w:val="00D70278"/>
    <w:rsid w:val="00D712B1"/>
    <w:rsid w:val="00D729EA"/>
    <w:rsid w:val="00D735DD"/>
    <w:rsid w:val="00D739F0"/>
    <w:rsid w:val="00D74516"/>
    <w:rsid w:val="00D74579"/>
    <w:rsid w:val="00D74918"/>
    <w:rsid w:val="00D757CF"/>
    <w:rsid w:val="00D77A71"/>
    <w:rsid w:val="00D82502"/>
    <w:rsid w:val="00D82D8B"/>
    <w:rsid w:val="00D835D3"/>
    <w:rsid w:val="00D841DC"/>
    <w:rsid w:val="00D855B9"/>
    <w:rsid w:val="00D86674"/>
    <w:rsid w:val="00D86DB5"/>
    <w:rsid w:val="00D87188"/>
    <w:rsid w:val="00D872B1"/>
    <w:rsid w:val="00D878F0"/>
    <w:rsid w:val="00D87BF9"/>
    <w:rsid w:val="00D87E73"/>
    <w:rsid w:val="00D9020D"/>
    <w:rsid w:val="00D903FD"/>
    <w:rsid w:val="00D914BC"/>
    <w:rsid w:val="00D91A5D"/>
    <w:rsid w:val="00D91B99"/>
    <w:rsid w:val="00D93500"/>
    <w:rsid w:val="00D94F0A"/>
    <w:rsid w:val="00D95589"/>
    <w:rsid w:val="00D95F4B"/>
    <w:rsid w:val="00D96734"/>
    <w:rsid w:val="00D97019"/>
    <w:rsid w:val="00D97C83"/>
    <w:rsid w:val="00DA0668"/>
    <w:rsid w:val="00DA0939"/>
    <w:rsid w:val="00DA27F0"/>
    <w:rsid w:val="00DA2EB6"/>
    <w:rsid w:val="00DA3F11"/>
    <w:rsid w:val="00DA41F0"/>
    <w:rsid w:val="00DA4945"/>
    <w:rsid w:val="00DA59FA"/>
    <w:rsid w:val="00DA5E8A"/>
    <w:rsid w:val="00DA6F27"/>
    <w:rsid w:val="00DA7CF4"/>
    <w:rsid w:val="00DB03AF"/>
    <w:rsid w:val="00DB33C8"/>
    <w:rsid w:val="00DB3846"/>
    <w:rsid w:val="00DB41EF"/>
    <w:rsid w:val="00DB46FC"/>
    <w:rsid w:val="00DB5389"/>
    <w:rsid w:val="00DB584E"/>
    <w:rsid w:val="00DB59F6"/>
    <w:rsid w:val="00DB5D22"/>
    <w:rsid w:val="00DB723D"/>
    <w:rsid w:val="00DB75DB"/>
    <w:rsid w:val="00DC1563"/>
    <w:rsid w:val="00DC1CA1"/>
    <w:rsid w:val="00DC2EE2"/>
    <w:rsid w:val="00DC3ABF"/>
    <w:rsid w:val="00DC5543"/>
    <w:rsid w:val="00DC6253"/>
    <w:rsid w:val="00DD037C"/>
    <w:rsid w:val="00DD12CC"/>
    <w:rsid w:val="00DD26FD"/>
    <w:rsid w:val="00DD2C71"/>
    <w:rsid w:val="00DD32D4"/>
    <w:rsid w:val="00DD3387"/>
    <w:rsid w:val="00DD3514"/>
    <w:rsid w:val="00DD36F7"/>
    <w:rsid w:val="00DD402F"/>
    <w:rsid w:val="00DD4640"/>
    <w:rsid w:val="00DD5280"/>
    <w:rsid w:val="00DD54F7"/>
    <w:rsid w:val="00DD6275"/>
    <w:rsid w:val="00DD7499"/>
    <w:rsid w:val="00DD7638"/>
    <w:rsid w:val="00DD7958"/>
    <w:rsid w:val="00DD7B01"/>
    <w:rsid w:val="00DE00CF"/>
    <w:rsid w:val="00DE1DCC"/>
    <w:rsid w:val="00DE21F8"/>
    <w:rsid w:val="00DE28FD"/>
    <w:rsid w:val="00DE2BBD"/>
    <w:rsid w:val="00DE4049"/>
    <w:rsid w:val="00DE42B6"/>
    <w:rsid w:val="00DE43D7"/>
    <w:rsid w:val="00DE445A"/>
    <w:rsid w:val="00DE4AC1"/>
    <w:rsid w:val="00DE547A"/>
    <w:rsid w:val="00DE55F9"/>
    <w:rsid w:val="00DE5734"/>
    <w:rsid w:val="00DE5A90"/>
    <w:rsid w:val="00DE6489"/>
    <w:rsid w:val="00DE671D"/>
    <w:rsid w:val="00DE67C0"/>
    <w:rsid w:val="00DE69F8"/>
    <w:rsid w:val="00DE6F4B"/>
    <w:rsid w:val="00DE7EC2"/>
    <w:rsid w:val="00DE7FD7"/>
    <w:rsid w:val="00DF0CB2"/>
    <w:rsid w:val="00DF0E4F"/>
    <w:rsid w:val="00DF14A8"/>
    <w:rsid w:val="00DF1F7A"/>
    <w:rsid w:val="00DF52C9"/>
    <w:rsid w:val="00DF7384"/>
    <w:rsid w:val="00E006E6"/>
    <w:rsid w:val="00E008D6"/>
    <w:rsid w:val="00E01411"/>
    <w:rsid w:val="00E01CE5"/>
    <w:rsid w:val="00E02068"/>
    <w:rsid w:val="00E03A88"/>
    <w:rsid w:val="00E06125"/>
    <w:rsid w:val="00E073E9"/>
    <w:rsid w:val="00E07470"/>
    <w:rsid w:val="00E0777F"/>
    <w:rsid w:val="00E07A57"/>
    <w:rsid w:val="00E10DC7"/>
    <w:rsid w:val="00E1199D"/>
    <w:rsid w:val="00E12ACF"/>
    <w:rsid w:val="00E151ED"/>
    <w:rsid w:val="00E15291"/>
    <w:rsid w:val="00E15779"/>
    <w:rsid w:val="00E15F89"/>
    <w:rsid w:val="00E16D4D"/>
    <w:rsid w:val="00E21141"/>
    <w:rsid w:val="00E2283A"/>
    <w:rsid w:val="00E22D3C"/>
    <w:rsid w:val="00E233BA"/>
    <w:rsid w:val="00E23887"/>
    <w:rsid w:val="00E241BC"/>
    <w:rsid w:val="00E255B1"/>
    <w:rsid w:val="00E256CC"/>
    <w:rsid w:val="00E26777"/>
    <w:rsid w:val="00E2794E"/>
    <w:rsid w:val="00E27974"/>
    <w:rsid w:val="00E30497"/>
    <w:rsid w:val="00E30664"/>
    <w:rsid w:val="00E30738"/>
    <w:rsid w:val="00E30D99"/>
    <w:rsid w:val="00E310E9"/>
    <w:rsid w:val="00E3189E"/>
    <w:rsid w:val="00E326A9"/>
    <w:rsid w:val="00E32B19"/>
    <w:rsid w:val="00E32C9A"/>
    <w:rsid w:val="00E332B0"/>
    <w:rsid w:val="00E3372E"/>
    <w:rsid w:val="00E33D72"/>
    <w:rsid w:val="00E34851"/>
    <w:rsid w:val="00E35139"/>
    <w:rsid w:val="00E351CC"/>
    <w:rsid w:val="00E36D36"/>
    <w:rsid w:val="00E36F2B"/>
    <w:rsid w:val="00E400DD"/>
    <w:rsid w:val="00E41B56"/>
    <w:rsid w:val="00E4217C"/>
    <w:rsid w:val="00E43064"/>
    <w:rsid w:val="00E4342B"/>
    <w:rsid w:val="00E441CC"/>
    <w:rsid w:val="00E4436B"/>
    <w:rsid w:val="00E44978"/>
    <w:rsid w:val="00E44CFB"/>
    <w:rsid w:val="00E44E26"/>
    <w:rsid w:val="00E450D8"/>
    <w:rsid w:val="00E454D3"/>
    <w:rsid w:val="00E469CE"/>
    <w:rsid w:val="00E46B91"/>
    <w:rsid w:val="00E46E0E"/>
    <w:rsid w:val="00E47A6D"/>
    <w:rsid w:val="00E504CC"/>
    <w:rsid w:val="00E50BB7"/>
    <w:rsid w:val="00E51752"/>
    <w:rsid w:val="00E51CA0"/>
    <w:rsid w:val="00E52FB4"/>
    <w:rsid w:val="00E535A0"/>
    <w:rsid w:val="00E54454"/>
    <w:rsid w:val="00E56267"/>
    <w:rsid w:val="00E56FC1"/>
    <w:rsid w:val="00E571DF"/>
    <w:rsid w:val="00E575A4"/>
    <w:rsid w:val="00E60157"/>
    <w:rsid w:val="00E6051D"/>
    <w:rsid w:val="00E61CDD"/>
    <w:rsid w:val="00E61D92"/>
    <w:rsid w:val="00E62CA9"/>
    <w:rsid w:val="00E64503"/>
    <w:rsid w:val="00E64C4B"/>
    <w:rsid w:val="00E65ECD"/>
    <w:rsid w:val="00E663A4"/>
    <w:rsid w:val="00E66E24"/>
    <w:rsid w:val="00E7027C"/>
    <w:rsid w:val="00E71E54"/>
    <w:rsid w:val="00E727F9"/>
    <w:rsid w:val="00E72BDB"/>
    <w:rsid w:val="00E7325A"/>
    <w:rsid w:val="00E748AF"/>
    <w:rsid w:val="00E7600E"/>
    <w:rsid w:val="00E7621E"/>
    <w:rsid w:val="00E76DD0"/>
    <w:rsid w:val="00E76F9D"/>
    <w:rsid w:val="00E77EA0"/>
    <w:rsid w:val="00E8206C"/>
    <w:rsid w:val="00E82FB1"/>
    <w:rsid w:val="00E831C9"/>
    <w:rsid w:val="00E83450"/>
    <w:rsid w:val="00E8571D"/>
    <w:rsid w:val="00E8652D"/>
    <w:rsid w:val="00E86663"/>
    <w:rsid w:val="00E8687D"/>
    <w:rsid w:val="00E87C0D"/>
    <w:rsid w:val="00E9009C"/>
    <w:rsid w:val="00E90D10"/>
    <w:rsid w:val="00E91832"/>
    <w:rsid w:val="00E9344E"/>
    <w:rsid w:val="00E934BE"/>
    <w:rsid w:val="00E94147"/>
    <w:rsid w:val="00E946C3"/>
    <w:rsid w:val="00E94DF6"/>
    <w:rsid w:val="00E951A1"/>
    <w:rsid w:val="00E956A4"/>
    <w:rsid w:val="00E95E60"/>
    <w:rsid w:val="00E963CB"/>
    <w:rsid w:val="00E96692"/>
    <w:rsid w:val="00E9796E"/>
    <w:rsid w:val="00E97979"/>
    <w:rsid w:val="00E97B70"/>
    <w:rsid w:val="00EA0549"/>
    <w:rsid w:val="00EA061F"/>
    <w:rsid w:val="00EA06BC"/>
    <w:rsid w:val="00EA0AD2"/>
    <w:rsid w:val="00EA0BC6"/>
    <w:rsid w:val="00EA16B5"/>
    <w:rsid w:val="00EA1905"/>
    <w:rsid w:val="00EA1A18"/>
    <w:rsid w:val="00EA20DA"/>
    <w:rsid w:val="00EA3304"/>
    <w:rsid w:val="00EA3F75"/>
    <w:rsid w:val="00EA40E1"/>
    <w:rsid w:val="00EA45D3"/>
    <w:rsid w:val="00EA488F"/>
    <w:rsid w:val="00EA656A"/>
    <w:rsid w:val="00EA673E"/>
    <w:rsid w:val="00EB0167"/>
    <w:rsid w:val="00EB0B8F"/>
    <w:rsid w:val="00EB0F50"/>
    <w:rsid w:val="00EB155D"/>
    <w:rsid w:val="00EB37C2"/>
    <w:rsid w:val="00EB4688"/>
    <w:rsid w:val="00EB49B9"/>
    <w:rsid w:val="00EB6B97"/>
    <w:rsid w:val="00EB6EA3"/>
    <w:rsid w:val="00EB71F0"/>
    <w:rsid w:val="00EB7B72"/>
    <w:rsid w:val="00EB7E3F"/>
    <w:rsid w:val="00EC0BAA"/>
    <w:rsid w:val="00EC1BC6"/>
    <w:rsid w:val="00EC1DAB"/>
    <w:rsid w:val="00EC215C"/>
    <w:rsid w:val="00EC29F5"/>
    <w:rsid w:val="00EC3D26"/>
    <w:rsid w:val="00EC4A14"/>
    <w:rsid w:val="00EC4CE3"/>
    <w:rsid w:val="00EC4EA8"/>
    <w:rsid w:val="00EC5144"/>
    <w:rsid w:val="00EC7788"/>
    <w:rsid w:val="00EC78F1"/>
    <w:rsid w:val="00ED006D"/>
    <w:rsid w:val="00ED0E1C"/>
    <w:rsid w:val="00ED1B79"/>
    <w:rsid w:val="00ED22E6"/>
    <w:rsid w:val="00ED256F"/>
    <w:rsid w:val="00ED43FB"/>
    <w:rsid w:val="00ED4CB7"/>
    <w:rsid w:val="00ED514D"/>
    <w:rsid w:val="00ED540B"/>
    <w:rsid w:val="00ED6158"/>
    <w:rsid w:val="00ED66F2"/>
    <w:rsid w:val="00ED6980"/>
    <w:rsid w:val="00ED6B1E"/>
    <w:rsid w:val="00ED6EC6"/>
    <w:rsid w:val="00EE0B21"/>
    <w:rsid w:val="00EE161B"/>
    <w:rsid w:val="00EE23C3"/>
    <w:rsid w:val="00EE2B4D"/>
    <w:rsid w:val="00EE334B"/>
    <w:rsid w:val="00EE36FA"/>
    <w:rsid w:val="00EE3A1C"/>
    <w:rsid w:val="00EE3B44"/>
    <w:rsid w:val="00EE408A"/>
    <w:rsid w:val="00EE4C66"/>
    <w:rsid w:val="00EE5165"/>
    <w:rsid w:val="00EE51D8"/>
    <w:rsid w:val="00EE5F03"/>
    <w:rsid w:val="00EE7584"/>
    <w:rsid w:val="00EF07ED"/>
    <w:rsid w:val="00EF104D"/>
    <w:rsid w:val="00EF11AB"/>
    <w:rsid w:val="00EF1CED"/>
    <w:rsid w:val="00EF27B2"/>
    <w:rsid w:val="00EF2B28"/>
    <w:rsid w:val="00EF55D5"/>
    <w:rsid w:val="00EF60BF"/>
    <w:rsid w:val="00F00496"/>
    <w:rsid w:val="00F00583"/>
    <w:rsid w:val="00F006CE"/>
    <w:rsid w:val="00F013BD"/>
    <w:rsid w:val="00F017AA"/>
    <w:rsid w:val="00F02B47"/>
    <w:rsid w:val="00F03238"/>
    <w:rsid w:val="00F03F5E"/>
    <w:rsid w:val="00F04975"/>
    <w:rsid w:val="00F04E00"/>
    <w:rsid w:val="00F05329"/>
    <w:rsid w:val="00F05F1F"/>
    <w:rsid w:val="00F06681"/>
    <w:rsid w:val="00F06989"/>
    <w:rsid w:val="00F07013"/>
    <w:rsid w:val="00F07D8C"/>
    <w:rsid w:val="00F10039"/>
    <w:rsid w:val="00F10EF1"/>
    <w:rsid w:val="00F11028"/>
    <w:rsid w:val="00F1278E"/>
    <w:rsid w:val="00F12889"/>
    <w:rsid w:val="00F13A7C"/>
    <w:rsid w:val="00F13BCB"/>
    <w:rsid w:val="00F152EF"/>
    <w:rsid w:val="00F15CB0"/>
    <w:rsid w:val="00F166F0"/>
    <w:rsid w:val="00F16F99"/>
    <w:rsid w:val="00F2168E"/>
    <w:rsid w:val="00F219C3"/>
    <w:rsid w:val="00F220DF"/>
    <w:rsid w:val="00F22954"/>
    <w:rsid w:val="00F229D4"/>
    <w:rsid w:val="00F22F2B"/>
    <w:rsid w:val="00F236D9"/>
    <w:rsid w:val="00F2370D"/>
    <w:rsid w:val="00F237F1"/>
    <w:rsid w:val="00F24799"/>
    <w:rsid w:val="00F24B27"/>
    <w:rsid w:val="00F25431"/>
    <w:rsid w:val="00F25447"/>
    <w:rsid w:val="00F25D93"/>
    <w:rsid w:val="00F25ED4"/>
    <w:rsid w:val="00F2669F"/>
    <w:rsid w:val="00F267E6"/>
    <w:rsid w:val="00F30495"/>
    <w:rsid w:val="00F30F35"/>
    <w:rsid w:val="00F317F9"/>
    <w:rsid w:val="00F32EA2"/>
    <w:rsid w:val="00F33694"/>
    <w:rsid w:val="00F342B4"/>
    <w:rsid w:val="00F344F3"/>
    <w:rsid w:val="00F34BE6"/>
    <w:rsid w:val="00F35532"/>
    <w:rsid w:val="00F35B1F"/>
    <w:rsid w:val="00F36C32"/>
    <w:rsid w:val="00F3717E"/>
    <w:rsid w:val="00F37AF1"/>
    <w:rsid w:val="00F4022F"/>
    <w:rsid w:val="00F40653"/>
    <w:rsid w:val="00F40971"/>
    <w:rsid w:val="00F413B7"/>
    <w:rsid w:val="00F41452"/>
    <w:rsid w:val="00F41A85"/>
    <w:rsid w:val="00F41B76"/>
    <w:rsid w:val="00F41BBC"/>
    <w:rsid w:val="00F41F03"/>
    <w:rsid w:val="00F43467"/>
    <w:rsid w:val="00F444C9"/>
    <w:rsid w:val="00F44E78"/>
    <w:rsid w:val="00F45225"/>
    <w:rsid w:val="00F462F9"/>
    <w:rsid w:val="00F46DE7"/>
    <w:rsid w:val="00F47462"/>
    <w:rsid w:val="00F47868"/>
    <w:rsid w:val="00F500DE"/>
    <w:rsid w:val="00F50101"/>
    <w:rsid w:val="00F50586"/>
    <w:rsid w:val="00F517ED"/>
    <w:rsid w:val="00F52513"/>
    <w:rsid w:val="00F5356A"/>
    <w:rsid w:val="00F54AF1"/>
    <w:rsid w:val="00F552F7"/>
    <w:rsid w:val="00F55591"/>
    <w:rsid w:val="00F558C4"/>
    <w:rsid w:val="00F560F8"/>
    <w:rsid w:val="00F5719F"/>
    <w:rsid w:val="00F571D0"/>
    <w:rsid w:val="00F5757D"/>
    <w:rsid w:val="00F60144"/>
    <w:rsid w:val="00F60470"/>
    <w:rsid w:val="00F60DCA"/>
    <w:rsid w:val="00F6176A"/>
    <w:rsid w:val="00F635A5"/>
    <w:rsid w:val="00F63E5F"/>
    <w:rsid w:val="00F63EA7"/>
    <w:rsid w:val="00F64407"/>
    <w:rsid w:val="00F6448D"/>
    <w:rsid w:val="00F64C49"/>
    <w:rsid w:val="00F64F4B"/>
    <w:rsid w:val="00F653F5"/>
    <w:rsid w:val="00F668CF"/>
    <w:rsid w:val="00F66DAE"/>
    <w:rsid w:val="00F66E6B"/>
    <w:rsid w:val="00F67C3D"/>
    <w:rsid w:val="00F7167A"/>
    <w:rsid w:val="00F725B3"/>
    <w:rsid w:val="00F731B9"/>
    <w:rsid w:val="00F731C5"/>
    <w:rsid w:val="00F7392D"/>
    <w:rsid w:val="00F745A0"/>
    <w:rsid w:val="00F74617"/>
    <w:rsid w:val="00F7534F"/>
    <w:rsid w:val="00F753C2"/>
    <w:rsid w:val="00F759D1"/>
    <w:rsid w:val="00F76045"/>
    <w:rsid w:val="00F76739"/>
    <w:rsid w:val="00F769E3"/>
    <w:rsid w:val="00F77365"/>
    <w:rsid w:val="00F77746"/>
    <w:rsid w:val="00F77AFA"/>
    <w:rsid w:val="00F77B93"/>
    <w:rsid w:val="00F77CF9"/>
    <w:rsid w:val="00F817A0"/>
    <w:rsid w:val="00F817AD"/>
    <w:rsid w:val="00F82883"/>
    <w:rsid w:val="00F82E05"/>
    <w:rsid w:val="00F830AB"/>
    <w:rsid w:val="00F833F5"/>
    <w:rsid w:val="00F8441D"/>
    <w:rsid w:val="00F84495"/>
    <w:rsid w:val="00F84837"/>
    <w:rsid w:val="00F85B08"/>
    <w:rsid w:val="00F86469"/>
    <w:rsid w:val="00F86B2F"/>
    <w:rsid w:val="00F87E48"/>
    <w:rsid w:val="00F906C4"/>
    <w:rsid w:val="00F92626"/>
    <w:rsid w:val="00F93310"/>
    <w:rsid w:val="00F952D5"/>
    <w:rsid w:val="00F96785"/>
    <w:rsid w:val="00F969B0"/>
    <w:rsid w:val="00F97A32"/>
    <w:rsid w:val="00FA0FB8"/>
    <w:rsid w:val="00FA2A73"/>
    <w:rsid w:val="00FA2F37"/>
    <w:rsid w:val="00FA35E6"/>
    <w:rsid w:val="00FA3F32"/>
    <w:rsid w:val="00FA5185"/>
    <w:rsid w:val="00FA5257"/>
    <w:rsid w:val="00FA56C8"/>
    <w:rsid w:val="00FA5923"/>
    <w:rsid w:val="00FA6915"/>
    <w:rsid w:val="00FA6A6A"/>
    <w:rsid w:val="00FB06D1"/>
    <w:rsid w:val="00FB2A91"/>
    <w:rsid w:val="00FB3249"/>
    <w:rsid w:val="00FB35A6"/>
    <w:rsid w:val="00FB402E"/>
    <w:rsid w:val="00FB70C2"/>
    <w:rsid w:val="00FB7803"/>
    <w:rsid w:val="00FB7891"/>
    <w:rsid w:val="00FC048E"/>
    <w:rsid w:val="00FC0617"/>
    <w:rsid w:val="00FC1724"/>
    <w:rsid w:val="00FC2C56"/>
    <w:rsid w:val="00FC37EC"/>
    <w:rsid w:val="00FC411F"/>
    <w:rsid w:val="00FC534C"/>
    <w:rsid w:val="00FC5442"/>
    <w:rsid w:val="00FC55F0"/>
    <w:rsid w:val="00FC7C13"/>
    <w:rsid w:val="00FD0286"/>
    <w:rsid w:val="00FD397D"/>
    <w:rsid w:val="00FD46D5"/>
    <w:rsid w:val="00FD4ACB"/>
    <w:rsid w:val="00FD5C91"/>
    <w:rsid w:val="00FD6278"/>
    <w:rsid w:val="00FD7534"/>
    <w:rsid w:val="00FD79F4"/>
    <w:rsid w:val="00FD7E5D"/>
    <w:rsid w:val="00FE0C72"/>
    <w:rsid w:val="00FE0CB2"/>
    <w:rsid w:val="00FE0F23"/>
    <w:rsid w:val="00FE1B9F"/>
    <w:rsid w:val="00FE3F5E"/>
    <w:rsid w:val="00FE4442"/>
    <w:rsid w:val="00FE5B9C"/>
    <w:rsid w:val="00FE5CEC"/>
    <w:rsid w:val="00FE6B08"/>
    <w:rsid w:val="00FF0067"/>
    <w:rsid w:val="00FF1AA6"/>
    <w:rsid w:val="00FF2CC5"/>
    <w:rsid w:val="00FF31B5"/>
    <w:rsid w:val="00FF5070"/>
    <w:rsid w:val="00FF5153"/>
    <w:rsid w:val="00FF5B2D"/>
    <w:rsid w:val="00FF5F5F"/>
    <w:rsid w:val="00FF6402"/>
    <w:rsid w:val="00FF64C4"/>
    <w:rsid w:val="00FF721D"/>
    <w:rsid w:val="00FF7923"/>
    <w:rsid w:val="00FF7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94084A"/>
  <w15:docId w15:val="{07853BDA-5E0B-40C0-A4B6-80CCDA3E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7">
    <w:lsdException w:name="Normal" w:uiPriority="47" w:qFormat="1"/>
    <w:lsdException w:name="heading 1" w:uiPriority="4" w:qFormat="1"/>
    <w:lsdException w:name="heading 2" w:semiHidden="1" w:uiPriority="4" w:qFormat="1"/>
    <w:lsdException w:name="heading 3" w:semiHidden="1" w:uiPriority="4" w:qFormat="1"/>
    <w:lsdException w:name="heading 4" w:semiHidden="1" w:uiPriority="4" w:qFormat="1"/>
    <w:lsdException w:name="heading 5" w:semiHidden="1" w:uiPriority="4" w:qFormat="1"/>
    <w:lsdException w:name="heading 6" w:semiHidden="1"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9" w:unhideWhenUsed="1"/>
    <w:lsdException w:name="toc 2" w:semiHidden="1" w:uiPriority="49" w:unhideWhenUsed="1"/>
    <w:lsdException w:name="toc 3" w:semiHidden="1" w:uiPriority="4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lsdException w:name="List Number 4" w:semiHidden="1" w:uiPriority="7" w:unhideWhenUsed="1"/>
    <w:lsdException w:name="List Number 5" w:semiHidden="1" w:uiPriority="7"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47"/>
    <w:qFormat/>
    <w:pPr>
      <w:spacing w:after="0"/>
    </w:pPr>
    <w:rPr>
      <w:rFonts w:ascii="Arial" w:hAnsi="Arial" w:cs="Arial"/>
      <w:sz w:val="20"/>
      <w:szCs w:val="20"/>
    </w:rPr>
  </w:style>
  <w:style w:type="paragraph" w:styleId="Heading1">
    <w:name w:val="heading 1"/>
    <w:basedOn w:val="Normal"/>
    <w:link w:val="Heading1Char"/>
    <w:uiPriority w:val="4"/>
    <w:qFormat/>
    <w:rsid w:val="00BA6609"/>
    <w:pPr>
      <w:numPr>
        <w:numId w:val="9"/>
      </w:numPr>
      <w:spacing w:after="240"/>
      <w:outlineLvl w:val="0"/>
    </w:pPr>
    <w:rPr>
      <w:rFonts w:eastAsiaTheme="majorEastAsia"/>
      <w:b/>
      <w:bCs/>
      <w:sz w:val="72"/>
      <w:szCs w:val="28"/>
    </w:rPr>
  </w:style>
  <w:style w:type="paragraph" w:styleId="Heading2">
    <w:name w:val="heading 2"/>
    <w:basedOn w:val="Normal"/>
    <w:link w:val="Heading2Char"/>
    <w:uiPriority w:val="4"/>
    <w:qFormat/>
    <w:rsid w:val="00BA6609"/>
    <w:pPr>
      <w:numPr>
        <w:ilvl w:val="1"/>
        <w:numId w:val="9"/>
      </w:numPr>
      <w:spacing w:after="240"/>
      <w:outlineLvl w:val="1"/>
    </w:pPr>
    <w:rPr>
      <w:rFonts w:eastAsiaTheme="majorEastAsia"/>
      <w:b/>
      <w:bCs/>
      <w:sz w:val="48"/>
      <w:szCs w:val="26"/>
    </w:rPr>
  </w:style>
  <w:style w:type="paragraph" w:styleId="Heading3">
    <w:name w:val="heading 3"/>
    <w:basedOn w:val="Normal"/>
    <w:link w:val="Heading3Char"/>
    <w:uiPriority w:val="4"/>
    <w:qFormat/>
    <w:rsid w:val="00BA6609"/>
    <w:pPr>
      <w:numPr>
        <w:ilvl w:val="2"/>
        <w:numId w:val="9"/>
      </w:numPr>
      <w:spacing w:after="240"/>
      <w:outlineLvl w:val="2"/>
    </w:pPr>
    <w:rPr>
      <w:rFonts w:eastAsiaTheme="majorEastAsia"/>
      <w:b/>
      <w:bCs/>
      <w:sz w:val="36"/>
      <w:szCs w:val="24"/>
    </w:rPr>
  </w:style>
  <w:style w:type="paragraph" w:styleId="Heading4">
    <w:name w:val="heading 4"/>
    <w:basedOn w:val="Normal"/>
    <w:link w:val="Heading4Char"/>
    <w:uiPriority w:val="4"/>
    <w:qFormat/>
    <w:rsid w:val="00BA6609"/>
    <w:pPr>
      <w:numPr>
        <w:ilvl w:val="3"/>
        <w:numId w:val="9"/>
      </w:numPr>
      <w:spacing w:after="240"/>
      <w:outlineLvl w:val="3"/>
    </w:pPr>
    <w:rPr>
      <w:rFonts w:eastAsiaTheme="majorEastAsia"/>
      <w:bCs/>
      <w:iCs/>
      <w:sz w:val="24"/>
      <w:szCs w:val="24"/>
    </w:rPr>
  </w:style>
  <w:style w:type="paragraph" w:styleId="Heading5">
    <w:name w:val="heading 5"/>
    <w:basedOn w:val="Normal"/>
    <w:link w:val="Heading5Char"/>
    <w:uiPriority w:val="4"/>
    <w:qFormat/>
    <w:rsid w:val="00BA6609"/>
    <w:pPr>
      <w:numPr>
        <w:ilvl w:val="4"/>
        <w:numId w:val="9"/>
      </w:numPr>
      <w:spacing w:after="240"/>
      <w:outlineLvl w:val="4"/>
    </w:pPr>
    <w:rPr>
      <w:rFonts w:asciiTheme="majorHAnsi" w:eastAsiaTheme="majorEastAsia" w:hAnsiTheme="majorHAnsi" w:cstheme="majorBidi"/>
      <w:sz w:val="24"/>
      <w:szCs w:val="24"/>
    </w:rPr>
  </w:style>
  <w:style w:type="paragraph" w:styleId="Heading6">
    <w:name w:val="heading 6"/>
    <w:basedOn w:val="Normal"/>
    <w:link w:val="Heading6Char"/>
    <w:uiPriority w:val="4"/>
    <w:qFormat/>
    <w:rsid w:val="00BA6609"/>
    <w:pPr>
      <w:numPr>
        <w:ilvl w:val="5"/>
        <w:numId w:val="9"/>
      </w:numPr>
      <w:spacing w:after="240"/>
      <w:outlineLvl w:val="5"/>
    </w:pPr>
    <w:rPr>
      <w:rFonts w:asciiTheme="majorHAnsi" w:eastAsiaTheme="majorEastAsia" w:hAnsiTheme="majorHAnsi" w:cstheme="majorBidi"/>
      <w:iCs/>
      <w:sz w:val="24"/>
      <w:szCs w:val="24"/>
    </w:rPr>
  </w:style>
  <w:style w:type="paragraph" w:styleId="Heading7">
    <w:name w:val="heading 7"/>
    <w:basedOn w:val="Normal"/>
    <w:link w:val="Heading7Char"/>
    <w:uiPriority w:val="4"/>
    <w:qFormat/>
    <w:rsid w:val="00BA6609"/>
    <w:pPr>
      <w:numPr>
        <w:ilvl w:val="6"/>
        <w:numId w:val="9"/>
      </w:numPr>
      <w:spacing w:after="240"/>
      <w:outlineLvl w:val="6"/>
    </w:pPr>
    <w:rPr>
      <w:rFonts w:asciiTheme="majorHAnsi" w:eastAsiaTheme="majorEastAsia" w:hAnsiTheme="majorHAnsi" w:cstheme="majorBidi"/>
      <w:iCs/>
      <w:sz w:val="24"/>
      <w:szCs w:val="24"/>
    </w:rPr>
  </w:style>
  <w:style w:type="paragraph" w:styleId="Heading8">
    <w:name w:val="heading 8"/>
    <w:basedOn w:val="Normal"/>
    <w:link w:val="Heading8Char"/>
    <w:uiPriority w:val="4"/>
    <w:qFormat/>
    <w:rsid w:val="00BA6609"/>
    <w:pPr>
      <w:numPr>
        <w:ilvl w:val="7"/>
        <w:numId w:val="9"/>
      </w:numPr>
      <w:spacing w:after="240"/>
      <w:outlineLvl w:val="7"/>
    </w:pPr>
    <w:rPr>
      <w:rFonts w:asciiTheme="majorHAnsi" w:eastAsiaTheme="majorEastAsia" w:hAnsiTheme="majorHAnsi" w:cstheme="majorBidi"/>
      <w:sz w:val="24"/>
    </w:rPr>
  </w:style>
  <w:style w:type="paragraph" w:styleId="Heading9">
    <w:name w:val="heading 9"/>
    <w:basedOn w:val="Normal"/>
    <w:link w:val="Heading9Char"/>
    <w:uiPriority w:val="4"/>
    <w:qFormat/>
    <w:rsid w:val="00BA6609"/>
    <w:pPr>
      <w:numPr>
        <w:ilvl w:val="8"/>
        <w:numId w:val="9"/>
      </w:numPr>
      <w:spacing w:after="240"/>
      <w:outlineLvl w:val="8"/>
    </w:pPr>
    <w:rPr>
      <w:rFonts w:asciiTheme="majorHAnsi" w:eastAsiaTheme="majorEastAsia" w:hAnsiTheme="majorHAnsi"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
    <w:name w:val="O-Body Text ()"/>
    <w:aliases w:val="1Body,s1"/>
    <w:basedOn w:val="Normal"/>
    <w:link w:val="O-BodyTextChar"/>
    <w:qFormat/>
    <w:rPr>
      <w:rFonts w:eastAsia="Times New Roman"/>
    </w:rPr>
  </w:style>
  <w:style w:type="paragraph" w:customStyle="1" w:styleId="O-BodyTextDS">
    <w:name w:val="O-Body Text (DS)"/>
    <w:aliases w:val="2Body,s28"/>
    <w:basedOn w:val="Normal"/>
    <w:uiPriority w:val="4"/>
    <w:qFormat/>
    <w:pPr>
      <w:spacing w:line="480" w:lineRule="auto"/>
    </w:pPr>
    <w:rPr>
      <w:rFonts w:eastAsia="Times New Roman"/>
    </w:rPr>
  </w:style>
  <w:style w:type="paragraph" w:customStyle="1" w:styleId="O-BodyTextJ">
    <w:name w:val="O-Body Text (J)"/>
    <w:aliases w:val="3Body,s13"/>
    <w:basedOn w:val="Normal"/>
    <w:uiPriority w:val="7"/>
    <w:qFormat/>
    <w:pPr>
      <w:jc w:val="both"/>
    </w:pPr>
    <w:rPr>
      <w:rFonts w:eastAsia="Times New Roman"/>
    </w:rPr>
  </w:style>
  <w:style w:type="paragraph" w:customStyle="1" w:styleId="O-BodyText5">
    <w:name w:val="O-Body Text .5&quot;"/>
    <w:aliases w:val="1Half,s2"/>
    <w:uiPriority w:val="1"/>
    <w:qFormat/>
    <w:pPr>
      <w:ind w:firstLine="720"/>
    </w:pPr>
    <w:rPr>
      <w:rFonts w:eastAsia="Times New Roman"/>
    </w:rPr>
  </w:style>
  <w:style w:type="paragraph" w:customStyle="1" w:styleId="O-BodyText5DS">
    <w:name w:val="O-Body Text .5” (DS)"/>
    <w:aliases w:val="2Half,s29"/>
    <w:basedOn w:val="Normal"/>
    <w:uiPriority w:val="5"/>
    <w:qFormat/>
    <w:pPr>
      <w:spacing w:line="480" w:lineRule="auto"/>
      <w:ind w:firstLine="720"/>
    </w:pPr>
    <w:rPr>
      <w:rFonts w:eastAsia="Times New Roman"/>
    </w:rPr>
  </w:style>
  <w:style w:type="paragraph" w:customStyle="1" w:styleId="O-BodyText5J">
    <w:name w:val="O-Body Text .5” (J)"/>
    <w:aliases w:val="3Half,s14"/>
    <w:basedOn w:val="Normal"/>
    <w:uiPriority w:val="7"/>
    <w:qFormat/>
    <w:pPr>
      <w:ind w:firstLine="720"/>
      <w:jc w:val="both"/>
    </w:pPr>
    <w:rPr>
      <w:rFonts w:eastAsia="Times New Roman"/>
    </w:rPr>
  </w:style>
  <w:style w:type="paragraph" w:customStyle="1" w:styleId="O-BodyText1">
    <w:name w:val="O-Body Text 1&quot;"/>
    <w:aliases w:val="1Full,s3"/>
    <w:basedOn w:val="Normal"/>
    <w:uiPriority w:val="2"/>
    <w:qFormat/>
    <w:pPr>
      <w:ind w:firstLine="1440"/>
    </w:pPr>
    <w:rPr>
      <w:rFonts w:eastAsia="Times New Roman"/>
    </w:rPr>
  </w:style>
  <w:style w:type="paragraph" w:customStyle="1" w:styleId="O-BodyText1DS">
    <w:name w:val="O-Body Text 1” (DS)"/>
    <w:aliases w:val="2Full,s30"/>
    <w:basedOn w:val="Normal"/>
    <w:uiPriority w:val="6"/>
    <w:qFormat/>
    <w:pPr>
      <w:spacing w:line="480" w:lineRule="auto"/>
      <w:ind w:firstLine="1440"/>
    </w:pPr>
    <w:rPr>
      <w:rFonts w:eastAsia="Times New Roman"/>
    </w:rPr>
  </w:style>
  <w:style w:type="paragraph" w:customStyle="1" w:styleId="O-BodyText1J">
    <w:name w:val="O-Body Text 1” (J)"/>
    <w:aliases w:val="3Full,s15"/>
    <w:basedOn w:val="Normal"/>
    <w:uiPriority w:val="7"/>
    <w:qFormat/>
    <w:pPr>
      <w:ind w:firstLine="1440"/>
      <w:jc w:val="both"/>
    </w:pPr>
    <w:rPr>
      <w:rFonts w:eastAsia="Times New Roman"/>
    </w:rPr>
  </w:style>
  <w:style w:type="paragraph" w:customStyle="1" w:styleId="O-Bullet">
    <w:name w:val="O-Bullet ()"/>
    <w:aliases w:val="1Bullet,s4"/>
    <w:uiPriority w:val="32"/>
    <w:qFormat/>
    <w:pPr>
      <w:numPr>
        <w:numId w:val="1"/>
      </w:numPr>
    </w:pPr>
    <w:rPr>
      <w:rFonts w:eastAsia="Times New Roman"/>
    </w:rPr>
  </w:style>
  <w:style w:type="paragraph" w:customStyle="1" w:styleId="O-Bullet5">
    <w:name w:val="O-Bullet .5&quot;"/>
    <w:aliases w:val="2Bullet,s26"/>
    <w:uiPriority w:val="32"/>
    <w:pPr>
      <w:numPr>
        <w:numId w:val="2"/>
      </w:numPr>
    </w:pPr>
    <w:rPr>
      <w:rFonts w:eastAsia="Times New Roman"/>
    </w:rPr>
  </w:style>
  <w:style w:type="paragraph" w:customStyle="1" w:styleId="O-Bullet1">
    <w:name w:val="O-Bullet 1&quot;"/>
    <w:aliases w:val="3Bullet,s27"/>
    <w:uiPriority w:val="32"/>
    <w:pPr>
      <w:numPr>
        <w:numId w:val="3"/>
      </w:numPr>
    </w:pPr>
    <w:rPr>
      <w:rFonts w:eastAsia="Times New Roman"/>
    </w:rPr>
  </w:style>
  <w:style w:type="paragraph" w:customStyle="1" w:styleId="O-Indent5">
    <w:name w:val="O-Indent .5&quot;"/>
    <w:aliases w:val="Half Indent,s5"/>
    <w:basedOn w:val="Normal"/>
    <w:uiPriority w:val="10"/>
    <w:qFormat/>
    <w:pPr>
      <w:ind w:left="720"/>
    </w:pPr>
    <w:rPr>
      <w:rFonts w:eastAsia="Times New Roman"/>
    </w:rPr>
  </w:style>
  <w:style w:type="paragraph" w:customStyle="1" w:styleId="O-Indent1">
    <w:name w:val="O-Indent 1&quot;"/>
    <w:aliases w:val="Full Indent,s6"/>
    <w:basedOn w:val="Normal"/>
    <w:uiPriority w:val="11"/>
    <w:qFormat/>
    <w:pPr>
      <w:ind w:left="1440"/>
    </w:pPr>
    <w:rPr>
      <w:rFonts w:eastAsia="Times New Roman"/>
    </w:rPr>
  </w:style>
  <w:style w:type="paragraph" w:customStyle="1" w:styleId="O-Quote">
    <w:name w:val="O-Quote ()"/>
    <w:aliases w:val="1Quote,s7"/>
    <w:basedOn w:val="Normal"/>
    <w:uiPriority w:val="33"/>
    <w:pPr>
      <w:ind w:left="1440" w:right="1440"/>
    </w:pPr>
    <w:rPr>
      <w:rFonts w:eastAsia="Times New Roman"/>
    </w:rPr>
  </w:style>
  <w:style w:type="paragraph" w:customStyle="1" w:styleId="O-QuoteDS">
    <w:name w:val="O-Quote (DS)"/>
    <w:aliases w:val="2Quote,s17"/>
    <w:basedOn w:val="Normal"/>
    <w:uiPriority w:val="33"/>
    <w:pPr>
      <w:spacing w:line="480" w:lineRule="auto"/>
      <w:ind w:left="1440" w:right="1440"/>
    </w:pPr>
    <w:rPr>
      <w:rFonts w:eastAsia="Times New Roman"/>
    </w:rPr>
  </w:style>
  <w:style w:type="paragraph" w:customStyle="1" w:styleId="O-QuoteJ">
    <w:name w:val="O-Quote (J)"/>
    <w:aliases w:val="3Quote,s16"/>
    <w:basedOn w:val="Normal"/>
    <w:uiPriority w:val="33"/>
    <w:pPr>
      <w:ind w:left="1440" w:right="1440"/>
      <w:jc w:val="both"/>
    </w:pPr>
    <w:rPr>
      <w:rFonts w:eastAsia="Times New Roman"/>
    </w:rPr>
  </w:style>
  <w:style w:type="paragraph" w:customStyle="1" w:styleId="O-SignatureLA">
    <w:name w:val="O-Signature (LA)"/>
    <w:aliases w:val="Sig (LA),s18"/>
    <w:basedOn w:val="Normal"/>
    <w:uiPriority w:val="45"/>
    <w:pPr>
      <w:keepLines/>
      <w:tabs>
        <w:tab w:val="right" w:pos="2880"/>
      </w:tabs>
      <w:spacing w:before="720"/>
      <w:ind w:left="547" w:hanging="547"/>
    </w:pPr>
    <w:rPr>
      <w:rFonts w:eastAsia="Times New Roman"/>
    </w:rPr>
  </w:style>
  <w:style w:type="paragraph" w:customStyle="1" w:styleId="O-Signature">
    <w:name w:val="O-Signature"/>
    <w:aliases w:val="Sigs,s12"/>
    <w:basedOn w:val="Normal"/>
    <w:next w:val="Normal"/>
    <w:uiPriority w:val="45"/>
    <w:pPr>
      <w:keepNext/>
      <w:keepLines/>
      <w:ind w:left="4320"/>
    </w:pPr>
    <w:rPr>
      <w:rFonts w:eastAsia="Times New Roman"/>
    </w:rPr>
  </w:style>
  <w:style w:type="paragraph" w:customStyle="1" w:styleId="O-Title3">
    <w:name w:val="O-Title 3"/>
    <w:aliases w:val="3Title,s22"/>
    <w:next w:val="O-BodyText"/>
    <w:uiPriority w:val="37"/>
    <w:qFormat/>
    <w:pPr>
      <w:keepNext/>
      <w:keepLines/>
      <w:jc w:val="center"/>
    </w:pPr>
    <w:rPr>
      <w:rFonts w:eastAsia="Times New Roman"/>
      <w:b/>
      <w:bCs/>
      <w:u w:val="single"/>
    </w:rPr>
  </w:style>
  <w:style w:type="paragraph" w:customStyle="1" w:styleId="O-TITLE">
    <w:name w:val="O-TITLE"/>
    <w:aliases w:val="1Title,s10"/>
    <w:basedOn w:val="Normal"/>
    <w:next w:val="O-BodyText"/>
    <w:uiPriority w:val="35"/>
    <w:qFormat/>
    <w:pPr>
      <w:keepNext/>
      <w:keepLines/>
      <w:jc w:val="center"/>
    </w:pPr>
    <w:rPr>
      <w:rFonts w:eastAsia="Times New Roman"/>
      <w:b/>
      <w:caps/>
    </w:rPr>
  </w:style>
  <w:style w:type="paragraph" w:customStyle="1" w:styleId="O-Title6">
    <w:name w:val="O-Title 6"/>
    <w:aliases w:val="6Title,s11"/>
    <w:next w:val="O-BodyText"/>
    <w:uiPriority w:val="40"/>
    <w:qFormat/>
    <w:pPr>
      <w:keepNext/>
      <w:keepLines/>
    </w:pPr>
    <w:rPr>
      <w:rFonts w:eastAsia="Times New Roman"/>
      <w:b/>
    </w:rPr>
  </w:style>
  <w:style w:type="paragraph" w:customStyle="1" w:styleId="O-Title7">
    <w:name w:val="O-Title 7"/>
    <w:aliases w:val="7Title,s19"/>
    <w:next w:val="O-BodyText"/>
    <w:uiPriority w:val="41"/>
    <w:qFormat/>
    <w:pPr>
      <w:keepNext/>
      <w:keepLines/>
    </w:pPr>
    <w:rPr>
      <w:rFonts w:eastAsia="Times New Roman"/>
      <w:b/>
      <w:bCs/>
      <w:u w:val="single"/>
    </w:rPr>
  </w:style>
  <w:style w:type="paragraph" w:customStyle="1" w:styleId="O-Title5">
    <w:name w:val="O-Title 5"/>
    <w:aliases w:val="5Title,s8"/>
    <w:basedOn w:val="Normal"/>
    <w:next w:val="O-BodyText"/>
    <w:uiPriority w:val="39"/>
    <w:qFormat/>
    <w:pPr>
      <w:keepNext/>
      <w:keepLines/>
      <w:jc w:val="center"/>
    </w:pPr>
    <w:rPr>
      <w:rFonts w:eastAsia="Times New Roman"/>
      <w:b/>
      <w:bCs/>
      <w:iCs/>
      <w:caps/>
      <w:u w:val="single"/>
    </w:rPr>
  </w:style>
  <w:style w:type="paragraph" w:customStyle="1" w:styleId="O-Title2">
    <w:name w:val="O-Title 2"/>
    <w:aliases w:val="2Title,s20"/>
    <w:basedOn w:val="Normal"/>
    <w:next w:val="O-BodyText"/>
    <w:uiPriority w:val="36"/>
    <w:qFormat/>
    <w:pPr>
      <w:keepNext/>
      <w:keepLines/>
      <w:jc w:val="center"/>
    </w:pPr>
    <w:rPr>
      <w:rFonts w:eastAsia="Times New Roman"/>
      <w:b/>
      <w:bCs/>
    </w:rPr>
  </w:style>
  <w:style w:type="paragraph" w:styleId="NoSpacing">
    <w:name w:val="No Spacing"/>
    <w:uiPriority w:val="8"/>
    <w:pPr>
      <w:spacing w:after="0"/>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sz w:val="20"/>
      <w:szCs w:val="20"/>
      <w:lang w:val="en-US"/>
    </w:rPr>
  </w:style>
  <w:style w:type="character" w:styleId="FootnoteReference">
    <w:name w:val="footnote reference"/>
    <w:basedOn w:val="DefaultParagraphFont"/>
    <w:uiPriority w:val="99"/>
    <w:semiHidden/>
    <w:unhideWhenUsed/>
    <w:rPr>
      <w:vertAlign w:val="superscript"/>
      <w:lang w:val="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customStyle="1" w:styleId="Parties">
    <w:name w:val="Parties"/>
    <w:uiPriority w:val="34"/>
    <w:pPr>
      <w:numPr>
        <w:numId w:val="4"/>
      </w:numPr>
      <w:spacing w:line="300" w:lineRule="exact"/>
      <w:jc w:val="both"/>
    </w:pPr>
    <w:rPr>
      <w:rFonts w:eastAsia="Times New Roman"/>
      <w:szCs w:val="21"/>
      <w:lang w:val="en-GB"/>
    </w:rPr>
  </w:style>
  <w:style w:type="paragraph" w:customStyle="1" w:styleId="Background">
    <w:name w:val="Background"/>
    <w:uiPriority w:val="34"/>
    <w:pPr>
      <w:numPr>
        <w:numId w:val="5"/>
      </w:numPr>
      <w:spacing w:line="300" w:lineRule="exact"/>
      <w:jc w:val="both"/>
    </w:pPr>
    <w:rPr>
      <w:rFonts w:eastAsia="Times New Roman"/>
      <w:szCs w:val="21"/>
      <w:lang w:val="en-GB"/>
    </w:rPr>
  </w:style>
  <w:style w:type="paragraph" w:customStyle="1" w:styleId="OPDFooter">
    <w:name w:val="O PD Footer"/>
    <w:uiPriority w:val="46"/>
    <w:pPr>
      <w:tabs>
        <w:tab w:val="right" w:pos="7200"/>
      </w:tabs>
      <w:spacing w:after="0"/>
      <w:jc w:val="right"/>
    </w:pPr>
    <w:rPr>
      <w:rFonts w:ascii="Arial Narrow" w:eastAsia="Times New Roman" w:hAnsi="Arial Narrow"/>
      <w:sz w:val="18"/>
      <w:szCs w:val="20"/>
    </w:rPr>
  </w:style>
  <w:style w:type="paragraph" w:customStyle="1" w:styleId="OResumeArticlesNoBullets">
    <w:name w:val="O Resume Articles No Bullets"/>
    <w:basedOn w:val="Normal"/>
    <w:uiPriority w:val="46"/>
    <w:rPr>
      <w:rFonts w:ascii="Garamond" w:eastAsia="Times" w:hAnsi="Garamond"/>
    </w:rPr>
  </w:style>
  <w:style w:type="paragraph" w:customStyle="1" w:styleId="OResumeArticlesBullets">
    <w:name w:val="O Resume Articles Bullets"/>
    <w:basedOn w:val="OResumeArticlesNoBullets"/>
    <w:uiPriority w:val="46"/>
    <w:pPr>
      <w:numPr>
        <w:numId w:val="6"/>
      </w:numPr>
      <w:spacing w:after="60"/>
    </w:pPr>
  </w:style>
  <w:style w:type="paragraph" w:customStyle="1" w:styleId="OResumeArticlesHeading">
    <w:name w:val="O Resume Articles Heading"/>
    <w:basedOn w:val="OResumeArticlesNoBullets"/>
    <w:uiPriority w:val="46"/>
    <w:pPr>
      <w:spacing w:before="240"/>
    </w:pPr>
    <w:rPr>
      <w:b/>
    </w:rPr>
  </w:style>
  <w:style w:type="paragraph" w:customStyle="1" w:styleId="OResumeArticlesLeadin">
    <w:name w:val="O Resume Articles Leadin"/>
    <w:next w:val="Normal"/>
    <w:uiPriority w:val="46"/>
    <w:pPr>
      <w:keepNext/>
      <w:tabs>
        <w:tab w:val="left" w:pos="180"/>
        <w:tab w:val="left" w:pos="2520"/>
        <w:tab w:val="left" w:pos="2779"/>
        <w:tab w:val="left" w:pos="9979"/>
      </w:tabs>
      <w:spacing w:after="60"/>
      <w:ind w:firstLine="180"/>
    </w:pPr>
    <w:rPr>
      <w:rFonts w:ascii="Garamond" w:eastAsia="Times" w:hAnsi="Garamond"/>
      <w:noProof/>
      <w:sz w:val="22"/>
      <w:szCs w:val="20"/>
    </w:rPr>
  </w:style>
  <w:style w:type="paragraph" w:customStyle="1" w:styleId="OResumeAttorneyID">
    <w:name w:val="O Resume Attorney ID"/>
    <w:basedOn w:val="Normal"/>
    <w:uiPriority w:val="46"/>
    <w:rPr>
      <w:rFonts w:eastAsia="Times New Roman"/>
      <w:sz w:val="16"/>
    </w:rPr>
  </w:style>
  <w:style w:type="paragraph" w:customStyle="1" w:styleId="OResumeBodyText">
    <w:name w:val="O Resume Body Text"/>
    <w:uiPriority w:val="46"/>
    <w:pPr>
      <w:spacing w:before="240" w:after="0"/>
    </w:pPr>
    <w:rPr>
      <w:rFonts w:ascii="Garamond" w:eastAsia="Times" w:hAnsi="Garamond"/>
      <w:szCs w:val="20"/>
    </w:rPr>
  </w:style>
  <w:style w:type="paragraph" w:customStyle="1" w:styleId="OResumeBulletQualification">
    <w:name w:val="O Resume Bullet Qualification"/>
    <w:uiPriority w:val="46"/>
    <w:pPr>
      <w:tabs>
        <w:tab w:val="num" w:pos="360"/>
      </w:tabs>
      <w:spacing w:after="120"/>
      <w:ind w:left="180" w:hanging="180"/>
    </w:pPr>
    <w:rPr>
      <w:rFonts w:ascii="Garamond" w:eastAsia="Times" w:hAnsi="Garamond"/>
      <w:noProof/>
      <w:sz w:val="22"/>
      <w:szCs w:val="20"/>
    </w:rPr>
  </w:style>
  <w:style w:type="character" w:customStyle="1" w:styleId="OResumeClientCaseProjectName">
    <w:name w:val="O Resume Client/Case/Project Name"/>
    <w:uiPriority w:val="46"/>
    <w:rPr>
      <w:rFonts w:ascii="Arial" w:hAnsi="Arial"/>
      <w:b/>
      <w:sz w:val="20"/>
    </w:rPr>
  </w:style>
  <w:style w:type="paragraph" w:customStyle="1" w:styleId="OResumeContactInformation">
    <w:name w:val="O Resume Contact Information"/>
    <w:next w:val="Normal"/>
    <w:uiPriority w:val="46"/>
    <w:pPr>
      <w:spacing w:after="0"/>
      <w:ind w:left="187"/>
    </w:pPr>
    <w:rPr>
      <w:rFonts w:ascii="Arial" w:eastAsia="Times" w:hAnsi="Arial"/>
      <w:noProof/>
      <w:sz w:val="16"/>
      <w:szCs w:val="20"/>
    </w:rPr>
  </w:style>
  <w:style w:type="paragraph" w:customStyle="1" w:styleId="OResumeEmail">
    <w:name w:val="O Resume Email"/>
    <w:uiPriority w:val="46"/>
    <w:pPr>
      <w:spacing w:after="360"/>
    </w:pPr>
    <w:rPr>
      <w:rFonts w:ascii="Arial" w:eastAsia="Times" w:hAnsi="Arial"/>
      <w:i/>
      <w:iCs/>
      <w:sz w:val="16"/>
      <w:szCs w:val="20"/>
    </w:rPr>
  </w:style>
  <w:style w:type="paragraph" w:customStyle="1" w:styleId="OResumeFooter">
    <w:name w:val="O Resume Footer"/>
    <w:uiPriority w:val="46"/>
    <w:pPr>
      <w:spacing w:after="0" w:line="200" w:lineRule="exact"/>
      <w:jc w:val="right"/>
    </w:pPr>
    <w:rPr>
      <w:rFonts w:ascii="Arial Narrow" w:eastAsia="Times" w:hAnsi="Arial Narrow"/>
      <w:noProof/>
      <w:sz w:val="18"/>
      <w:szCs w:val="20"/>
    </w:rPr>
  </w:style>
  <w:style w:type="paragraph" w:customStyle="1" w:styleId="OResumeName">
    <w:name w:val="O Resume Name"/>
    <w:next w:val="OResumeContactInformation"/>
    <w:uiPriority w:val="46"/>
    <w:pPr>
      <w:spacing w:after="120"/>
    </w:pPr>
    <w:rPr>
      <w:rFonts w:ascii="Arial" w:eastAsia="Times" w:hAnsi="Arial"/>
      <w:b/>
      <w:noProof/>
      <w:sz w:val="32"/>
      <w:szCs w:val="20"/>
    </w:rPr>
  </w:style>
  <w:style w:type="paragraph" w:customStyle="1" w:styleId="OResumeSidebar">
    <w:name w:val="O Resume Sidebar"/>
    <w:uiPriority w:val="46"/>
    <w:pPr>
      <w:spacing w:after="120"/>
    </w:pPr>
    <w:rPr>
      <w:rFonts w:ascii="Arial" w:eastAsia="Times" w:hAnsi="Arial"/>
      <w:noProof/>
      <w:sz w:val="16"/>
      <w:szCs w:val="20"/>
    </w:rPr>
  </w:style>
  <w:style w:type="paragraph" w:customStyle="1" w:styleId="OResumeSidebarBullet">
    <w:name w:val="O Resume Sidebar Bullet"/>
    <w:basedOn w:val="Normal"/>
    <w:uiPriority w:val="46"/>
    <w:pPr>
      <w:numPr>
        <w:numId w:val="7"/>
      </w:numPr>
    </w:pPr>
    <w:rPr>
      <w:rFonts w:eastAsia="Times"/>
      <w:sz w:val="16"/>
    </w:rPr>
  </w:style>
  <w:style w:type="paragraph" w:customStyle="1" w:styleId="OResumeSidebarHead">
    <w:name w:val="O Resume Sidebar Head"/>
    <w:basedOn w:val="Normal"/>
    <w:uiPriority w:val="46"/>
    <w:rPr>
      <w:rFonts w:eastAsia="Times"/>
      <w:b/>
      <w:noProof/>
      <w:sz w:val="18"/>
    </w:rPr>
  </w:style>
  <w:style w:type="paragraph" w:customStyle="1" w:styleId="O-Title4">
    <w:name w:val="O-Title 4"/>
    <w:aliases w:val="4Title,s9"/>
    <w:basedOn w:val="Normal"/>
    <w:next w:val="O-BodyText"/>
    <w:uiPriority w:val="38"/>
    <w:rPr>
      <w:rFonts w:eastAsia="Times New Roman"/>
      <w:u w:val="single"/>
    </w:rPr>
  </w:style>
  <w:style w:type="paragraph" w:customStyle="1" w:styleId="O-Title8">
    <w:name w:val="O-Title 8"/>
    <w:aliases w:val="8Title,s23"/>
    <w:next w:val="O-BodyText"/>
    <w:uiPriority w:val="42"/>
    <w:rPr>
      <w:rFonts w:eastAsia="Times New Roman"/>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O-Center">
    <w:name w:val="O-Center"/>
    <w:aliases w:val="Center,s21"/>
    <w:basedOn w:val="Normal"/>
    <w:next w:val="O-BodyText"/>
    <w:uiPriority w:val="35"/>
    <w:pPr>
      <w:keepNext/>
      <w:keepLines/>
      <w:jc w:val="center"/>
    </w:pPr>
  </w:style>
  <w:style w:type="paragraph" w:customStyle="1" w:styleId="O-TITLE9">
    <w:name w:val="O-TITLE 9"/>
    <w:aliases w:val="9TITLE,s31"/>
    <w:basedOn w:val="Normal"/>
    <w:next w:val="O-BodyText"/>
    <w:uiPriority w:val="43"/>
    <w:qFormat/>
    <w:pPr>
      <w:keepNext/>
      <w:keepLines/>
    </w:pPr>
    <w:rPr>
      <w:rFonts w:eastAsia="Times New Roman"/>
      <w:b/>
      <w:caps/>
    </w:rPr>
  </w:style>
  <w:style w:type="paragraph" w:styleId="ListParagraph">
    <w:name w:val="List Paragraph"/>
    <w:basedOn w:val="Normal"/>
    <w:uiPriority w:val="99"/>
    <w:qFormat/>
    <w:pPr>
      <w:ind w:left="720"/>
    </w:pPr>
  </w:style>
  <w:style w:type="paragraph" w:styleId="EndnoteText">
    <w:name w:val="endnote text"/>
    <w:basedOn w:val="Normal"/>
    <w:link w:val="EndnoteTextChar"/>
    <w:rPr>
      <w:rFonts w:ascii="Times New Roman" w:hAnsi="Times New Roman" w:cs="Times New Roman"/>
    </w:rPr>
  </w:style>
  <w:style w:type="character" w:customStyle="1" w:styleId="EndnoteTextChar">
    <w:name w:val="Endnote Text Char"/>
    <w:basedOn w:val="DefaultParagraphFont"/>
    <w:link w:val="EndnoteText"/>
    <w:rPr>
      <w:sz w:val="20"/>
      <w:szCs w:val="20"/>
    </w:rPr>
  </w:style>
  <w:style w:type="character" w:styleId="EndnoteReference">
    <w:name w:val="endnote reference"/>
    <w:basedOn w:val="DefaultParagraphFont"/>
    <w:uiPriority w:val="99"/>
    <w:unhideWhenUsed/>
    <w:rPr>
      <w:vertAlign w:val="superscript"/>
    </w:rPr>
  </w:style>
  <w:style w:type="paragraph" w:styleId="ListNumber">
    <w:name w:val="List Number"/>
    <w:basedOn w:val="Normal"/>
    <w:uiPriority w:val="7"/>
    <w:qFormat/>
    <w:pPr>
      <w:numPr>
        <w:numId w:val="8"/>
      </w:numPr>
      <w:spacing w:after="240"/>
    </w:pPr>
    <w:rPr>
      <w:rFonts w:asciiTheme="minorHAnsi" w:hAnsiTheme="minorHAnsi" w:cstheme="minorBidi"/>
      <w:sz w:val="24"/>
      <w:szCs w:val="24"/>
    </w:rPr>
  </w:style>
  <w:style w:type="paragraph" w:styleId="ListNumber2">
    <w:name w:val="List Number 2"/>
    <w:basedOn w:val="Normal"/>
    <w:uiPriority w:val="7"/>
    <w:qFormat/>
    <w:pPr>
      <w:numPr>
        <w:ilvl w:val="1"/>
        <w:numId w:val="8"/>
      </w:numPr>
      <w:spacing w:after="240"/>
    </w:pPr>
    <w:rPr>
      <w:rFonts w:asciiTheme="minorHAnsi" w:hAnsiTheme="minorHAnsi" w:cstheme="minorBidi"/>
      <w:sz w:val="24"/>
      <w:szCs w:val="24"/>
    </w:rPr>
  </w:style>
  <w:style w:type="paragraph" w:styleId="ListNumber3">
    <w:name w:val="List Number 3"/>
    <w:basedOn w:val="Normal"/>
    <w:uiPriority w:val="7"/>
    <w:pPr>
      <w:numPr>
        <w:ilvl w:val="2"/>
        <w:numId w:val="8"/>
      </w:numPr>
      <w:spacing w:after="240"/>
    </w:pPr>
    <w:rPr>
      <w:rFonts w:asciiTheme="minorHAnsi" w:hAnsiTheme="minorHAnsi" w:cstheme="minorBidi"/>
      <w:sz w:val="24"/>
      <w:szCs w:val="24"/>
    </w:rPr>
  </w:style>
  <w:style w:type="paragraph" w:styleId="ListNumber4">
    <w:name w:val="List Number 4"/>
    <w:basedOn w:val="Normal"/>
    <w:uiPriority w:val="7"/>
    <w:pPr>
      <w:numPr>
        <w:ilvl w:val="3"/>
        <w:numId w:val="8"/>
      </w:numPr>
      <w:spacing w:after="240"/>
    </w:pPr>
    <w:rPr>
      <w:rFonts w:asciiTheme="minorHAnsi" w:hAnsiTheme="minorHAnsi" w:cstheme="minorBidi"/>
      <w:sz w:val="24"/>
      <w:szCs w:val="24"/>
    </w:rPr>
  </w:style>
  <w:style w:type="paragraph" w:styleId="ListNumber5">
    <w:name w:val="List Number 5"/>
    <w:basedOn w:val="Normal"/>
    <w:uiPriority w:val="7"/>
    <w:pPr>
      <w:numPr>
        <w:ilvl w:val="4"/>
        <w:numId w:val="8"/>
      </w:numPr>
      <w:spacing w:after="240"/>
    </w:pPr>
    <w:rPr>
      <w:rFonts w:asciiTheme="minorHAnsi" w:hAnsiTheme="minorHAnsi" w:cstheme="minorBidi"/>
      <w:sz w:val="24"/>
      <w:szCs w:val="24"/>
    </w:rPr>
  </w:style>
  <w:style w:type="character" w:customStyle="1" w:styleId="Heading1Char">
    <w:name w:val="Heading 1 Char"/>
    <w:basedOn w:val="DefaultParagraphFont"/>
    <w:link w:val="Heading1"/>
    <w:uiPriority w:val="4"/>
    <w:rsid w:val="00BA6609"/>
    <w:rPr>
      <w:rFonts w:ascii="Arial" w:eastAsiaTheme="majorEastAsia" w:hAnsi="Arial" w:cs="Arial"/>
      <w:b/>
      <w:bCs/>
      <w:sz w:val="72"/>
      <w:szCs w:val="28"/>
    </w:rPr>
  </w:style>
  <w:style w:type="character" w:customStyle="1" w:styleId="Heading2Char">
    <w:name w:val="Heading 2 Char"/>
    <w:basedOn w:val="DefaultParagraphFont"/>
    <w:link w:val="Heading2"/>
    <w:uiPriority w:val="4"/>
    <w:rsid w:val="00BA6609"/>
    <w:rPr>
      <w:rFonts w:ascii="Arial" w:eastAsiaTheme="majorEastAsia" w:hAnsi="Arial" w:cs="Arial"/>
      <w:b/>
      <w:bCs/>
      <w:sz w:val="48"/>
      <w:szCs w:val="26"/>
    </w:rPr>
  </w:style>
  <w:style w:type="character" w:customStyle="1" w:styleId="Heading3Char">
    <w:name w:val="Heading 3 Char"/>
    <w:basedOn w:val="DefaultParagraphFont"/>
    <w:link w:val="Heading3"/>
    <w:uiPriority w:val="4"/>
    <w:rsid w:val="00BA6609"/>
    <w:rPr>
      <w:rFonts w:ascii="Arial" w:eastAsiaTheme="majorEastAsia" w:hAnsi="Arial" w:cs="Arial"/>
      <w:b/>
      <w:bCs/>
      <w:sz w:val="36"/>
    </w:rPr>
  </w:style>
  <w:style w:type="character" w:customStyle="1" w:styleId="Heading4Char">
    <w:name w:val="Heading 4 Char"/>
    <w:basedOn w:val="DefaultParagraphFont"/>
    <w:link w:val="Heading4"/>
    <w:uiPriority w:val="4"/>
    <w:rsid w:val="00BA6609"/>
    <w:rPr>
      <w:rFonts w:ascii="Arial" w:eastAsiaTheme="majorEastAsia" w:hAnsi="Arial" w:cs="Arial"/>
      <w:bCs/>
      <w:iCs/>
    </w:rPr>
  </w:style>
  <w:style w:type="character" w:customStyle="1" w:styleId="Heading5Char">
    <w:name w:val="Heading 5 Char"/>
    <w:basedOn w:val="DefaultParagraphFont"/>
    <w:link w:val="Heading5"/>
    <w:uiPriority w:val="4"/>
    <w:rsid w:val="00BA6609"/>
    <w:rPr>
      <w:rFonts w:asciiTheme="majorHAnsi" w:eastAsiaTheme="majorEastAsia" w:hAnsiTheme="majorHAnsi" w:cstheme="majorBidi"/>
    </w:rPr>
  </w:style>
  <w:style w:type="character" w:customStyle="1" w:styleId="Heading6Char">
    <w:name w:val="Heading 6 Char"/>
    <w:basedOn w:val="DefaultParagraphFont"/>
    <w:link w:val="Heading6"/>
    <w:uiPriority w:val="4"/>
    <w:rsid w:val="00BA6609"/>
    <w:rPr>
      <w:rFonts w:asciiTheme="majorHAnsi" w:eastAsiaTheme="majorEastAsia" w:hAnsiTheme="majorHAnsi" w:cstheme="majorBidi"/>
      <w:iCs/>
    </w:rPr>
  </w:style>
  <w:style w:type="character" w:customStyle="1" w:styleId="Heading7Char">
    <w:name w:val="Heading 7 Char"/>
    <w:basedOn w:val="DefaultParagraphFont"/>
    <w:link w:val="Heading7"/>
    <w:uiPriority w:val="4"/>
    <w:rsid w:val="00BA6609"/>
    <w:rPr>
      <w:rFonts w:asciiTheme="majorHAnsi" w:eastAsiaTheme="majorEastAsia" w:hAnsiTheme="majorHAnsi" w:cstheme="majorBidi"/>
      <w:iCs/>
    </w:rPr>
  </w:style>
  <w:style w:type="character" w:customStyle="1" w:styleId="Heading8Char">
    <w:name w:val="Heading 8 Char"/>
    <w:basedOn w:val="DefaultParagraphFont"/>
    <w:link w:val="Heading8"/>
    <w:uiPriority w:val="4"/>
    <w:rsid w:val="00BA6609"/>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4"/>
    <w:rsid w:val="00BA6609"/>
    <w:rPr>
      <w:rFonts w:asciiTheme="majorHAnsi" w:eastAsiaTheme="majorEastAsia" w:hAnsiTheme="majorHAnsi" w:cstheme="majorBidi"/>
      <w:iCs/>
      <w:szCs w:val="20"/>
    </w:rPr>
  </w:style>
  <w:style w:type="numbering" w:customStyle="1" w:styleId="CovingtonHeadings">
    <w:name w:val="Covington Headings"/>
    <w:uiPriority w:val="99"/>
  </w:style>
  <w:style w:type="character" w:styleId="Hyperlink">
    <w:name w:val="Hyperlink"/>
    <w:basedOn w:val="DefaultParagraphFont"/>
    <w:uiPriority w:val="99"/>
    <w:unhideWhenUsed/>
    <w:rPr>
      <w:color w:val="009966"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table" w:styleId="TableGrid">
    <w:name w:val="Table Grid"/>
    <w:basedOn w:val="TableNormal"/>
    <w:uiPriority w:val="59"/>
    <w:rsid w:val="003621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1">
    <w:name w:val="standardl1"/>
    <w:basedOn w:val="Normal"/>
    <w:rsid w:val="00994A65"/>
    <w:pPr>
      <w:spacing w:after="240"/>
      <w:ind w:left="720" w:hanging="720"/>
    </w:pPr>
    <w:rPr>
      <w:rFonts w:ascii="Times New Roman" w:hAnsi="Times New Roman" w:cs="Times New Roman"/>
    </w:rPr>
  </w:style>
  <w:style w:type="paragraph" w:customStyle="1" w:styleId="para">
    <w:name w:val="para"/>
    <w:basedOn w:val="Normal"/>
    <w:rsid w:val="00994A65"/>
    <w:pPr>
      <w:spacing w:before="100" w:beforeAutospacing="1" w:after="100" w:afterAutospacing="1"/>
    </w:pPr>
    <w:rPr>
      <w:rFonts w:ascii="Times New Roman" w:eastAsia="Times New Roman" w:hAnsi="Times New Roman" w:cs="Times New Roman"/>
      <w:sz w:val="24"/>
      <w:szCs w:val="24"/>
    </w:rPr>
  </w:style>
  <w:style w:type="character" w:customStyle="1" w:styleId="leadinphrasesummary">
    <w:name w:val="leadinphrase_summary"/>
    <w:basedOn w:val="DefaultParagraphFont"/>
    <w:rsid w:val="00994A65"/>
  </w:style>
  <w:style w:type="paragraph" w:customStyle="1" w:styleId="HeadingL1">
    <w:name w:val="Heading_L1"/>
    <w:basedOn w:val="Heading1"/>
    <w:link w:val="HeadingL1Char"/>
    <w:rsid w:val="00D9020D"/>
    <w:pPr>
      <w:spacing w:after="0" w:line="288" w:lineRule="auto"/>
      <w:ind w:left="0" w:firstLine="0"/>
      <w:outlineLvl w:val="9"/>
    </w:pPr>
    <w:rPr>
      <w:rFonts w:eastAsiaTheme="minorHAnsi" w:cs="Times New Roman"/>
      <w:b w:val="0"/>
      <w:bCs w:val="0"/>
      <w:sz w:val="20"/>
      <w:szCs w:val="20"/>
    </w:rPr>
  </w:style>
  <w:style w:type="character" w:customStyle="1" w:styleId="HeadingL1Char">
    <w:name w:val="Heading_L1 Char"/>
    <w:basedOn w:val="Heading1Char"/>
    <w:link w:val="HeadingL1"/>
    <w:rsid w:val="00D9020D"/>
    <w:rPr>
      <w:rFonts w:ascii="Arial" w:eastAsiaTheme="majorEastAsia" w:hAnsi="Arial" w:cs="Arial"/>
      <w:b w:val="0"/>
      <w:bCs w:val="0"/>
      <w:sz w:val="20"/>
      <w:szCs w:val="20"/>
    </w:rPr>
  </w:style>
  <w:style w:type="paragraph" w:customStyle="1" w:styleId="HeadingL2">
    <w:name w:val="Heading_L2"/>
    <w:basedOn w:val="HeadingL1"/>
    <w:link w:val="HeadingL2Char"/>
    <w:rsid w:val="00D9020D"/>
  </w:style>
  <w:style w:type="character" w:customStyle="1" w:styleId="HeadingL2Char">
    <w:name w:val="Heading_L2 Char"/>
    <w:basedOn w:val="Heading1Char"/>
    <w:link w:val="HeadingL2"/>
    <w:rsid w:val="00D9020D"/>
    <w:rPr>
      <w:rFonts w:ascii="Arial" w:eastAsiaTheme="majorEastAsia" w:hAnsi="Arial" w:cs="Arial"/>
      <w:b w:val="0"/>
      <w:bCs w:val="0"/>
      <w:sz w:val="20"/>
      <w:szCs w:val="20"/>
    </w:rPr>
  </w:style>
  <w:style w:type="paragraph" w:customStyle="1" w:styleId="HeadingL3">
    <w:name w:val="Heading_L3"/>
    <w:basedOn w:val="HeadingL2"/>
    <w:link w:val="HeadingL3Char"/>
    <w:rsid w:val="00D9020D"/>
  </w:style>
  <w:style w:type="character" w:customStyle="1" w:styleId="HeadingL3Char">
    <w:name w:val="Heading_L3 Char"/>
    <w:basedOn w:val="Heading1Char"/>
    <w:link w:val="HeadingL3"/>
    <w:rsid w:val="00D9020D"/>
    <w:rPr>
      <w:rFonts w:ascii="Arial" w:eastAsiaTheme="majorEastAsia" w:hAnsi="Arial" w:cs="Arial"/>
      <w:b w:val="0"/>
      <w:bCs w:val="0"/>
      <w:sz w:val="20"/>
      <w:szCs w:val="20"/>
    </w:rPr>
  </w:style>
  <w:style w:type="paragraph" w:customStyle="1" w:styleId="HeadingL4">
    <w:name w:val="Heading_L4"/>
    <w:basedOn w:val="HeadingL3"/>
    <w:next w:val="HeadingL3"/>
    <w:link w:val="HeadingL4Char"/>
    <w:rsid w:val="00D9020D"/>
  </w:style>
  <w:style w:type="character" w:customStyle="1" w:styleId="HeadingL4Char">
    <w:name w:val="Heading_L4 Char"/>
    <w:basedOn w:val="Heading1Char"/>
    <w:link w:val="HeadingL4"/>
    <w:rsid w:val="00D9020D"/>
    <w:rPr>
      <w:rFonts w:ascii="Arial" w:eastAsiaTheme="majorEastAsia" w:hAnsi="Arial" w:cs="Arial"/>
      <w:b w:val="0"/>
      <w:bCs w:val="0"/>
      <w:sz w:val="20"/>
      <w:szCs w:val="20"/>
    </w:rPr>
  </w:style>
  <w:style w:type="paragraph" w:customStyle="1" w:styleId="HeadingL5">
    <w:name w:val="Heading_L5"/>
    <w:basedOn w:val="HeadingL4"/>
    <w:next w:val="HeadingL3"/>
    <w:link w:val="HeadingL5Char"/>
    <w:rsid w:val="00BA6609"/>
  </w:style>
  <w:style w:type="character" w:customStyle="1" w:styleId="HeadingL5Char">
    <w:name w:val="Heading_L5 Char"/>
    <w:basedOn w:val="Heading3Char"/>
    <w:link w:val="HeadingL5"/>
    <w:rsid w:val="00BA6609"/>
    <w:rPr>
      <w:rFonts w:ascii="Arial" w:eastAsiaTheme="majorEastAsia" w:hAnsi="Arial" w:cs="Arial"/>
      <w:b w:val="0"/>
      <w:bCs w:val="0"/>
      <w:sz w:val="20"/>
      <w:szCs w:val="20"/>
    </w:rPr>
  </w:style>
  <w:style w:type="numbering" w:customStyle="1" w:styleId="CovingtonHeadings1">
    <w:name w:val="Covington Headings1"/>
    <w:uiPriority w:val="99"/>
    <w:rsid w:val="00C32F8A"/>
  </w:style>
  <w:style w:type="paragraph" w:styleId="Revision">
    <w:name w:val="Revision"/>
    <w:hidden/>
    <w:uiPriority w:val="99"/>
    <w:semiHidden/>
    <w:rsid w:val="00C32F8A"/>
    <w:pPr>
      <w:spacing w:after="0"/>
    </w:pPr>
    <w:rPr>
      <w:rFonts w:ascii="Arial" w:hAnsi="Arial" w:cs="Arial"/>
      <w:sz w:val="20"/>
      <w:szCs w:val="20"/>
    </w:rPr>
  </w:style>
  <w:style w:type="paragraph" w:styleId="BodyText">
    <w:name w:val="Body Text"/>
    <w:basedOn w:val="Normal"/>
    <w:link w:val="BodyTextChar"/>
    <w:rsid w:val="00C32F8A"/>
    <w:pPr>
      <w:widowControl w:val="0"/>
      <w:spacing w:after="240"/>
      <w:ind w:firstLine="720"/>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rsid w:val="00C32F8A"/>
    <w:rPr>
      <w:rFonts w:eastAsia="SimSun"/>
      <w:lang w:eastAsia="zh-CN"/>
    </w:rPr>
  </w:style>
  <w:style w:type="character" w:customStyle="1" w:styleId="O-BodyTextChar">
    <w:name w:val="O-Body Text () Char"/>
    <w:aliases w:val="s1 Char,1Body Char"/>
    <w:basedOn w:val="DefaultParagraphFont"/>
    <w:link w:val="O-BodyText"/>
    <w:rsid w:val="00C32F8A"/>
    <w:rPr>
      <w:rFonts w:ascii="Arial" w:eastAsia="Times New Roman" w:hAnsi="Arial" w:cs="Arial"/>
      <w:sz w:val="20"/>
      <w:szCs w:val="20"/>
    </w:rPr>
  </w:style>
  <w:style w:type="character" w:customStyle="1" w:styleId="tx">
    <w:name w:val="tx"/>
    <w:basedOn w:val="DefaultParagraphFont"/>
    <w:rsid w:val="00C32F8A"/>
  </w:style>
  <w:style w:type="character" w:styleId="PlaceholderText">
    <w:name w:val="Placeholder Text"/>
    <w:basedOn w:val="DefaultParagraphFont"/>
    <w:uiPriority w:val="99"/>
    <w:semiHidden/>
    <w:rsid w:val="00C32F8A"/>
    <w:rPr>
      <w:color w:val="808080"/>
    </w:rPr>
  </w:style>
  <w:style w:type="numbering" w:customStyle="1" w:styleId="CovingtonHeadings11">
    <w:name w:val="Covington Headings11"/>
    <w:uiPriority w:val="99"/>
    <w:rsid w:val="00C32F8A"/>
  </w:style>
  <w:style w:type="paragraph" w:customStyle="1" w:styleId="sctext">
    <w:name w:val="sctext"/>
    <w:basedOn w:val="Normal"/>
    <w:link w:val="sctextChar"/>
    <w:qFormat/>
    <w:rsid w:val="00C32F8A"/>
    <w:pPr>
      <w:spacing w:after="240"/>
      <w:ind w:firstLine="432"/>
      <w:jc w:val="both"/>
    </w:pPr>
    <w:rPr>
      <w:rFonts w:ascii="Century Schoolbook" w:eastAsia="Times New Roman" w:hAnsi="Century Schoolbook" w:cs="Times New Roman"/>
      <w:sz w:val="24"/>
    </w:rPr>
  </w:style>
  <w:style w:type="character" w:customStyle="1" w:styleId="sctextChar">
    <w:name w:val="sctext Char"/>
    <w:basedOn w:val="DefaultParagraphFont"/>
    <w:link w:val="sctext"/>
    <w:rsid w:val="00C32F8A"/>
    <w:rPr>
      <w:rFonts w:ascii="Century Schoolbook" w:eastAsia="Times New Roman" w:hAnsi="Century Schoolbook"/>
      <w:szCs w:val="20"/>
    </w:rPr>
  </w:style>
  <w:style w:type="paragraph" w:customStyle="1" w:styleId="JeremysSchL1">
    <w:name w:val="JeremysSch_L1"/>
    <w:basedOn w:val="Normal"/>
    <w:next w:val="BodyText"/>
    <w:rsid w:val="00C32F8A"/>
    <w:pPr>
      <w:widowControl w:val="0"/>
      <w:numPr>
        <w:numId w:val="69"/>
      </w:numPr>
      <w:spacing w:after="240"/>
      <w:outlineLvl w:val="0"/>
    </w:pPr>
    <w:rPr>
      <w:rFonts w:ascii="Times New Roman" w:eastAsia="Times New Roman" w:hAnsi="Times New Roman" w:cs="Times New Roman"/>
      <w:sz w:val="24"/>
    </w:rPr>
  </w:style>
  <w:style w:type="paragraph" w:customStyle="1" w:styleId="JeremysSchL2">
    <w:name w:val="JeremysSch_L2"/>
    <w:basedOn w:val="JeremysSchL1"/>
    <w:next w:val="BodyText"/>
    <w:rsid w:val="00C32F8A"/>
    <w:pPr>
      <w:numPr>
        <w:ilvl w:val="1"/>
      </w:numPr>
      <w:outlineLvl w:val="1"/>
    </w:pPr>
  </w:style>
  <w:style w:type="paragraph" w:customStyle="1" w:styleId="JeremysSchL3">
    <w:name w:val="JeremysSch_L3"/>
    <w:basedOn w:val="JeremysSchL2"/>
    <w:next w:val="BodyText"/>
    <w:rsid w:val="00C32F8A"/>
    <w:pPr>
      <w:numPr>
        <w:ilvl w:val="2"/>
      </w:numPr>
      <w:outlineLvl w:val="2"/>
    </w:pPr>
  </w:style>
  <w:style w:type="paragraph" w:customStyle="1" w:styleId="JeremysSchL4">
    <w:name w:val="JeremysSch_L4"/>
    <w:basedOn w:val="JeremysSchL3"/>
    <w:next w:val="BodyText"/>
    <w:rsid w:val="00C32F8A"/>
    <w:pPr>
      <w:numPr>
        <w:ilvl w:val="3"/>
      </w:numPr>
      <w:outlineLvl w:val="3"/>
    </w:pPr>
  </w:style>
  <w:style w:type="paragraph" w:customStyle="1" w:styleId="JeremysSchL5">
    <w:name w:val="JeremysSch_L5"/>
    <w:basedOn w:val="JeremysSchL4"/>
    <w:next w:val="BodyText"/>
    <w:rsid w:val="00C32F8A"/>
    <w:pPr>
      <w:numPr>
        <w:ilvl w:val="4"/>
      </w:numPr>
      <w:outlineLvl w:val="4"/>
    </w:pPr>
  </w:style>
  <w:style w:type="paragraph" w:customStyle="1" w:styleId="JeremysSchL6">
    <w:name w:val="JeremysSch_L6"/>
    <w:basedOn w:val="JeremysSchL5"/>
    <w:next w:val="BodyText"/>
    <w:rsid w:val="00C32F8A"/>
    <w:pPr>
      <w:keepNext/>
      <w:keepLines/>
      <w:widowControl/>
      <w:numPr>
        <w:ilvl w:val="5"/>
      </w:numPr>
      <w:outlineLvl w:val="5"/>
    </w:pPr>
    <w:rPr>
      <w:b/>
      <w:u w:val="single"/>
    </w:rPr>
  </w:style>
  <w:style w:type="paragraph" w:customStyle="1" w:styleId="JeremysSchL7">
    <w:name w:val="JeremysSch_L7"/>
    <w:basedOn w:val="JeremysSchL6"/>
    <w:next w:val="BodyText"/>
    <w:rsid w:val="00C32F8A"/>
    <w:pPr>
      <w:numPr>
        <w:ilvl w:val="6"/>
      </w:numPr>
      <w:outlineLvl w:val="6"/>
    </w:pPr>
  </w:style>
  <w:style w:type="paragraph" w:customStyle="1" w:styleId="JeremysSchL8">
    <w:name w:val="JeremysSch_L8"/>
    <w:basedOn w:val="JeremysSchL7"/>
    <w:next w:val="BodyText"/>
    <w:rsid w:val="00C32F8A"/>
    <w:pPr>
      <w:numPr>
        <w:ilvl w:val="7"/>
      </w:numPr>
      <w:outlineLvl w:val="7"/>
    </w:pPr>
  </w:style>
  <w:style w:type="paragraph" w:customStyle="1" w:styleId="JeremysSchL9">
    <w:name w:val="JeremysSch_L9"/>
    <w:basedOn w:val="JeremysSchL8"/>
    <w:next w:val="BodyText"/>
    <w:rsid w:val="00C32F8A"/>
    <w:pPr>
      <w:numPr>
        <w:ilvl w:val="8"/>
      </w:numPr>
      <w:outlineLvl w:val="8"/>
    </w:pPr>
  </w:style>
  <w:style w:type="numbering" w:customStyle="1" w:styleId="CovingtonHeadings2">
    <w:name w:val="Covington Headings2"/>
    <w:uiPriority w:val="99"/>
    <w:rsid w:val="00C36BDB"/>
  </w:style>
  <w:style w:type="numbering" w:customStyle="1" w:styleId="CovingtonHeadings12">
    <w:name w:val="Covington Headings12"/>
    <w:uiPriority w:val="99"/>
    <w:rsid w:val="00C36BD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765">
      <w:bodyDiv w:val="1"/>
      <w:marLeft w:val="0"/>
      <w:marRight w:val="0"/>
      <w:marTop w:val="0"/>
      <w:marBottom w:val="0"/>
      <w:divBdr>
        <w:top w:val="none" w:sz="0" w:space="0" w:color="auto"/>
        <w:left w:val="none" w:sz="0" w:space="0" w:color="auto"/>
        <w:bottom w:val="none" w:sz="0" w:space="0" w:color="auto"/>
        <w:right w:val="none" w:sz="0" w:space="0" w:color="auto"/>
      </w:divBdr>
    </w:div>
    <w:div w:id="19014750">
      <w:bodyDiv w:val="1"/>
      <w:marLeft w:val="0"/>
      <w:marRight w:val="0"/>
      <w:marTop w:val="0"/>
      <w:marBottom w:val="0"/>
      <w:divBdr>
        <w:top w:val="none" w:sz="0" w:space="0" w:color="auto"/>
        <w:left w:val="none" w:sz="0" w:space="0" w:color="auto"/>
        <w:bottom w:val="none" w:sz="0" w:space="0" w:color="auto"/>
        <w:right w:val="none" w:sz="0" w:space="0" w:color="auto"/>
      </w:divBdr>
    </w:div>
    <w:div w:id="66080070">
      <w:bodyDiv w:val="1"/>
      <w:marLeft w:val="0"/>
      <w:marRight w:val="0"/>
      <w:marTop w:val="0"/>
      <w:marBottom w:val="0"/>
      <w:divBdr>
        <w:top w:val="none" w:sz="0" w:space="0" w:color="auto"/>
        <w:left w:val="none" w:sz="0" w:space="0" w:color="auto"/>
        <w:bottom w:val="none" w:sz="0" w:space="0" w:color="auto"/>
        <w:right w:val="none" w:sz="0" w:space="0" w:color="auto"/>
      </w:divBdr>
    </w:div>
    <w:div w:id="123084766">
      <w:bodyDiv w:val="1"/>
      <w:marLeft w:val="0"/>
      <w:marRight w:val="0"/>
      <w:marTop w:val="0"/>
      <w:marBottom w:val="0"/>
      <w:divBdr>
        <w:top w:val="none" w:sz="0" w:space="0" w:color="auto"/>
        <w:left w:val="none" w:sz="0" w:space="0" w:color="auto"/>
        <w:bottom w:val="none" w:sz="0" w:space="0" w:color="auto"/>
        <w:right w:val="none" w:sz="0" w:space="0" w:color="auto"/>
      </w:divBdr>
    </w:div>
    <w:div w:id="142897115">
      <w:bodyDiv w:val="1"/>
      <w:marLeft w:val="0"/>
      <w:marRight w:val="0"/>
      <w:marTop w:val="0"/>
      <w:marBottom w:val="0"/>
      <w:divBdr>
        <w:top w:val="none" w:sz="0" w:space="0" w:color="auto"/>
        <w:left w:val="none" w:sz="0" w:space="0" w:color="auto"/>
        <w:bottom w:val="none" w:sz="0" w:space="0" w:color="auto"/>
        <w:right w:val="none" w:sz="0" w:space="0" w:color="auto"/>
      </w:divBdr>
    </w:div>
    <w:div w:id="169296429">
      <w:bodyDiv w:val="1"/>
      <w:marLeft w:val="0"/>
      <w:marRight w:val="0"/>
      <w:marTop w:val="0"/>
      <w:marBottom w:val="0"/>
      <w:divBdr>
        <w:top w:val="none" w:sz="0" w:space="0" w:color="auto"/>
        <w:left w:val="none" w:sz="0" w:space="0" w:color="auto"/>
        <w:bottom w:val="none" w:sz="0" w:space="0" w:color="auto"/>
        <w:right w:val="none" w:sz="0" w:space="0" w:color="auto"/>
      </w:divBdr>
    </w:div>
    <w:div w:id="178276898">
      <w:bodyDiv w:val="1"/>
      <w:marLeft w:val="0"/>
      <w:marRight w:val="0"/>
      <w:marTop w:val="0"/>
      <w:marBottom w:val="0"/>
      <w:divBdr>
        <w:top w:val="none" w:sz="0" w:space="0" w:color="auto"/>
        <w:left w:val="none" w:sz="0" w:space="0" w:color="auto"/>
        <w:bottom w:val="none" w:sz="0" w:space="0" w:color="auto"/>
        <w:right w:val="none" w:sz="0" w:space="0" w:color="auto"/>
      </w:divBdr>
    </w:div>
    <w:div w:id="186915725">
      <w:bodyDiv w:val="1"/>
      <w:marLeft w:val="0"/>
      <w:marRight w:val="0"/>
      <w:marTop w:val="0"/>
      <w:marBottom w:val="0"/>
      <w:divBdr>
        <w:top w:val="none" w:sz="0" w:space="0" w:color="auto"/>
        <w:left w:val="none" w:sz="0" w:space="0" w:color="auto"/>
        <w:bottom w:val="none" w:sz="0" w:space="0" w:color="auto"/>
        <w:right w:val="none" w:sz="0" w:space="0" w:color="auto"/>
      </w:divBdr>
    </w:div>
    <w:div w:id="203374046">
      <w:bodyDiv w:val="1"/>
      <w:marLeft w:val="0"/>
      <w:marRight w:val="0"/>
      <w:marTop w:val="0"/>
      <w:marBottom w:val="0"/>
      <w:divBdr>
        <w:top w:val="none" w:sz="0" w:space="0" w:color="auto"/>
        <w:left w:val="none" w:sz="0" w:space="0" w:color="auto"/>
        <w:bottom w:val="none" w:sz="0" w:space="0" w:color="auto"/>
        <w:right w:val="none" w:sz="0" w:space="0" w:color="auto"/>
      </w:divBdr>
    </w:div>
    <w:div w:id="207231462">
      <w:bodyDiv w:val="1"/>
      <w:marLeft w:val="0"/>
      <w:marRight w:val="0"/>
      <w:marTop w:val="0"/>
      <w:marBottom w:val="0"/>
      <w:divBdr>
        <w:top w:val="none" w:sz="0" w:space="0" w:color="auto"/>
        <w:left w:val="none" w:sz="0" w:space="0" w:color="auto"/>
        <w:bottom w:val="none" w:sz="0" w:space="0" w:color="auto"/>
        <w:right w:val="none" w:sz="0" w:space="0" w:color="auto"/>
      </w:divBdr>
    </w:div>
    <w:div w:id="257566115">
      <w:bodyDiv w:val="1"/>
      <w:marLeft w:val="0"/>
      <w:marRight w:val="0"/>
      <w:marTop w:val="0"/>
      <w:marBottom w:val="0"/>
      <w:divBdr>
        <w:top w:val="none" w:sz="0" w:space="0" w:color="auto"/>
        <w:left w:val="none" w:sz="0" w:space="0" w:color="auto"/>
        <w:bottom w:val="none" w:sz="0" w:space="0" w:color="auto"/>
        <w:right w:val="none" w:sz="0" w:space="0" w:color="auto"/>
      </w:divBdr>
    </w:div>
    <w:div w:id="306856717">
      <w:bodyDiv w:val="1"/>
      <w:marLeft w:val="0"/>
      <w:marRight w:val="0"/>
      <w:marTop w:val="0"/>
      <w:marBottom w:val="0"/>
      <w:divBdr>
        <w:top w:val="none" w:sz="0" w:space="0" w:color="auto"/>
        <w:left w:val="none" w:sz="0" w:space="0" w:color="auto"/>
        <w:bottom w:val="none" w:sz="0" w:space="0" w:color="auto"/>
        <w:right w:val="none" w:sz="0" w:space="0" w:color="auto"/>
      </w:divBdr>
    </w:div>
    <w:div w:id="422919979">
      <w:bodyDiv w:val="1"/>
      <w:marLeft w:val="0"/>
      <w:marRight w:val="0"/>
      <w:marTop w:val="0"/>
      <w:marBottom w:val="0"/>
      <w:divBdr>
        <w:top w:val="none" w:sz="0" w:space="0" w:color="auto"/>
        <w:left w:val="none" w:sz="0" w:space="0" w:color="auto"/>
        <w:bottom w:val="none" w:sz="0" w:space="0" w:color="auto"/>
        <w:right w:val="none" w:sz="0" w:space="0" w:color="auto"/>
      </w:divBdr>
    </w:div>
    <w:div w:id="434983331">
      <w:bodyDiv w:val="1"/>
      <w:marLeft w:val="0"/>
      <w:marRight w:val="0"/>
      <w:marTop w:val="0"/>
      <w:marBottom w:val="0"/>
      <w:divBdr>
        <w:top w:val="none" w:sz="0" w:space="0" w:color="auto"/>
        <w:left w:val="none" w:sz="0" w:space="0" w:color="auto"/>
        <w:bottom w:val="none" w:sz="0" w:space="0" w:color="auto"/>
        <w:right w:val="none" w:sz="0" w:space="0" w:color="auto"/>
      </w:divBdr>
    </w:div>
    <w:div w:id="499854880">
      <w:bodyDiv w:val="1"/>
      <w:marLeft w:val="0"/>
      <w:marRight w:val="0"/>
      <w:marTop w:val="0"/>
      <w:marBottom w:val="0"/>
      <w:divBdr>
        <w:top w:val="none" w:sz="0" w:space="0" w:color="auto"/>
        <w:left w:val="none" w:sz="0" w:space="0" w:color="auto"/>
        <w:bottom w:val="none" w:sz="0" w:space="0" w:color="auto"/>
        <w:right w:val="none" w:sz="0" w:space="0" w:color="auto"/>
      </w:divBdr>
    </w:div>
    <w:div w:id="556865857">
      <w:bodyDiv w:val="1"/>
      <w:marLeft w:val="0"/>
      <w:marRight w:val="0"/>
      <w:marTop w:val="0"/>
      <w:marBottom w:val="0"/>
      <w:divBdr>
        <w:top w:val="none" w:sz="0" w:space="0" w:color="auto"/>
        <w:left w:val="none" w:sz="0" w:space="0" w:color="auto"/>
        <w:bottom w:val="none" w:sz="0" w:space="0" w:color="auto"/>
        <w:right w:val="none" w:sz="0" w:space="0" w:color="auto"/>
      </w:divBdr>
    </w:div>
    <w:div w:id="591160854">
      <w:bodyDiv w:val="1"/>
      <w:marLeft w:val="0"/>
      <w:marRight w:val="0"/>
      <w:marTop w:val="0"/>
      <w:marBottom w:val="0"/>
      <w:divBdr>
        <w:top w:val="none" w:sz="0" w:space="0" w:color="auto"/>
        <w:left w:val="none" w:sz="0" w:space="0" w:color="auto"/>
        <w:bottom w:val="none" w:sz="0" w:space="0" w:color="auto"/>
        <w:right w:val="none" w:sz="0" w:space="0" w:color="auto"/>
      </w:divBdr>
    </w:div>
    <w:div w:id="604266119">
      <w:bodyDiv w:val="1"/>
      <w:marLeft w:val="0"/>
      <w:marRight w:val="0"/>
      <w:marTop w:val="0"/>
      <w:marBottom w:val="0"/>
      <w:divBdr>
        <w:top w:val="none" w:sz="0" w:space="0" w:color="auto"/>
        <w:left w:val="none" w:sz="0" w:space="0" w:color="auto"/>
        <w:bottom w:val="none" w:sz="0" w:space="0" w:color="auto"/>
        <w:right w:val="none" w:sz="0" w:space="0" w:color="auto"/>
      </w:divBdr>
    </w:div>
    <w:div w:id="605887394">
      <w:bodyDiv w:val="1"/>
      <w:marLeft w:val="0"/>
      <w:marRight w:val="0"/>
      <w:marTop w:val="0"/>
      <w:marBottom w:val="0"/>
      <w:divBdr>
        <w:top w:val="none" w:sz="0" w:space="0" w:color="auto"/>
        <w:left w:val="none" w:sz="0" w:space="0" w:color="auto"/>
        <w:bottom w:val="none" w:sz="0" w:space="0" w:color="auto"/>
        <w:right w:val="none" w:sz="0" w:space="0" w:color="auto"/>
      </w:divBdr>
    </w:div>
    <w:div w:id="637808545">
      <w:bodyDiv w:val="1"/>
      <w:marLeft w:val="0"/>
      <w:marRight w:val="0"/>
      <w:marTop w:val="0"/>
      <w:marBottom w:val="0"/>
      <w:divBdr>
        <w:top w:val="none" w:sz="0" w:space="0" w:color="auto"/>
        <w:left w:val="none" w:sz="0" w:space="0" w:color="auto"/>
        <w:bottom w:val="none" w:sz="0" w:space="0" w:color="auto"/>
        <w:right w:val="none" w:sz="0" w:space="0" w:color="auto"/>
      </w:divBdr>
    </w:div>
    <w:div w:id="684475344">
      <w:bodyDiv w:val="1"/>
      <w:marLeft w:val="0"/>
      <w:marRight w:val="0"/>
      <w:marTop w:val="0"/>
      <w:marBottom w:val="0"/>
      <w:divBdr>
        <w:top w:val="none" w:sz="0" w:space="0" w:color="auto"/>
        <w:left w:val="none" w:sz="0" w:space="0" w:color="auto"/>
        <w:bottom w:val="none" w:sz="0" w:space="0" w:color="auto"/>
        <w:right w:val="none" w:sz="0" w:space="0" w:color="auto"/>
      </w:divBdr>
    </w:div>
    <w:div w:id="701780802">
      <w:bodyDiv w:val="1"/>
      <w:marLeft w:val="0"/>
      <w:marRight w:val="0"/>
      <w:marTop w:val="0"/>
      <w:marBottom w:val="0"/>
      <w:divBdr>
        <w:top w:val="none" w:sz="0" w:space="0" w:color="auto"/>
        <w:left w:val="none" w:sz="0" w:space="0" w:color="auto"/>
        <w:bottom w:val="none" w:sz="0" w:space="0" w:color="auto"/>
        <w:right w:val="none" w:sz="0" w:space="0" w:color="auto"/>
      </w:divBdr>
    </w:div>
    <w:div w:id="747381575">
      <w:bodyDiv w:val="1"/>
      <w:marLeft w:val="0"/>
      <w:marRight w:val="0"/>
      <w:marTop w:val="0"/>
      <w:marBottom w:val="0"/>
      <w:divBdr>
        <w:top w:val="none" w:sz="0" w:space="0" w:color="auto"/>
        <w:left w:val="none" w:sz="0" w:space="0" w:color="auto"/>
        <w:bottom w:val="none" w:sz="0" w:space="0" w:color="auto"/>
        <w:right w:val="none" w:sz="0" w:space="0" w:color="auto"/>
      </w:divBdr>
    </w:div>
    <w:div w:id="760104390">
      <w:bodyDiv w:val="1"/>
      <w:marLeft w:val="0"/>
      <w:marRight w:val="0"/>
      <w:marTop w:val="0"/>
      <w:marBottom w:val="0"/>
      <w:divBdr>
        <w:top w:val="none" w:sz="0" w:space="0" w:color="auto"/>
        <w:left w:val="none" w:sz="0" w:space="0" w:color="auto"/>
        <w:bottom w:val="none" w:sz="0" w:space="0" w:color="auto"/>
        <w:right w:val="none" w:sz="0" w:space="0" w:color="auto"/>
      </w:divBdr>
    </w:div>
    <w:div w:id="786510507">
      <w:bodyDiv w:val="1"/>
      <w:marLeft w:val="0"/>
      <w:marRight w:val="0"/>
      <w:marTop w:val="0"/>
      <w:marBottom w:val="0"/>
      <w:divBdr>
        <w:top w:val="none" w:sz="0" w:space="0" w:color="auto"/>
        <w:left w:val="none" w:sz="0" w:space="0" w:color="auto"/>
        <w:bottom w:val="none" w:sz="0" w:space="0" w:color="auto"/>
        <w:right w:val="none" w:sz="0" w:space="0" w:color="auto"/>
      </w:divBdr>
    </w:div>
    <w:div w:id="800266976">
      <w:bodyDiv w:val="1"/>
      <w:marLeft w:val="0"/>
      <w:marRight w:val="0"/>
      <w:marTop w:val="0"/>
      <w:marBottom w:val="0"/>
      <w:divBdr>
        <w:top w:val="none" w:sz="0" w:space="0" w:color="auto"/>
        <w:left w:val="none" w:sz="0" w:space="0" w:color="auto"/>
        <w:bottom w:val="none" w:sz="0" w:space="0" w:color="auto"/>
        <w:right w:val="none" w:sz="0" w:space="0" w:color="auto"/>
      </w:divBdr>
    </w:div>
    <w:div w:id="817841619">
      <w:bodyDiv w:val="1"/>
      <w:marLeft w:val="0"/>
      <w:marRight w:val="0"/>
      <w:marTop w:val="0"/>
      <w:marBottom w:val="0"/>
      <w:divBdr>
        <w:top w:val="none" w:sz="0" w:space="0" w:color="auto"/>
        <w:left w:val="none" w:sz="0" w:space="0" w:color="auto"/>
        <w:bottom w:val="none" w:sz="0" w:space="0" w:color="auto"/>
        <w:right w:val="none" w:sz="0" w:space="0" w:color="auto"/>
      </w:divBdr>
      <w:divsChild>
        <w:div w:id="761730363">
          <w:marLeft w:val="0"/>
          <w:marRight w:val="0"/>
          <w:marTop w:val="0"/>
          <w:marBottom w:val="0"/>
          <w:divBdr>
            <w:top w:val="none" w:sz="0" w:space="0" w:color="auto"/>
            <w:left w:val="none" w:sz="0" w:space="0" w:color="auto"/>
            <w:bottom w:val="none" w:sz="0" w:space="0" w:color="auto"/>
            <w:right w:val="none" w:sz="0" w:space="0" w:color="auto"/>
          </w:divBdr>
        </w:div>
        <w:div w:id="2116485346">
          <w:marLeft w:val="0"/>
          <w:marRight w:val="0"/>
          <w:marTop w:val="0"/>
          <w:marBottom w:val="0"/>
          <w:divBdr>
            <w:top w:val="none" w:sz="0" w:space="0" w:color="auto"/>
            <w:left w:val="none" w:sz="0" w:space="0" w:color="auto"/>
            <w:bottom w:val="none" w:sz="0" w:space="0" w:color="auto"/>
            <w:right w:val="none" w:sz="0" w:space="0" w:color="auto"/>
          </w:divBdr>
        </w:div>
        <w:div w:id="1661958079">
          <w:marLeft w:val="0"/>
          <w:marRight w:val="0"/>
          <w:marTop w:val="0"/>
          <w:marBottom w:val="0"/>
          <w:divBdr>
            <w:top w:val="none" w:sz="0" w:space="0" w:color="auto"/>
            <w:left w:val="none" w:sz="0" w:space="0" w:color="auto"/>
            <w:bottom w:val="none" w:sz="0" w:space="0" w:color="auto"/>
            <w:right w:val="none" w:sz="0" w:space="0" w:color="auto"/>
          </w:divBdr>
        </w:div>
        <w:div w:id="2048488244">
          <w:marLeft w:val="0"/>
          <w:marRight w:val="0"/>
          <w:marTop w:val="0"/>
          <w:marBottom w:val="0"/>
          <w:divBdr>
            <w:top w:val="none" w:sz="0" w:space="0" w:color="auto"/>
            <w:left w:val="none" w:sz="0" w:space="0" w:color="auto"/>
            <w:bottom w:val="none" w:sz="0" w:space="0" w:color="auto"/>
            <w:right w:val="none" w:sz="0" w:space="0" w:color="auto"/>
          </w:divBdr>
        </w:div>
        <w:div w:id="707990504">
          <w:marLeft w:val="0"/>
          <w:marRight w:val="0"/>
          <w:marTop w:val="0"/>
          <w:marBottom w:val="0"/>
          <w:divBdr>
            <w:top w:val="none" w:sz="0" w:space="0" w:color="auto"/>
            <w:left w:val="none" w:sz="0" w:space="0" w:color="auto"/>
            <w:bottom w:val="none" w:sz="0" w:space="0" w:color="auto"/>
            <w:right w:val="none" w:sz="0" w:space="0" w:color="auto"/>
          </w:divBdr>
        </w:div>
      </w:divsChild>
    </w:div>
    <w:div w:id="824853297">
      <w:bodyDiv w:val="1"/>
      <w:marLeft w:val="0"/>
      <w:marRight w:val="0"/>
      <w:marTop w:val="0"/>
      <w:marBottom w:val="0"/>
      <w:divBdr>
        <w:top w:val="none" w:sz="0" w:space="0" w:color="auto"/>
        <w:left w:val="none" w:sz="0" w:space="0" w:color="auto"/>
        <w:bottom w:val="none" w:sz="0" w:space="0" w:color="auto"/>
        <w:right w:val="none" w:sz="0" w:space="0" w:color="auto"/>
      </w:divBdr>
    </w:div>
    <w:div w:id="907810653">
      <w:bodyDiv w:val="1"/>
      <w:marLeft w:val="0"/>
      <w:marRight w:val="0"/>
      <w:marTop w:val="0"/>
      <w:marBottom w:val="0"/>
      <w:divBdr>
        <w:top w:val="none" w:sz="0" w:space="0" w:color="auto"/>
        <w:left w:val="none" w:sz="0" w:space="0" w:color="auto"/>
        <w:bottom w:val="none" w:sz="0" w:space="0" w:color="auto"/>
        <w:right w:val="none" w:sz="0" w:space="0" w:color="auto"/>
      </w:divBdr>
    </w:div>
    <w:div w:id="910820120">
      <w:bodyDiv w:val="1"/>
      <w:marLeft w:val="0"/>
      <w:marRight w:val="0"/>
      <w:marTop w:val="0"/>
      <w:marBottom w:val="0"/>
      <w:divBdr>
        <w:top w:val="none" w:sz="0" w:space="0" w:color="auto"/>
        <w:left w:val="none" w:sz="0" w:space="0" w:color="auto"/>
        <w:bottom w:val="none" w:sz="0" w:space="0" w:color="auto"/>
        <w:right w:val="none" w:sz="0" w:space="0" w:color="auto"/>
      </w:divBdr>
    </w:div>
    <w:div w:id="920869809">
      <w:bodyDiv w:val="1"/>
      <w:marLeft w:val="0"/>
      <w:marRight w:val="0"/>
      <w:marTop w:val="0"/>
      <w:marBottom w:val="0"/>
      <w:divBdr>
        <w:top w:val="none" w:sz="0" w:space="0" w:color="auto"/>
        <w:left w:val="none" w:sz="0" w:space="0" w:color="auto"/>
        <w:bottom w:val="none" w:sz="0" w:space="0" w:color="auto"/>
        <w:right w:val="none" w:sz="0" w:space="0" w:color="auto"/>
      </w:divBdr>
    </w:div>
    <w:div w:id="930503806">
      <w:bodyDiv w:val="1"/>
      <w:marLeft w:val="0"/>
      <w:marRight w:val="0"/>
      <w:marTop w:val="0"/>
      <w:marBottom w:val="0"/>
      <w:divBdr>
        <w:top w:val="none" w:sz="0" w:space="0" w:color="auto"/>
        <w:left w:val="none" w:sz="0" w:space="0" w:color="auto"/>
        <w:bottom w:val="none" w:sz="0" w:space="0" w:color="auto"/>
        <w:right w:val="none" w:sz="0" w:space="0" w:color="auto"/>
      </w:divBdr>
    </w:div>
    <w:div w:id="954992014">
      <w:bodyDiv w:val="1"/>
      <w:marLeft w:val="0"/>
      <w:marRight w:val="0"/>
      <w:marTop w:val="0"/>
      <w:marBottom w:val="0"/>
      <w:divBdr>
        <w:top w:val="none" w:sz="0" w:space="0" w:color="auto"/>
        <w:left w:val="none" w:sz="0" w:space="0" w:color="auto"/>
        <w:bottom w:val="none" w:sz="0" w:space="0" w:color="auto"/>
        <w:right w:val="none" w:sz="0" w:space="0" w:color="auto"/>
      </w:divBdr>
    </w:div>
    <w:div w:id="967315881">
      <w:bodyDiv w:val="1"/>
      <w:marLeft w:val="0"/>
      <w:marRight w:val="0"/>
      <w:marTop w:val="0"/>
      <w:marBottom w:val="0"/>
      <w:divBdr>
        <w:top w:val="none" w:sz="0" w:space="0" w:color="auto"/>
        <w:left w:val="none" w:sz="0" w:space="0" w:color="auto"/>
        <w:bottom w:val="none" w:sz="0" w:space="0" w:color="auto"/>
        <w:right w:val="none" w:sz="0" w:space="0" w:color="auto"/>
      </w:divBdr>
    </w:div>
    <w:div w:id="1020854374">
      <w:bodyDiv w:val="1"/>
      <w:marLeft w:val="0"/>
      <w:marRight w:val="0"/>
      <w:marTop w:val="0"/>
      <w:marBottom w:val="0"/>
      <w:divBdr>
        <w:top w:val="none" w:sz="0" w:space="0" w:color="auto"/>
        <w:left w:val="none" w:sz="0" w:space="0" w:color="auto"/>
        <w:bottom w:val="none" w:sz="0" w:space="0" w:color="auto"/>
        <w:right w:val="none" w:sz="0" w:space="0" w:color="auto"/>
      </w:divBdr>
    </w:div>
    <w:div w:id="1043602676">
      <w:bodyDiv w:val="1"/>
      <w:marLeft w:val="0"/>
      <w:marRight w:val="0"/>
      <w:marTop w:val="0"/>
      <w:marBottom w:val="0"/>
      <w:divBdr>
        <w:top w:val="none" w:sz="0" w:space="0" w:color="auto"/>
        <w:left w:val="none" w:sz="0" w:space="0" w:color="auto"/>
        <w:bottom w:val="none" w:sz="0" w:space="0" w:color="auto"/>
        <w:right w:val="none" w:sz="0" w:space="0" w:color="auto"/>
      </w:divBdr>
    </w:div>
    <w:div w:id="1111582469">
      <w:bodyDiv w:val="1"/>
      <w:marLeft w:val="0"/>
      <w:marRight w:val="0"/>
      <w:marTop w:val="0"/>
      <w:marBottom w:val="0"/>
      <w:divBdr>
        <w:top w:val="none" w:sz="0" w:space="0" w:color="auto"/>
        <w:left w:val="none" w:sz="0" w:space="0" w:color="auto"/>
        <w:bottom w:val="none" w:sz="0" w:space="0" w:color="auto"/>
        <w:right w:val="none" w:sz="0" w:space="0" w:color="auto"/>
      </w:divBdr>
    </w:div>
    <w:div w:id="1116633797">
      <w:bodyDiv w:val="1"/>
      <w:marLeft w:val="0"/>
      <w:marRight w:val="0"/>
      <w:marTop w:val="0"/>
      <w:marBottom w:val="0"/>
      <w:divBdr>
        <w:top w:val="none" w:sz="0" w:space="0" w:color="auto"/>
        <w:left w:val="none" w:sz="0" w:space="0" w:color="auto"/>
        <w:bottom w:val="none" w:sz="0" w:space="0" w:color="auto"/>
        <w:right w:val="none" w:sz="0" w:space="0" w:color="auto"/>
      </w:divBdr>
    </w:div>
    <w:div w:id="1126313317">
      <w:bodyDiv w:val="1"/>
      <w:marLeft w:val="0"/>
      <w:marRight w:val="0"/>
      <w:marTop w:val="0"/>
      <w:marBottom w:val="0"/>
      <w:divBdr>
        <w:top w:val="none" w:sz="0" w:space="0" w:color="auto"/>
        <w:left w:val="none" w:sz="0" w:space="0" w:color="auto"/>
        <w:bottom w:val="none" w:sz="0" w:space="0" w:color="auto"/>
        <w:right w:val="none" w:sz="0" w:space="0" w:color="auto"/>
      </w:divBdr>
    </w:div>
    <w:div w:id="1256550202">
      <w:bodyDiv w:val="1"/>
      <w:marLeft w:val="0"/>
      <w:marRight w:val="0"/>
      <w:marTop w:val="0"/>
      <w:marBottom w:val="0"/>
      <w:divBdr>
        <w:top w:val="none" w:sz="0" w:space="0" w:color="auto"/>
        <w:left w:val="none" w:sz="0" w:space="0" w:color="auto"/>
        <w:bottom w:val="none" w:sz="0" w:space="0" w:color="auto"/>
        <w:right w:val="none" w:sz="0" w:space="0" w:color="auto"/>
      </w:divBdr>
    </w:div>
    <w:div w:id="1256745991">
      <w:bodyDiv w:val="1"/>
      <w:marLeft w:val="0"/>
      <w:marRight w:val="0"/>
      <w:marTop w:val="0"/>
      <w:marBottom w:val="0"/>
      <w:divBdr>
        <w:top w:val="none" w:sz="0" w:space="0" w:color="auto"/>
        <w:left w:val="none" w:sz="0" w:space="0" w:color="auto"/>
        <w:bottom w:val="none" w:sz="0" w:space="0" w:color="auto"/>
        <w:right w:val="none" w:sz="0" w:space="0" w:color="auto"/>
      </w:divBdr>
    </w:div>
    <w:div w:id="1257636608">
      <w:bodyDiv w:val="1"/>
      <w:marLeft w:val="0"/>
      <w:marRight w:val="0"/>
      <w:marTop w:val="0"/>
      <w:marBottom w:val="0"/>
      <w:divBdr>
        <w:top w:val="none" w:sz="0" w:space="0" w:color="auto"/>
        <w:left w:val="none" w:sz="0" w:space="0" w:color="auto"/>
        <w:bottom w:val="none" w:sz="0" w:space="0" w:color="auto"/>
        <w:right w:val="none" w:sz="0" w:space="0" w:color="auto"/>
      </w:divBdr>
    </w:div>
    <w:div w:id="1279145521">
      <w:bodyDiv w:val="1"/>
      <w:marLeft w:val="0"/>
      <w:marRight w:val="0"/>
      <w:marTop w:val="0"/>
      <w:marBottom w:val="0"/>
      <w:divBdr>
        <w:top w:val="none" w:sz="0" w:space="0" w:color="auto"/>
        <w:left w:val="none" w:sz="0" w:space="0" w:color="auto"/>
        <w:bottom w:val="none" w:sz="0" w:space="0" w:color="auto"/>
        <w:right w:val="none" w:sz="0" w:space="0" w:color="auto"/>
      </w:divBdr>
    </w:div>
    <w:div w:id="1279727329">
      <w:bodyDiv w:val="1"/>
      <w:marLeft w:val="0"/>
      <w:marRight w:val="0"/>
      <w:marTop w:val="0"/>
      <w:marBottom w:val="0"/>
      <w:divBdr>
        <w:top w:val="none" w:sz="0" w:space="0" w:color="auto"/>
        <w:left w:val="none" w:sz="0" w:space="0" w:color="auto"/>
        <w:bottom w:val="none" w:sz="0" w:space="0" w:color="auto"/>
        <w:right w:val="none" w:sz="0" w:space="0" w:color="auto"/>
      </w:divBdr>
    </w:div>
    <w:div w:id="1302924931">
      <w:bodyDiv w:val="1"/>
      <w:marLeft w:val="0"/>
      <w:marRight w:val="0"/>
      <w:marTop w:val="0"/>
      <w:marBottom w:val="0"/>
      <w:divBdr>
        <w:top w:val="none" w:sz="0" w:space="0" w:color="auto"/>
        <w:left w:val="none" w:sz="0" w:space="0" w:color="auto"/>
        <w:bottom w:val="none" w:sz="0" w:space="0" w:color="auto"/>
        <w:right w:val="none" w:sz="0" w:space="0" w:color="auto"/>
      </w:divBdr>
    </w:div>
    <w:div w:id="1308244758">
      <w:bodyDiv w:val="1"/>
      <w:marLeft w:val="0"/>
      <w:marRight w:val="0"/>
      <w:marTop w:val="0"/>
      <w:marBottom w:val="0"/>
      <w:divBdr>
        <w:top w:val="none" w:sz="0" w:space="0" w:color="auto"/>
        <w:left w:val="none" w:sz="0" w:space="0" w:color="auto"/>
        <w:bottom w:val="none" w:sz="0" w:space="0" w:color="auto"/>
        <w:right w:val="none" w:sz="0" w:space="0" w:color="auto"/>
      </w:divBdr>
    </w:div>
    <w:div w:id="1346639015">
      <w:bodyDiv w:val="1"/>
      <w:marLeft w:val="0"/>
      <w:marRight w:val="0"/>
      <w:marTop w:val="0"/>
      <w:marBottom w:val="0"/>
      <w:divBdr>
        <w:top w:val="none" w:sz="0" w:space="0" w:color="auto"/>
        <w:left w:val="none" w:sz="0" w:space="0" w:color="auto"/>
        <w:bottom w:val="none" w:sz="0" w:space="0" w:color="auto"/>
        <w:right w:val="none" w:sz="0" w:space="0" w:color="auto"/>
      </w:divBdr>
    </w:div>
    <w:div w:id="1373076413">
      <w:bodyDiv w:val="1"/>
      <w:marLeft w:val="0"/>
      <w:marRight w:val="0"/>
      <w:marTop w:val="0"/>
      <w:marBottom w:val="0"/>
      <w:divBdr>
        <w:top w:val="none" w:sz="0" w:space="0" w:color="auto"/>
        <w:left w:val="none" w:sz="0" w:space="0" w:color="auto"/>
        <w:bottom w:val="none" w:sz="0" w:space="0" w:color="auto"/>
        <w:right w:val="none" w:sz="0" w:space="0" w:color="auto"/>
      </w:divBdr>
    </w:div>
    <w:div w:id="1376269856">
      <w:bodyDiv w:val="1"/>
      <w:marLeft w:val="0"/>
      <w:marRight w:val="0"/>
      <w:marTop w:val="0"/>
      <w:marBottom w:val="0"/>
      <w:divBdr>
        <w:top w:val="none" w:sz="0" w:space="0" w:color="auto"/>
        <w:left w:val="none" w:sz="0" w:space="0" w:color="auto"/>
        <w:bottom w:val="none" w:sz="0" w:space="0" w:color="auto"/>
        <w:right w:val="none" w:sz="0" w:space="0" w:color="auto"/>
      </w:divBdr>
    </w:div>
    <w:div w:id="1388991760">
      <w:bodyDiv w:val="1"/>
      <w:marLeft w:val="0"/>
      <w:marRight w:val="0"/>
      <w:marTop w:val="0"/>
      <w:marBottom w:val="0"/>
      <w:divBdr>
        <w:top w:val="none" w:sz="0" w:space="0" w:color="auto"/>
        <w:left w:val="none" w:sz="0" w:space="0" w:color="auto"/>
        <w:bottom w:val="none" w:sz="0" w:space="0" w:color="auto"/>
        <w:right w:val="none" w:sz="0" w:space="0" w:color="auto"/>
      </w:divBdr>
    </w:div>
    <w:div w:id="1389304325">
      <w:bodyDiv w:val="1"/>
      <w:marLeft w:val="0"/>
      <w:marRight w:val="0"/>
      <w:marTop w:val="0"/>
      <w:marBottom w:val="0"/>
      <w:divBdr>
        <w:top w:val="none" w:sz="0" w:space="0" w:color="auto"/>
        <w:left w:val="none" w:sz="0" w:space="0" w:color="auto"/>
        <w:bottom w:val="none" w:sz="0" w:space="0" w:color="auto"/>
        <w:right w:val="none" w:sz="0" w:space="0" w:color="auto"/>
      </w:divBdr>
    </w:div>
    <w:div w:id="1408260645">
      <w:bodyDiv w:val="1"/>
      <w:marLeft w:val="0"/>
      <w:marRight w:val="0"/>
      <w:marTop w:val="0"/>
      <w:marBottom w:val="0"/>
      <w:divBdr>
        <w:top w:val="none" w:sz="0" w:space="0" w:color="auto"/>
        <w:left w:val="none" w:sz="0" w:space="0" w:color="auto"/>
        <w:bottom w:val="none" w:sz="0" w:space="0" w:color="auto"/>
        <w:right w:val="none" w:sz="0" w:space="0" w:color="auto"/>
      </w:divBdr>
      <w:divsChild>
        <w:div w:id="2018000522">
          <w:marLeft w:val="0"/>
          <w:marRight w:val="0"/>
          <w:marTop w:val="0"/>
          <w:marBottom w:val="0"/>
          <w:divBdr>
            <w:top w:val="none" w:sz="0" w:space="0" w:color="auto"/>
            <w:left w:val="none" w:sz="0" w:space="0" w:color="auto"/>
            <w:bottom w:val="none" w:sz="0" w:space="0" w:color="auto"/>
            <w:right w:val="none" w:sz="0" w:space="0" w:color="auto"/>
          </w:divBdr>
        </w:div>
        <w:div w:id="1582715079">
          <w:marLeft w:val="0"/>
          <w:marRight w:val="0"/>
          <w:marTop w:val="0"/>
          <w:marBottom w:val="0"/>
          <w:divBdr>
            <w:top w:val="none" w:sz="0" w:space="0" w:color="auto"/>
            <w:left w:val="none" w:sz="0" w:space="0" w:color="auto"/>
            <w:bottom w:val="none" w:sz="0" w:space="0" w:color="auto"/>
            <w:right w:val="none" w:sz="0" w:space="0" w:color="auto"/>
          </w:divBdr>
        </w:div>
        <w:div w:id="261498511">
          <w:marLeft w:val="0"/>
          <w:marRight w:val="0"/>
          <w:marTop w:val="0"/>
          <w:marBottom w:val="0"/>
          <w:divBdr>
            <w:top w:val="none" w:sz="0" w:space="0" w:color="auto"/>
            <w:left w:val="none" w:sz="0" w:space="0" w:color="auto"/>
            <w:bottom w:val="none" w:sz="0" w:space="0" w:color="auto"/>
            <w:right w:val="none" w:sz="0" w:space="0" w:color="auto"/>
          </w:divBdr>
        </w:div>
        <w:div w:id="1211381849">
          <w:marLeft w:val="0"/>
          <w:marRight w:val="0"/>
          <w:marTop w:val="0"/>
          <w:marBottom w:val="0"/>
          <w:divBdr>
            <w:top w:val="none" w:sz="0" w:space="0" w:color="auto"/>
            <w:left w:val="none" w:sz="0" w:space="0" w:color="auto"/>
            <w:bottom w:val="none" w:sz="0" w:space="0" w:color="auto"/>
            <w:right w:val="none" w:sz="0" w:space="0" w:color="auto"/>
          </w:divBdr>
        </w:div>
      </w:divsChild>
    </w:div>
    <w:div w:id="1435856102">
      <w:bodyDiv w:val="1"/>
      <w:marLeft w:val="0"/>
      <w:marRight w:val="0"/>
      <w:marTop w:val="0"/>
      <w:marBottom w:val="0"/>
      <w:divBdr>
        <w:top w:val="none" w:sz="0" w:space="0" w:color="auto"/>
        <w:left w:val="none" w:sz="0" w:space="0" w:color="auto"/>
        <w:bottom w:val="none" w:sz="0" w:space="0" w:color="auto"/>
        <w:right w:val="none" w:sz="0" w:space="0" w:color="auto"/>
      </w:divBdr>
    </w:div>
    <w:div w:id="1437019844">
      <w:bodyDiv w:val="1"/>
      <w:marLeft w:val="0"/>
      <w:marRight w:val="0"/>
      <w:marTop w:val="0"/>
      <w:marBottom w:val="0"/>
      <w:divBdr>
        <w:top w:val="none" w:sz="0" w:space="0" w:color="auto"/>
        <w:left w:val="none" w:sz="0" w:space="0" w:color="auto"/>
        <w:bottom w:val="none" w:sz="0" w:space="0" w:color="auto"/>
        <w:right w:val="none" w:sz="0" w:space="0" w:color="auto"/>
      </w:divBdr>
    </w:div>
    <w:div w:id="1511793253">
      <w:bodyDiv w:val="1"/>
      <w:marLeft w:val="0"/>
      <w:marRight w:val="0"/>
      <w:marTop w:val="0"/>
      <w:marBottom w:val="0"/>
      <w:divBdr>
        <w:top w:val="none" w:sz="0" w:space="0" w:color="auto"/>
        <w:left w:val="none" w:sz="0" w:space="0" w:color="auto"/>
        <w:bottom w:val="none" w:sz="0" w:space="0" w:color="auto"/>
        <w:right w:val="none" w:sz="0" w:space="0" w:color="auto"/>
      </w:divBdr>
    </w:div>
    <w:div w:id="1540632556">
      <w:bodyDiv w:val="1"/>
      <w:marLeft w:val="0"/>
      <w:marRight w:val="0"/>
      <w:marTop w:val="0"/>
      <w:marBottom w:val="0"/>
      <w:divBdr>
        <w:top w:val="none" w:sz="0" w:space="0" w:color="auto"/>
        <w:left w:val="none" w:sz="0" w:space="0" w:color="auto"/>
        <w:bottom w:val="none" w:sz="0" w:space="0" w:color="auto"/>
        <w:right w:val="none" w:sz="0" w:space="0" w:color="auto"/>
      </w:divBdr>
    </w:div>
    <w:div w:id="1652711677">
      <w:bodyDiv w:val="1"/>
      <w:marLeft w:val="0"/>
      <w:marRight w:val="0"/>
      <w:marTop w:val="0"/>
      <w:marBottom w:val="0"/>
      <w:divBdr>
        <w:top w:val="none" w:sz="0" w:space="0" w:color="auto"/>
        <w:left w:val="none" w:sz="0" w:space="0" w:color="auto"/>
        <w:bottom w:val="none" w:sz="0" w:space="0" w:color="auto"/>
        <w:right w:val="none" w:sz="0" w:space="0" w:color="auto"/>
      </w:divBdr>
    </w:div>
    <w:div w:id="1659843343">
      <w:bodyDiv w:val="1"/>
      <w:marLeft w:val="0"/>
      <w:marRight w:val="0"/>
      <w:marTop w:val="0"/>
      <w:marBottom w:val="0"/>
      <w:divBdr>
        <w:top w:val="none" w:sz="0" w:space="0" w:color="auto"/>
        <w:left w:val="none" w:sz="0" w:space="0" w:color="auto"/>
        <w:bottom w:val="none" w:sz="0" w:space="0" w:color="auto"/>
        <w:right w:val="none" w:sz="0" w:space="0" w:color="auto"/>
      </w:divBdr>
    </w:div>
    <w:div w:id="1674260178">
      <w:bodyDiv w:val="1"/>
      <w:marLeft w:val="0"/>
      <w:marRight w:val="0"/>
      <w:marTop w:val="0"/>
      <w:marBottom w:val="0"/>
      <w:divBdr>
        <w:top w:val="none" w:sz="0" w:space="0" w:color="auto"/>
        <w:left w:val="none" w:sz="0" w:space="0" w:color="auto"/>
        <w:bottom w:val="none" w:sz="0" w:space="0" w:color="auto"/>
        <w:right w:val="none" w:sz="0" w:space="0" w:color="auto"/>
      </w:divBdr>
    </w:div>
    <w:div w:id="1761440522">
      <w:bodyDiv w:val="1"/>
      <w:marLeft w:val="0"/>
      <w:marRight w:val="0"/>
      <w:marTop w:val="0"/>
      <w:marBottom w:val="0"/>
      <w:divBdr>
        <w:top w:val="none" w:sz="0" w:space="0" w:color="auto"/>
        <w:left w:val="none" w:sz="0" w:space="0" w:color="auto"/>
        <w:bottom w:val="none" w:sz="0" w:space="0" w:color="auto"/>
        <w:right w:val="none" w:sz="0" w:space="0" w:color="auto"/>
      </w:divBdr>
    </w:div>
    <w:div w:id="1793552079">
      <w:bodyDiv w:val="1"/>
      <w:marLeft w:val="0"/>
      <w:marRight w:val="0"/>
      <w:marTop w:val="0"/>
      <w:marBottom w:val="0"/>
      <w:divBdr>
        <w:top w:val="none" w:sz="0" w:space="0" w:color="auto"/>
        <w:left w:val="none" w:sz="0" w:space="0" w:color="auto"/>
        <w:bottom w:val="none" w:sz="0" w:space="0" w:color="auto"/>
        <w:right w:val="none" w:sz="0" w:space="0" w:color="auto"/>
      </w:divBdr>
    </w:div>
    <w:div w:id="1818305636">
      <w:bodyDiv w:val="1"/>
      <w:marLeft w:val="0"/>
      <w:marRight w:val="0"/>
      <w:marTop w:val="0"/>
      <w:marBottom w:val="0"/>
      <w:divBdr>
        <w:top w:val="none" w:sz="0" w:space="0" w:color="auto"/>
        <w:left w:val="none" w:sz="0" w:space="0" w:color="auto"/>
        <w:bottom w:val="none" w:sz="0" w:space="0" w:color="auto"/>
        <w:right w:val="none" w:sz="0" w:space="0" w:color="auto"/>
      </w:divBdr>
    </w:div>
    <w:div w:id="1903518538">
      <w:bodyDiv w:val="1"/>
      <w:marLeft w:val="0"/>
      <w:marRight w:val="0"/>
      <w:marTop w:val="0"/>
      <w:marBottom w:val="0"/>
      <w:divBdr>
        <w:top w:val="none" w:sz="0" w:space="0" w:color="auto"/>
        <w:left w:val="none" w:sz="0" w:space="0" w:color="auto"/>
        <w:bottom w:val="none" w:sz="0" w:space="0" w:color="auto"/>
        <w:right w:val="none" w:sz="0" w:space="0" w:color="auto"/>
      </w:divBdr>
    </w:div>
    <w:div w:id="1949697304">
      <w:bodyDiv w:val="1"/>
      <w:marLeft w:val="0"/>
      <w:marRight w:val="0"/>
      <w:marTop w:val="0"/>
      <w:marBottom w:val="0"/>
      <w:divBdr>
        <w:top w:val="none" w:sz="0" w:space="0" w:color="auto"/>
        <w:left w:val="none" w:sz="0" w:space="0" w:color="auto"/>
        <w:bottom w:val="none" w:sz="0" w:space="0" w:color="auto"/>
        <w:right w:val="none" w:sz="0" w:space="0" w:color="auto"/>
      </w:divBdr>
    </w:div>
    <w:div w:id="1954630940">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 w:id="1978607074">
      <w:bodyDiv w:val="1"/>
      <w:marLeft w:val="0"/>
      <w:marRight w:val="0"/>
      <w:marTop w:val="0"/>
      <w:marBottom w:val="0"/>
      <w:divBdr>
        <w:top w:val="none" w:sz="0" w:space="0" w:color="auto"/>
        <w:left w:val="none" w:sz="0" w:space="0" w:color="auto"/>
        <w:bottom w:val="none" w:sz="0" w:space="0" w:color="auto"/>
        <w:right w:val="none" w:sz="0" w:space="0" w:color="auto"/>
      </w:divBdr>
    </w:div>
    <w:div w:id="1984462729">
      <w:bodyDiv w:val="1"/>
      <w:marLeft w:val="0"/>
      <w:marRight w:val="0"/>
      <w:marTop w:val="0"/>
      <w:marBottom w:val="0"/>
      <w:divBdr>
        <w:top w:val="none" w:sz="0" w:space="0" w:color="auto"/>
        <w:left w:val="none" w:sz="0" w:space="0" w:color="auto"/>
        <w:bottom w:val="none" w:sz="0" w:space="0" w:color="auto"/>
        <w:right w:val="none" w:sz="0" w:space="0" w:color="auto"/>
      </w:divBdr>
    </w:div>
    <w:div w:id="2009097207">
      <w:bodyDiv w:val="1"/>
      <w:marLeft w:val="0"/>
      <w:marRight w:val="0"/>
      <w:marTop w:val="0"/>
      <w:marBottom w:val="0"/>
      <w:divBdr>
        <w:top w:val="none" w:sz="0" w:space="0" w:color="auto"/>
        <w:left w:val="none" w:sz="0" w:space="0" w:color="auto"/>
        <w:bottom w:val="none" w:sz="0" w:space="0" w:color="auto"/>
        <w:right w:val="none" w:sz="0" w:space="0" w:color="auto"/>
      </w:divBdr>
    </w:div>
    <w:div w:id="2030984208">
      <w:bodyDiv w:val="1"/>
      <w:marLeft w:val="0"/>
      <w:marRight w:val="0"/>
      <w:marTop w:val="0"/>
      <w:marBottom w:val="0"/>
      <w:divBdr>
        <w:top w:val="none" w:sz="0" w:space="0" w:color="auto"/>
        <w:left w:val="none" w:sz="0" w:space="0" w:color="auto"/>
        <w:bottom w:val="none" w:sz="0" w:space="0" w:color="auto"/>
        <w:right w:val="none" w:sz="0" w:space="0" w:color="auto"/>
      </w:divBdr>
    </w:div>
    <w:div w:id="2056929686">
      <w:bodyDiv w:val="1"/>
      <w:marLeft w:val="0"/>
      <w:marRight w:val="0"/>
      <w:marTop w:val="0"/>
      <w:marBottom w:val="0"/>
      <w:divBdr>
        <w:top w:val="none" w:sz="0" w:space="0" w:color="auto"/>
        <w:left w:val="none" w:sz="0" w:space="0" w:color="auto"/>
        <w:bottom w:val="none" w:sz="0" w:space="0" w:color="auto"/>
        <w:right w:val="none" w:sz="0" w:space="0" w:color="auto"/>
      </w:divBdr>
    </w:div>
    <w:div w:id="2061324092">
      <w:bodyDiv w:val="1"/>
      <w:marLeft w:val="0"/>
      <w:marRight w:val="0"/>
      <w:marTop w:val="0"/>
      <w:marBottom w:val="0"/>
      <w:divBdr>
        <w:top w:val="none" w:sz="0" w:space="0" w:color="auto"/>
        <w:left w:val="none" w:sz="0" w:space="0" w:color="auto"/>
        <w:bottom w:val="none" w:sz="0" w:space="0" w:color="auto"/>
        <w:right w:val="none" w:sz="0" w:space="0" w:color="auto"/>
      </w:divBdr>
    </w:div>
    <w:div w:id="2074884381">
      <w:bodyDiv w:val="1"/>
      <w:marLeft w:val="0"/>
      <w:marRight w:val="0"/>
      <w:marTop w:val="0"/>
      <w:marBottom w:val="0"/>
      <w:divBdr>
        <w:top w:val="none" w:sz="0" w:space="0" w:color="auto"/>
        <w:left w:val="none" w:sz="0" w:space="0" w:color="auto"/>
        <w:bottom w:val="none" w:sz="0" w:space="0" w:color="auto"/>
        <w:right w:val="none" w:sz="0" w:space="0" w:color="auto"/>
      </w:divBdr>
    </w:div>
    <w:div w:id="2137750349">
      <w:bodyDiv w:val="1"/>
      <w:marLeft w:val="0"/>
      <w:marRight w:val="0"/>
      <w:marTop w:val="0"/>
      <w:marBottom w:val="0"/>
      <w:divBdr>
        <w:top w:val="none" w:sz="0" w:space="0" w:color="auto"/>
        <w:left w:val="none" w:sz="0" w:space="0" w:color="auto"/>
        <w:bottom w:val="none" w:sz="0" w:space="0" w:color="auto"/>
        <w:right w:val="none" w:sz="0" w:space="0" w:color="auto"/>
      </w:divBdr>
    </w:div>
    <w:div w:id="21448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rick Colors">
      <a:dk1>
        <a:sysClr val="windowText" lastClr="000000"/>
      </a:dk1>
      <a:lt1>
        <a:sysClr val="window" lastClr="FFFFFF"/>
      </a:lt1>
      <a:dk2>
        <a:srgbClr val="1F497D"/>
      </a:dk2>
      <a:lt2>
        <a:srgbClr val="EEECE1"/>
      </a:lt2>
      <a:accent1>
        <a:srgbClr val="009966"/>
      </a:accent1>
      <a:accent2>
        <a:srgbClr val="6E6E6E"/>
      </a:accent2>
      <a:accent3>
        <a:srgbClr val="016D9B"/>
      </a:accent3>
      <a:accent4>
        <a:srgbClr val="DF6E1E"/>
      </a:accent4>
      <a:accent5>
        <a:srgbClr val="669999"/>
      </a:accent5>
      <a:accent6>
        <a:srgbClr val="99CC66"/>
      </a:accent6>
      <a:hlink>
        <a:srgbClr val="009966"/>
      </a:hlink>
      <a:folHlink>
        <a:srgbClr val="009966"/>
      </a:folHlink>
    </a:clrScheme>
    <a:fontScheme name="Orrick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EF32D-52D1-46CF-BC7E-6E51B5F3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118</Pages>
  <Words>16833</Words>
  <Characters>95954</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Orrick</Company>
  <LinksUpToDate>false</LinksUpToDate>
  <CharactersWithSpaces>112562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6mp</dc:creator>
  <cp:keywords/>
  <dc:description/>
  <cp:lastModifiedBy>Melanie Hallums</cp:lastModifiedBy>
  <cp:revision>5</cp:revision>
  <cp:lastPrinted>2018-09-07T14:06:00Z</cp:lastPrinted>
  <dcterms:created xsi:type="dcterms:W3CDTF">2020-01-29T21:26:00Z</dcterms:created>
  <dcterms:modified xsi:type="dcterms:W3CDTF">2020-01-29T23:50:00Z</dcterms:modified>
</cp:coreProperties>
</file>