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CF13" w14:textId="05C02A3A" w:rsidR="00070F98" w:rsidRPr="00070F98" w:rsidRDefault="00070F98">
      <w:pPr>
        <w:rPr>
          <w:b/>
          <w:u w:val="single"/>
        </w:rPr>
      </w:pPr>
      <w:r w:rsidRPr="00070F98">
        <w:rPr>
          <w:b/>
          <w:u w:val="single"/>
        </w:rPr>
        <w:t>Facts</w:t>
      </w:r>
    </w:p>
    <w:p w14:paraId="710A1622" w14:textId="77777777" w:rsidR="00070F98" w:rsidRDefault="00070F98"/>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99"/>
        <w:gridCol w:w="5706"/>
        <w:gridCol w:w="198"/>
      </w:tblGrid>
      <w:tr w:rsidR="00BB71DD" w:rsidRPr="0010708E" w14:paraId="6491FA4D" w14:textId="77777777" w:rsidTr="00093B76">
        <w:trPr>
          <w:trHeight w:val="4795"/>
        </w:trPr>
        <w:tc>
          <w:tcPr>
            <w:tcW w:w="5904" w:type="dxa"/>
            <w:gridSpan w:val="2"/>
            <w:vAlign w:val="center"/>
          </w:tcPr>
          <w:p w14:paraId="7241DF51" w14:textId="481AFC7A" w:rsidR="00BB71DD" w:rsidRPr="0010708E" w:rsidRDefault="00BB71DD" w:rsidP="006A6D0D">
            <w:pPr>
              <w:pStyle w:val="O-BodyText"/>
              <w:spacing w:afterLines="120" w:after="288"/>
              <w:ind w:right="108"/>
              <w:jc w:val="center"/>
              <w:rPr>
                <w:rFonts w:ascii="Calibri" w:hAnsi="Calibri"/>
                <w:b/>
                <w:bCs/>
                <w:sz w:val="28"/>
                <w:szCs w:val="28"/>
              </w:rPr>
            </w:pPr>
            <w:r w:rsidRPr="0010708E">
              <w:rPr>
                <w:rFonts w:ascii="Calibri" w:hAnsi="Calibri"/>
                <w:b/>
                <w:bCs/>
                <w:sz w:val="52"/>
                <w:szCs w:val="52"/>
              </w:rPr>
              <w:t>Jurisdiction</w:t>
            </w:r>
          </w:p>
        </w:tc>
        <w:tc>
          <w:tcPr>
            <w:tcW w:w="5904" w:type="dxa"/>
            <w:gridSpan w:val="2"/>
            <w:vAlign w:val="center"/>
          </w:tcPr>
          <w:p w14:paraId="64211791" w14:textId="77777777" w:rsidR="00BB71DD" w:rsidRPr="0010708E" w:rsidRDefault="00BB71DD" w:rsidP="006A6D0D">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p>
        </w:tc>
      </w:tr>
      <w:tr w:rsidR="00BB71DD" w:rsidRPr="0010708E" w14:paraId="44DF2660" w14:textId="77777777" w:rsidTr="00093B76">
        <w:trPr>
          <w:trHeight w:val="4795"/>
        </w:trPr>
        <w:tc>
          <w:tcPr>
            <w:tcW w:w="5904" w:type="dxa"/>
            <w:gridSpan w:val="2"/>
            <w:vAlign w:val="center"/>
          </w:tcPr>
          <w:p w14:paraId="4F3C5A00" w14:textId="408ACE57" w:rsidR="00BB71DD" w:rsidRPr="0010708E" w:rsidRDefault="00BB71DD" w:rsidP="006A6D0D">
            <w:pPr>
              <w:pStyle w:val="O-BodyText"/>
              <w:spacing w:afterLines="120" w:after="288"/>
              <w:ind w:right="108"/>
              <w:rPr>
                <w:rFonts w:ascii="Calibri" w:hAnsi="Calibri"/>
                <w:b/>
                <w:bCs/>
                <w:sz w:val="28"/>
                <w:szCs w:val="28"/>
              </w:rPr>
            </w:pPr>
            <w:r>
              <w:rPr>
                <w:rFonts w:ascii="Calibri" w:hAnsi="Calibri"/>
                <w:b/>
                <w:bCs/>
                <w:sz w:val="28"/>
                <w:szCs w:val="28"/>
              </w:rPr>
              <w:t xml:space="preserve">Where does this Court’s </w:t>
            </w:r>
            <w:r w:rsidRPr="0010708E">
              <w:rPr>
                <w:rFonts w:ascii="Calibri" w:hAnsi="Calibri"/>
                <w:b/>
                <w:bCs/>
                <w:sz w:val="28"/>
                <w:szCs w:val="28"/>
              </w:rPr>
              <w:t>jurisdiction lie?</w:t>
            </w:r>
          </w:p>
        </w:tc>
        <w:tc>
          <w:tcPr>
            <w:tcW w:w="5904" w:type="dxa"/>
            <w:gridSpan w:val="2"/>
            <w:vAlign w:val="center"/>
          </w:tcPr>
          <w:p w14:paraId="59559FC5" w14:textId="50FF187E" w:rsidR="00BB71DD" w:rsidRPr="00F3515A" w:rsidRDefault="008C6082" w:rsidP="006A6D0D">
            <w:pPr>
              <w:pStyle w:val="O-BodyText"/>
              <w:spacing w:afterLines="120" w:after="288"/>
              <w:ind w:right="162"/>
              <w:rPr>
                <w:rFonts w:ascii="Calibri" w:hAnsi="Calibri"/>
                <w:b/>
                <w:bCs/>
                <w:sz w:val="22"/>
                <w:szCs w:val="22"/>
                <w:highlight w:val="yellow"/>
                <w:lang w:bidi="en-US"/>
              </w:rPr>
            </w:pPr>
            <w:r w:rsidRPr="00F3515A">
              <w:rPr>
                <w:rFonts w:ascii="Calibri" w:hAnsi="Calibri"/>
                <w:b/>
                <w:bCs/>
                <w:sz w:val="22"/>
                <w:szCs w:val="22"/>
                <w:highlight w:val="yellow"/>
                <w:lang w:bidi="en-US"/>
              </w:rPr>
              <w:t>This Court has jurisdiction under 28 U.S.C. § 1292(e)</w:t>
            </w:r>
            <w:r w:rsidR="00AC4FA9" w:rsidRPr="00F3515A">
              <w:rPr>
                <w:rFonts w:ascii="Calibri" w:hAnsi="Calibri"/>
                <w:b/>
                <w:bCs/>
                <w:sz w:val="22"/>
                <w:szCs w:val="22"/>
                <w:highlight w:val="yellow"/>
                <w:lang w:bidi="en-US"/>
              </w:rPr>
              <w:t xml:space="preserve"> </w:t>
            </w:r>
            <w:r w:rsidR="00CA0593" w:rsidRPr="00F3515A">
              <w:rPr>
                <w:rFonts w:ascii="Calibri" w:hAnsi="Calibri"/>
                <w:b/>
                <w:bCs/>
                <w:sz w:val="22"/>
                <w:szCs w:val="22"/>
                <w:highlight w:val="yellow"/>
                <w:lang w:bidi="en-US"/>
              </w:rPr>
              <w:t>and Federal Rule of Civil Procedure 23(f)</w:t>
            </w:r>
            <w:r w:rsidR="00AC4FA9" w:rsidRPr="00F3515A">
              <w:rPr>
                <w:rFonts w:ascii="Calibri" w:hAnsi="Calibri"/>
                <w:b/>
                <w:bCs/>
                <w:sz w:val="22"/>
                <w:szCs w:val="22"/>
                <w:highlight w:val="yellow"/>
                <w:lang w:bidi="en-US"/>
              </w:rPr>
              <w:t>.  O</w:t>
            </w:r>
            <w:r w:rsidR="00CA0593" w:rsidRPr="00F3515A">
              <w:rPr>
                <w:rFonts w:ascii="Calibri" w:hAnsi="Calibri"/>
                <w:b/>
                <w:bCs/>
                <w:sz w:val="22"/>
                <w:szCs w:val="22"/>
                <w:highlight w:val="yellow"/>
                <w:lang w:bidi="en-US"/>
              </w:rPr>
              <w:t>n June 1, 2018, this Court granted plaintiffs’ petition for permission to appeal the district court’s February 16, 2018, order denying plaintiffs’ motion for class certification.  Ward Br. 1.</w:t>
            </w:r>
          </w:p>
        </w:tc>
      </w:tr>
      <w:tr w:rsidR="0020210F" w:rsidRPr="0010708E" w14:paraId="215A289D" w14:textId="77777777" w:rsidTr="00093B76">
        <w:trPr>
          <w:trHeight w:val="4795"/>
        </w:trPr>
        <w:tc>
          <w:tcPr>
            <w:tcW w:w="5904" w:type="dxa"/>
            <w:gridSpan w:val="2"/>
            <w:vAlign w:val="center"/>
          </w:tcPr>
          <w:p w14:paraId="4E9654DB" w14:textId="7A0F90A5" w:rsidR="0020210F" w:rsidRPr="00B2423C" w:rsidRDefault="0020210F" w:rsidP="006A6D0D">
            <w:pPr>
              <w:pStyle w:val="O-BodyText"/>
              <w:spacing w:afterLines="120" w:after="288"/>
              <w:ind w:right="108"/>
              <w:rPr>
                <w:rFonts w:ascii="Calibri" w:hAnsi="Calibri"/>
                <w:b/>
                <w:bCs/>
                <w:sz w:val="28"/>
                <w:szCs w:val="28"/>
              </w:rPr>
            </w:pPr>
            <w:r w:rsidRPr="00B2423C">
              <w:rPr>
                <w:rFonts w:ascii="Calibri" w:hAnsi="Calibri"/>
                <w:b/>
                <w:bCs/>
                <w:sz w:val="28"/>
                <w:szCs w:val="28"/>
              </w:rPr>
              <w:lastRenderedPageBreak/>
              <w:t>What was the basis of the district court’s jurisdiction in this case?</w:t>
            </w:r>
          </w:p>
        </w:tc>
        <w:tc>
          <w:tcPr>
            <w:tcW w:w="5904" w:type="dxa"/>
            <w:gridSpan w:val="2"/>
            <w:vAlign w:val="center"/>
          </w:tcPr>
          <w:p w14:paraId="784244E6" w14:textId="5653A313" w:rsidR="0020210F" w:rsidRPr="00F3515A" w:rsidRDefault="00AC4FA9" w:rsidP="0020210F">
            <w:pPr>
              <w:pStyle w:val="O-BodyText"/>
              <w:spacing w:afterLines="120" w:after="288"/>
              <w:ind w:right="162"/>
              <w:rPr>
                <w:rFonts w:ascii="Calibri" w:hAnsi="Calibri"/>
                <w:b/>
                <w:bCs/>
                <w:sz w:val="22"/>
                <w:szCs w:val="22"/>
                <w:highlight w:val="yellow"/>
                <w:lang w:bidi="en-US"/>
              </w:rPr>
            </w:pPr>
            <w:r w:rsidRPr="00F3515A">
              <w:rPr>
                <w:rFonts w:ascii="Calibri" w:hAnsi="Calibri"/>
                <w:b/>
                <w:bCs/>
                <w:sz w:val="22"/>
                <w:szCs w:val="22"/>
                <w:highlight w:val="yellow"/>
                <w:lang w:bidi="en-US"/>
              </w:rPr>
              <w:t>The district c</w:t>
            </w:r>
            <w:r w:rsidR="0020210F" w:rsidRPr="00F3515A">
              <w:rPr>
                <w:rFonts w:ascii="Calibri" w:hAnsi="Calibri"/>
                <w:b/>
                <w:bCs/>
                <w:sz w:val="22"/>
                <w:szCs w:val="22"/>
                <w:highlight w:val="yellow"/>
                <w:lang w:bidi="en-US"/>
              </w:rPr>
              <w:t>ourt had subject matter jurisdiction under the Clayton Antitrust Act of 1914, 15 U.S.C. § 15, and</w:t>
            </w:r>
            <w:r w:rsidRPr="00F3515A">
              <w:rPr>
                <w:rFonts w:ascii="Calibri" w:hAnsi="Calibri"/>
                <w:b/>
                <w:bCs/>
                <w:sz w:val="22"/>
                <w:szCs w:val="22"/>
                <w:highlight w:val="yellow"/>
                <w:lang w:bidi="en-US"/>
              </w:rPr>
              <w:t xml:space="preserve"> 28 U.S.C. §§ 1331, 1337.  The district c</w:t>
            </w:r>
            <w:r w:rsidR="0020210F" w:rsidRPr="00F3515A">
              <w:rPr>
                <w:rFonts w:ascii="Calibri" w:hAnsi="Calibri"/>
                <w:b/>
                <w:bCs/>
                <w:sz w:val="22"/>
                <w:szCs w:val="22"/>
                <w:highlight w:val="yellow"/>
                <w:lang w:bidi="en-US"/>
              </w:rPr>
              <w:t>ourt also ha</w:t>
            </w:r>
            <w:r w:rsidR="00CA0593" w:rsidRPr="00F3515A">
              <w:rPr>
                <w:rFonts w:ascii="Calibri" w:hAnsi="Calibri"/>
                <w:b/>
                <w:bCs/>
                <w:sz w:val="22"/>
                <w:szCs w:val="22"/>
                <w:highlight w:val="yellow"/>
                <w:lang w:bidi="en-US"/>
              </w:rPr>
              <w:t>d</w:t>
            </w:r>
            <w:r w:rsidR="0020210F" w:rsidRPr="00F3515A">
              <w:rPr>
                <w:rFonts w:ascii="Calibri" w:hAnsi="Calibri"/>
                <w:b/>
                <w:bCs/>
                <w:sz w:val="22"/>
                <w:szCs w:val="22"/>
                <w:highlight w:val="yellow"/>
                <w:lang w:bidi="en-US"/>
              </w:rPr>
              <w:t xml:space="preserve"> jurisdiction</w:t>
            </w:r>
            <w:r w:rsidR="0020210F" w:rsidRPr="00F3515A">
              <w:rPr>
                <w:rFonts w:ascii="Times New Roman" w:hAnsi="Times New Roman" w:cs="Times New Roman"/>
                <w:sz w:val="28"/>
                <w:szCs w:val="28"/>
                <w:highlight w:val="yellow"/>
              </w:rPr>
              <w:t xml:space="preserve"> </w:t>
            </w:r>
            <w:r w:rsidR="00CA0593" w:rsidRPr="00F3515A">
              <w:rPr>
                <w:rFonts w:ascii="Calibri" w:hAnsi="Calibri"/>
                <w:b/>
                <w:bCs/>
                <w:sz w:val="22"/>
                <w:szCs w:val="22"/>
                <w:highlight w:val="yellow"/>
                <w:lang w:bidi="en-US"/>
              </w:rPr>
              <w:t xml:space="preserve">under </w:t>
            </w:r>
            <w:r w:rsidR="0020210F" w:rsidRPr="00F3515A">
              <w:rPr>
                <w:rFonts w:ascii="Calibri" w:hAnsi="Calibri"/>
                <w:b/>
                <w:bCs/>
                <w:sz w:val="22"/>
                <w:szCs w:val="22"/>
                <w:highlight w:val="yellow"/>
                <w:lang w:bidi="en-US"/>
              </w:rPr>
              <w:t>28 U.S.C. § 1332(d)(2) because the parties are diverse, the aggregate amount in controversy exceeds $5,000,000, and there are 100 or more members of the</w:t>
            </w:r>
            <w:r w:rsidRPr="00F3515A">
              <w:rPr>
                <w:rFonts w:ascii="Calibri" w:hAnsi="Calibri"/>
                <w:b/>
                <w:bCs/>
                <w:sz w:val="22"/>
                <w:szCs w:val="22"/>
                <w:highlight w:val="yellow"/>
                <w:lang w:bidi="en-US"/>
              </w:rPr>
              <w:t xml:space="preserve"> c</w:t>
            </w:r>
            <w:r w:rsidR="0020210F" w:rsidRPr="00F3515A">
              <w:rPr>
                <w:rFonts w:ascii="Calibri" w:hAnsi="Calibri"/>
                <w:b/>
                <w:bCs/>
                <w:sz w:val="22"/>
                <w:szCs w:val="22"/>
                <w:highlight w:val="yellow"/>
                <w:lang w:bidi="en-US"/>
              </w:rPr>
              <w:t>lass.  Ward Br. 1-2.</w:t>
            </w:r>
          </w:p>
        </w:tc>
      </w:tr>
      <w:tr w:rsidR="00F7719D" w:rsidRPr="0010708E" w14:paraId="4A06CE0E" w14:textId="77777777" w:rsidTr="00093B76">
        <w:trPr>
          <w:trHeight w:val="4795"/>
        </w:trPr>
        <w:tc>
          <w:tcPr>
            <w:tcW w:w="5904" w:type="dxa"/>
            <w:gridSpan w:val="2"/>
            <w:vAlign w:val="center"/>
          </w:tcPr>
          <w:p w14:paraId="66C91DB7" w14:textId="77777777" w:rsidR="00F7719D" w:rsidRPr="0010708E" w:rsidRDefault="00F7719D" w:rsidP="006A6D0D">
            <w:pPr>
              <w:pStyle w:val="O-BodyText"/>
              <w:spacing w:afterLines="120" w:after="288"/>
              <w:ind w:right="108"/>
              <w:jc w:val="center"/>
              <w:rPr>
                <w:rFonts w:ascii="Calibri" w:hAnsi="Calibri"/>
                <w:b/>
                <w:bCs/>
                <w:sz w:val="52"/>
                <w:szCs w:val="52"/>
              </w:rPr>
            </w:pPr>
            <w:r w:rsidRPr="0010708E">
              <w:rPr>
                <w:rFonts w:ascii="Calibri" w:hAnsi="Calibri"/>
                <w:b/>
                <w:bCs/>
                <w:sz w:val="52"/>
                <w:szCs w:val="52"/>
              </w:rPr>
              <w:t xml:space="preserve">Issues </w:t>
            </w:r>
            <w:r>
              <w:rPr>
                <w:rFonts w:ascii="Calibri" w:hAnsi="Calibri"/>
                <w:b/>
                <w:sz w:val="52"/>
                <w:szCs w:val="52"/>
              </w:rPr>
              <w:br/>
            </w:r>
            <w:r w:rsidRPr="0010708E">
              <w:rPr>
                <w:rFonts w:ascii="Calibri" w:hAnsi="Calibri"/>
                <w:b/>
                <w:bCs/>
                <w:sz w:val="52"/>
                <w:szCs w:val="52"/>
              </w:rPr>
              <w:t>Presented</w:t>
            </w:r>
          </w:p>
        </w:tc>
        <w:tc>
          <w:tcPr>
            <w:tcW w:w="5904" w:type="dxa"/>
            <w:gridSpan w:val="2"/>
            <w:vAlign w:val="center"/>
          </w:tcPr>
          <w:p w14:paraId="4C85F4A2" w14:textId="77777777" w:rsidR="00F7719D" w:rsidRPr="0010708E" w:rsidRDefault="00F7719D" w:rsidP="006A6D0D">
            <w:pPr>
              <w:pStyle w:val="O-BodyText"/>
              <w:spacing w:after="120"/>
              <w:ind w:right="158"/>
              <w:jc w:val="center"/>
              <w:rPr>
                <w:rFonts w:ascii="Calibri" w:hAnsi="Calibri"/>
                <w:b/>
                <w:bCs/>
                <w:sz w:val="22"/>
                <w:szCs w:val="22"/>
              </w:rPr>
            </w:pPr>
            <w:r w:rsidRPr="0010708E">
              <w:rPr>
                <w:rFonts w:ascii="Calibri" w:hAnsi="Calibri"/>
                <w:b/>
                <w:bCs/>
                <w:sz w:val="52"/>
                <w:szCs w:val="52"/>
              </w:rPr>
              <w:t>Color</w:t>
            </w:r>
          </w:p>
        </w:tc>
      </w:tr>
      <w:tr w:rsidR="00F7719D" w:rsidRPr="00907D75" w14:paraId="0D3EB01D" w14:textId="77777777" w:rsidTr="00093B76">
        <w:trPr>
          <w:gridAfter w:val="1"/>
          <w:wAfter w:w="198" w:type="dxa"/>
          <w:trHeight w:val="4795"/>
        </w:trPr>
        <w:tc>
          <w:tcPr>
            <w:tcW w:w="5805" w:type="dxa"/>
            <w:vAlign w:val="center"/>
          </w:tcPr>
          <w:p w14:paraId="433D67A6" w14:textId="0E712BA6" w:rsidR="00F7719D" w:rsidRPr="00907D75" w:rsidRDefault="008C6082" w:rsidP="00552A57">
            <w:pPr>
              <w:pStyle w:val="O-BodyText"/>
              <w:spacing w:after="120"/>
              <w:ind w:right="200"/>
              <w:jc w:val="both"/>
              <w:rPr>
                <w:rFonts w:ascii="Calibri" w:hAnsi="Calibri" w:cs="Calibri"/>
                <w:b/>
                <w:sz w:val="28"/>
                <w:szCs w:val="28"/>
              </w:rPr>
            </w:pPr>
            <w:r w:rsidRPr="008C6082">
              <w:rPr>
                <w:rFonts w:ascii="Calibri" w:hAnsi="Calibri" w:cs="Calibri"/>
                <w:b/>
                <w:sz w:val="28"/>
                <w:szCs w:val="28"/>
              </w:rPr>
              <w:t>Did the district court abuse its discretion by denying class certification?</w:t>
            </w:r>
          </w:p>
        </w:tc>
        <w:tc>
          <w:tcPr>
            <w:tcW w:w="5805" w:type="dxa"/>
            <w:gridSpan w:val="2"/>
            <w:vAlign w:val="center"/>
          </w:tcPr>
          <w:p w14:paraId="25BE3687" w14:textId="78726F74" w:rsidR="00F7719D" w:rsidRPr="00907D75" w:rsidRDefault="00552A57" w:rsidP="006A6D0D">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8C6082" w:rsidRPr="008C6082">
              <w:rPr>
                <w:rFonts w:ascii="Calibri" w:hAnsi="Calibri" w:cs="Calibri"/>
                <w:b/>
                <w:sz w:val="22"/>
                <w:szCs w:val="22"/>
              </w:rPr>
              <w:t xml:space="preserve">Plaintiffs failed to offer a working econometric model for proving that antitrust impact was a common issue, </w:t>
            </w:r>
            <w:r w:rsidR="008C6082">
              <w:rPr>
                <w:rFonts w:ascii="Calibri" w:hAnsi="Calibri" w:cs="Calibri"/>
                <w:b/>
                <w:sz w:val="22"/>
                <w:szCs w:val="22"/>
              </w:rPr>
              <w:t xml:space="preserve">which made </w:t>
            </w:r>
            <w:r w:rsidR="008C6082" w:rsidRPr="008C6082">
              <w:rPr>
                <w:rFonts w:ascii="Calibri" w:hAnsi="Calibri" w:cs="Calibri"/>
                <w:b/>
                <w:sz w:val="22"/>
                <w:szCs w:val="22"/>
              </w:rPr>
              <w:t>it impossible for the district court to rigorously scrutinize such proof</w:t>
            </w:r>
            <w:r w:rsidR="008C6082">
              <w:rPr>
                <w:rFonts w:ascii="Calibri" w:hAnsi="Calibri" w:cs="Calibri"/>
                <w:b/>
                <w:sz w:val="22"/>
                <w:szCs w:val="22"/>
              </w:rPr>
              <w:t>.</w:t>
            </w:r>
          </w:p>
        </w:tc>
      </w:tr>
      <w:tr w:rsidR="00D92204" w:rsidRPr="00907D75" w14:paraId="3D80617B" w14:textId="77777777" w:rsidTr="00093B76">
        <w:trPr>
          <w:gridAfter w:val="1"/>
          <w:wAfter w:w="198" w:type="dxa"/>
          <w:trHeight w:val="4795"/>
        </w:trPr>
        <w:tc>
          <w:tcPr>
            <w:tcW w:w="5805" w:type="dxa"/>
            <w:vAlign w:val="center"/>
          </w:tcPr>
          <w:p w14:paraId="02583329" w14:textId="1645A574" w:rsidR="00D92204" w:rsidRPr="00956560" w:rsidRDefault="008C6082" w:rsidP="00552A57">
            <w:pPr>
              <w:pStyle w:val="O-BodyText"/>
              <w:spacing w:after="120"/>
              <w:ind w:right="200"/>
              <w:jc w:val="both"/>
              <w:rPr>
                <w:rFonts w:ascii="Calibri" w:hAnsi="Calibri" w:cs="Calibri"/>
                <w:b/>
                <w:sz w:val="28"/>
                <w:szCs w:val="28"/>
              </w:rPr>
            </w:pPr>
            <w:r w:rsidRPr="008C6082">
              <w:rPr>
                <w:rFonts w:ascii="Calibri" w:hAnsi="Calibri" w:cs="Calibri"/>
                <w:b/>
                <w:sz w:val="28"/>
                <w:szCs w:val="28"/>
              </w:rPr>
              <w:lastRenderedPageBreak/>
              <w:t>If there is a remand, should this case be reassigned to a different district court judge?</w:t>
            </w:r>
          </w:p>
        </w:tc>
        <w:tc>
          <w:tcPr>
            <w:tcW w:w="5805" w:type="dxa"/>
            <w:gridSpan w:val="2"/>
            <w:vAlign w:val="center"/>
          </w:tcPr>
          <w:p w14:paraId="0CAF55EF" w14:textId="2BEC0A8D" w:rsidR="00D92204" w:rsidRDefault="008C6082" w:rsidP="006A6D0D">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475F10" w:rsidRPr="00475F10">
              <w:rPr>
                <w:rFonts w:ascii="Calibri" w:hAnsi="Calibri" w:cs="Calibri"/>
                <w:b/>
                <w:sz w:val="22"/>
                <w:szCs w:val="22"/>
              </w:rPr>
              <w:t>Since inheriting this case in 2012 (when Judge Ware retired), Judge Gonzalez Ro</w:t>
            </w:r>
            <w:r w:rsidR="00475F10">
              <w:rPr>
                <w:rFonts w:ascii="Calibri" w:hAnsi="Calibri" w:cs="Calibri"/>
                <w:b/>
                <w:sz w:val="22"/>
                <w:szCs w:val="22"/>
              </w:rPr>
              <w:t>gers has been impartial</w:t>
            </w:r>
            <w:r w:rsidR="00475F10" w:rsidRPr="00475F10">
              <w:rPr>
                <w:rFonts w:ascii="Calibri" w:hAnsi="Calibri" w:cs="Calibri"/>
                <w:b/>
                <w:sz w:val="22"/>
                <w:szCs w:val="22"/>
              </w:rPr>
              <w:t xml:space="preserve"> and </w:t>
            </w:r>
            <w:r w:rsidR="00475F10">
              <w:rPr>
                <w:rFonts w:ascii="Calibri" w:hAnsi="Calibri" w:cs="Calibri"/>
                <w:b/>
                <w:sz w:val="22"/>
                <w:szCs w:val="22"/>
              </w:rPr>
              <w:t xml:space="preserve">has </w:t>
            </w:r>
            <w:r w:rsidR="00CA0593">
              <w:rPr>
                <w:rFonts w:ascii="Calibri" w:hAnsi="Calibri" w:cs="Calibri"/>
                <w:b/>
                <w:sz w:val="22"/>
                <w:szCs w:val="22"/>
              </w:rPr>
              <w:t>provided p</w:t>
            </w:r>
            <w:r w:rsidR="00475F10" w:rsidRPr="00475F10">
              <w:rPr>
                <w:rFonts w:ascii="Calibri" w:hAnsi="Calibri" w:cs="Calibri"/>
                <w:b/>
                <w:sz w:val="22"/>
                <w:szCs w:val="22"/>
              </w:rPr>
              <w:t xml:space="preserve">laintiffs ample opportunity to establish their case. </w:t>
            </w:r>
            <w:r w:rsidR="00AC4FA9">
              <w:rPr>
                <w:rFonts w:ascii="Calibri" w:hAnsi="Calibri" w:cs="Calibri"/>
                <w:b/>
                <w:sz w:val="22"/>
                <w:szCs w:val="22"/>
              </w:rPr>
              <w:t xml:space="preserve"> Neither b</w:t>
            </w:r>
            <w:r w:rsidR="00475F10">
              <w:rPr>
                <w:rFonts w:ascii="Calibri" w:hAnsi="Calibri" w:cs="Calibri"/>
                <w:b/>
                <w:sz w:val="22"/>
                <w:szCs w:val="22"/>
              </w:rPr>
              <w:t xml:space="preserve">eing </w:t>
            </w:r>
            <w:r w:rsidR="00475F10" w:rsidRPr="00475F10">
              <w:rPr>
                <w:rFonts w:ascii="Calibri" w:hAnsi="Calibri" w:cs="Calibri"/>
                <w:b/>
                <w:sz w:val="22"/>
                <w:szCs w:val="22"/>
              </w:rPr>
              <w:t>reversed by this Court once before in this case</w:t>
            </w:r>
            <w:r w:rsidR="00AC4FA9">
              <w:rPr>
                <w:rFonts w:ascii="Calibri" w:hAnsi="Calibri" w:cs="Calibri"/>
                <w:b/>
                <w:sz w:val="22"/>
                <w:szCs w:val="22"/>
              </w:rPr>
              <w:t xml:space="preserve">, nor </w:t>
            </w:r>
            <w:r w:rsidR="00475F10">
              <w:rPr>
                <w:rFonts w:ascii="Calibri" w:hAnsi="Calibri" w:cs="Calibri"/>
                <w:b/>
                <w:sz w:val="22"/>
                <w:szCs w:val="22"/>
              </w:rPr>
              <w:t xml:space="preserve">pressing to have this </w:t>
            </w:r>
            <w:r w:rsidR="00475F10" w:rsidRPr="00475F10">
              <w:rPr>
                <w:rFonts w:ascii="Calibri" w:hAnsi="Calibri" w:cs="Calibri"/>
                <w:b/>
                <w:sz w:val="22"/>
                <w:szCs w:val="22"/>
              </w:rPr>
              <w:t>decade-old case go to trial is an adequate basis for reassignment</w:t>
            </w:r>
            <w:r w:rsidR="00475F10">
              <w:rPr>
                <w:rFonts w:ascii="Calibri" w:hAnsi="Calibri" w:cs="Calibri"/>
                <w:b/>
                <w:sz w:val="22"/>
                <w:szCs w:val="22"/>
              </w:rPr>
              <w:t>.</w:t>
            </w:r>
          </w:p>
        </w:tc>
      </w:tr>
      <w:tr w:rsidR="00053A11" w:rsidRPr="00907D75" w14:paraId="52279B24" w14:textId="77777777" w:rsidTr="00093B76">
        <w:trPr>
          <w:gridAfter w:val="1"/>
          <w:wAfter w:w="198" w:type="dxa"/>
          <w:trHeight w:val="4795"/>
        </w:trPr>
        <w:tc>
          <w:tcPr>
            <w:tcW w:w="5805" w:type="dxa"/>
            <w:vAlign w:val="center"/>
          </w:tcPr>
          <w:p w14:paraId="14F99E26" w14:textId="074B938F" w:rsidR="00053A11" w:rsidRPr="00907D75" w:rsidRDefault="00053A11" w:rsidP="0057593C">
            <w:pPr>
              <w:pStyle w:val="O-BodyText"/>
              <w:spacing w:after="120"/>
              <w:ind w:right="200"/>
              <w:jc w:val="center"/>
              <w:rPr>
                <w:rFonts w:ascii="Calibri" w:hAnsi="Calibri" w:cs="Calibri"/>
                <w:b/>
                <w:sz w:val="52"/>
                <w:szCs w:val="52"/>
              </w:rPr>
            </w:pPr>
            <w:r w:rsidRPr="00907D75">
              <w:rPr>
                <w:rFonts w:ascii="Calibri" w:hAnsi="Calibri" w:cs="Calibri"/>
                <w:b/>
                <w:sz w:val="52"/>
                <w:szCs w:val="52"/>
              </w:rPr>
              <w:t xml:space="preserve">Statement </w:t>
            </w:r>
            <w:r w:rsidRPr="00907D75">
              <w:rPr>
                <w:rFonts w:ascii="Calibri" w:hAnsi="Calibri" w:cs="Calibri"/>
                <w:b/>
                <w:sz w:val="52"/>
                <w:szCs w:val="52"/>
              </w:rPr>
              <w:br/>
              <w:t xml:space="preserve">of </w:t>
            </w:r>
            <w:r w:rsidR="00811B96" w:rsidRPr="00907D75">
              <w:rPr>
                <w:rFonts w:ascii="Calibri" w:hAnsi="Calibri" w:cs="Calibri"/>
                <w:b/>
                <w:sz w:val="52"/>
                <w:szCs w:val="52"/>
              </w:rPr>
              <w:t>the Case</w:t>
            </w:r>
          </w:p>
        </w:tc>
        <w:tc>
          <w:tcPr>
            <w:tcW w:w="5805" w:type="dxa"/>
            <w:gridSpan w:val="2"/>
            <w:vAlign w:val="center"/>
          </w:tcPr>
          <w:p w14:paraId="4734DDA3" w14:textId="4D68F589" w:rsidR="00053A11" w:rsidRPr="00907D75" w:rsidRDefault="00053A11" w:rsidP="0057593C">
            <w:pPr>
              <w:pStyle w:val="O-BodyText"/>
              <w:spacing w:after="120"/>
              <w:ind w:left="290" w:right="65"/>
              <w:jc w:val="center"/>
              <w:rPr>
                <w:rFonts w:ascii="Calibri" w:hAnsi="Calibri" w:cs="Calibri"/>
                <w:b/>
                <w:sz w:val="52"/>
                <w:szCs w:val="52"/>
              </w:rPr>
            </w:pPr>
            <w:r w:rsidRPr="00907D75">
              <w:rPr>
                <w:rFonts w:ascii="Calibri" w:hAnsi="Calibri" w:cs="Calibri"/>
                <w:b/>
                <w:sz w:val="52"/>
                <w:szCs w:val="52"/>
              </w:rPr>
              <w:t>Color</w:t>
            </w:r>
            <w:r w:rsidR="003431B5">
              <w:rPr>
                <w:rFonts w:ascii="Calibri" w:hAnsi="Calibri" w:cs="Calibri"/>
                <w:b/>
                <w:sz w:val="52"/>
                <w:szCs w:val="52"/>
              </w:rPr>
              <w:t>:  Yellow</w:t>
            </w:r>
          </w:p>
        </w:tc>
      </w:tr>
      <w:tr w:rsidR="00AC4428" w:rsidRPr="00907D75" w14:paraId="25648A08" w14:textId="77777777" w:rsidTr="00093B76">
        <w:trPr>
          <w:gridAfter w:val="1"/>
          <w:wAfter w:w="198" w:type="dxa"/>
          <w:trHeight w:val="4795"/>
        </w:trPr>
        <w:tc>
          <w:tcPr>
            <w:tcW w:w="5805" w:type="dxa"/>
            <w:vAlign w:val="center"/>
          </w:tcPr>
          <w:p w14:paraId="38D4D8AD" w14:textId="66621C01" w:rsidR="00AC4428" w:rsidRPr="00907D75" w:rsidRDefault="00437F16" w:rsidP="0057593C">
            <w:pPr>
              <w:pStyle w:val="O-BodyText"/>
              <w:spacing w:after="120"/>
              <w:ind w:right="200"/>
              <w:jc w:val="both"/>
              <w:rPr>
                <w:rFonts w:ascii="Calibri" w:hAnsi="Calibri" w:cs="Calibri"/>
                <w:b/>
                <w:sz w:val="28"/>
                <w:szCs w:val="28"/>
              </w:rPr>
            </w:pPr>
            <w:bookmarkStart w:id="0" w:name="_Hlk14868685"/>
            <w:bookmarkStart w:id="1" w:name="_Hlk535571930"/>
            <w:r>
              <w:rPr>
                <w:rFonts w:ascii="Calibri" w:hAnsi="Calibri" w:cs="Calibri"/>
                <w:b/>
                <w:sz w:val="28"/>
                <w:szCs w:val="28"/>
              </w:rPr>
              <w:t xml:space="preserve">What </w:t>
            </w:r>
            <w:r w:rsidR="00CB17F0">
              <w:rPr>
                <w:rFonts w:ascii="Calibri" w:hAnsi="Calibri" w:cs="Calibri"/>
                <w:b/>
                <w:sz w:val="28"/>
                <w:szCs w:val="28"/>
              </w:rPr>
              <w:t>is this case about</w:t>
            </w:r>
            <w:r>
              <w:rPr>
                <w:rFonts w:ascii="Calibri" w:hAnsi="Calibri" w:cs="Calibri"/>
                <w:b/>
                <w:sz w:val="28"/>
                <w:szCs w:val="28"/>
              </w:rPr>
              <w:t>?</w:t>
            </w:r>
          </w:p>
        </w:tc>
        <w:tc>
          <w:tcPr>
            <w:tcW w:w="5805" w:type="dxa"/>
            <w:gridSpan w:val="2"/>
            <w:vAlign w:val="center"/>
          </w:tcPr>
          <w:p w14:paraId="5889468E" w14:textId="4EC4CAF2" w:rsidR="00AC4428" w:rsidRPr="00907D75" w:rsidRDefault="00CB17F0" w:rsidP="0057593C">
            <w:pPr>
              <w:pStyle w:val="O-BodyText"/>
              <w:spacing w:after="120"/>
              <w:ind w:left="290" w:right="65"/>
              <w:jc w:val="both"/>
              <w:rPr>
                <w:rFonts w:ascii="Calibri" w:hAnsi="Calibri" w:cs="Calibri"/>
                <w:b/>
                <w:sz w:val="22"/>
                <w:szCs w:val="22"/>
              </w:rPr>
            </w:pPr>
            <w:r w:rsidRPr="00CB17F0">
              <w:rPr>
                <w:rFonts w:ascii="Calibri" w:hAnsi="Calibri" w:cs="Calibri"/>
                <w:b/>
                <w:sz w:val="22"/>
                <w:szCs w:val="22"/>
                <w:lang w:bidi="en-US"/>
              </w:rPr>
              <w:t xml:space="preserve">This case is part of a </w:t>
            </w:r>
            <w:r>
              <w:rPr>
                <w:rFonts w:ascii="Calibri" w:hAnsi="Calibri" w:cs="Calibri"/>
                <w:b/>
                <w:sz w:val="22"/>
                <w:szCs w:val="22"/>
                <w:lang w:bidi="en-US"/>
              </w:rPr>
              <w:t>10-year</w:t>
            </w:r>
            <w:r w:rsidR="00AC4FA9">
              <w:rPr>
                <w:rFonts w:ascii="Calibri" w:hAnsi="Calibri" w:cs="Calibri"/>
                <w:b/>
                <w:sz w:val="22"/>
                <w:szCs w:val="22"/>
                <w:lang w:bidi="en-US"/>
              </w:rPr>
              <w:t xml:space="preserve"> effort by p</w:t>
            </w:r>
            <w:r w:rsidRPr="00CB17F0">
              <w:rPr>
                <w:rFonts w:ascii="Calibri" w:hAnsi="Calibri" w:cs="Calibri"/>
                <w:b/>
                <w:sz w:val="22"/>
                <w:szCs w:val="22"/>
                <w:lang w:bidi="en-US"/>
              </w:rPr>
              <w:t>laintiffs’ counsel to attack Apple’s decision to introduce its first iPhones</w:t>
            </w:r>
            <w:r w:rsidR="00AC4FA9">
              <w:rPr>
                <w:rFonts w:ascii="Calibri" w:hAnsi="Calibri" w:cs="Calibri"/>
                <w:b/>
                <w:sz w:val="22"/>
                <w:szCs w:val="22"/>
                <w:lang w:bidi="en-US"/>
              </w:rPr>
              <w:t xml:space="preserve"> (</w:t>
            </w:r>
            <w:r w:rsidR="006E4CD8">
              <w:rPr>
                <w:rFonts w:ascii="Calibri" w:hAnsi="Calibri" w:cs="Calibri"/>
                <w:b/>
                <w:sz w:val="22"/>
                <w:szCs w:val="22"/>
                <w:lang w:bidi="en-US"/>
              </w:rPr>
              <w:t xml:space="preserve">the </w:t>
            </w:r>
            <w:r w:rsidRPr="00CB17F0">
              <w:rPr>
                <w:rFonts w:ascii="Calibri" w:hAnsi="Calibri" w:cs="Calibri"/>
                <w:b/>
                <w:sz w:val="22"/>
                <w:szCs w:val="22"/>
                <w:lang w:bidi="en-US"/>
              </w:rPr>
              <w:t>iPh</w:t>
            </w:r>
            <w:r>
              <w:rPr>
                <w:rFonts w:ascii="Calibri" w:hAnsi="Calibri" w:cs="Calibri"/>
                <w:b/>
                <w:sz w:val="22"/>
                <w:szCs w:val="22"/>
                <w:lang w:bidi="en-US"/>
              </w:rPr>
              <w:t>one, iPhone 3G, and iPhone 3GS</w:t>
            </w:r>
            <w:r w:rsidR="00AC4FA9">
              <w:rPr>
                <w:rFonts w:ascii="Calibri" w:hAnsi="Calibri" w:cs="Calibri"/>
                <w:b/>
                <w:sz w:val="22"/>
                <w:szCs w:val="22"/>
                <w:lang w:bidi="en-US"/>
              </w:rPr>
              <w:t xml:space="preserve">) </w:t>
            </w:r>
            <w:r w:rsidRPr="00CB17F0">
              <w:rPr>
                <w:rFonts w:ascii="Calibri" w:hAnsi="Calibri" w:cs="Calibri"/>
                <w:b/>
                <w:sz w:val="22"/>
                <w:szCs w:val="22"/>
                <w:lang w:bidi="en-US"/>
              </w:rPr>
              <w:t>exclusively on AT&amp;T’s cellular network.</w:t>
            </w:r>
          </w:p>
        </w:tc>
      </w:tr>
      <w:bookmarkEnd w:id="0"/>
      <w:tr w:rsidR="00E34B02" w:rsidRPr="00907D75" w14:paraId="21CDEFB8" w14:textId="77777777" w:rsidTr="00093B76">
        <w:trPr>
          <w:gridAfter w:val="1"/>
          <w:wAfter w:w="198" w:type="dxa"/>
          <w:trHeight w:val="4795"/>
        </w:trPr>
        <w:tc>
          <w:tcPr>
            <w:tcW w:w="5805" w:type="dxa"/>
            <w:vAlign w:val="center"/>
          </w:tcPr>
          <w:p w14:paraId="0BCACA32" w14:textId="7B44B7ED" w:rsidR="00E34B02" w:rsidRDefault="00CB17F0" w:rsidP="0057593C">
            <w:pPr>
              <w:pStyle w:val="O-BodyText"/>
              <w:spacing w:after="120"/>
              <w:ind w:right="200"/>
              <w:jc w:val="both"/>
              <w:rPr>
                <w:rFonts w:ascii="Calibri" w:hAnsi="Calibri" w:cs="Calibri"/>
                <w:b/>
                <w:sz w:val="28"/>
                <w:szCs w:val="28"/>
              </w:rPr>
            </w:pPr>
            <w:r>
              <w:rPr>
                <w:rFonts w:ascii="Calibri" w:hAnsi="Calibri" w:cs="Calibri"/>
                <w:b/>
                <w:sz w:val="28"/>
                <w:szCs w:val="28"/>
              </w:rPr>
              <w:lastRenderedPageBreak/>
              <w:t>When was the original lawsuit against Apple filed</w:t>
            </w:r>
            <w:r w:rsidR="00E34B02">
              <w:rPr>
                <w:rFonts w:ascii="Calibri" w:hAnsi="Calibri" w:cs="Calibri"/>
                <w:b/>
                <w:sz w:val="28"/>
                <w:szCs w:val="28"/>
              </w:rPr>
              <w:t>?</w:t>
            </w:r>
          </w:p>
        </w:tc>
        <w:tc>
          <w:tcPr>
            <w:tcW w:w="5805" w:type="dxa"/>
            <w:gridSpan w:val="2"/>
            <w:vAlign w:val="center"/>
          </w:tcPr>
          <w:p w14:paraId="7DBB9EF4" w14:textId="3C613073" w:rsidR="00E34B02" w:rsidRPr="00D1203E" w:rsidRDefault="00F3515A" w:rsidP="0057593C">
            <w:pPr>
              <w:pStyle w:val="O-BodyText"/>
              <w:spacing w:after="120"/>
              <w:ind w:left="290" w:right="65"/>
              <w:jc w:val="both"/>
              <w:rPr>
                <w:rFonts w:ascii="Calibri" w:hAnsi="Calibri" w:cs="Calibri"/>
                <w:b/>
                <w:sz w:val="22"/>
                <w:szCs w:val="22"/>
              </w:rPr>
            </w:pPr>
            <w:r>
              <w:rPr>
                <w:rFonts w:ascii="Calibri" w:hAnsi="Calibri" w:cs="Calibri"/>
                <w:b/>
                <w:sz w:val="22"/>
                <w:szCs w:val="22"/>
                <w:lang w:bidi="en-US"/>
              </w:rPr>
              <w:t>I</w:t>
            </w:r>
            <w:r w:rsidR="00CB17F0">
              <w:rPr>
                <w:rFonts w:ascii="Calibri" w:hAnsi="Calibri" w:cs="Calibri"/>
                <w:b/>
                <w:sz w:val="22"/>
                <w:szCs w:val="22"/>
                <w:lang w:bidi="en-US"/>
              </w:rPr>
              <w:t xml:space="preserve">n 2007, </w:t>
            </w:r>
            <w:r w:rsidR="00CB17F0" w:rsidRPr="00CB17F0">
              <w:rPr>
                <w:rFonts w:ascii="Calibri" w:hAnsi="Calibri" w:cs="Calibri"/>
                <w:b/>
                <w:sz w:val="22"/>
                <w:szCs w:val="22"/>
                <w:lang w:bidi="en-US"/>
              </w:rPr>
              <w:t xml:space="preserve">a few months after </w:t>
            </w:r>
            <w:r w:rsidR="00CB17F0">
              <w:rPr>
                <w:rFonts w:ascii="Calibri" w:hAnsi="Calibri" w:cs="Calibri"/>
                <w:b/>
                <w:sz w:val="22"/>
                <w:szCs w:val="22"/>
                <w:lang w:bidi="en-US"/>
              </w:rPr>
              <w:t xml:space="preserve">Apple </w:t>
            </w:r>
            <w:r w:rsidR="00CB17F0" w:rsidRPr="00CB17F0">
              <w:rPr>
                <w:rFonts w:ascii="Calibri" w:hAnsi="Calibri" w:cs="Calibri"/>
                <w:b/>
                <w:sz w:val="22"/>
                <w:szCs w:val="22"/>
                <w:lang w:bidi="en-US"/>
              </w:rPr>
              <w:t>launch</w:t>
            </w:r>
            <w:r w:rsidR="00CB17F0">
              <w:rPr>
                <w:rFonts w:ascii="Calibri" w:hAnsi="Calibri" w:cs="Calibri"/>
                <w:b/>
                <w:sz w:val="22"/>
                <w:szCs w:val="22"/>
                <w:lang w:bidi="en-US"/>
              </w:rPr>
              <w:t>ed</w:t>
            </w:r>
            <w:r w:rsidR="00CB17F0" w:rsidRPr="00CB17F0">
              <w:rPr>
                <w:rFonts w:ascii="Calibri" w:hAnsi="Calibri" w:cs="Calibri"/>
                <w:b/>
                <w:sz w:val="22"/>
                <w:szCs w:val="22"/>
                <w:lang w:bidi="en-US"/>
              </w:rPr>
              <w:t xml:space="preserve"> the first iPhone in June 2007</w:t>
            </w:r>
            <w:r w:rsidR="00CB17F0">
              <w:rPr>
                <w:rFonts w:ascii="Calibri" w:hAnsi="Calibri" w:cs="Calibri"/>
                <w:b/>
                <w:sz w:val="22"/>
                <w:szCs w:val="22"/>
                <w:lang w:bidi="en-US"/>
              </w:rPr>
              <w:t>.</w:t>
            </w:r>
          </w:p>
        </w:tc>
      </w:tr>
      <w:bookmarkEnd w:id="1"/>
      <w:tr w:rsidR="00B77EF0" w:rsidRPr="00907D75" w14:paraId="58A03A6F" w14:textId="77777777" w:rsidTr="00093B76">
        <w:trPr>
          <w:gridAfter w:val="1"/>
          <w:wAfter w:w="198" w:type="dxa"/>
          <w:trHeight w:val="4795"/>
        </w:trPr>
        <w:tc>
          <w:tcPr>
            <w:tcW w:w="5805" w:type="dxa"/>
            <w:vAlign w:val="center"/>
          </w:tcPr>
          <w:p w14:paraId="38661457" w14:textId="1DC0F641" w:rsidR="00B77EF0" w:rsidRPr="00907D75" w:rsidRDefault="00CB17F0" w:rsidP="0057593C">
            <w:pPr>
              <w:pStyle w:val="O-BodyText"/>
              <w:spacing w:after="120"/>
              <w:ind w:right="200"/>
              <w:jc w:val="both"/>
              <w:rPr>
                <w:rFonts w:ascii="Calibri" w:hAnsi="Calibri" w:cs="Calibri"/>
                <w:b/>
                <w:sz w:val="28"/>
                <w:szCs w:val="28"/>
              </w:rPr>
            </w:pPr>
            <w:r>
              <w:rPr>
                <w:rFonts w:ascii="Calibri" w:hAnsi="Calibri" w:cs="Calibri"/>
                <w:b/>
                <w:sz w:val="28"/>
                <w:szCs w:val="28"/>
              </w:rPr>
              <w:t>When was this action filed</w:t>
            </w:r>
            <w:r w:rsidR="00B77EF0" w:rsidRPr="00907D75">
              <w:rPr>
                <w:rFonts w:ascii="Calibri" w:hAnsi="Calibri" w:cs="Calibri"/>
                <w:b/>
                <w:sz w:val="28"/>
                <w:szCs w:val="28"/>
              </w:rPr>
              <w:t>?</w:t>
            </w:r>
          </w:p>
        </w:tc>
        <w:tc>
          <w:tcPr>
            <w:tcW w:w="5805" w:type="dxa"/>
            <w:gridSpan w:val="2"/>
            <w:vAlign w:val="center"/>
          </w:tcPr>
          <w:p w14:paraId="3F271011" w14:textId="4359F8A9" w:rsidR="00B77EF0" w:rsidRPr="00907D75" w:rsidRDefault="00CB17F0" w:rsidP="00CB17F0">
            <w:pPr>
              <w:pStyle w:val="O-BodyText"/>
              <w:spacing w:after="120"/>
              <w:ind w:left="290" w:right="65"/>
              <w:rPr>
                <w:rFonts w:ascii="Calibri" w:hAnsi="Calibri" w:cs="Calibri"/>
                <w:b/>
                <w:sz w:val="22"/>
                <w:szCs w:val="22"/>
                <w:lang w:bidi="en-US"/>
              </w:rPr>
            </w:pPr>
            <w:r w:rsidRPr="00CB17F0">
              <w:rPr>
                <w:rFonts w:ascii="Calibri" w:hAnsi="Calibri" w:cs="Calibri"/>
                <w:b/>
                <w:sz w:val="22"/>
                <w:szCs w:val="22"/>
                <w:lang w:bidi="en-US"/>
              </w:rPr>
              <w:t>2012.</w:t>
            </w:r>
          </w:p>
        </w:tc>
      </w:tr>
      <w:tr w:rsidR="00363A6A" w:rsidRPr="00907D75" w14:paraId="5B00E5DD" w14:textId="77777777" w:rsidTr="00093B76">
        <w:trPr>
          <w:gridAfter w:val="1"/>
          <w:wAfter w:w="198" w:type="dxa"/>
          <w:trHeight w:val="4795"/>
        </w:trPr>
        <w:tc>
          <w:tcPr>
            <w:tcW w:w="5805" w:type="dxa"/>
            <w:vAlign w:val="center"/>
          </w:tcPr>
          <w:p w14:paraId="3185089A" w14:textId="686D43E9" w:rsidR="00363A6A" w:rsidRPr="00907D75" w:rsidRDefault="00CB17F0" w:rsidP="00363A6A">
            <w:pPr>
              <w:pStyle w:val="O-BodyText"/>
              <w:spacing w:after="120"/>
              <w:ind w:right="200"/>
              <w:jc w:val="both"/>
              <w:rPr>
                <w:rFonts w:ascii="Calibri" w:hAnsi="Calibri" w:cs="Calibri"/>
                <w:b/>
                <w:sz w:val="28"/>
                <w:szCs w:val="28"/>
              </w:rPr>
            </w:pPr>
            <w:r>
              <w:rPr>
                <w:rFonts w:ascii="Calibri" w:hAnsi="Calibri" w:cs="Calibri"/>
                <w:b/>
                <w:sz w:val="28"/>
                <w:szCs w:val="28"/>
              </w:rPr>
              <w:t>Who are the plaintiffs in this case</w:t>
            </w:r>
            <w:r w:rsidR="00363A6A" w:rsidRPr="00907D75">
              <w:rPr>
                <w:rFonts w:ascii="Calibri" w:hAnsi="Calibri" w:cs="Calibri"/>
                <w:b/>
                <w:sz w:val="28"/>
                <w:szCs w:val="28"/>
              </w:rPr>
              <w:t>?</w:t>
            </w:r>
          </w:p>
        </w:tc>
        <w:tc>
          <w:tcPr>
            <w:tcW w:w="5805" w:type="dxa"/>
            <w:gridSpan w:val="2"/>
            <w:vAlign w:val="center"/>
          </w:tcPr>
          <w:p w14:paraId="57A7CA18" w14:textId="4C327925" w:rsidR="00363A6A" w:rsidRPr="00907D75" w:rsidRDefault="00F3515A" w:rsidP="00363A6A">
            <w:pPr>
              <w:pStyle w:val="O-BodyText"/>
              <w:spacing w:after="120"/>
              <w:ind w:left="290" w:right="65"/>
              <w:jc w:val="both"/>
              <w:rPr>
                <w:rFonts w:ascii="Calibri" w:hAnsi="Calibri" w:cs="Calibri"/>
                <w:b/>
                <w:sz w:val="22"/>
                <w:szCs w:val="22"/>
              </w:rPr>
            </w:pPr>
            <w:r>
              <w:rPr>
                <w:rFonts w:ascii="Calibri" w:hAnsi="Calibri" w:cs="Calibri"/>
                <w:b/>
                <w:sz w:val="22"/>
                <w:szCs w:val="22"/>
                <w:lang w:bidi="en-US"/>
              </w:rPr>
              <w:t>A</w:t>
            </w:r>
            <w:r w:rsidR="00CB17F0" w:rsidRPr="00CB17F0">
              <w:rPr>
                <w:rFonts w:ascii="Calibri" w:hAnsi="Calibri" w:cs="Calibri"/>
                <w:b/>
                <w:sz w:val="22"/>
                <w:szCs w:val="22"/>
                <w:lang w:bidi="en-US"/>
              </w:rPr>
              <w:t xml:space="preserve"> putative class of consumers who purchased iPhones and corresponding AT&amp;T voice and data service between October 19, 2008</w:t>
            </w:r>
            <w:r w:rsidR="00CB17F0">
              <w:rPr>
                <w:rFonts w:ascii="Calibri" w:hAnsi="Calibri" w:cs="Calibri"/>
                <w:b/>
                <w:sz w:val="22"/>
                <w:szCs w:val="22"/>
                <w:lang w:bidi="en-US"/>
              </w:rPr>
              <w:t>,</w:t>
            </w:r>
            <w:r w:rsidR="00CB17F0" w:rsidRPr="00CB17F0">
              <w:rPr>
                <w:rFonts w:ascii="Calibri" w:hAnsi="Calibri" w:cs="Calibri"/>
                <w:b/>
                <w:sz w:val="22"/>
                <w:szCs w:val="22"/>
                <w:lang w:bidi="en-US"/>
              </w:rPr>
              <w:t xml:space="preserve"> and April 8, 2012</w:t>
            </w:r>
            <w:r w:rsidR="00CB17F0">
              <w:rPr>
                <w:rFonts w:ascii="Calibri" w:hAnsi="Calibri" w:cs="Calibri"/>
                <w:b/>
                <w:sz w:val="22"/>
                <w:szCs w:val="22"/>
              </w:rPr>
              <w:t>.</w:t>
            </w:r>
          </w:p>
        </w:tc>
      </w:tr>
      <w:tr w:rsidR="00E34B02" w:rsidRPr="00907D75" w14:paraId="57491999" w14:textId="77777777" w:rsidTr="00093B76">
        <w:trPr>
          <w:gridAfter w:val="1"/>
          <w:wAfter w:w="198" w:type="dxa"/>
          <w:trHeight w:val="4795"/>
        </w:trPr>
        <w:tc>
          <w:tcPr>
            <w:tcW w:w="5805" w:type="dxa"/>
            <w:vAlign w:val="center"/>
          </w:tcPr>
          <w:p w14:paraId="0C7DFF83" w14:textId="6028E99F" w:rsidR="00E34B02" w:rsidRDefault="00B715A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CB17F0">
              <w:rPr>
                <w:rFonts w:ascii="Calibri" w:hAnsi="Calibri" w:cs="Calibri"/>
                <w:b/>
                <w:sz w:val="28"/>
                <w:szCs w:val="28"/>
              </w:rPr>
              <w:t>claims do plaintiffs assert in this case</w:t>
            </w:r>
            <w:r w:rsidR="00E34B02">
              <w:rPr>
                <w:rFonts w:ascii="Calibri" w:hAnsi="Calibri" w:cs="Calibri"/>
                <w:b/>
                <w:sz w:val="28"/>
                <w:szCs w:val="28"/>
              </w:rPr>
              <w:t>?</w:t>
            </w:r>
          </w:p>
        </w:tc>
        <w:tc>
          <w:tcPr>
            <w:tcW w:w="5805" w:type="dxa"/>
            <w:gridSpan w:val="2"/>
            <w:vAlign w:val="center"/>
          </w:tcPr>
          <w:p w14:paraId="5F21D32E" w14:textId="13315C69" w:rsidR="00CB17F0" w:rsidRPr="00CB17F0" w:rsidRDefault="00CB17F0" w:rsidP="00CB17F0">
            <w:pPr>
              <w:pStyle w:val="O-BodyText"/>
              <w:spacing w:after="120"/>
              <w:ind w:left="290" w:right="65"/>
              <w:jc w:val="both"/>
              <w:rPr>
                <w:rFonts w:ascii="Calibri" w:hAnsi="Calibri" w:cs="Calibri"/>
                <w:b/>
                <w:sz w:val="22"/>
                <w:szCs w:val="22"/>
                <w:lang w:bidi="en-US"/>
              </w:rPr>
            </w:pPr>
            <w:r w:rsidRPr="00CB17F0">
              <w:rPr>
                <w:rFonts w:ascii="Calibri" w:hAnsi="Calibri" w:cs="Calibri"/>
                <w:b/>
                <w:sz w:val="22"/>
                <w:szCs w:val="22"/>
                <w:lang w:bidi="en-US"/>
              </w:rPr>
              <w:t>Plaintiffs assert a single claim under Section 2 of the Sherman Act, 15</w:t>
            </w:r>
            <w:r>
              <w:rPr>
                <w:rFonts w:ascii="Calibri" w:hAnsi="Calibri" w:cs="Calibri"/>
                <w:b/>
                <w:sz w:val="22"/>
                <w:szCs w:val="22"/>
                <w:lang w:bidi="en-US"/>
              </w:rPr>
              <w:t xml:space="preserve"> </w:t>
            </w:r>
            <w:r w:rsidRPr="00CB17F0">
              <w:rPr>
                <w:rFonts w:ascii="Calibri" w:hAnsi="Calibri" w:cs="Calibri"/>
                <w:b/>
                <w:sz w:val="22"/>
                <w:szCs w:val="22"/>
                <w:lang w:bidi="en-US"/>
              </w:rPr>
              <w:t>U.S.C. § 2, alleging that Apple conspired with AT&amp;T to have AT&amp;T monopolize an “aftermarket” limited to voice an</w:t>
            </w:r>
            <w:r>
              <w:rPr>
                <w:rFonts w:ascii="Calibri" w:hAnsi="Calibri" w:cs="Calibri"/>
                <w:b/>
                <w:sz w:val="22"/>
                <w:szCs w:val="22"/>
                <w:lang w:bidi="en-US"/>
              </w:rPr>
              <w:t>d data services for the iPhone.</w:t>
            </w:r>
          </w:p>
          <w:p w14:paraId="58BFF5E4" w14:textId="5590A559" w:rsidR="00E34B02" w:rsidRDefault="00E34B02" w:rsidP="00363A6A">
            <w:pPr>
              <w:pStyle w:val="O-BodyText"/>
              <w:spacing w:after="120"/>
              <w:ind w:left="290" w:right="65"/>
              <w:jc w:val="both"/>
              <w:rPr>
                <w:rFonts w:ascii="Calibri" w:hAnsi="Calibri" w:cs="Calibri"/>
                <w:b/>
                <w:sz w:val="22"/>
                <w:szCs w:val="22"/>
              </w:rPr>
            </w:pPr>
          </w:p>
        </w:tc>
      </w:tr>
      <w:tr w:rsidR="00363A6A" w:rsidRPr="00907D75" w14:paraId="561488EF" w14:textId="77777777" w:rsidTr="00093B76">
        <w:trPr>
          <w:gridAfter w:val="1"/>
          <w:wAfter w:w="198" w:type="dxa"/>
          <w:trHeight w:val="4795"/>
        </w:trPr>
        <w:tc>
          <w:tcPr>
            <w:tcW w:w="5805" w:type="dxa"/>
            <w:vAlign w:val="center"/>
          </w:tcPr>
          <w:p w14:paraId="5D772C7C" w14:textId="13F45FE0" w:rsidR="00363A6A" w:rsidRPr="00907D75" w:rsidRDefault="00CB17F0" w:rsidP="0060545C">
            <w:pPr>
              <w:pStyle w:val="O-BodyText"/>
              <w:spacing w:after="120"/>
              <w:ind w:right="200"/>
              <w:jc w:val="both"/>
              <w:rPr>
                <w:rFonts w:ascii="Calibri" w:hAnsi="Calibri" w:cs="Calibri"/>
                <w:b/>
                <w:sz w:val="28"/>
                <w:szCs w:val="28"/>
              </w:rPr>
            </w:pPr>
            <w:r>
              <w:rPr>
                <w:rFonts w:ascii="Calibri" w:hAnsi="Calibri" w:cs="Calibri"/>
                <w:b/>
                <w:sz w:val="28"/>
                <w:szCs w:val="28"/>
              </w:rPr>
              <w:t>Who is the alleged m</w:t>
            </w:r>
            <w:r w:rsidR="001544A3">
              <w:rPr>
                <w:rFonts w:ascii="Calibri" w:hAnsi="Calibri" w:cs="Calibri"/>
                <w:b/>
                <w:sz w:val="28"/>
                <w:szCs w:val="28"/>
              </w:rPr>
              <w:t>onopolist according to plaintiffs’ claims in this case</w:t>
            </w:r>
            <w:r w:rsidR="00363A6A" w:rsidRPr="00907D75">
              <w:rPr>
                <w:rFonts w:ascii="Calibri" w:hAnsi="Calibri" w:cs="Calibri"/>
                <w:b/>
                <w:sz w:val="28"/>
                <w:szCs w:val="28"/>
              </w:rPr>
              <w:t>?</w:t>
            </w:r>
          </w:p>
        </w:tc>
        <w:tc>
          <w:tcPr>
            <w:tcW w:w="5805" w:type="dxa"/>
            <w:gridSpan w:val="2"/>
            <w:vAlign w:val="center"/>
          </w:tcPr>
          <w:p w14:paraId="3FF2863C" w14:textId="6DD92191" w:rsidR="00363A6A" w:rsidRPr="00907D75" w:rsidRDefault="00CB17F0" w:rsidP="0060545C">
            <w:pPr>
              <w:pStyle w:val="O-BodyText"/>
              <w:spacing w:after="120"/>
              <w:ind w:left="290" w:right="65"/>
              <w:jc w:val="both"/>
              <w:rPr>
                <w:rFonts w:ascii="Calibri" w:hAnsi="Calibri" w:cs="Calibri"/>
                <w:b/>
                <w:sz w:val="22"/>
                <w:szCs w:val="22"/>
              </w:rPr>
            </w:pPr>
            <w:r>
              <w:rPr>
                <w:rFonts w:ascii="Calibri" w:hAnsi="Calibri" w:cs="Calibri"/>
                <w:b/>
                <w:sz w:val="22"/>
                <w:szCs w:val="22"/>
                <w:lang w:bidi="en-US"/>
              </w:rPr>
              <w:t>AT&amp;T is</w:t>
            </w:r>
            <w:r w:rsidRPr="00CB17F0">
              <w:rPr>
                <w:rFonts w:ascii="Calibri" w:hAnsi="Calibri" w:cs="Calibri"/>
                <w:b/>
                <w:sz w:val="22"/>
                <w:szCs w:val="22"/>
                <w:lang w:bidi="en-US"/>
              </w:rPr>
              <w:t xml:space="preserve"> </w:t>
            </w:r>
            <w:r>
              <w:rPr>
                <w:rFonts w:ascii="Calibri" w:hAnsi="Calibri" w:cs="Calibri"/>
                <w:b/>
                <w:sz w:val="22"/>
                <w:szCs w:val="22"/>
                <w:lang w:bidi="en-US"/>
              </w:rPr>
              <w:t>th</w:t>
            </w:r>
            <w:r w:rsidR="00B2423C">
              <w:rPr>
                <w:rFonts w:ascii="Calibri" w:hAnsi="Calibri" w:cs="Calibri"/>
                <w:b/>
                <w:sz w:val="22"/>
                <w:szCs w:val="22"/>
                <w:lang w:bidi="en-US"/>
              </w:rPr>
              <w:t>e alleged monopolist, not Apple, because the alleged monopoly is over ATT wireless service.</w:t>
            </w:r>
          </w:p>
        </w:tc>
      </w:tr>
      <w:tr w:rsidR="00B2423C" w:rsidRPr="00907D75" w14:paraId="257F0C71" w14:textId="77777777" w:rsidTr="00093B76">
        <w:trPr>
          <w:gridAfter w:val="1"/>
          <w:wAfter w:w="198" w:type="dxa"/>
          <w:trHeight w:val="4795"/>
        </w:trPr>
        <w:tc>
          <w:tcPr>
            <w:tcW w:w="5805" w:type="dxa"/>
            <w:vAlign w:val="center"/>
          </w:tcPr>
          <w:p w14:paraId="35957410" w14:textId="74A4C79A" w:rsidR="00B2423C" w:rsidRDefault="00B2423C" w:rsidP="0060545C">
            <w:pPr>
              <w:pStyle w:val="O-BodyText"/>
              <w:spacing w:after="120"/>
              <w:ind w:right="200"/>
              <w:jc w:val="both"/>
              <w:rPr>
                <w:rFonts w:ascii="Calibri" w:hAnsi="Calibri" w:cs="Calibri"/>
                <w:b/>
                <w:sz w:val="28"/>
                <w:szCs w:val="28"/>
              </w:rPr>
            </w:pPr>
            <w:r>
              <w:rPr>
                <w:rFonts w:ascii="Calibri" w:hAnsi="Calibri" w:cs="Calibri"/>
                <w:b/>
                <w:sz w:val="28"/>
                <w:szCs w:val="28"/>
              </w:rPr>
              <w:t>If ATT is the alleged monopolist, what is Apple doing here?</w:t>
            </w:r>
          </w:p>
        </w:tc>
        <w:tc>
          <w:tcPr>
            <w:tcW w:w="5805" w:type="dxa"/>
            <w:gridSpan w:val="2"/>
            <w:vAlign w:val="center"/>
          </w:tcPr>
          <w:p w14:paraId="419252CB" w14:textId="41C2AD1A" w:rsidR="00B2423C" w:rsidRDefault="00B2423C" w:rsidP="0060545C">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Apple is alleged to have conspired with ATT.</w:t>
            </w:r>
          </w:p>
        </w:tc>
      </w:tr>
      <w:tr w:rsidR="00363A6A" w:rsidRPr="00907D75" w14:paraId="1376C3E4" w14:textId="77777777" w:rsidTr="00093B76">
        <w:trPr>
          <w:gridAfter w:val="1"/>
          <w:wAfter w:w="198" w:type="dxa"/>
          <w:trHeight w:val="4795"/>
        </w:trPr>
        <w:tc>
          <w:tcPr>
            <w:tcW w:w="5805" w:type="dxa"/>
            <w:vAlign w:val="center"/>
          </w:tcPr>
          <w:p w14:paraId="1476CD9D" w14:textId="49442114" w:rsidR="00363A6A" w:rsidRPr="00907D75" w:rsidRDefault="005F148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CB17F0">
              <w:rPr>
                <w:rFonts w:ascii="Calibri" w:hAnsi="Calibri" w:cs="Calibri"/>
                <w:b/>
                <w:sz w:val="28"/>
                <w:szCs w:val="28"/>
              </w:rPr>
              <w:t>is plaintiffs’ theory in this case</w:t>
            </w:r>
            <w:r>
              <w:rPr>
                <w:rFonts w:ascii="Calibri" w:hAnsi="Calibri" w:cs="Calibri"/>
                <w:b/>
                <w:sz w:val="28"/>
                <w:szCs w:val="28"/>
              </w:rPr>
              <w:t>?</w:t>
            </w:r>
          </w:p>
        </w:tc>
        <w:tc>
          <w:tcPr>
            <w:tcW w:w="5805" w:type="dxa"/>
            <w:gridSpan w:val="2"/>
            <w:vAlign w:val="center"/>
          </w:tcPr>
          <w:p w14:paraId="2CBAC07A" w14:textId="15620ACC" w:rsidR="00363A6A" w:rsidRPr="00907D75" w:rsidRDefault="001544A3" w:rsidP="005F1489">
            <w:pPr>
              <w:pStyle w:val="O-BodyText"/>
              <w:spacing w:after="120"/>
              <w:ind w:left="290" w:right="65"/>
              <w:jc w:val="both"/>
              <w:rPr>
                <w:rFonts w:ascii="Calibri" w:hAnsi="Calibri" w:cs="Calibri"/>
                <w:b/>
                <w:sz w:val="22"/>
                <w:szCs w:val="22"/>
              </w:rPr>
            </w:pPr>
            <w:r w:rsidRPr="00CB17F0">
              <w:rPr>
                <w:rFonts w:ascii="Calibri" w:hAnsi="Calibri" w:cs="Calibri"/>
                <w:b/>
                <w:sz w:val="22"/>
                <w:szCs w:val="22"/>
                <w:lang w:bidi="en-US"/>
              </w:rPr>
              <w:t>AT&amp;T monopolized an iPhone-only “aftermar</w:t>
            </w:r>
            <w:r w:rsidR="002C3C50">
              <w:rPr>
                <w:rFonts w:ascii="Calibri" w:hAnsi="Calibri" w:cs="Calibri"/>
                <w:b/>
                <w:sz w:val="22"/>
                <w:szCs w:val="22"/>
                <w:lang w:bidi="en-US"/>
              </w:rPr>
              <w:t>ket” for voice and data service</w:t>
            </w:r>
            <w:r w:rsidRPr="00CB17F0">
              <w:rPr>
                <w:rFonts w:ascii="Calibri" w:hAnsi="Calibri" w:cs="Calibri"/>
                <w:b/>
                <w:sz w:val="22"/>
                <w:szCs w:val="22"/>
                <w:lang w:bidi="en-US"/>
              </w:rPr>
              <w:t xml:space="preserve"> and charged mo</w:t>
            </w:r>
            <w:r w:rsidR="00AC4FA9">
              <w:rPr>
                <w:rFonts w:ascii="Calibri" w:hAnsi="Calibri" w:cs="Calibri"/>
                <w:b/>
                <w:sz w:val="22"/>
                <w:szCs w:val="22"/>
                <w:lang w:bidi="en-US"/>
              </w:rPr>
              <w:t>nopoly prices for that service.</w:t>
            </w:r>
          </w:p>
        </w:tc>
      </w:tr>
      <w:tr w:rsidR="001544A3" w:rsidRPr="00907D75" w14:paraId="67EB9B66" w14:textId="77777777" w:rsidTr="00093B76">
        <w:trPr>
          <w:gridAfter w:val="1"/>
          <w:wAfter w:w="198" w:type="dxa"/>
          <w:trHeight w:val="4795"/>
        </w:trPr>
        <w:tc>
          <w:tcPr>
            <w:tcW w:w="5805" w:type="dxa"/>
            <w:vAlign w:val="center"/>
          </w:tcPr>
          <w:p w14:paraId="49AB9797" w14:textId="0FAEC557" w:rsidR="001544A3" w:rsidRDefault="001544A3" w:rsidP="00363A6A">
            <w:pPr>
              <w:pStyle w:val="O-BodyText"/>
              <w:spacing w:after="120"/>
              <w:ind w:right="200"/>
              <w:jc w:val="both"/>
              <w:rPr>
                <w:rFonts w:ascii="Calibri" w:hAnsi="Calibri" w:cs="Calibri"/>
                <w:b/>
                <w:sz w:val="28"/>
                <w:szCs w:val="28"/>
              </w:rPr>
            </w:pPr>
            <w:r>
              <w:rPr>
                <w:rFonts w:ascii="Calibri" w:hAnsi="Calibri" w:cs="Calibri"/>
                <w:b/>
                <w:sz w:val="28"/>
                <w:szCs w:val="28"/>
              </w:rPr>
              <w:t>How was AT&amp;T able to monopolize the “aftermarket” according to plaintiffs?</w:t>
            </w:r>
          </w:p>
        </w:tc>
        <w:tc>
          <w:tcPr>
            <w:tcW w:w="5805" w:type="dxa"/>
            <w:gridSpan w:val="2"/>
            <w:vAlign w:val="center"/>
          </w:tcPr>
          <w:p w14:paraId="56E3456F" w14:textId="562D4107" w:rsidR="001544A3" w:rsidRPr="00CB17F0" w:rsidRDefault="001544A3" w:rsidP="005F1489">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T</w:t>
            </w:r>
            <w:r w:rsidRPr="001544A3">
              <w:rPr>
                <w:rFonts w:ascii="Calibri" w:hAnsi="Calibri" w:cs="Calibri"/>
                <w:b/>
                <w:sz w:val="22"/>
                <w:szCs w:val="22"/>
                <w:lang w:bidi="en-US"/>
              </w:rPr>
              <w:t>he iPhone was initially only available on AT&amp;T’s network</w:t>
            </w:r>
            <w:r>
              <w:rPr>
                <w:rFonts w:ascii="Calibri" w:hAnsi="Calibri" w:cs="Calibri"/>
                <w:b/>
                <w:sz w:val="22"/>
                <w:szCs w:val="22"/>
                <w:lang w:bidi="en-US"/>
              </w:rPr>
              <w:t xml:space="preserve">, and AT&amp;T (which </w:t>
            </w:r>
            <w:r w:rsidRPr="001544A3">
              <w:rPr>
                <w:rFonts w:ascii="Calibri" w:hAnsi="Calibri" w:cs="Calibri"/>
                <w:b/>
                <w:sz w:val="22"/>
                <w:szCs w:val="22"/>
                <w:lang w:bidi="en-US"/>
              </w:rPr>
              <w:t xml:space="preserve">owned the iPhone “unlock” codes) would not unlock the iPhone </w:t>
            </w:r>
            <w:r>
              <w:rPr>
                <w:rFonts w:ascii="Calibri" w:hAnsi="Calibri" w:cs="Calibri"/>
                <w:b/>
                <w:sz w:val="22"/>
                <w:szCs w:val="22"/>
                <w:lang w:bidi="en-US"/>
              </w:rPr>
              <w:t>for use on the T-Mobile network.</w:t>
            </w:r>
          </w:p>
        </w:tc>
      </w:tr>
      <w:tr w:rsidR="002C3C50" w:rsidRPr="00907D75" w14:paraId="2541EDF1" w14:textId="77777777" w:rsidTr="00093B76">
        <w:trPr>
          <w:gridAfter w:val="1"/>
          <w:wAfter w:w="198" w:type="dxa"/>
          <w:trHeight w:val="4795"/>
        </w:trPr>
        <w:tc>
          <w:tcPr>
            <w:tcW w:w="5805" w:type="dxa"/>
            <w:vAlign w:val="center"/>
          </w:tcPr>
          <w:p w14:paraId="2968AF41" w14:textId="583B85DB" w:rsidR="002C3C50" w:rsidRDefault="00415061" w:rsidP="00363A6A">
            <w:pPr>
              <w:pStyle w:val="O-BodyText"/>
              <w:spacing w:after="120"/>
              <w:ind w:right="200"/>
              <w:jc w:val="both"/>
              <w:rPr>
                <w:rFonts w:ascii="Calibri" w:hAnsi="Calibri" w:cs="Calibri"/>
                <w:b/>
                <w:sz w:val="28"/>
                <w:szCs w:val="28"/>
              </w:rPr>
            </w:pPr>
            <w:r>
              <w:rPr>
                <w:rFonts w:ascii="Calibri" w:hAnsi="Calibri" w:cs="Calibri"/>
                <w:b/>
                <w:sz w:val="28"/>
                <w:szCs w:val="28"/>
              </w:rPr>
              <w:t>What networks were iPhones compatible with when they were first launched?</w:t>
            </w:r>
          </w:p>
        </w:tc>
        <w:tc>
          <w:tcPr>
            <w:tcW w:w="5805" w:type="dxa"/>
            <w:gridSpan w:val="2"/>
            <w:vAlign w:val="center"/>
          </w:tcPr>
          <w:p w14:paraId="301809EF" w14:textId="7B24957A" w:rsidR="002C3C50" w:rsidRDefault="002C3C50" w:rsidP="005F1489">
            <w:pPr>
              <w:pStyle w:val="O-BodyText"/>
              <w:spacing w:after="120"/>
              <w:ind w:left="290" w:right="65"/>
              <w:jc w:val="both"/>
              <w:rPr>
                <w:rFonts w:ascii="Calibri" w:hAnsi="Calibri" w:cs="Calibri"/>
                <w:b/>
                <w:sz w:val="22"/>
                <w:szCs w:val="22"/>
                <w:lang w:bidi="en-US"/>
              </w:rPr>
            </w:pPr>
            <w:r w:rsidRPr="002C3C50">
              <w:rPr>
                <w:rFonts w:ascii="Calibri" w:hAnsi="Calibri" w:cs="Calibri"/>
                <w:b/>
                <w:sz w:val="22"/>
                <w:szCs w:val="22"/>
                <w:lang w:bidi="en-US"/>
              </w:rPr>
              <w:t xml:space="preserve">The first iPhones were compatible only with GSM networks (not CDMA networks). </w:t>
            </w:r>
            <w:r w:rsidR="00415061">
              <w:rPr>
                <w:rFonts w:ascii="Calibri" w:hAnsi="Calibri" w:cs="Calibri"/>
                <w:b/>
                <w:sz w:val="22"/>
                <w:szCs w:val="22"/>
                <w:lang w:bidi="en-US"/>
              </w:rPr>
              <w:t xml:space="preserve"> </w:t>
            </w:r>
            <w:r w:rsidRPr="002C3C50">
              <w:rPr>
                <w:rFonts w:ascii="Calibri" w:hAnsi="Calibri" w:cs="Calibri"/>
                <w:b/>
                <w:sz w:val="22"/>
                <w:szCs w:val="22"/>
                <w:lang w:bidi="en-US"/>
              </w:rPr>
              <w:t>In the Unite</w:t>
            </w:r>
            <w:r w:rsidR="00F87D0C">
              <w:rPr>
                <w:rFonts w:ascii="Calibri" w:hAnsi="Calibri" w:cs="Calibri"/>
                <w:b/>
                <w:sz w:val="22"/>
                <w:szCs w:val="22"/>
                <w:lang w:bidi="en-US"/>
              </w:rPr>
              <w:t>d States, that meant they were only c</w:t>
            </w:r>
            <w:r w:rsidRPr="002C3C50">
              <w:rPr>
                <w:rFonts w:ascii="Calibri" w:hAnsi="Calibri" w:cs="Calibri"/>
                <w:b/>
                <w:sz w:val="22"/>
                <w:szCs w:val="22"/>
                <w:lang w:bidi="en-US"/>
              </w:rPr>
              <w:t>ompatible with AT&amp;T’s GSM network, and with the T-Mobile network</w:t>
            </w:r>
            <w:r w:rsidR="00415061">
              <w:rPr>
                <w:rFonts w:ascii="Calibri" w:hAnsi="Calibri" w:cs="Calibri"/>
                <w:b/>
                <w:sz w:val="22"/>
                <w:szCs w:val="22"/>
                <w:lang w:bidi="en-US"/>
              </w:rPr>
              <w:t xml:space="preserve"> (although with </w:t>
            </w:r>
            <w:r w:rsidR="00415061" w:rsidRPr="002C3C50">
              <w:rPr>
                <w:rFonts w:ascii="Calibri" w:hAnsi="Calibri" w:cs="Calibri"/>
                <w:b/>
                <w:sz w:val="22"/>
                <w:szCs w:val="22"/>
                <w:lang w:bidi="en-US"/>
              </w:rPr>
              <w:t>significant limitations in functionality</w:t>
            </w:r>
            <w:r w:rsidR="00AC4FA9">
              <w:rPr>
                <w:rFonts w:ascii="Calibri" w:hAnsi="Calibri" w:cs="Calibri"/>
                <w:b/>
                <w:sz w:val="22"/>
                <w:szCs w:val="22"/>
                <w:lang w:bidi="en-US"/>
              </w:rPr>
              <w:t>)</w:t>
            </w:r>
            <w:r w:rsidR="00415061">
              <w:rPr>
                <w:rFonts w:ascii="Calibri" w:hAnsi="Calibri" w:cs="Calibri"/>
                <w:b/>
                <w:sz w:val="22"/>
                <w:szCs w:val="22"/>
                <w:lang w:bidi="en-US"/>
              </w:rPr>
              <w:t>.</w:t>
            </w:r>
          </w:p>
        </w:tc>
      </w:tr>
      <w:tr w:rsidR="00415061" w:rsidRPr="00907D75" w14:paraId="53B1BEC8" w14:textId="77777777" w:rsidTr="00093B76">
        <w:trPr>
          <w:gridAfter w:val="1"/>
          <w:wAfter w:w="198" w:type="dxa"/>
          <w:trHeight w:val="4795"/>
        </w:trPr>
        <w:tc>
          <w:tcPr>
            <w:tcW w:w="5805" w:type="dxa"/>
            <w:vAlign w:val="center"/>
          </w:tcPr>
          <w:p w14:paraId="29B9AE68" w14:textId="621AF023" w:rsidR="00415061" w:rsidRDefault="00415061"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When did iPhones become compatible with CDMA networks?</w:t>
            </w:r>
          </w:p>
        </w:tc>
        <w:tc>
          <w:tcPr>
            <w:tcW w:w="5805" w:type="dxa"/>
            <w:gridSpan w:val="2"/>
            <w:vAlign w:val="center"/>
          </w:tcPr>
          <w:p w14:paraId="53648E3E" w14:textId="7821D653" w:rsidR="00415061" w:rsidRPr="002C3C50" w:rsidRDefault="00415061" w:rsidP="005F1489">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 xml:space="preserve">In 2011, </w:t>
            </w:r>
            <w:r w:rsidRPr="002C3C50">
              <w:rPr>
                <w:rFonts w:ascii="Calibri" w:hAnsi="Calibri" w:cs="Calibri"/>
                <w:b/>
                <w:sz w:val="22"/>
                <w:szCs w:val="22"/>
                <w:lang w:bidi="en-US"/>
              </w:rPr>
              <w:t>Apple in</w:t>
            </w:r>
            <w:r>
              <w:rPr>
                <w:rFonts w:ascii="Calibri" w:hAnsi="Calibri" w:cs="Calibri"/>
                <w:b/>
                <w:sz w:val="22"/>
                <w:szCs w:val="22"/>
                <w:lang w:bidi="en-US"/>
              </w:rPr>
              <w:t xml:space="preserve">troduced its first CDMA iPhone, which was a version of </w:t>
            </w:r>
            <w:r w:rsidR="006E4CD8">
              <w:rPr>
                <w:rFonts w:ascii="Calibri" w:hAnsi="Calibri" w:cs="Calibri"/>
                <w:b/>
                <w:sz w:val="22"/>
                <w:szCs w:val="22"/>
                <w:lang w:bidi="en-US"/>
              </w:rPr>
              <w:t xml:space="preserve">the </w:t>
            </w:r>
            <w:r>
              <w:rPr>
                <w:rFonts w:ascii="Calibri" w:hAnsi="Calibri" w:cs="Calibri"/>
                <w:b/>
                <w:sz w:val="22"/>
                <w:szCs w:val="22"/>
                <w:lang w:bidi="en-US"/>
              </w:rPr>
              <w:t>iPhone 4.</w:t>
            </w:r>
          </w:p>
        </w:tc>
      </w:tr>
      <w:tr w:rsidR="005F1489" w:rsidRPr="00907D75" w14:paraId="502B2964" w14:textId="77777777" w:rsidTr="00093B76">
        <w:trPr>
          <w:gridAfter w:val="1"/>
          <w:wAfter w:w="198" w:type="dxa"/>
          <w:trHeight w:val="4795"/>
        </w:trPr>
        <w:tc>
          <w:tcPr>
            <w:tcW w:w="5805" w:type="dxa"/>
            <w:vAlign w:val="center"/>
          </w:tcPr>
          <w:p w14:paraId="1BF6649D" w14:textId="1386B1C9" w:rsidR="005F1489" w:rsidRDefault="00CB17F0" w:rsidP="00363A6A">
            <w:pPr>
              <w:pStyle w:val="O-BodyText"/>
              <w:spacing w:after="120"/>
              <w:ind w:right="200"/>
              <w:jc w:val="both"/>
              <w:rPr>
                <w:rFonts w:ascii="Calibri" w:hAnsi="Calibri" w:cs="Calibri"/>
                <w:b/>
                <w:sz w:val="28"/>
                <w:szCs w:val="28"/>
              </w:rPr>
            </w:pPr>
            <w:r>
              <w:rPr>
                <w:rFonts w:ascii="Calibri" w:hAnsi="Calibri" w:cs="Calibri"/>
                <w:b/>
                <w:sz w:val="28"/>
                <w:szCs w:val="28"/>
              </w:rPr>
              <w:t>What is the basis of plaintiffs’ “aftermarket” concept</w:t>
            </w:r>
            <w:r w:rsidR="005F1489">
              <w:rPr>
                <w:rFonts w:ascii="Calibri" w:hAnsi="Calibri" w:cs="Calibri"/>
                <w:b/>
                <w:sz w:val="28"/>
                <w:szCs w:val="28"/>
              </w:rPr>
              <w:t>?</w:t>
            </w:r>
          </w:p>
        </w:tc>
        <w:tc>
          <w:tcPr>
            <w:tcW w:w="5805" w:type="dxa"/>
            <w:gridSpan w:val="2"/>
            <w:vAlign w:val="center"/>
          </w:tcPr>
          <w:p w14:paraId="567E8E6F" w14:textId="0DBDFDA2" w:rsidR="005F1489" w:rsidRPr="001544A3" w:rsidRDefault="00CB17F0" w:rsidP="00FC0692">
            <w:pPr>
              <w:pStyle w:val="O-BodyText"/>
              <w:spacing w:after="120"/>
              <w:ind w:left="290" w:right="65"/>
              <w:jc w:val="both"/>
              <w:rPr>
                <w:rFonts w:ascii="Calibri" w:hAnsi="Calibri" w:cs="Calibri"/>
                <w:b/>
                <w:sz w:val="22"/>
                <w:szCs w:val="22"/>
              </w:rPr>
            </w:pPr>
            <w:r w:rsidRPr="00CB17F0">
              <w:rPr>
                <w:rFonts w:ascii="Calibri" w:hAnsi="Calibri" w:cs="Calibri"/>
                <w:b/>
                <w:sz w:val="22"/>
                <w:szCs w:val="22"/>
                <w:lang w:bidi="en-US"/>
              </w:rPr>
              <w:t xml:space="preserve">The “aftermarket” concept </w:t>
            </w:r>
            <w:r w:rsidR="00F87D0C">
              <w:rPr>
                <w:rFonts w:ascii="Calibri" w:hAnsi="Calibri" w:cs="Calibri"/>
                <w:b/>
                <w:sz w:val="22"/>
                <w:szCs w:val="22"/>
                <w:lang w:bidi="en-US"/>
              </w:rPr>
              <w:t>comes</w:t>
            </w:r>
            <w:r w:rsidRPr="00CB17F0">
              <w:rPr>
                <w:rFonts w:ascii="Calibri" w:hAnsi="Calibri" w:cs="Calibri"/>
                <w:b/>
                <w:sz w:val="22"/>
                <w:szCs w:val="22"/>
                <w:lang w:bidi="en-US"/>
              </w:rPr>
              <w:t xml:space="preserve"> from the Supreme Court’s decision in</w:t>
            </w:r>
            <w:r w:rsidR="001544A3" w:rsidRPr="001544A3">
              <w:rPr>
                <w:rFonts w:ascii="Times New Roman" w:hAnsi="Times New Roman" w:cs="Times New Roman"/>
                <w:i/>
                <w:sz w:val="22"/>
                <w:szCs w:val="22"/>
                <w:lang w:bidi="en-US"/>
              </w:rPr>
              <w:t xml:space="preserve"> </w:t>
            </w:r>
            <w:r w:rsidR="001544A3" w:rsidRPr="001544A3">
              <w:rPr>
                <w:rFonts w:ascii="Calibri" w:hAnsi="Calibri" w:cs="Calibri"/>
                <w:b/>
                <w:i/>
                <w:sz w:val="22"/>
                <w:szCs w:val="22"/>
                <w:lang w:bidi="en-US"/>
              </w:rPr>
              <w:t>Eastman Kodak Co. v. Image Technical Services, Inc</w:t>
            </w:r>
            <w:r w:rsidR="001544A3">
              <w:rPr>
                <w:rFonts w:ascii="Calibri" w:hAnsi="Calibri" w:cs="Calibri"/>
                <w:b/>
                <w:i/>
                <w:sz w:val="22"/>
                <w:szCs w:val="22"/>
                <w:lang w:bidi="en-US"/>
              </w:rPr>
              <w:t>.</w:t>
            </w:r>
            <w:r w:rsidR="001544A3">
              <w:rPr>
                <w:rFonts w:ascii="Calibri" w:hAnsi="Calibri" w:cs="Calibri"/>
                <w:b/>
                <w:sz w:val="22"/>
                <w:szCs w:val="22"/>
                <w:lang w:bidi="en-US"/>
              </w:rPr>
              <w:t xml:space="preserve"> (1992), </w:t>
            </w:r>
            <w:r w:rsidR="001544A3" w:rsidRPr="001544A3">
              <w:rPr>
                <w:rFonts w:ascii="Calibri" w:hAnsi="Calibri" w:cs="Calibri"/>
                <w:b/>
                <w:sz w:val="22"/>
                <w:szCs w:val="22"/>
                <w:lang w:bidi="en-US"/>
              </w:rPr>
              <w:t xml:space="preserve">which </w:t>
            </w:r>
            <w:r w:rsidR="006E4CD8">
              <w:rPr>
                <w:rFonts w:ascii="Calibri" w:hAnsi="Calibri" w:cs="Calibri"/>
                <w:b/>
                <w:sz w:val="22"/>
                <w:szCs w:val="22"/>
                <w:lang w:bidi="en-US"/>
              </w:rPr>
              <w:t>explained</w:t>
            </w:r>
            <w:r w:rsidR="001544A3" w:rsidRPr="001544A3">
              <w:rPr>
                <w:rFonts w:ascii="Calibri" w:hAnsi="Calibri" w:cs="Calibri"/>
                <w:b/>
                <w:sz w:val="22"/>
                <w:szCs w:val="22"/>
                <w:lang w:bidi="en-US"/>
              </w:rPr>
              <w:t xml:space="preserve"> that a firm with strong competition (</w:t>
            </w:r>
            <w:r w:rsidR="006E4CD8">
              <w:rPr>
                <w:rFonts w:ascii="Calibri" w:hAnsi="Calibri" w:cs="Calibri"/>
                <w:b/>
                <w:sz w:val="22"/>
                <w:szCs w:val="22"/>
                <w:lang w:bidi="en-US"/>
              </w:rPr>
              <w:t>like</w:t>
            </w:r>
            <w:r w:rsidR="001544A3" w:rsidRPr="001544A3">
              <w:rPr>
                <w:rFonts w:ascii="Calibri" w:hAnsi="Calibri" w:cs="Calibri"/>
                <w:b/>
                <w:sz w:val="22"/>
                <w:szCs w:val="22"/>
                <w:lang w:bidi="en-US"/>
              </w:rPr>
              <w:t xml:space="preserve"> AT&amp;T faces from Verizon, Sprint and T-Mobile) might nevertheless be able to exploit customers who are “locked-in” to purchasing consumables from the manufacturer (e.g., replacement parts) </w:t>
            </w:r>
            <w:r w:rsidR="001544A3" w:rsidRPr="001544A3">
              <w:rPr>
                <w:rFonts w:ascii="Calibri" w:hAnsi="Calibri" w:cs="Calibri"/>
                <w:b/>
                <w:i/>
                <w:sz w:val="22"/>
                <w:szCs w:val="22"/>
                <w:lang w:bidi="en-US"/>
              </w:rPr>
              <w:t xml:space="preserve">if </w:t>
            </w:r>
            <w:r w:rsidR="00584373">
              <w:rPr>
                <w:rFonts w:ascii="Calibri" w:hAnsi="Calibri" w:cs="Calibri"/>
                <w:b/>
                <w:sz w:val="22"/>
                <w:szCs w:val="22"/>
                <w:lang w:bidi="en-US"/>
              </w:rPr>
              <w:t xml:space="preserve">consumers were not </w:t>
            </w:r>
            <w:r w:rsidR="001544A3" w:rsidRPr="001544A3">
              <w:rPr>
                <w:rFonts w:ascii="Calibri" w:hAnsi="Calibri" w:cs="Calibri"/>
                <w:b/>
                <w:sz w:val="22"/>
                <w:szCs w:val="22"/>
                <w:lang w:bidi="en-US"/>
              </w:rPr>
              <w:t>able to anticipate the lock-in when they purchased the original durable product.</w:t>
            </w:r>
          </w:p>
        </w:tc>
      </w:tr>
      <w:tr w:rsidR="0064515C" w:rsidRPr="00907D75" w14:paraId="5FC3A041" w14:textId="77777777" w:rsidTr="00093B76">
        <w:trPr>
          <w:gridAfter w:val="1"/>
          <w:wAfter w:w="198" w:type="dxa"/>
          <w:trHeight w:val="4795"/>
        </w:trPr>
        <w:tc>
          <w:tcPr>
            <w:tcW w:w="5805" w:type="dxa"/>
            <w:vAlign w:val="center"/>
          </w:tcPr>
          <w:p w14:paraId="25864E4D" w14:textId="1CF43EF3" w:rsidR="0064515C" w:rsidRDefault="003C2FAA" w:rsidP="00363A6A">
            <w:pPr>
              <w:pStyle w:val="O-BodyText"/>
              <w:spacing w:after="120"/>
              <w:ind w:right="200"/>
              <w:jc w:val="both"/>
              <w:rPr>
                <w:rFonts w:ascii="Calibri" w:hAnsi="Calibri" w:cs="Calibri"/>
                <w:b/>
                <w:sz w:val="28"/>
                <w:szCs w:val="28"/>
              </w:rPr>
            </w:pPr>
            <w:r>
              <w:rPr>
                <w:rFonts w:ascii="Calibri" w:hAnsi="Calibri" w:cs="Calibri"/>
                <w:b/>
                <w:sz w:val="28"/>
                <w:szCs w:val="28"/>
              </w:rPr>
              <w:t>When did Apple launch its first cellular phone?</w:t>
            </w:r>
          </w:p>
        </w:tc>
        <w:tc>
          <w:tcPr>
            <w:tcW w:w="5805" w:type="dxa"/>
            <w:gridSpan w:val="2"/>
            <w:vAlign w:val="center"/>
          </w:tcPr>
          <w:p w14:paraId="2C76AC7A" w14:textId="061C46B0" w:rsidR="0064515C" w:rsidRPr="005F1489" w:rsidRDefault="003C2FAA" w:rsidP="0064515C">
            <w:pPr>
              <w:pStyle w:val="O-BodyText"/>
              <w:spacing w:after="120"/>
              <w:ind w:left="290" w:right="65"/>
              <w:jc w:val="both"/>
              <w:rPr>
                <w:rFonts w:ascii="Calibri" w:hAnsi="Calibri" w:cs="Calibri"/>
                <w:b/>
                <w:sz w:val="22"/>
                <w:szCs w:val="22"/>
              </w:rPr>
            </w:pPr>
            <w:r w:rsidRPr="003C2FAA">
              <w:rPr>
                <w:rFonts w:ascii="Calibri" w:hAnsi="Calibri" w:cs="Calibri"/>
                <w:b/>
                <w:sz w:val="22"/>
                <w:szCs w:val="22"/>
                <w:lang w:bidi="en-US"/>
              </w:rPr>
              <w:t>Apple launched the</w:t>
            </w:r>
            <w:r>
              <w:rPr>
                <w:rFonts w:ascii="Calibri" w:hAnsi="Calibri" w:cs="Calibri"/>
                <w:b/>
                <w:sz w:val="22"/>
                <w:szCs w:val="22"/>
                <w:lang w:bidi="en-US"/>
              </w:rPr>
              <w:t xml:space="preserve"> iPhone (2G) on June 29, 2007.</w:t>
            </w:r>
          </w:p>
        </w:tc>
      </w:tr>
      <w:tr w:rsidR="0009068E" w:rsidRPr="00907D75" w14:paraId="56708CE0" w14:textId="77777777" w:rsidTr="00093B76">
        <w:trPr>
          <w:gridAfter w:val="1"/>
          <w:wAfter w:w="198" w:type="dxa"/>
          <w:trHeight w:val="4795"/>
        </w:trPr>
        <w:tc>
          <w:tcPr>
            <w:tcW w:w="5805" w:type="dxa"/>
            <w:vAlign w:val="center"/>
          </w:tcPr>
          <w:p w14:paraId="4BAD55D1" w14:textId="25F02D8D" w:rsidR="0009068E" w:rsidRDefault="003C2FAA"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Apple’s agreement with AT&amp;T when it launched its first iPhone</w:t>
            </w:r>
            <w:r w:rsidR="0009068E">
              <w:rPr>
                <w:rFonts w:ascii="Calibri" w:hAnsi="Calibri" w:cs="Calibri"/>
                <w:b/>
                <w:sz w:val="28"/>
                <w:szCs w:val="28"/>
              </w:rPr>
              <w:t>?</w:t>
            </w:r>
          </w:p>
        </w:tc>
        <w:tc>
          <w:tcPr>
            <w:tcW w:w="5805" w:type="dxa"/>
            <w:gridSpan w:val="2"/>
            <w:vAlign w:val="center"/>
          </w:tcPr>
          <w:p w14:paraId="53C20CC4" w14:textId="05773BC3" w:rsidR="0009068E" w:rsidRDefault="003C2FAA" w:rsidP="0064515C">
            <w:pPr>
              <w:pStyle w:val="O-BodyText"/>
              <w:spacing w:after="120"/>
              <w:ind w:left="290" w:right="65"/>
              <w:jc w:val="both"/>
              <w:rPr>
                <w:rFonts w:ascii="Calibri" w:hAnsi="Calibri" w:cs="Calibri"/>
                <w:b/>
                <w:sz w:val="22"/>
                <w:szCs w:val="22"/>
              </w:rPr>
            </w:pPr>
            <w:r w:rsidRPr="003C2FAA">
              <w:rPr>
                <w:rFonts w:ascii="Calibri" w:hAnsi="Calibri" w:cs="Calibri"/>
                <w:b/>
                <w:sz w:val="22"/>
                <w:szCs w:val="22"/>
                <w:lang w:bidi="en-US"/>
              </w:rPr>
              <w:t xml:space="preserve">Consistent with </w:t>
            </w:r>
            <w:r>
              <w:rPr>
                <w:rFonts w:ascii="Calibri" w:hAnsi="Calibri" w:cs="Calibri"/>
                <w:b/>
                <w:sz w:val="22"/>
                <w:szCs w:val="22"/>
                <w:lang w:bidi="en-US"/>
              </w:rPr>
              <w:t>common industry p</w:t>
            </w:r>
            <w:r w:rsidRPr="003C2FAA">
              <w:rPr>
                <w:rFonts w:ascii="Calibri" w:hAnsi="Calibri" w:cs="Calibri"/>
                <w:b/>
                <w:sz w:val="22"/>
                <w:szCs w:val="22"/>
                <w:lang w:bidi="en-US"/>
              </w:rPr>
              <w:t xml:space="preserve">ractice </w:t>
            </w:r>
            <w:r>
              <w:rPr>
                <w:rFonts w:ascii="Calibri" w:hAnsi="Calibri" w:cs="Calibri"/>
                <w:b/>
                <w:sz w:val="22"/>
                <w:szCs w:val="22"/>
                <w:lang w:bidi="en-US"/>
              </w:rPr>
              <w:t xml:space="preserve">at the time, </w:t>
            </w:r>
            <w:r w:rsidRPr="003C2FAA">
              <w:rPr>
                <w:rFonts w:ascii="Calibri" w:hAnsi="Calibri" w:cs="Calibri"/>
                <w:b/>
                <w:sz w:val="22"/>
                <w:szCs w:val="22"/>
                <w:lang w:bidi="en-US"/>
              </w:rPr>
              <w:t>Apple introduced the iPhone under an exclusivity agreement with AT&amp;T known as the Distribution and Revenue Share Agreement (“DRSA”)</w:t>
            </w:r>
            <w:r>
              <w:rPr>
                <w:rFonts w:ascii="Calibri" w:hAnsi="Calibri" w:cs="Calibri"/>
                <w:b/>
                <w:sz w:val="22"/>
                <w:szCs w:val="22"/>
                <w:lang w:bidi="en-US"/>
              </w:rPr>
              <w:t xml:space="preserve">.  Under this </w:t>
            </w:r>
            <w:r w:rsidR="006E4CD8">
              <w:rPr>
                <w:rFonts w:ascii="Calibri" w:hAnsi="Calibri" w:cs="Calibri"/>
                <w:b/>
                <w:sz w:val="22"/>
                <w:szCs w:val="22"/>
                <w:lang w:bidi="en-US"/>
              </w:rPr>
              <w:t xml:space="preserve">agreement, </w:t>
            </w:r>
            <w:r w:rsidRPr="003C2FAA">
              <w:rPr>
                <w:rFonts w:ascii="Calibri" w:hAnsi="Calibri" w:cs="Calibri"/>
                <w:b/>
                <w:sz w:val="22"/>
                <w:szCs w:val="22"/>
                <w:lang w:bidi="en-US"/>
              </w:rPr>
              <w:t xml:space="preserve">AT&amp;T </w:t>
            </w:r>
            <w:r>
              <w:rPr>
                <w:rFonts w:ascii="Calibri" w:hAnsi="Calibri" w:cs="Calibri"/>
                <w:b/>
                <w:sz w:val="22"/>
                <w:szCs w:val="22"/>
                <w:lang w:bidi="en-US"/>
              </w:rPr>
              <w:t>was</w:t>
            </w:r>
            <w:r w:rsidRPr="003C2FAA">
              <w:rPr>
                <w:rFonts w:ascii="Calibri" w:hAnsi="Calibri" w:cs="Calibri"/>
                <w:b/>
                <w:sz w:val="22"/>
                <w:szCs w:val="22"/>
                <w:lang w:bidi="en-US"/>
              </w:rPr>
              <w:t xml:space="preserve"> the exclusive provider of voice and data services for the iPhone in the United States.</w:t>
            </w:r>
          </w:p>
        </w:tc>
      </w:tr>
      <w:tr w:rsidR="000E1DEC" w:rsidRPr="00907D75" w14:paraId="4CE70878" w14:textId="77777777" w:rsidTr="00093B76">
        <w:trPr>
          <w:gridAfter w:val="1"/>
          <w:wAfter w:w="198" w:type="dxa"/>
          <w:trHeight w:val="4795"/>
        </w:trPr>
        <w:tc>
          <w:tcPr>
            <w:tcW w:w="5805" w:type="dxa"/>
            <w:vAlign w:val="center"/>
          </w:tcPr>
          <w:p w14:paraId="40F0C30A" w14:textId="4A404E01" w:rsidR="000E1DEC" w:rsidRDefault="000E1DEC" w:rsidP="00363A6A">
            <w:pPr>
              <w:pStyle w:val="O-BodyText"/>
              <w:spacing w:after="120"/>
              <w:ind w:right="200"/>
              <w:jc w:val="both"/>
              <w:rPr>
                <w:rFonts w:ascii="Calibri" w:hAnsi="Calibri" w:cs="Calibri"/>
                <w:b/>
                <w:sz w:val="28"/>
                <w:szCs w:val="28"/>
              </w:rPr>
            </w:pPr>
            <w:r>
              <w:rPr>
                <w:rFonts w:ascii="Calibri" w:hAnsi="Calibri" w:cs="Calibri"/>
                <w:b/>
                <w:sz w:val="28"/>
                <w:szCs w:val="28"/>
              </w:rPr>
              <w:t>When did Apple enter the DSRA with AT&amp;T?</w:t>
            </w:r>
          </w:p>
        </w:tc>
        <w:tc>
          <w:tcPr>
            <w:tcW w:w="5805" w:type="dxa"/>
            <w:gridSpan w:val="2"/>
            <w:vAlign w:val="center"/>
          </w:tcPr>
          <w:p w14:paraId="6F774034" w14:textId="0D7A8213" w:rsidR="000E1DEC" w:rsidRPr="003C2FAA" w:rsidRDefault="000E1DEC" w:rsidP="0064515C">
            <w:pPr>
              <w:pStyle w:val="O-BodyText"/>
              <w:spacing w:after="120"/>
              <w:ind w:left="290" w:right="65"/>
              <w:jc w:val="both"/>
              <w:rPr>
                <w:rFonts w:ascii="Calibri" w:hAnsi="Calibri" w:cs="Calibri"/>
                <w:b/>
                <w:sz w:val="22"/>
                <w:szCs w:val="22"/>
                <w:lang w:bidi="en-US"/>
              </w:rPr>
            </w:pPr>
            <w:r w:rsidRPr="00B2423C">
              <w:rPr>
                <w:rFonts w:ascii="Calibri" w:hAnsi="Calibri" w:cs="Calibri"/>
                <w:b/>
                <w:sz w:val="22"/>
                <w:szCs w:val="22"/>
                <w:lang w:bidi="en-US"/>
              </w:rPr>
              <w:t>August 10, 2006.</w:t>
            </w:r>
          </w:p>
        </w:tc>
      </w:tr>
      <w:tr w:rsidR="00397E74" w:rsidRPr="00907D75" w14:paraId="6ECBD47D" w14:textId="77777777" w:rsidTr="00093B76">
        <w:trPr>
          <w:gridAfter w:val="1"/>
          <w:wAfter w:w="198" w:type="dxa"/>
          <w:trHeight w:val="4795"/>
        </w:trPr>
        <w:tc>
          <w:tcPr>
            <w:tcW w:w="5805" w:type="dxa"/>
            <w:vAlign w:val="center"/>
          </w:tcPr>
          <w:p w14:paraId="24F22F90" w14:textId="096C96CF" w:rsidR="00397E74" w:rsidRDefault="00397E74"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DSRA do?</w:t>
            </w:r>
          </w:p>
        </w:tc>
        <w:tc>
          <w:tcPr>
            <w:tcW w:w="5805" w:type="dxa"/>
            <w:gridSpan w:val="2"/>
            <w:vAlign w:val="center"/>
          </w:tcPr>
          <w:p w14:paraId="7A1766B3" w14:textId="20818AA2" w:rsidR="00397E74" w:rsidRPr="00B2423C" w:rsidRDefault="00397E74" w:rsidP="0064515C">
            <w:pPr>
              <w:pStyle w:val="O-BodyText"/>
              <w:spacing w:after="120"/>
              <w:ind w:left="290" w:right="65"/>
              <w:jc w:val="both"/>
              <w:rPr>
                <w:rFonts w:ascii="Calibri" w:hAnsi="Calibri" w:cs="Calibri"/>
                <w:b/>
                <w:sz w:val="22"/>
                <w:szCs w:val="22"/>
                <w:lang w:bidi="en-US"/>
              </w:rPr>
            </w:pPr>
            <w:r w:rsidRPr="00A8781C">
              <w:rPr>
                <w:rFonts w:ascii="Calibri" w:hAnsi="Calibri" w:cs="Calibri"/>
                <w:b/>
                <w:sz w:val="22"/>
                <w:szCs w:val="22"/>
                <w:highlight w:val="yellow"/>
                <w:lang w:bidi="en-US"/>
              </w:rPr>
              <w:t>The DSRA made AT&amp;T the exclusive provider of wireless service for the iPhone.  In exchange for the exclusivity given to AT&amp;T, Apple received a percentage of AT&amp;T’s revenues and profits on the first generation of iPhones, known as the iPhone 2G.  Ward Br. 2-3.</w:t>
            </w:r>
          </w:p>
        </w:tc>
      </w:tr>
      <w:tr w:rsidR="0064515C" w:rsidRPr="00907D75" w14:paraId="0B2A1B44" w14:textId="77777777" w:rsidTr="00093B76">
        <w:trPr>
          <w:gridAfter w:val="1"/>
          <w:wAfter w:w="198" w:type="dxa"/>
          <w:trHeight w:val="4795"/>
        </w:trPr>
        <w:tc>
          <w:tcPr>
            <w:tcW w:w="5805" w:type="dxa"/>
            <w:vAlign w:val="center"/>
          </w:tcPr>
          <w:p w14:paraId="0CDDAA5F" w14:textId="4A01E794" w:rsidR="0064515C" w:rsidRDefault="00B52697"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the agreement between Apple and AT&amp;T work</w:t>
            </w:r>
            <w:r w:rsidR="0064515C">
              <w:rPr>
                <w:rFonts w:ascii="Calibri" w:hAnsi="Calibri" w:cs="Calibri"/>
                <w:b/>
                <w:sz w:val="28"/>
                <w:szCs w:val="28"/>
              </w:rPr>
              <w:t>?</w:t>
            </w:r>
          </w:p>
        </w:tc>
        <w:tc>
          <w:tcPr>
            <w:tcW w:w="5805" w:type="dxa"/>
            <w:gridSpan w:val="2"/>
            <w:vAlign w:val="center"/>
          </w:tcPr>
          <w:p w14:paraId="3EAC6110" w14:textId="5D746D5F" w:rsidR="00B52697" w:rsidRPr="00B52697" w:rsidRDefault="00B52697" w:rsidP="00B52697">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Under </w:t>
            </w:r>
            <w:r w:rsidRPr="00B52697">
              <w:rPr>
                <w:rFonts w:ascii="Calibri" w:hAnsi="Calibri" w:cs="Calibri"/>
                <w:b/>
                <w:sz w:val="22"/>
                <w:szCs w:val="22"/>
                <w:lang w:bidi="en-US"/>
              </w:rPr>
              <w:t>the DRSA, iPhones sold in the United States were “locked” to AT&amp;T’s network</w:t>
            </w:r>
            <w:r>
              <w:rPr>
                <w:rFonts w:ascii="Calibri" w:hAnsi="Calibri" w:cs="Calibri"/>
                <w:b/>
                <w:sz w:val="22"/>
                <w:szCs w:val="22"/>
                <w:lang w:bidi="en-US"/>
              </w:rPr>
              <w:t xml:space="preserve">.  </w:t>
            </w:r>
            <w:r w:rsidRPr="00B52697">
              <w:rPr>
                <w:rFonts w:ascii="Calibri" w:hAnsi="Calibri" w:cs="Calibri"/>
                <w:b/>
                <w:sz w:val="22"/>
                <w:szCs w:val="22"/>
                <w:lang w:bidi="en-US"/>
              </w:rPr>
              <w:t>AT&amp;T owned the unlock codes and prohibited Apple from unlocking iPh</w:t>
            </w:r>
            <w:r>
              <w:rPr>
                <w:rFonts w:ascii="Calibri" w:hAnsi="Calibri" w:cs="Calibri"/>
                <w:b/>
                <w:sz w:val="22"/>
                <w:szCs w:val="22"/>
                <w:lang w:bidi="en-US"/>
              </w:rPr>
              <w:t>ones for use on other networks.</w:t>
            </w:r>
          </w:p>
          <w:p w14:paraId="2EDDB9B5" w14:textId="294B0931" w:rsidR="0064515C" w:rsidRPr="0064515C" w:rsidRDefault="0064515C" w:rsidP="005B3EAE">
            <w:pPr>
              <w:pStyle w:val="O-BodyText"/>
              <w:spacing w:after="120"/>
              <w:ind w:left="290" w:right="65"/>
              <w:jc w:val="both"/>
              <w:rPr>
                <w:rFonts w:ascii="Calibri" w:hAnsi="Calibri" w:cs="Calibri"/>
                <w:b/>
                <w:sz w:val="22"/>
                <w:szCs w:val="22"/>
              </w:rPr>
            </w:pPr>
          </w:p>
        </w:tc>
      </w:tr>
      <w:tr w:rsidR="0064515C" w:rsidRPr="00907D75" w14:paraId="7CAC9173" w14:textId="77777777" w:rsidTr="00093B76">
        <w:trPr>
          <w:gridAfter w:val="1"/>
          <w:wAfter w:w="198" w:type="dxa"/>
          <w:trHeight w:val="4795"/>
        </w:trPr>
        <w:tc>
          <w:tcPr>
            <w:tcW w:w="5805" w:type="dxa"/>
            <w:vAlign w:val="center"/>
          </w:tcPr>
          <w:p w14:paraId="3BAF61DC" w14:textId="0E180C15" w:rsidR="0064515C" w:rsidRDefault="00A652F1"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B52697">
              <w:rPr>
                <w:rFonts w:ascii="Calibri" w:hAnsi="Calibri" w:cs="Calibri"/>
                <w:b/>
                <w:sz w:val="28"/>
                <w:szCs w:val="28"/>
              </w:rPr>
              <w:t>was the</w:t>
            </w:r>
            <w:r w:rsidR="00304DAE">
              <w:rPr>
                <w:rFonts w:ascii="Calibri" w:hAnsi="Calibri" w:cs="Calibri"/>
                <w:b/>
                <w:sz w:val="28"/>
                <w:szCs w:val="28"/>
              </w:rPr>
              <w:t xml:space="preserve"> original</w:t>
            </w:r>
            <w:r w:rsidR="00B52697">
              <w:rPr>
                <w:rFonts w:ascii="Calibri" w:hAnsi="Calibri" w:cs="Calibri"/>
                <w:b/>
                <w:sz w:val="28"/>
                <w:szCs w:val="28"/>
              </w:rPr>
              <w:t xml:space="preserve"> term of the DSRA between Apple and AT&amp;T</w:t>
            </w:r>
            <w:r w:rsidR="0064515C">
              <w:rPr>
                <w:rFonts w:ascii="Calibri" w:hAnsi="Calibri" w:cs="Calibri"/>
                <w:b/>
                <w:sz w:val="28"/>
                <w:szCs w:val="28"/>
              </w:rPr>
              <w:t>?</w:t>
            </w:r>
          </w:p>
        </w:tc>
        <w:tc>
          <w:tcPr>
            <w:tcW w:w="5805" w:type="dxa"/>
            <w:gridSpan w:val="2"/>
            <w:vAlign w:val="center"/>
          </w:tcPr>
          <w:p w14:paraId="524A04F2" w14:textId="480E901C" w:rsidR="0064515C" w:rsidRPr="0064515C" w:rsidRDefault="00B52697" w:rsidP="0064515C">
            <w:pPr>
              <w:pStyle w:val="O-BodyText"/>
              <w:spacing w:after="120"/>
              <w:ind w:left="290" w:right="65"/>
              <w:jc w:val="both"/>
              <w:rPr>
                <w:rFonts w:ascii="Calibri" w:hAnsi="Calibri" w:cs="Calibri"/>
                <w:b/>
                <w:sz w:val="22"/>
                <w:szCs w:val="22"/>
              </w:rPr>
            </w:pPr>
            <w:r w:rsidRPr="00B52697">
              <w:rPr>
                <w:rFonts w:ascii="Calibri" w:hAnsi="Calibri" w:cs="Calibri"/>
                <w:b/>
                <w:sz w:val="22"/>
                <w:szCs w:val="22"/>
                <w:lang w:bidi="en-US"/>
              </w:rPr>
              <w:t xml:space="preserve">The DRSA </w:t>
            </w:r>
            <w:r>
              <w:rPr>
                <w:rFonts w:ascii="Calibri" w:hAnsi="Calibri" w:cs="Calibri"/>
                <w:b/>
                <w:sz w:val="22"/>
                <w:szCs w:val="22"/>
                <w:lang w:bidi="en-US"/>
              </w:rPr>
              <w:t>had</w:t>
            </w:r>
            <w:r w:rsidRPr="00B52697">
              <w:rPr>
                <w:rFonts w:ascii="Calibri" w:hAnsi="Calibri" w:cs="Calibri"/>
                <w:b/>
                <w:sz w:val="22"/>
                <w:szCs w:val="22"/>
                <w:lang w:bidi="en-US"/>
              </w:rPr>
              <w:t xml:space="preserve"> a five</w:t>
            </w:r>
            <w:r w:rsidR="000E1DEC">
              <w:rPr>
                <w:rFonts w:ascii="Calibri" w:hAnsi="Calibri" w:cs="Calibri"/>
                <w:b/>
                <w:sz w:val="22"/>
                <w:szCs w:val="22"/>
                <w:lang w:bidi="en-US"/>
              </w:rPr>
              <w:t>-</w:t>
            </w:r>
            <w:r w:rsidRPr="00B52697">
              <w:rPr>
                <w:rFonts w:ascii="Calibri" w:hAnsi="Calibri" w:cs="Calibri"/>
                <w:b/>
                <w:sz w:val="22"/>
                <w:szCs w:val="22"/>
                <w:lang w:bidi="en-US"/>
              </w:rPr>
              <w:t>year</w:t>
            </w:r>
            <w:r w:rsidR="000E1DEC">
              <w:rPr>
                <w:rFonts w:ascii="Calibri" w:hAnsi="Calibri" w:cs="Calibri"/>
                <w:b/>
                <w:sz w:val="22"/>
                <w:szCs w:val="22"/>
                <w:lang w:bidi="en-US"/>
              </w:rPr>
              <w:t xml:space="preserve"> term </w:t>
            </w:r>
            <w:r w:rsidRPr="00B52697">
              <w:rPr>
                <w:rFonts w:ascii="Calibri" w:hAnsi="Calibri" w:cs="Calibri"/>
                <w:b/>
                <w:sz w:val="22"/>
                <w:szCs w:val="22"/>
                <w:lang w:bidi="en-US"/>
              </w:rPr>
              <w:t>from the date of execution (August 10, 2006), but could be terminated “for convenience” two years after the date of the sale of the first iPhone (June 29, 2007).</w:t>
            </w:r>
          </w:p>
        </w:tc>
      </w:tr>
      <w:tr w:rsidR="00B66746" w:rsidRPr="00907D75" w14:paraId="6AD5B778" w14:textId="77777777" w:rsidTr="00093B76">
        <w:trPr>
          <w:gridAfter w:val="1"/>
          <w:wAfter w:w="198" w:type="dxa"/>
          <w:trHeight w:val="4795"/>
        </w:trPr>
        <w:tc>
          <w:tcPr>
            <w:tcW w:w="5805" w:type="dxa"/>
            <w:vAlign w:val="center"/>
          </w:tcPr>
          <w:p w14:paraId="60CE5846" w14:textId="54289713" w:rsidR="00B66746" w:rsidRDefault="00B87125"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Plaintiffs argue that the economic viability of both Apple and AT&amp;T depended on customers being “locked” to AT&amp;T as the exclusive iPhone wireless service provider.  </w:t>
            </w:r>
            <w:r w:rsidR="006E4CD8">
              <w:rPr>
                <w:rFonts w:ascii="Calibri" w:hAnsi="Calibri" w:cs="Calibri"/>
                <w:b/>
                <w:sz w:val="28"/>
                <w:szCs w:val="28"/>
              </w:rPr>
              <w:t>Is that correct</w:t>
            </w:r>
            <w:r>
              <w:rPr>
                <w:rFonts w:ascii="Calibri" w:hAnsi="Calibri" w:cs="Calibri"/>
                <w:b/>
                <w:sz w:val="28"/>
                <w:szCs w:val="28"/>
              </w:rPr>
              <w:t>?</w:t>
            </w:r>
          </w:p>
        </w:tc>
        <w:tc>
          <w:tcPr>
            <w:tcW w:w="5805" w:type="dxa"/>
            <w:gridSpan w:val="2"/>
            <w:vAlign w:val="center"/>
          </w:tcPr>
          <w:p w14:paraId="7AC3B3C0" w14:textId="2A5518F1" w:rsidR="00B87125" w:rsidRPr="00B87125" w:rsidRDefault="00B87125" w:rsidP="00B87125">
            <w:pPr>
              <w:pStyle w:val="O-BodyText"/>
              <w:spacing w:after="120"/>
              <w:ind w:left="290" w:right="65"/>
              <w:rPr>
                <w:rFonts w:ascii="Calibri" w:hAnsi="Calibri" w:cs="Calibri"/>
                <w:b/>
                <w:sz w:val="22"/>
                <w:szCs w:val="22"/>
                <w:highlight w:val="yellow"/>
                <w:lang w:bidi="en-US"/>
              </w:rPr>
            </w:pPr>
            <w:r w:rsidRPr="00B87125">
              <w:rPr>
                <w:rFonts w:ascii="Calibri" w:hAnsi="Calibri" w:cs="Calibri"/>
                <w:b/>
                <w:sz w:val="22"/>
                <w:szCs w:val="22"/>
                <w:highlight w:val="yellow"/>
                <w:lang w:bidi="en-US"/>
              </w:rPr>
              <w:t>The DRSA was so important to Apple and AT</w:t>
            </w:r>
            <w:r>
              <w:rPr>
                <w:rFonts w:ascii="Calibri" w:hAnsi="Calibri" w:cs="Calibri"/>
                <w:b/>
                <w:sz w:val="22"/>
                <w:szCs w:val="22"/>
                <w:highlight w:val="yellow"/>
                <w:lang w:bidi="en-US"/>
              </w:rPr>
              <w:t>&amp;</w:t>
            </w:r>
            <w:r w:rsidRPr="00B87125">
              <w:rPr>
                <w:rFonts w:ascii="Calibri" w:hAnsi="Calibri" w:cs="Calibri"/>
                <w:b/>
                <w:sz w:val="22"/>
                <w:szCs w:val="22"/>
                <w:highlight w:val="yellow"/>
                <w:lang w:bidi="en-US"/>
              </w:rPr>
              <w:t>T that the economic viability of both Apple and AT</w:t>
            </w:r>
            <w:r>
              <w:rPr>
                <w:rFonts w:ascii="Calibri" w:hAnsi="Calibri" w:cs="Calibri"/>
                <w:b/>
                <w:sz w:val="22"/>
                <w:szCs w:val="22"/>
                <w:highlight w:val="yellow"/>
                <w:lang w:bidi="en-US"/>
              </w:rPr>
              <w:t>&amp;</w:t>
            </w:r>
            <w:r w:rsidRPr="00B87125">
              <w:rPr>
                <w:rFonts w:ascii="Calibri" w:hAnsi="Calibri" w:cs="Calibri"/>
                <w:b/>
                <w:sz w:val="22"/>
                <w:szCs w:val="22"/>
                <w:highlight w:val="yellow"/>
                <w:lang w:bidi="en-US"/>
              </w:rPr>
              <w:t>T depended upon customers being “locked” to AT</w:t>
            </w:r>
            <w:r>
              <w:rPr>
                <w:rFonts w:ascii="Calibri" w:hAnsi="Calibri" w:cs="Calibri"/>
                <w:b/>
                <w:sz w:val="22"/>
                <w:szCs w:val="22"/>
                <w:highlight w:val="yellow"/>
                <w:lang w:bidi="en-US"/>
              </w:rPr>
              <w:t>&amp;</w:t>
            </w:r>
            <w:r w:rsidRPr="00B87125">
              <w:rPr>
                <w:rFonts w:ascii="Calibri" w:hAnsi="Calibri" w:cs="Calibri"/>
                <w:b/>
                <w:sz w:val="22"/>
                <w:szCs w:val="22"/>
                <w:highlight w:val="yellow"/>
                <w:lang w:bidi="en-US"/>
              </w:rPr>
              <w:t>T</w:t>
            </w:r>
            <w:r>
              <w:rPr>
                <w:rFonts w:ascii="Calibri" w:hAnsi="Calibri" w:cs="Calibri"/>
                <w:b/>
                <w:sz w:val="22"/>
                <w:szCs w:val="22"/>
                <w:highlight w:val="yellow"/>
                <w:lang w:bidi="en-US"/>
              </w:rPr>
              <w:t xml:space="preserve"> as the exclusive iPhone w</w:t>
            </w:r>
            <w:r w:rsidRPr="00B87125">
              <w:rPr>
                <w:rFonts w:ascii="Calibri" w:hAnsi="Calibri" w:cs="Calibri"/>
                <w:b/>
                <w:sz w:val="22"/>
                <w:szCs w:val="22"/>
                <w:highlight w:val="yellow"/>
                <w:lang w:bidi="en-US"/>
              </w:rPr>
              <w:t xml:space="preserve">ireless </w:t>
            </w:r>
            <w:r>
              <w:rPr>
                <w:rFonts w:ascii="Calibri" w:hAnsi="Calibri" w:cs="Calibri"/>
                <w:b/>
                <w:sz w:val="22"/>
                <w:szCs w:val="22"/>
                <w:highlight w:val="yellow"/>
                <w:lang w:bidi="en-US"/>
              </w:rPr>
              <w:t>s</w:t>
            </w:r>
            <w:r w:rsidRPr="00B87125">
              <w:rPr>
                <w:rFonts w:ascii="Calibri" w:hAnsi="Calibri" w:cs="Calibri"/>
                <w:b/>
                <w:sz w:val="22"/>
                <w:szCs w:val="22"/>
                <w:highlight w:val="yellow"/>
                <w:lang w:bidi="en-US"/>
              </w:rPr>
              <w:t xml:space="preserve">ervice provider. </w:t>
            </w:r>
            <w:r>
              <w:rPr>
                <w:rFonts w:ascii="Calibri" w:hAnsi="Calibri" w:cs="Calibri"/>
                <w:b/>
                <w:sz w:val="22"/>
                <w:szCs w:val="22"/>
                <w:highlight w:val="yellow"/>
                <w:lang w:bidi="en-US"/>
              </w:rPr>
              <w:t xml:space="preserve"> </w:t>
            </w:r>
            <w:r w:rsidRPr="00B87125">
              <w:rPr>
                <w:rFonts w:ascii="Calibri" w:hAnsi="Calibri" w:cs="Calibri"/>
                <w:b/>
                <w:sz w:val="22"/>
                <w:szCs w:val="22"/>
                <w:highlight w:val="yellow"/>
                <w:lang w:bidi="en-US"/>
              </w:rPr>
              <w:t>Apple and AT</w:t>
            </w:r>
            <w:r>
              <w:rPr>
                <w:rFonts w:ascii="Calibri" w:hAnsi="Calibri" w:cs="Calibri"/>
                <w:b/>
                <w:sz w:val="22"/>
                <w:szCs w:val="22"/>
                <w:highlight w:val="yellow"/>
                <w:lang w:bidi="en-US"/>
              </w:rPr>
              <w:t>&amp;</w:t>
            </w:r>
            <w:r w:rsidRPr="00B87125">
              <w:rPr>
                <w:rFonts w:ascii="Calibri" w:hAnsi="Calibri" w:cs="Calibri"/>
                <w:b/>
                <w:sz w:val="22"/>
                <w:szCs w:val="22"/>
                <w:highlight w:val="yellow"/>
                <w:lang w:bidi="en-US"/>
              </w:rPr>
              <w:t xml:space="preserve">T expressly agreed not to disclose any of the terms or conditions of the DRSA and to coordinate their public announcements about it. </w:t>
            </w:r>
            <w:r>
              <w:rPr>
                <w:rFonts w:ascii="Calibri" w:hAnsi="Calibri" w:cs="Calibri"/>
                <w:b/>
                <w:sz w:val="22"/>
                <w:szCs w:val="22"/>
                <w:highlight w:val="yellow"/>
                <w:lang w:bidi="en-US"/>
              </w:rPr>
              <w:t xml:space="preserve"> Ward Br. 3.</w:t>
            </w:r>
          </w:p>
          <w:p w14:paraId="671D51BD" w14:textId="77777777" w:rsidR="00B66746" w:rsidRPr="0039570D" w:rsidRDefault="00B66746" w:rsidP="000E1DEC">
            <w:pPr>
              <w:pStyle w:val="O-BodyText"/>
              <w:spacing w:after="120"/>
              <w:ind w:left="290" w:right="65"/>
              <w:jc w:val="both"/>
              <w:rPr>
                <w:rFonts w:ascii="Calibri" w:hAnsi="Calibri" w:cs="Calibri"/>
                <w:b/>
                <w:sz w:val="22"/>
                <w:szCs w:val="22"/>
                <w:highlight w:val="yellow"/>
                <w:lang w:bidi="en-US"/>
              </w:rPr>
            </w:pPr>
          </w:p>
        </w:tc>
      </w:tr>
      <w:tr w:rsidR="00B87125" w:rsidRPr="00907D75" w14:paraId="53CFD731" w14:textId="77777777" w:rsidTr="00093B76">
        <w:trPr>
          <w:gridAfter w:val="1"/>
          <w:wAfter w:w="198" w:type="dxa"/>
          <w:trHeight w:val="4795"/>
        </w:trPr>
        <w:tc>
          <w:tcPr>
            <w:tcW w:w="5805" w:type="dxa"/>
            <w:vAlign w:val="center"/>
          </w:tcPr>
          <w:p w14:paraId="6D4A88D0" w14:textId="52D08DD7" w:rsidR="00B87125" w:rsidRDefault="005B20DD"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Apple and AT&amp;T ever disclose the five-year term of exclusivity to the public?</w:t>
            </w:r>
          </w:p>
        </w:tc>
        <w:tc>
          <w:tcPr>
            <w:tcW w:w="5805" w:type="dxa"/>
            <w:gridSpan w:val="2"/>
            <w:vAlign w:val="center"/>
          </w:tcPr>
          <w:p w14:paraId="5BD138E1" w14:textId="48CD0352" w:rsidR="005B20DD" w:rsidRPr="00397E74" w:rsidRDefault="00397E74" w:rsidP="005B20DD">
            <w:pPr>
              <w:pStyle w:val="O-BodyText"/>
              <w:spacing w:after="120"/>
              <w:ind w:left="290" w:right="65"/>
              <w:rPr>
                <w:rFonts w:ascii="Calibri" w:hAnsi="Calibri" w:cs="Calibri"/>
                <w:b/>
                <w:sz w:val="22"/>
                <w:szCs w:val="22"/>
                <w:lang w:bidi="en-US"/>
              </w:rPr>
            </w:pPr>
            <w:r w:rsidRPr="00397E74">
              <w:rPr>
                <w:rFonts w:ascii="Calibri" w:hAnsi="Calibri" w:cs="Calibri"/>
                <w:b/>
                <w:sz w:val="22"/>
                <w:szCs w:val="22"/>
                <w:lang w:bidi="en-US"/>
              </w:rPr>
              <w:t>Technically no, not in those precise terms</w:t>
            </w:r>
            <w:r w:rsidR="005B20DD" w:rsidRPr="00397E74">
              <w:rPr>
                <w:rFonts w:ascii="Calibri" w:hAnsi="Calibri" w:cs="Calibri"/>
                <w:b/>
                <w:sz w:val="22"/>
                <w:szCs w:val="22"/>
                <w:lang w:bidi="en-US"/>
              </w:rPr>
              <w:t xml:space="preserve">.  </w:t>
            </w:r>
            <w:r w:rsidRPr="00397E74">
              <w:rPr>
                <w:rFonts w:ascii="Calibri" w:hAnsi="Calibri" w:cs="Calibri"/>
                <w:b/>
                <w:sz w:val="22"/>
                <w:szCs w:val="22"/>
                <w:lang w:bidi="en-US"/>
              </w:rPr>
              <w:t xml:space="preserve">But Plaintiffs concede that </w:t>
            </w:r>
            <w:r w:rsidR="005B20DD" w:rsidRPr="00397E74">
              <w:rPr>
                <w:rFonts w:ascii="Calibri" w:hAnsi="Calibri" w:cs="Calibri"/>
                <w:b/>
                <w:sz w:val="22"/>
                <w:szCs w:val="22"/>
                <w:lang w:bidi="en-US"/>
              </w:rPr>
              <w:t xml:space="preserve">Apple and AT&amp;T </w:t>
            </w:r>
            <w:r w:rsidRPr="00397E74">
              <w:rPr>
                <w:rFonts w:ascii="Calibri" w:hAnsi="Calibri" w:cs="Calibri"/>
                <w:b/>
                <w:sz w:val="22"/>
                <w:szCs w:val="22"/>
                <w:lang w:bidi="en-US"/>
              </w:rPr>
              <w:t>disclosed a</w:t>
            </w:r>
            <w:r w:rsidR="005B20DD" w:rsidRPr="00397E74">
              <w:rPr>
                <w:rFonts w:ascii="Calibri" w:hAnsi="Calibri" w:cs="Calibri"/>
                <w:b/>
                <w:sz w:val="22"/>
                <w:szCs w:val="22"/>
                <w:lang w:bidi="en-US"/>
              </w:rPr>
              <w:t xml:space="preserve"> “multi-year” </w:t>
            </w:r>
            <w:r w:rsidRPr="00397E74">
              <w:rPr>
                <w:rFonts w:ascii="Calibri" w:hAnsi="Calibri" w:cs="Calibri"/>
                <w:b/>
                <w:sz w:val="22"/>
                <w:szCs w:val="22"/>
                <w:lang w:bidi="en-US"/>
              </w:rPr>
              <w:t xml:space="preserve">term. </w:t>
            </w:r>
            <w:r w:rsidRPr="00A8781C">
              <w:rPr>
                <w:rFonts w:ascii="Calibri" w:hAnsi="Calibri" w:cs="Calibri"/>
                <w:b/>
                <w:sz w:val="22"/>
                <w:szCs w:val="22"/>
                <w:highlight w:val="yellow"/>
                <w:lang w:bidi="en-US"/>
              </w:rPr>
              <w:t xml:space="preserve">Plaintiffs argue that Apple and ATT </w:t>
            </w:r>
            <w:r w:rsidR="005B20DD" w:rsidRPr="00A8781C">
              <w:rPr>
                <w:rFonts w:ascii="Calibri" w:hAnsi="Calibri" w:cs="Calibri"/>
                <w:b/>
                <w:sz w:val="22"/>
                <w:szCs w:val="22"/>
                <w:highlight w:val="yellow"/>
                <w:lang w:bidi="en-US"/>
              </w:rPr>
              <w:t xml:space="preserve">took great pains to keep the length of ATTM’s exclusivity period secret. </w:t>
            </w:r>
            <w:r w:rsidR="006E4CD8" w:rsidRPr="00A8781C">
              <w:rPr>
                <w:rFonts w:ascii="Calibri" w:hAnsi="Calibri" w:cs="Calibri"/>
                <w:b/>
                <w:sz w:val="22"/>
                <w:szCs w:val="22"/>
                <w:highlight w:val="yellow"/>
                <w:lang w:bidi="en-US"/>
              </w:rPr>
              <w:t xml:space="preserve"> </w:t>
            </w:r>
            <w:r w:rsidR="005B20DD" w:rsidRPr="00A8781C">
              <w:rPr>
                <w:rFonts w:ascii="Calibri" w:hAnsi="Calibri" w:cs="Calibri"/>
                <w:b/>
                <w:i/>
                <w:sz w:val="22"/>
                <w:szCs w:val="22"/>
                <w:highlight w:val="yellow"/>
                <w:lang w:bidi="en-US"/>
              </w:rPr>
              <w:t>See</w:t>
            </w:r>
            <w:r w:rsidR="005B20DD" w:rsidRPr="00A8781C">
              <w:rPr>
                <w:rFonts w:ascii="Calibri" w:hAnsi="Calibri" w:cs="Calibri"/>
                <w:b/>
                <w:sz w:val="22"/>
                <w:szCs w:val="22"/>
                <w:highlight w:val="yellow"/>
                <w:lang w:bidi="en-US"/>
              </w:rPr>
              <w:t xml:space="preserve">, </w:t>
            </w:r>
            <w:r w:rsidR="005B20DD" w:rsidRPr="00A8781C">
              <w:rPr>
                <w:rFonts w:ascii="Calibri" w:hAnsi="Calibri" w:cs="Calibri"/>
                <w:b/>
                <w:i/>
                <w:sz w:val="22"/>
                <w:szCs w:val="22"/>
                <w:highlight w:val="yellow"/>
                <w:lang w:bidi="en-US"/>
              </w:rPr>
              <w:t>e.g.</w:t>
            </w:r>
            <w:r w:rsidR="005B20DD" w:rsidRPr="00A8781C">
              <w:rPr>
                <w:rFonts w:ascii="Calibri" w:hAnsi="Calibri" w:cs="Calibri"/>
                <w:b/>
                <w:sz w:val="22"/>
                <w:szCs w:val="22"/>
                <w:highlight w:val="yellow"/>
                <w:lang w:bidi="en-US"/>
              </w:rPr>
              <w:t>, EOR 489 (employees</w:t>
            </w:r>
            <w:r w:rsidR="006E4CD8" w:rsidRPr="00A8781C">
              <w:rPr>
                <w:rFonts w:ascii="Calibri" w:hAnsi="Calibri" w:cs="Calibri"/>
                <w:b/>
                <w:sz w:val="22"/>
                <w:szCs w:val="22"/>
                <w:highlight w:val="yellow"/>
                <w:lang w:bidi="en-US"/>
              </w:rPr>
              <w:t xml:space="preserve"> t</w:t>
            </w:r>
            <w:r w:rsidR="005B20DD" w:rsidRPr="00A8781C">
              <w:rPr>
                <w:rFonts w:ascii="Calibri" w:hAnsi="Calibri" w:cs="Calibri"/>
                <w:b/>
                <w:sz w:val="22"/>
                <w:szCs w:val="22"/>
                <w:highlight w:val="yellow"/>
                <w:lang w:bidi="en-US"/>
              </w:rPr>
              <w:t>old “multiyear”); EOR 492 (“WHAT WE ARE NOT TALKING ABOUT: Terms of the deal other than stating ‘multi-year, exclusive’”).  Ward Br. 3-4.</w:t>
            </w:r>
          </w:p>
          <w:p w14:paraId="5F6F81B5" w14:textId="77777777" w:rsidR="00B87125" w:rsidRPr="00B87125" w:rsidRDefault="00B87125" w:rsidP="00B87125">
            <w:pPr>
              <w:pStyle w:val="O-BodyText"/>
              <w:spacing w:after="120"/>
              <w:ind w:left="290" w:right="65"/>
              <w:rPr>
                <w:rFonts w:ascii="Calibri" w:hAnsi="Calibri" w:cs="Calibri"/>
                <w:b/>
                <w:sz w:val="22"/>
                <w:szCs w:val="22"/>
                <w:highlight w:val="yellow"/>
                <w:lang w:bidi="en-US"/>
              </w:rPr>
            </w:pPr>
          </w:p>
        </w:tc>
      </w:tr>
      <w:tr w:rsidR="00B96A73" w:rsidRPr="00007326" w14:paraId="53FE15A9" w14:textId="77777777" w:rsidTr="00093B76">
        <w:trPr>
          <w:gridAfter w:val="1"/>
          <w:wAfter w:w="198" w:type="dxa"/>
          <w:trHeight w:val="4795"/>
        </w:trPr>
        <w:tc>
          <w:tcPr>
            <w:tcW w:w="5805" w:type="dxa"/>
            <w:vAlign w:val="center"/>
          </w:tcPr>
          <w:p w14:paraId="559574AE" w14:textId="4B067312" w:rsidR="00B96A73" w:rsidRDefault="00B96A73" w:rsidP="0060545C">
            <w:pPr>
              <w:pStyle w:val="O-BodyText"/>
              <w:spacing w:after="120"/>
              <w:ind w:right="200"/>
              <w:jc w:val="both"/>
              <w:rPr>
                <w:rFonts w:ascii="Calibri" w:hAnsi="Calibri" w:cs="Calibri"/>
                <w:b/>
                <w:sz w:val="28"/>
                <w:szCs w:val="28"/>
              </w:rPr>
            </w:pPr>
            <w:r>
              <w:rPr>
                <w:rFonts w:ascii="Calibri" w:hAnsi="Calibri" w:cs="Calibri"/>
                <w:b/>
                <w:sz w:val="28"/>
                <w:szCs w:val="28"/>
              </w:rPr>
              <w:t>Were either of the named plaintiffs told that they would be required to use AT&amp;T longer that the two-year term of their service agreements?</w:t>
            </w:r>
          </w:p>
        </w:tc>
        <w:tc>
          <w:tcPr>
            <w:tcW w:w="5805" w:type="dxa"/>
            <w:gridSpan w:val="2"/>
            <w:vAlign w:val="center"/>
          </w:tcPr>
          <w:p w14:paraId="61AA0E93" w14:textId="018AC255" w:rsidR="00B96A73" w:rsidRPr="00A8781C" w:rsidRDefault="00397E74" w:rsidP="00B96A73">
            <w:pPr>
              <w:pStyle w:val="O-BodyText"/>
              <w:rPr>
                <w:rFonts w:ascii="Calibri" w:hAnsi="Calibri" w:cs="Calibri"/>
                <w:b/>
                <w:sz w:val="22"/>
                <w:szCs w:val="22"/>
                <w:highlight w:val="yellow"/>
                <w:lang w:bidi="en-US"/>
              </w:rPr>
            </w:pPr>
            <w:r w:rsidRPr="00A8781C">
              <w:rPr>
                <w:rFonts w:ascii="Calibri" w:hAnsi="Calibri" w:cs="Calibri"/>
                <w:b/>
                <w:sz w:val="22"/>
                <w:szCs w:val="22"/>
                <w:highlight w:val="yellow"/>
                <w:lang w:bidi="en-US"/>
              </w:rPr>
              <w:t>T</w:t>
            </w:r>
            <w:r w:rsidR="00B96A73" w:rsidRPr="00A8781C">
              <w:rPr>
                <w:rFonts w:ascii="Calibri" w:hAnsi="Calibri" w:cs="Calibri"/>
                <w:b/>
                <w:sz w:val="22"/>
                <w:szCs w:val="22"/>
                <w:highlight w:val="yellow"/>
                <w:lang w:bidi="en-US"/>
              </w:rPr>
              <w:t>hey</w:t>
            </w:r>
            <w:r w:rsidRPr="00A8781C">
              <w:rPr>
                <w:rFonts w:ascii="Calibri" w:hAnsi="Calibri" w:cs="Calibri"/>
                <w:b/>
                <w:sz w:val="22"/>
                <w:szCs w:val="22"/>
                <w:highlight w:val="yellow"/>
                <w:lang w:bidi="en-US"/>
              </w:rPr>
              <w:t xml:space="preserve"> allege that they</w:t>
            </w:r>
            <w:r w:rsidR="00B96A73" w:rsidRPr="00A8781C">
              <w:rPr>
                <w:rFonts w:ascii="Calibri" w:hAnsi="Calibri" w:cs="Calibri"/>
                <w:b/>
                <w:sz w:val="22"/>
                <w:szCs w:val="22"/>
                <w:highlight w:val="yellow"/>
                <w:lang w:bidi="en-US"/>
              </w:rPr>
              <w:t xml:space="preserve"> weren’t told by Apple or AT&amp;T that they would be required to use AT&amp;T beyond the two-year term of their service agreements, or that they would not receive unlock codes that would allow them to switch to another wireless service provider upon expiration of their two-year </w:t>
            </w:r>
            <w:proofErr w:type="spellStart"/>
            <w:r w:rsidR="00B96A73" w:rsidRPr="00A8781C">
              <w:rPr>
                <w:rFonts w:ascii="Calibri" w:hAnsi="Calibri" w:cs="Calibri"/>
                <w:b/>
                <w:sz w:val="22"/>
                <w:szCs w:val="22"/>
                <w:highlight w:val="yellow"/>
                <w:lang w:bidi="en-US"/>
              </w:rPr>
              <w:t>agreementsWard</w:t>
            </w:r>
            <w:proofErr w:type="spellEnd"/>
            <w:r w:rsidR="00B96A73" w:rsidRPr="00A8781C">
              <w:rPr>
                <w:rFonts w:ascii="Calibri" w:hAnsi="Calibri" w:cs="Calibri"/>
                <w:b/>
                <w:sz w:val="22"/>
                <w:szCs w:val="22"/>
                <w:highlight w:val="yellow"/>
                <w:lang w:bidi="en-US"/>
              </w:rPr>
              <w:t xml:space="preserve"> Br. 4.</w:t>
            </w:r>
          </w:p>
        </w:tc>
      </w:tr>
      <w:tr w:rsidR="00397E74" w:rsidRPr="00007326" w14:paraId="6DFF26E0" w14:textId="77777777" w:rsidTr="00093B76">
        <w:trPr>
          <w:gridAfter w:val="1"/>
          <w:wAfter w:w="198" w:type="dxa"/>
          <w:trHeight w:val="4795"/>
        </w:trPr>
        <w:tc>
          <w:tcPr>
            <w:tcW w:w="5805" w:type="dxa"/>
            <w:vAlign w:val="center"/>
          </w:tcPr>
          <w:p w14:paraId="116E727E" w14:textId="6BABE387" w:rsidR="00397E74" w:rsidRDefault="00397E74" w:rsidP="0060545C">
            <w:pPr>
              <w:pStyle w:val="O-BodyText"/>
              <w:spacing w:after="120"/>
              <w:ind w:right="200"/>
              <w:jc w:val="both"/>
              <w:rPr>
                <w:rFonts w:ascii="Calibri" w:hAnsi="Calibri" w:cs="Calibri"/>
                <w:b/>
                <w:sz w:val="28"/>
                <w:szCs w:val="28"/>
              </w:rPr>
            </w:pPr>
            <w:r>
              <w:rPr>
                <w:rFonts w:ascii="Calibri" w:hAnsi="Calibri" w:cs="Calibri"/>
                <w:b/>
                <w:sz w:val="28"/>
                <w:szCs w:val="28"/>
              </w:rPr>
              <w:t>Do you agree that the named plaintiffs probably were not told that they would have to use AT&amp;T after the initial two-year service agreement?</w:t>
            </w:r>
          </w:p>
        </w:tc>
        <w:tc>
          <w:tcPr>
            <w:tcW w:w="5805" w:type="dxa"/>
            <w:gridSpan w:val="2"/>
            <w:vAlign w:val="center"/>
          </w:tcPr>
          <w:p w14:paraId="552B022C" w14:textId="351F041A" w:rsidR="00397E74" w:rsidRPr="00397E74" w:rsidRDefault="00397E74" w:rsidP="00B96A73">
            <w:pPr>
              <w:pStyle w:val="O-BodyText"/>
              <w:rPr>
                <w:rFonts w:ascii="Calibri" w:hAnsi="Calibri" w:cs="Calibri"/>
                <w:b/>
                <w:sz w:val="22"/>
                <w:szCs w:val="22"/>
                <w:lang w:bidi="en-US"/>
              </w:rPr>
            </w:pPr>
            <w:r>
              <w:rPr>
                <w:rFonts w:ascii="Calibri" w:hAnsi="Calibri" w:cs="Calibri"/>
                <w:b/>
                <w:sz w:val="22"/>
                <w:szCs w:val="22"/>
                <w:lang w:bidi="en-US"/>
              </w:rPr>
              <w:t xml:space="preserve">They may not have been specifically told that. But we certainly dispute what expectations these or other consumers would have had with respect to exclusivity. </w:t>
            </w:r>
          </w:p>
        </w:tc>
      </w:tr>
      <w:tr w:rsidR="00B96A73" w:rsidRPr="00007326" w14:paraId="172F2D66" w14:textId="77777777" w:rsidTr="00093B76">
        <w:trPr>
          <w:gridAfter w:val="1"/>
          <w:wAfter w:w="198" w:type="dxa"/>
          <w:trHeight w:val="4795"/>
        </w:trPr>
        <w:tc>
          <w:tcPr>
            <w:tcW w:w="5805" w:type="dxa"/>
            <w:vAlign w:val="center"/>
          </w:tcPr>
          <w:p w14:paraId="40C38567" w14:textId="001827EE" w:rsidR="00B96A73" w:rsidRDefault="00B96A73" w:rsidP="0060545C">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761E59">
              <w:rPr>
                <w:rFonts w:ascii="Calibri" w:hAnsi="Calibri" w:cs="Calibri"/>
                <w:b/>
                <w:sz w:val="28"/>
                <w:szCs w:val="28"/>
              </w:rPr>
              <w:t xml:space="preserve">is the gist of Plaintiffs’ argument about </w:t>
            </w:r>
            <w:r>
              <w:rPr>
                <w:rFonts w:ascii="Calibri" w:hAnsi="Calibri" w:cs="Calibri"/>
                <w:b/>
                <w:sz w:val="28"/>
                <w:szCs w:val="28"/>
              </w:rPr>
              <w:t>Apple and AT&amp;T’s exclusivity agreement?</w:t>
            </w:r>
          </w:p>
        </w:tc>
        <w:tc>
          <w:tcPr>
            <w:tcW w:w="5805" w:type="dxa"/>
            <w:gridSpan w:val="2"/>
            <w:vAlign w:val="center"/>
          </w:tcPr>
          <w:p w14:paraId="27E1A978" w14:textId="23BCE83E" w:rsidR="00B96A73" w:rsidRPr="00B96A73" w:rsidRDefault="00B96A73" w:rsidP="00B96A73">
            <w:pPr>
              <w:pStyle w:val="O-BodyText"/>
              <w:rPr>
                <w:rFonts w:ascii="Calibri" w:hAnsi="Calibri" w:cs="Calibri"/>
                <w:b/>
                <w:sz w:val="22"/>
                <w:szCs w:val="22"/>
                <w:highlight w:val="yellow"/>
                <w:lang w:bidi="en-US"/>
              </w:rPr>
            </w:pPr>
            <w:r w:rsidRPr="00A8781C">
              <w:rPr>
                <w:rFonts w:ascii="Calibri" w:hAnsi="Calibri" w:cs="Calibri"/>
                <w:b/>
                <w:sz w:val="22"/>
                <w:szCs w:val="22"/>
                <w:highlight w:val="yellow"/>
                <w:lang w:bidi="en-US"/>
              </w:rPr>
              <w:t>Apple and AT&amp;T’s exclusivity agreement and the technological impediments that Apple embedded in the iPhones effectively locked iPhone users into using AT&amp;T for longer than two years.  Ward Br. 4.</w:t>
            </w:r>
          </w:p>
        </w:tc>
      </w:tr>
      <w:tr w:rsidR="00F72772" w:rsidRPr="00007326" w14:paraId="5728B18F" w14:textId="77777777" w:rsidTr="00093B76">
        <w:trPr>
          <w:gridAfter w:val="1"/>
          <w:wAfter w:w="198" w:type="dxa"/>
          <w:trHeight w:val="4795"/>
        </w:trPr>
        <w:tc>
          <w:tcPr>
            <w:tcW w:w="5805" w:type="dxa"/>
            <w:vAlign w:val="center"/>
          </w:tcPr>
          <w:p w14:paraId="085C6649" w14:textId="3A40EF13" w:rsidR="00F72772" w:rsidRPr="00761E59" w:rsidRDefault="008D3EB1" w:rsidP="0060545C">
            <w:pPr>
              <w:pStyle w:val="O-BodyText"/>
              <w:spacing w:after="120"/>
              <w:ind w:right="200"/>
              <w:jc w:val="both"/>
              <w:rPr>
                <w:rFonts w:ascii="Calibri" w:hAnsi="Calibri" w:cs="Calibri"/>
                <w:b/>
                <w:sz w:val="28"/>
                <w:szCs w:val="28"/>
              </w:rPr>
            </w:pPr>
            <w:r w:rsidRPr="00761E59">
              <w:rPr>
                <w:rFonts w:ascii="Calibri" w:hAnsi="Calibri" w:cs="Calibri"/>
                <w:b/>
                <w:sz w:val="28"/>
                <w:szCs w:val="28"/>
              </w:rPr>
              <w:t>When Apple started selling iPhones to the public, did it charge all customers the same price?</w:t>
            </w:r>
          </w:p>
        </w:tc>
        <w:tc>
          <w:tcPr>
            <w:tcW w:w="5805" w:type="dxa"/>
            <w:gridSpan w:val="2"/>
            <w:vAlign w:val="center"/>
          </w:tcPr>
          <w:p w14:paraId="5BCCB42B" w14:textId="789BE545" w:rsidR="00F72772" w:rsidRPr="00761E59" w:rsidRDefault="008D3EB1" w:rsidP="00B96A73">
            <w:pPr>
              <w:pStyle w:val="O-BodyText"/>
              <w:rPr>
                <w:rFonts w:ascii="Calibri" w:hAnsi="Calibri" w:cs="Calibri"/>
                <w:b/>
                <w:sz w:val="22"/>
                <w:szCs w:val="22"/>
                <w:lang w:bidi="en-US"/>
              </w:rPr>
            </w:pPr>
            <w:r w:rsidRPr="00A8781C">
              <w:rPr>
                <w:rFonts w:ascii="Calibri" w:hAnsi="Calibri" w:cs="Calibri"/>
                <w:b/>
                <w:sz w:val="22"/>
                <w:szCs w:val="22"/>
                <w:highlight w:val="yellow"/>
                <w:lang w:bidi="en-US"/>
              </w:rPr>
              <w:t xml:space="preserve">Yes, they charged all customers the same price for 2G iPhones, 3G iPhones, and 3GS </w:t>
            </w:r>
            <w:r w:rsidR="00F249C8" w:rsidRPr="00A8781C">
              <w:rPr>
                <w:rFonts w:ascii="Calibri" w:hAnsi="Calibri" w:cs="Calibri"/>
                <w:b/>
                <w:sz w:val="22"/>
                <w:szCs w:val="22"/>
                <w:highlight w:val="yellow"/>
                <w:lang w:bidi="en-US"/>
              </w:rPr>
              <w:t>iPhones</w:t>
            </w:r>
            <w:r w:rsidRPr="00A8781C">
              <w:rPr>
                <w:rFonts w:ascii="Calibri" w:hAnsi="Calibri" w:cs="Calibri"/>
                <w:b/>
                <w:sz w:val="22"/>
                <w:szCs w:val="22"/>
                <w:highlight w:val="yellow"/>
                <w:lang w:bidi="en-US"/>
              </w:rPr>
              <w:t xml:space="preserve">.  </w:t>
            </w:r>
            <w:r w:rsidR="00F72772" w:rsidRPr="00A8781C">
              <w:rPr>
                <w:rFonts w:ascii="Calibri" w:hAnsi="Calibri" w:cs="Calibri"/>
                <w:b/>
                <w:sz w:val="22"/>
                <w:szCs w:val="22"/>
                <w:highlight w:val="yellow"/>
                <w:lang w:bidi="en-US"/>
              </w:rPr>
              <w:t xml:space="preserve">All iPhone customers </w:t>
            </w:r>
            <w:r w:rsidR="00F249C8" w:rsidRPr="00A8781C">
              <w:rPr>
                <w:rFonts w:ascii="Calibri" w:hAnsi="Calibri" w:cs="Calibri"/>
                <w:b/>
                <w:sz w:val="22"/>
                <w:szCs w:val="22"/>
                <w:highlight w:val="yellow"/>
                <w:lang w:bidi="en-US"/>
              </w:rPr>
              <w:t xml:space="preserve">also </w:t>
            </w:r>
            <w:r w:rsidR="00F72772" w:rsidRPr="00A8781C">
              <w:rPr>
                <w:rFonts w:ascii="Calibri" w:hAnsi="Calibri" w:cs="Calibri"/>
                <w:b/>
                <w:sz w:val="22"/>
                <w:szCs w:val="22"/>
                <w:highlight w:val="yellow"/>
                <w:lang w:bidi="en-US"/>
              </w:rPr>
              <w:t xml:space="preserve">were required to enter two-year </w:t>
            </w:r>
            <w:r w:rsidRPr="00A8781C">
              <w:rPr>
                <w:rFonts w:ascii="Calibri" w:hAnsi="Calibri" w:cs="Calibri"/>
                <w:b/>
                <w:sz w:val="22"/>
                <w:szCs w:val="22"/>
                <w:highlight w:val="yellow"/>
                <w:lang w:bidi="en-US"/>
              </w:rPr>
              <w:t xml:space="preserve">wireless service agreements </w:t>
            </w:r>
            <w:r w:rsidR="00F72772" w:rsidRPr="00A8781C">
              <w:rPr>
                <w:rFonts w:ascii="Calibri" w:hAnsi="Calibri" w:cs="Calibri"/>
                <w:b/>
                <w:sz w:val="22"/>
                <w:szCs w:val="22"/>
                <w:highlight w:val="yellow"/>
                <w:lang w:bidi="en-US"/>
              </w:rPr>
              <w:t>with AT</w:t>
            </w:r>
            <w:r w:rsidRPr="00A8781C">
              <w:rPr>
                <w:rFonts w:ascii="Calibri" w:hAnsi="Calibri" w:cs="Calibri"/>
                <w:b/>
                <w:sz w:val="22"/>
                <w:szCs w:val="22"/>
                <w:highlight w:val="yellow"/>
                <w:lang w:bidi="en-US"/>
              </w:rPr>
              <w:t>&amp;</w:t>
            </w:r>
            <w:r w:rsidR="00F72772" w:rsidRPr="00A8781C">
              <w:rPr>
                <w:rFonts w:ascii="Calibri" w:hAnsi="Calibri" w:cs="Calibri"/>
                <w:b/>
                <w:sz w:val="22"/>
                <w:szCs w:val="22"/>
                <w:highlight w:val="yellow"/>
                <w:lang w:bidi="en-US"/>
              </w:rPr>
              <w:t>T</w:t>
            </w:r>
            <w:r w:rsidRPr="00A8781C">
              <w:rPr>
                <w:rFonts w:ascii="Calibri" w:hAnsi="Calibri" w:cs="Calibri"/>
                <w:b/>
                <w:sz w:val="22"/>
                <w:szCs w:val="22"/>
                <w:highlight w:val="yellow"/>
                <w:lang w:bidi="en-US"/>
              </w:rPr>
              <w:t xml:space="preserve"> for iPhone w</w:t>
            </w:r>
            <w:r w:rsidR="00F72772" w:rsidRPr="00A8781C">
              <w:rPr>
                <w:rFonts w:ascii="Calibri" w:hAnsi="Calibri" w:cs="Calibri"/>
                <w:b/>
                <w:sz w:val="22"/>
                <w:szCs w:val="22"/>
                <w:highlight w:val="yellow"/>
                <w:lang w:bidi="en-US"/>
              </w:rPr>
              <w:t xml:space="preserve">ireless </w:t>
            </w:r>
            <w:r w:rsidRPr="00A8781C">
              <w:rPr>
                <w:rFonts w:ascii="Calibri" w:hAnsi="Calibri" w:cs="Calibri"/>
                <w:b/>
                <w:sz w:val="22"/>
                <w:szCs w:val="22"/>
                <w:highlight w:val="yellow"/>
                <w:lang w:bidi="en-US"/>
              </w:rPr>
              <w:t>s</w:t>
            </w:r>
            <w:r w:rsidR="00F72772" w:rsidRPr="00A8781C">
              <w:rPr>
                <w:rFonts w:ascii="Calibri" w:hAnsi="Calibri" w:cs="Calibri"/>
                <w:b/>
                <w:sz w:val="22"/>
                <w:szCs w:val="22"/>
                <w:highlight w:val="yellow"/>
                <w:lang w:bidi="en-US"/>
              </w:rPr>
              <w:t>ervice at uniform prices.</w:t>
            </w:r>
            <w:r w:rsidRPr="00A8781C">
              <w:rPr>
                <w:rFonts w:ascii="Calibri" w:hAnsi="Calibri" w:cs="Calibri"/>
                <w:b/>
                <w:sz w:val="22"/>
                <w:szCs w:val="22"/>
                <w:highlight w:val="yellow"/>
                <w:lang w:bidi="en-US"/>
              </w:rPr>
              <w:t xml:space="preserve">  Ward Br. 4-5.</w:t>
            </w:r>
          </w:p>
        </w:tc>
      </w:tr>
      <w:tr w:rsidR="008D3EB1" w:rsidRPr="00007326" w14:paraId="2A9982F0" w14:textId="77777777" w:rsidTr="00093B76">
        <w:trPr>
          <w:gridAfter w:val="1"/>
          <w:wAfter w:w="198" w:type="dxa"/>
          <w:trHeight w:val="4795"/>
        </w:trPr>
        <w:tc>
          <w:tcPr>
            <w:tcW w:w="5805" w:type="dxa"/>
            <w:vAlign w:val="center"/>
          </w:tcPr>
          <w:p w14:paraId="0A2BFB48" w14:textId="7E644C2C" w:rsidR="008D3EB1" w:rsidRPr="00761E59" w:rsidRDefault="008D3EB1" w:rsidP="0060545C">
            <w:pPr>
              <w:pStyle w:val="O-BodyText"/>
              <w:spacing w:after="120"/>
              <w:ind w:right="200"/>
              <w:jc w:val="both"/>
              <w:rPr>
                <w:rFonts w:ascii="Calibri" w:hAnsi="Calibri" w:cs="Calibri"/>
                <w:b/>
                <w:sz w:val="28"/>
                <w:szCs w:val="28"/>
              </w:rPr>
            </w:pPr>
            <w:r w:rsidRPr="00761E59">
              <w:rPr>
                <w:rFonts w:ascii="Calibri" w:hAnsi="Calibri" w:cs="Calibri"/>
                <w:b/>
                <w:sz w:val="28"/>
                <w:szCs w:val="28"/>
              </w:rPr>
              <w:t>Did AT&amp;T offer any discounts or promotions for iPhone wireless service?</w:t>
            </w:r>
          </w:p>
        </w:tc>
        <w:tc>
          <w:tcPr>
            <w:tcW w:w="5805" w:type="dxa"/>
            <w:gridSpan w:val="2"/>
            <w:vAlign w:val="center"/>
          </w:tcPr>
          <w:p w14:paraId="0F7578F2" w14:textId="434DF9B7" w:rsidR="008D3EB1" w:rsidRPr="00761E59" w:rsidRDefault="008D3EB1" w:rsidP="008D3EB1">
            <w:pPr>
              <w:pStyle w:val="O-BodyText"/>
              <w:rPr>
                <w:rFonts w:ascii="Calibri" w:hAnsi="Calibri" w:cs="Calibri"/>
                <w:b/>
                <w:sz w:val="22"/>
                <w:szCs w:val="22"/>
                <w:lang w:bidi="en-US"/>
              </w:rPr>
            </w:pPr>
            <w:r w:rsidRPr="00A8781C">
              <w:rPr>
                <w:rFonts w:ascii="Calibri" w:hAnsi="Calibri" w:cs="Calibri"/>
                <w:b/>
                <w:sz w:val="22"/>
                <w:szCs w:val="22"/>
                <w:highlight w:val="yellow"/>
                <w:lang w:bidi="en-US"/>
              </w:rPr>
              <w:t xml:space="preserve">AT&amp;T gave </w:t>
            </w:r>
            <w:r w:rsidR="00F249C8" w:rsidRPr="00A8781C">
              <w:rPr>
                <w:rFonts w:ascii="Calibri" w:hAnsi="Calibri" w:cs="Calibri"/>
                <w:b/>
                <w:sz w:val="22"/>
                <w:szCs w:val="22"/>
                <w:highlight w:val="yellow"/>
                <w:lang w:bidi="en-US"/>
              </w:rPr>
              <w:t>some</w:t>
            </w:r>
            <w:r w:rsidRPr="00A8781C">
              <w:rPr>
                <w:rFonts w:ascii="Calibri" w:hAnsi="Calibri" w:cs="Calibri"/>
                <w:b/>
                <w:sz w:val="22"/>
                <w:szCs w:val="22"/>
                <w:highlight w:val="yellow"/>
                <w:lang w:bidi="en-US"/>
              </w:rPr>
              <w:t xml:space="preserve"> corporate discounts of 10</w:t>
            </w:r>
            <w:r w:rsidR="00F249C8" w:rsidRPr="00A8781C">
              <w:rPr>
                <w:rFonts w:ascii="Calibri" w:hAnsi="Calibri" w:cs="Calibri"/>
                <w:b/>
                <w:sz w:val="22"/>
                <w:szCs w:val="22"/>
                <w:highlight w:val="yellow"/>
                <w:lang w:bidi="en-US"/>
              </w:rPr>
              <w:t>-</w:t>
            </w:r>
            <w:r w:rsidRPr="00A8781C">
              <w:rPr>
                <w:rFonts w:ascii="Calibri" w:hAnsi="Calibri" w:cs="Calibri"/>
                <w:b/>
                <w:sz w:val="22"/>
                <w:szCs w:val="22"/>
                <w:highlight w:val="yellow"/>
                <w:lang w:bidi="en-US"/>
              </w:rPr>
              <w:t>20 percent off the consumer prices for 3G and 3GS iPhone wireless service.  The corporate discount was the only discount, promotion, or other price reduction offered by AT&amp;T.  Ward Br. 5.</w:t>
            </w:r>
          </w:p>
          <w:p w14:paraId="5453B6D2" w14:textId="77777777" w:rsidR="008D3EB1" w:rsidRPr="00761E59" w:rsidRDefault="008D3EB1" w:rsidP="00B96A73">
            <w:pPr>
              <w:pStyle w:val="O-BodyText"/>
              <w:rPr>
                <w:rFonts w:ascii="Calibri" w:hAnsi="Calibri" w:cs="Calibri"/>
                <w:b/>
                <w:sz w:val="22"/>
                <w:szCs w:val="22"/>
                <w:lang w:bidi="en-US"/>
              </w:rPr>
            </w:pPr>
          </w:p>
        </w:tc>
      </w:tr>
      <w:tr w:rsidR="00785BC0" w:rsidRPr="007C6A0B" w14:paraId="17FCBB35" w14:textId="77777777" w:rsidTr="00093B76">
        <w:trPr>
          <w:gridAfter w:val="1"/>
          <w:wAfter w:w="198" w:type="dxa"/>
          <w:trHeight w:val="4795"/>
        </w:trPr>
        <w:tc>
          <w:tcPr>
            <w:tcW w:w="5805" w:type="dxa"/>
            <w:vAlign w:val="center"/>
          </w:tcPr>
          <w:p w14:paraId="74BBA33C" w14:textId="1C8E7374"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was the DSRA amended in June 2008?</w:t>
            </w:r>
          </w:p>
        </w:tc>
        <w:tc>
          <w:tcPr>
            <w:tcW w:w="5805" w:type="dxa"/>
            <w:gridSpan w:val="2"/>
            <w:vAlign w:val="center"/>
          </w:tcPr>
          <w:p w14:paraId="10C606BA" w14:textId="57CFAA22" w:rsidR="00785BC0" w:rsidRPr="007C6A0B" w:rsidRDefault="00785BC0" w:rsidP="00785BC0">
            <w:pPr>
              <w:pStyle w:val="O-BodyText"/>
              <w:spacing w:after="120"/>
              <w:ind w:left="290" w:right="65"/>
              <w:rPr>
                <w:rFonts w:ascii="Calibri" w:hAnsi="Calibri" w:cs="Calibri"/>
                <w:b/>
                <w:sz w:val="22"/>
                <w:szCs w:val="22"/>
              </w:rPr>
            </w:pPr>
            <w:r w:rsidRPr="009516E4">
              <w:rPr>
                <w:rFonts w:ascii="Calibri" w:hAnsi="Calibri" w:cs="Calibri"/>
                <w:b/>
                <w:sz w:val="22"/>
                <w:szCs w:val="22"/>
                <w:lang w:bidi="en-US"/>
              </w:rPr>
              <w:t xml:space="preserve">In June 2008, one year after the first sale of the original iPhone, Apple and AT&amp;T amended the DRSA. </w:t>
            </w:r>
            <w:r>
              <w:rPr>
                <w:rFonts w:ascii="Calibri" w:hAnsi="Calibri" w:cs="Calibri"/>
                <w:b/>
                <w:sz w:val="22"/>
                <w:szCs w:val="22"/>
                <w:lang w:bidi="en-US"/>
              </w:rPr>
              <w:t xml:space="preserve"> </w:t>
            </w:r>
            <w:r w:rsidRPr="009516E4">
              <w:rPr>
                <w:rFonts w:ascii="Calibri" w:hAnsi="Calibri" w:cs="Calibri"/>
                <w:b/>
                <w:sz w:val="22"/>
                <w:szCs w:val="22"/>
                <w:lang w:bidi="en-US"/>
              </w:rPr>
              <w:t>The amendment set a specific termination date of December 3</w:t>
            </w:r>
            <w:r>
              <w:rPr>
                <w:rFonts w:ascii="Calibri" w:hAnsi="Calibri" w:cs="Calibri"/>
                <w:b/>
                <w:sz w:val="22"/>
                <w:szCs w:val="22"/>
                <w:lang w:bidi="en-US"/>
              </w:rPr>
              <w:t xml:space="preserve">1, 2010 for AT&amp;T’s exclusivity.  </w:t>
            </w:r>
            <w:r w:rsidRPr="009516E4">
              <w:rPr>
                <w:rFonts w:ascii="Calibri" w:hAnsi="Calibri" w:cs="Calibri"/>
                <w:b/>
                <w:sz w:val="22"/>
                <w:szCs w:val="22"/>
                <w:lang w:bidi="en-US"/>
              </w:rPr>
              <w:t xml:space="preserve">That meant AT&amp;T </w:t>
            </w:r>
            <w:r w:rsidR="00F249C8">
              <w:rPr>
                <w:rFonts w:ascii="Calibri" w:hAnsi="Calibri" w:cs="Calibri"/>
                <w:b/>
                <w:sz w:val="22"/>
                <w:szCs w:val="22"/>
                <w:lang w:bidi="en-US"/>
              </w:rPr>
              <w:t xml:space="preserve">ended up being </w:t>
            </w:r>
            <w:r w:rsidRPr="009516E4">
              <w:rPr>
                <w:rFonts w:ascii="Calibri" w:hAnsi="Calibri" w:cs="Calibri"/>
                <w:b/>
                <w:sz w:val="22"/>
                <w:szCs w:val="22"/>
                <w:lang w:bidi="en-US"/>
              </w:rPr>
              <w:t xml:space="preserve">the exclusive voice and data service provider for the iPhone in the United States for about three and a half years. </w:t>
            </w:r>
            <w:r>
              <w:rPr>
                <w:rFonts w:ascii="Calibri" w:hAnsi="Calibri" w:cs="Calibri"/>
                <w:b/>
                <w:sz w:val="22"/>
                <w:szCs w:val="22"/>
                <w:lang w:bidi="en-US"/>
              </w:rPr>
              <w:t xml:space="preserve"> (</w:t>
            </w:r>
            <w:r w:rsidRPr="009516E4">
              <w:rPr>
                <w:rFonts w:ascii="Calibri" w:hAnsi="Calibri" w:cs="Calibri"/>
                <w:b/>
                <w:sz w:val="22"/>
                <w:szCs w:val="22"/>
                <w:lang w:bidi="en-US"/>
              </w:rPr>
              <w:t>AT&amp;T’s exclusivity therefore ended a little over two years into the four-year class period in this case</w:t>
            </w:r>
            <w:r>
              <w:rPr>
                <w:rFonts w:ascii="Calibri" w:hAnsi="Calibri" w:cs="Calibri"/>
                <w:b/>
                <w:sz w:val="22"/>
                <w:szCs w:val="22"/>
                <w:lang w:bidi="en-US"/>
              </w:rPr>
              <w:t>.)</w:t>
            </w:r>
          </w:p>
        </w:tc>
      </w:tr>
      <w:tr w:rsidR="00785BC0" w:rsidRPr="00907D75" w14:paraId="1B1C954F" w14:textId="77777777" w:rsidTr="00093B76">
        <w:trPr>
          <w:gridAfter w:val="1"/>
          <w:wAfter w:w="198" w:type="dxa"/>
          <w:trHeight w:val="4795"/>
        </w:trPr>
        <w:tc>
          <w:tcPr>
            <w:tcW w:w="5805" w:type="dxa"/>
            <w:vAlign w:val="center"/>
          </w:tcPr>
          <w:p w14:paraId="2FE07D1F" w14:textId="4659AD3B"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After the DSRA was amended in 2008, who owned the iPhone unlock codes?</w:t>
            </w:r>
          </w:p>
        </w:tc>
        <w:tc>
          <w:tcPr>
            <w:tcW w:w="5805" w:type="dxa"/>
            <w:gridSpan w:val="2"/>
            <w:vAlign w:val="center"/>
          </w:tcPr>
          <w:p w14:paraId="522CC8B4" w14:textId="54BEBD7B" w:rsidR="00785BC0" w:rsidRPr="007C6A0B" w:rsidRDefault="00785BC0" w:rsidP="00785BC0">
            <w:pPr>
              <w:pStyle w:val="O-BodyText"/>
              <w:jc w:val="both"/>
              <w:rPr>
                <w:rFonts w:ascii="Calibri" w:hAnsi="Calibri" w:cs="Calibri"/>
                <w:b/>
                <w:sz w:val="22"/>
                <w:szCs w:val="22"/>
              </w:rPr>
            </w:pPr>
            <w:r w:rsidRPr="00871EB9">
              <w:rPr>
                <w:rFonts w:ascii="Calibri" w:hAnsi="Calibri" w:cs="Calibri"/>
                <w:b/>
                <w:sz w:val="22"/>
                <w:szCs w:val="22"/>
                <w:lang w:bidi="en-US"/>
              </w:rPr>
              <w:t>AT&amp;T retained ownership of the iPhone unlock codes</w:t>
            </w:r>
            <w:r w:rsidR="00F249C8">
              <w:rPr>
                <w:rFonts w:ascii="Calibri" w:hAnsi="Calibri" w:cs="Calibri"/>
                <w:b/>
                <w:sz w:val="22"/>
                <w:szCs w:val="22"/>
                <w:lang w:bidi="en-US"/>
              </w:rPr>
              <w:t>,</w:t>
            </w:r>
            <w:r w:rsidRPr="00871EB9">
              <w:rPr>
                <w:rFonts w:ascii="Calibri" w:hAnsi="Calibri" w:cs="Calibri"/>
                <w:b/>
                <w:sz w:val="22"/>
                <w:szCs w:val="22"/>
                <w:lang w:bidi="en-US"/>
              </w:rPr>
              <w:t xml:space="preserve"> and Apple remained prohibited from unlocking any iPhone.  </w:t>
            </w:r>
          </w:p>
        </w:tc>
      </w:tr>
      <w:tr w:rsidR="00785BC0" w:rsidRPr="00907D75" w14:paraId="2EBD5002" w14:textId="77777777" w:rsidTr="00093B76">
        <w:trPr>
          <w:gridAfter w:val="1"/>
          <w:wAfter w:w="198" w:type="dxa"/>
          <w:trHeight w:val="4795"/>
        </w:trPr>
        <w:tc>
          <w:tcPr>
            <w:tcW w:w="5805" w:type="dxa"/>
            <w:vAlign w:val="center"/>
          </w:tcPr>
          <w:p w14:paraId="7A4DAE06" w14:textId="254803F2"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Did the 2008 amendment to the DSRA eliminate revenue sharing between Apple and AT&amp;T?</w:t>
            </w:r>
          </w:p>
        </w:tc>
        <w:tc>
          <w:tcPr>
            <w:tcW w:w="5805" w:type="dxa"/>
            <w:gridSpan w:val="2"/>
            <w:vAlign w:val="center"/>
          </w:tcPr>
          <w:p w14:paraId="111A084E" w14:textId="719BE961" w:rsidR="00785BC0" w:rsidRPr="007C6A0B"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 xml:space="preserve">Yes.  </w:t>
            </w:r>
            <w:r w:rsidRPr="00A06D99">
              <w:rPr>
                <w:rFonts w:ascii="Calibri" w:hAnsi="Calibri" w:cs="Calibri"/>
                <w:b/>
                <w:sz w:val="22"/>
                <w:szCs w:val="22"/>
                <w:lang w:bidi="en-US"/>
              </w:rPr>
              <w:t xml:space="preserve">The </w:t>
            </w:r>
            <w:r>
              <w:rPr>
                <w:rFonts w:ascii="Calibri" w:hAnsi="Calibri" w:cs="Calibri"/>
                <w:b/>
                <w:sz w:val="22"/>
                <w:szCs w:val="22"/>
                <w:lang w:bidi="en-US"/>
              </w:rPr>
              <w:t xml:space="preserve">2008 </w:t>
            </w:r>
            <w:r w:rsidRPr="00A06D99">
              <w:rPr>
                <w:rFonts w:ascii="Calibri" w:hAnsi="Calibri" w:cs="Calibri"/>
                <w:b/>
                <w:sz w:val="22"/>
                <w:szCs w:val="22"/>
                <w:lang w:bidi="en-US"/>
              </w:rPr>
              <w:t xml:space="preserve">amendment eliminated a revenue-sharing component of the DRSA that, in an earlier version of this case, Plaintiffs claimed was particularly anticompetitive because it allowed Apple to share in allegedly monopolistic </w:t>
            </w:r>
            <w:r w:rsidR="00761E59">
              <w:rPr>
                <w:rFonts w:ascii="Calibri" w:hAnsi="Calibri" w:cs="Calibri"/>
                <w:b/>
                <w:sz w:val="22"/>
                <w:szCs w:val="22"/>
                <w:lang w:bidi="en-US"/>
              </w:rPr>
              <w:t>prices for mobile service</w:t>
            </w:r>
            <w:r>
              <w:rPr>
                <w:rFonts w:ascii="Calibri" w:hAnsi="Calibri" w:cs="Calibri"/>
                <w:b/>
                <w:sz w:val="22"/>
                <w:szCs w:val="22"/>
                <w:lang w:bidi="en-US"/>
              </w:rPr>
              <w:t>.</w:t>
            </w:r>
            <w:r w:rsidR="00761E59">
              <w:rPr>
                <w:rFonts w:ascii="Calibri" w:hAnsi="Calibri" w:cs="Calibri"/>
                <w:b/>
                <w:sz w:val="22"/>
                <w:szCs w:val="22"/>
                <w:lang w:bidi="en-US"/>
              </w:rPr>
              <w:t xml:space="preserve"> The amended agreement operated with the more well-known subsidy model, where ATT would basically subsidize consumers’ purchases of the iPhone in exchange for a two-year service agreement </w:t>
            </w:r>
          </w:p>
        </w:tc>
      </w:tr>
      <w:tr w:rsidR="00785BC0" w:rsidRPr="00907D75" w14:paraId="1AE4935B" w14:textId="77777777" w:rsidTr="00093B76">
        <w:trPr>
          <w:gridAfter w:val="1"/>
          <w:wAfter w:w="198" w:type="dxa"/>
          <w:trHeight w:val="4795"/>
        </w:trPr>
        <w:tc>
          <w:tcPr>
            <w:tcW w:w="5805" w:type="dxa"/>
            <w:vAlign w:val="center"/>
          </w:tcPr>
          <w:p w14:paraId="6C98D30A" w14:textId="2A88BDD7" w:rsidR="00785BC0" w:rsidRPr="00761E59" w:rsidRDefault="00785BC0" w:rsidP="00785BC0">
            <w:pPr>
              <w:pStyle w:val="O-BodyText"/>
              <w:spacing w:after="120"/>
              <w:ind w:right="200"/>
              <w:jc w:val="both"/>
              <w:rPr>
                <w:rFonts w:ascii="Calibri" w:hAnsi="Calibri" w:cs="Calibri"/>
                <w:b/>
                <w:sz w:val="28"/>
                <w:szCs w:val="28"/>
              </w:rPr>
            </w:pPr>
            <w:r w:rsidRPr="00761E59">
              <w:rPr>
                <w:rFonts w:ascii="Calibri" w:hAnsi="Calibri" w:cs="Calibri"/>
                <w:b/>
                <w:sz w:val="28"/>
                <w:szCs w:val="28"/>
              </w:rPr>
              <w:lastRenderedPageBreak/>
              <w:t>What did class members agree to when they purchased their iPhones?</w:t>
            </w:r>
          </w:p>
        </w:tc>
        <w:tc>
          <w:tcPr>
            <w:tcW w:w="5805" w:type="dxa"/>
            <w:gridSpan w:val="2"/>
            <w:vAlign w:val="center"/>
          </w:tcPr>
          <w:p w14:paraId="3DE525B6" w14:textId="3AEE33FD" w:rsidR="00785BC0" w:rsidRPr="00761E59" w:rsidRDefault="00785BC0" w:rsidP="00785BC0">
            <w:pPr>
              <w:pStyle w:val="O-BodyText"/>
              <w:spacing w:after="120"/>
              <w:ind w:left="290" w:right="65"/>
              <w:jc w:val="both"/>
              <w:rPr>
                <w:rFonts w:ascii="Calibri" w:hAnsi="Calibri" w:cs="Calibri"/>
                <w:b/>
                <w:sz w:val="22"/>
                <w:szCs w:val="22"/>
              </w:rPr>
            </w:pPr>
            <w:r w:rsidRPr="00761E59">
              <w:rPr>
                <w:rFonts w:ascii="Calibri" w:hAnsi="Calibri" w:cs="Calibri"/>
                <w:b/>
                <w:sz w:val="22"/>
                <w:szCs w:val="22"/>
                <w:lang w:bidi="en-US"/>
              </w:rPr>
              <w:t>Each plaintiff and class member entered into two-year wireless</w:t>
            </w:r>
            <w:r w:rsidR="00761E59" w:rsidRPr="00761E59">
              <w:rPr>
                <w:rFonts w:ascii="Calibri" w:hAnsi="Calibri" w:cs="Calibri"/>
                <w:b/>
                <w:sz w:val="22"/>
                <w:szCs w:val="22"/>
                <w:lang w:bidi="en-US"/>
              </w:rPr>
              <w:t xml:space="preserve"> service agreements with AT&amp;T.</w:t>
            </w:r>
          </w:p>
        </w:tc>
      </w:tr>
      <w:tr w:rsidR="00785BC0" w:rsidRPr="00907D75" w14:paraId="1E303E45" w14:textId="77777777" w:rsidTr="00093B76">
        <w:trPr>
          <w:gridAfter w:val="1"/>
          <w:wAfter w:w="198" w:type="dxa"/>
          <w:trHeight w:val="4795"/>
        </w:trPr>
        <w:tc>
          <w:tcPr>
            <w:tcW w:w="5805" w:type="dxa"/>
            <w:vAlign w:val="center"/>
          </w:tcPr>
          <w:p w14:paraId="23B02A96" w14:textId="37DEDA97"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Please explain how the two-year service plan between Apple and AT&amp;T worked?</w:t>
            </w:r>
          </w:p>
        </w:tc>
        <w:tc>
          <w:tcPr>
            <w:tcW w:w="5805" w:type="dxa"/>
            <w:gridSpan w:val="2"/>
            <w:vAlign w:val="center"/>
          </w:tcPr>
          <w:p w14:paraId="385E8C11" w14:textId="43B095C1" w:rsidR="00785BC0" w:rsidRDefault="00785BC0" w:rsidP="00785BC0">
            <w:pPr>
              <w:pStyle w:val="O-BodyText"/>
              <w:spacing w:after="120"/>
              <w:ind w:left="290" w:right="65"/>
              <w:jc w:val="both"/>
              <w:rPr>
                <w:rFonts w:ascii="Calibri" w:hAnsi="Calibri" w:cs="Calibri"/>
                <w:b/>
                <w:sz w:val="22"/>
                <w:szCs w:val="22"/>
              </w:rPr>
            </w:pPr>
            <w:r w:rsidRPr="003E6402">
              <w:rPr>
                <w:rFonts w:ascii="Calibri" w:hAnsi="Calibri" w:cs="Calibri"/>
                <w:b/>
                <w:sz w:val="22"/>
                <w:szCs w:val="22"/>
                <w:lang w:bidi="en-US"/>
              </w:rPr>
              <w:t xml:space="preserve">During this period, “the iPhone was essentially sold bundled together with a two-year service plan through AT&amp;T.” ER166. </w:t>
            </w:r>
            <w:r>
              <w:rPr>
                <w:rFonts w:ascii="Calibri" w:hAnsi="Calibri" w:cs="Calibri"/>
                <w:b/>
                <w:sz w:val="22"/>
                <w:szCs w:val="22"/>
                <w:lang w:bidi="en-US"/>
              </w:rPr>
              <w:t xml:space="preserve"> </w:t>
            </w:r>
            <w:r w:rsidRPr="003E6402">
              <w:rPr>
                <w:rFonts w:ascii="Calibri" w:hAnsi="Calibri" w:cs="Calibri"/>
                <w:b/>
                <w:sz w:val="22"/>
                <w:szCs w:val="22"/>
                <w:lang w:bidi="en-US"/>
              </w:rPr>
              <w:t>AT&amp;T subsidized the purchase price of the iPhone, charging the consumer substantially less than AT&amp;T paid for the iPhone, on the condition that the consumer agreed to a two-year service agreement.</w:t>
            </w:r>
          </w:p>
        </w:tc>
      </w:tr>
      <w:tr w:rsidR="00C4738C" w:rsidRPr="00907D75" w14:paraId="1E6B11C0" w14:textId="77777777" w:rsidTr="00093B76">
        <w:trPr>
          <w:gridAfter w:val="1"/>
          <w:wAfter w:w="198" w:type="dxa"/>
          <w:trHeight w:val="4795"/>
        </w:trPr>
        <w:tc>
          <w:tcPr>
            <w:tcW w:w="5805" w:type="dxa"/>
            <w:vAlign w:val="center"/>
          </w:tcPr>
          <w:p w14:paraId="0C8DB1D5" w14:textId="2728B486" w:rsidR="00C4738C" w:rsidRDefault="00C4738C" w:rsidP="00785BC0">
            <w:pPr>
              <w:pStyle w:val="O-BodyText"/>
              <w:spacing w:after="120"/>
              <w:ind w:right="200"/>
              <w:jc w:val="both"/>
              <w:rPr>
                <w:rFonts w:ascii="Calibri" w:hAnsi="Calibri" w:cs="Calibri"/>
                <w:b/>
                <w:sz w:val="28"/>
                <w:szCs w:val="28"/>
              </w:rPr>
            </w:pPr>
            <w:r>
              <w:rPr>
                <w:rFonts w:ascii="Calibri" w:hAnsi="Calibri" w:cs="Calibri"/>
                <w:b/>
                <w:sz w:val="28"/>
                <w:szCs w:val="28"/>
              </w:rPr>
              <w:t>What did Apple do to enforce AT&amp;T’s exclusivity?</w:t>
            </w:r>
          </w:p>
        </w:tc>
        <w:tc>
          <w:tcPr>
            <w:tcW w:w="5805" w:type="dxa"/>
            <w:gridSpan w:val="2"/>
            <w:vAlign w:val="center"/>
          </w:tcPr>
          <w:p w14:paraId="32EBE2DD" w14:textId="3BF24218" w:rsidR="00C4738C" w:rsidRPr="003E6402" w:rsidRDefault="00C4738C" w:rsidP="00785BC0">
            <w:pPr>
              <w:pStyle w:val="O-BodyText"/>
              <w:spacing w:after="120"/>
              <w:ind w:left="290" w:right="65"/>
              <w:jc w:val="both"/>
              <w:rPr>
                <w:rFonts w:ascii="Calibri" w:hAnsi="Calibri" w:cs="Calibri"/>
                <w:b/>
                <w:sz w:val="22"/>
                <w:szCs w:val="22"/>
                <w:lang w:bidi="en-US"/>
              </w:rPr>
            </w:pPr>
            <w:r w:rsidRPr="00A8781C">
              <w:rPr>
                <w:rFonts w:ascii="Calibri" w:hAnsi="Calibri" w:cs="Calibri"/>
                <w:b/>
                <w:sz w:val="22"/>
                <w:szCs w:val="22"/>
                <w:highlight w:val="yellow"/>
                <w:lang w:bidi="en-US"/>
              </w:rPr>
              <w:t>To enforce AT&amp;T’s exclusivity, Apple programmed and installed software locks on each iPhone that prevent</w:t>
            </w:r>
            <w:r w:rsidR="005D3261" w:rsidRPr="00A8781C">
              <w:rPr>
                <w:rFonts w:ascii="Calibri" w:hAnsi="Calibri" w:cs="Calibri"/>
                <w:b/>
                <w:sz w:val="22"/>
                <w:szCs w:val="22"/>
                <w:highlight w:val="yellow"/>
                <w:lang w:bidi="en-US"/>
              </w:rPr>
              <w:t>ed</w:t>
            </w:r>
            <w:r w:rsidRPr="00A8781C">
              <w:rPr>
                <w:rFonts w:ascii="Calibri" w:hAnsi="Calibri" w:cs="Calibri"/>
                <w:b/>
                <w:sz w:val="22"/>
                <w:szCs w:val="22"/>
                <w:highlight w:val="yellow"/>
                <w:lang w:bidi="en-US"/>
              </w:rPr>
              <w:t xml:space="preserve"> consumers from switching to any other carrier’s </w:t>
            </w:r>
            <w:r w:rsidR="005D3261" w:rsidRPr="00A8781C">
              <w:rPr>
                <w:rFonts w:ascii="Calibri" w:hAnsi="Calibri" w:cs="Calibri"/>
                <w:b/>
                <w:sz w:val="22"/>
                <w:szCs w:val="22"/>
                <w:highlight w:val="yellow"/>
                <w:lang w:bidi="en-US"/>
              </w:rPr>
              <w:t>wireless s</w:t>
            </w:r>
            <w:r w:rsidRPr="00A8781C">
              <w:rPr>
                <w:rFonts w:ascii="Calibri" w:hAnsi="Calibri" w:cs="Calibri"/>
                <w:b/>
                <w:sz w:val="22"/>
                <w:szCs w:val="22"/>
                <w:highlight w:val="yellow"/>
                <w:lang w:bidi="en-US"/>
              </w:rPr>
              <w:t>ervice and agreed with AT</w:t>
            </w:r>
            <w:r w:rsidR="005D3261" w:rsidRPr="00A8781C">
              <w:rPr>
                <w:rFonts w:ascii="Calibri" w:hAnsi="Calibri" w:cs="Calibri"/>
                <w:b/>
                <w:sz w:val="22"/>
                <w:szCs w:val="22"/>
                <w:highlight w:val="yellow"/>
                <w:lang w:bidi="en-US"/>
              </w:rPr>
              <w:t>&amp;</w:t>
            </w:r>
            <w:r w:rsidRPr="00A8781C">
              <w:rPr>
                <w:rFonts w:ascii="Calibri" w:hAnsi="Calibri" w:cs="Calibri"/>
                <w:b/>
                <w:sz w:val="22"/>
                <w:szCs w:val="22"/>
                <w:highlight w:val="yellow"/>
                <w:lang w:bidi="en-US"/>
              </w:rPr>
              <w:t>T to never give consumers the iPhone unlock codes</w:t>
            </w:r>
            <w:r w:rsidR="003D1E9C" w:rsidRPr="00A8781C">
              <w:rPr>
                <w:rFonts w:ascii="Calibri" w:hAnsi="Calibri" w:cs="Calibri"/>
                <w:b/>
                <w:sz w:val="22"/>
                <w:szCs w:val="22"/>
                <w:highlight w:val="yellow"/>
                <w:lang w:bidi="en-US"/>
              </w:rPr>
              <w:t>—</w:t>
            </w:r>
            <w:r w:rsidRPr="00A8781C">
              <w:rPr>
                <w:rFonts w:ascii="Calibri" w:hAnsi="Calibri" w:cs="Calibri"/>
                <w:b/>
                <w:sz w:val="22"/>
                <w:szCs w:val="22"/>
                <w:highlight w:val="yellow"/>
                <w:lang w:bidi="en-US"/>
              </w:rPr>
              <w:t>either for international travel or to lawfully switch to another carrier</w:t>
            </w:r>
            <w:r w:rsidR="003D1E9C" w:rsidRPr="00A8781C">
              <w:rPr>
                <w:rFonts w:ascii="Calibri" w:hAnsi="Calibri" w:cs="Calibri"/>
                <w:b/>
                <w:sz w:val="22"/>
                <w:szCs w:val="22"/>
                <w:highlight w:val="yellow"/>
                <w:lang w:bidi="en-US"/>
              </w:rPr>
              <w:t>—</w:t>
            </w:r>
            <w:r w:rsidRPr="00A8781C">
              <w:rPr>
                <w:rFonts w:ascii="Calibri" w:hAnsi="Calibri" w:cs="Calibri"/>
                <w:b/>
                <w:sz w:val="22"/>
                <w:szCs w:val="22"/>
                <w:highlight w:val="yellow"/>
                <w:lang w:bidi="en-US"/>
              </w:rPr>
              <w:t>even after they fulfilled their original service commitments with AT</w:t>
            </w:r>
            <w:r w:rsidR="005D3261" w:rsidRPr="00A8781C">
              <w:rPr>
                <w:rFonts w:ascii="Calibri" w:hAnsi="Calibri" w:cs="Calibri"/>
                <w:b/>
                <w:sz w:val="22"/>
                <w:szCs w:val="22"/>
                <w:highlight w:val="yellow"/>
                <w:lang w:bidi="en-US"/>
              </w:rPr>
              <w:t>&amp;</w:t>
            </w:r>
            <w:r w:rsidRPr="00A8781C">
              <w:rPr>
                <w:rFonts w:ascii="Calibri" w:hAnsi="Calibri" w:cs="Calibri"/>
                <w:b/>
                <w:sz w:val="22"/>
                <w:szCs w:val="22"/>
                <w:highlight w:val="yellow"/>
                <w:lang w:bidi="en-US"/>
              </w:rPr>
              <w:t>T</w:t>
            </w:r>
            <w:r w:rsidR="005D3261" w:rsidRPr="00A8781C">
              <w:rPr>
                <w:rFonts w:ascii="Calibri" w:hAnsi="Calibri" w:cs="Calibri"/>
                <w:b/>
                <w:sz w:val="22"/>
                <w:szCs w:val="22"/>
                <w:highlight w:val="yellow"/>
                <w:lang w:bidi="en-US"/>
              </w:rPr>
              <w:t>.  Ward Br. 5.</w:t>
            </w:r>
            <w:r w:rsidR="00761E59" w:rsidRPr="00A8781C">
              <w:rPr>
                <w:rFonts w:ascii="Calibri" w:hAnsi="Calibri" w:cs="Calibri"/>
                <w:b/>
                <w:sz w:val="22"/>
                <w:szCs w:val="22"/>
                <w:highlight w:val="yellow"/>
                <w:lang w:bidi="en-US"/>
              </w:rPr>
              <w:t xml:space="preserve"> AT&amp;T owned the unlock codes.</w:t>
            </w:r>
          </w:p>
        </w:tc>
      </w:tr>
      <w:tr w:rsidR="005D3261" w:rsidRPr="00907D75" w14:paraId="5F0406EC" w14:textId="77777777" w:rsidTr="00093B76">
        <w:trPr>
          <w:gridAfter w:val="1"/>
          <w:wAfter w:w="198" w:type="dxa"/>
          <w:trHeight w:val="4795"/>
        </w:trPr>
        <w:tc>
          <w:tcPr>
            <w:tcW w:w="5805" w:type="dxa"/>
            <w:vAlign w:val="center"/>
          </w:tcPr>
          <w:p w14:paraId="57559AC2" w14:textId="46FE1915" w:rsidR="005D3261" w:rsidRDefault="005D3261"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were iPhone consumers harmed when Apple l</w:t>
            </w:r>
            <w:r w:rsidRPr="005D3261">
              <w:rPr>
                <w:rFonts w:ascii="Calibri" w:hAnsi="Calibri" w:cs="Calibri"/>
                <w:b/>
                <w:sz w:val="28"/>
                <w:szCs w:val="28"/>
                <w:lang w:bidi="en-US"/>
              </w:rPr>
              <w:t>ock</w:t>
            </w:r>
            <w:r>
              <w:rPr>
                <w:rFonts w:ascii="Calibri" w:hAnsi="Calibri" w:cs="Calibri"/>
                <w:b/>
                <w:sz w:val="28"/>
                <w:szCs w:val="28"/>
                <w:lang w:bidi="en-US"/>
              </w:rPr>
              <w:t>ed the iPhones and refused to give consum</w:t>
            </w:r>
            <w:r w:rsidRPr="005D3261">
              <w:rPr>
                <w:rFonts w:ascii="Calibri" w:hAnsi="Calibri" w:cs="Calibri"/>
                <w:b/>
                <w:sz w:val="28"/>
                <w:szCs w:val="28"/>
                <w:lang w:bidi="en-US"/>
              </w:rPr>
              <w:t>ers the software codes to unlock them</w:t>
            </w:r>
            <w:r>
              <w:rPr>
                <w:rFonts w:ascii="Calibri" w:hAnsi="Calibri" w:cs="Calibri"/>
                <w:b/>
                <w:sz w:val="28"/>
                <w:szCs w:val="28"/>
              </w:rPr>
              <w:t>?</w:t>
            </w:r>
          </w:p>
        </w:tc>
        <w:tc>
          <w:tcPr>
            <w:tcW w:w="5805" w:type="dxa"/>
            <w:gridSpan w:val="2"/>
            <w:vAlign w:val="center"/>
          </w:tcPr>
          <w:p w14:paraId="03FF3922" w14:textId="57DE7240" w:rsidR="005D3261" w:rsidRPr="00761E59" w:rsidRDefault="00761E59" w:rsidP="005D3261">
            <w:pPr>
              <w:pStyle w:val="O-BodyText"/>
              <w:spacing w:after="120"/>
              <w:ind w:left="290" w:right="65"/>
              <w:rPr>
                <w:rFonts w:ascii="Calibri" w:hAnsi="Calibri" w:cs="Calibri"/>
                <w:b/>
                <w:sz w:val="22"/>
                <w:szCs w:val="22"/>
                <w:lang w:bidi="en-US"/>
              </w:rPr>
            </w:pPr>
            <w:r w:rsidRPr="00A8781C">
              <w:rPr>
                <w:rFonts w:ascii="Calibri" w:hAnsi="Calibri" w:cs="Calibri"/>
                <w:b/>
                <w:sz w:val="22"/>
                <w:szCs w:val="22"/>
                <w:highlight w:val="yellow"/>
                <w:lang w:bidi="en-US"/>
              </w:rPr>
              <w:t xml:space="preserve">Plaintiffs allege </w:t>
            </w:r>
            <w:r w:rsidR="005D3261" w:rsidRPr="00A8781C">
              <w:rPr>
                <w:rFonts w:ascii="Calibri" w:hAnsi="Calibri" w:cs="Calibri"/>
                <w:b/>
                <w:sz w:val="22"/>
                <w:szCs w:val="22"/>
                <w:highlight w:val="yellow"/>
                <w:lang w:bidi="en-US"/>
              </w:rPr>
              <w:t xml:space="preserve">iPhone consumers were unable to switch to a less expensive carrier in the U.S. (such as T-Mobile) </w:t>
            </w:r>
            <w:r w:rsidRPr="00A8781C">
              <w:rPr>
                <w:rFonts w:ascii="Calibri" w:hAnsi="Calibri" w:cs="Calibri"/>
                <w:b/>
                <w:sz w:val="22"/>
                <w:szCs w:val="22"/>
                <w:highlight w:val="yellow"/>
                <w:lang w:bidi="en-US"/>
              </w:rPr>
              <w:t xml:space="preserve">after the first two years of service, </w:t>
            </w:r>
            <w:r w:rsidR="005D3261" w:rsidRPr="00A8781C">
              <w:rPr>
                <w:rFonts w:ascii="Calibri" w:hAnsi="Calibri" w:cs="Calibri"/>
                <w:b/>
                <w:sz w:val="22"/>
                <w:szCs w:val="22"/>
                <w:highlight w:val="yellow"/>
                <w:lang w:bidi="en-US"/>
              </w:rPr>
              <w:t xml:space="preserve">and </w:t>
            </w:r>
            <w:r w:rsidRPr="00A8781C">
              <w:rPr>
                <w:rFonts w:ascii="Calibri" w:hAnsi="Calibri" w:cs="Calibri"/>
                <w:b/>
                <w:sz w:val="22"/>
                <w:szCs w:val="22"/>
                <w:highlight w:val="yellow"/>
                <w:lang w:bidi="en-US"/>
              </w:rPr>
              <w:t xml:space="preserve">were </w:t>
            </w:r>
            <w:r w:rsidR="005D3261" w:rsidRPr="00A8781C">
              <w:rPr>
                <w:rFonts w:ascii="Calibri" w:hAnsi="Calibri" w:cs="Calibri"/>
                <w:b/>
                <w:sz w:val="22"/>
                <w:szCs w:val="22"/>
                <w:highlight w:val="yellow"/>
                <w:lang w:bidi="en-US"/>
              </w:rPr>
              <w:t>unable to use local carriers while traveling abroad, thus incurring exorbitant roaming charges – amounting to thousands of dollars per trip – to AT&amp;T, which it agreed to share with Apple under certain circumstances.</w:t>
            </w:r>
            <w:r w:rsidR="008E50EB" w:rsidRPr="00A8781C">
              <w:rPr>
                <w:rFonts w:ascii="Calibri" w:hAnsi="Calibri" w:cs="Calibri"/>
                <w:b/>
                <w:sz w:val="22"/>
                <w:szCs w:val="22"/>
                <w:highlight w:val="yellow"/>
                <w:lang w:bidi="en-US"/>
              </w:rPr>
              <w:t xml:space="preserve"> </w:t>
            </w:r>
            <w:r w:rsidR="005D3261" w:rsidRPr="00A8781C">
              <w:rPr>
                <w:rFonts w:ascii="Calibri" w:hAnsi="Calibri" w:cs="Calibri"/>
                <w:b/>
                <w:sz w:val="22"/>
                <w:szCs w:val="22"/>
                <w:highlight w:val="yellow"/>
                <w:lang w:bidi="en-US"/>
              </w:rPr>
              <w:t xml:space="preserve"> Ward Br. 6.</w:t>
            </w:r>
          </w:p>
          <w:p w14:paraId="0A1EEA02" w14:textId="77777777" w:rsidR="005D3261" w:rsidRPr="005D3261" w:rsidRDefault="005D3261" w:rsidP="00785BC0">
            <w:pPr>
              <w:pStyle w:val="O-BodyText"/>
              <w:spacing w:after="120"/>
              <w:ind w:left="290" w:right="65"/>
              <w:jc w:val="both"/>
              <w:rPr>
                <w:rFonts w:ascii="Calibri" w:hAnsi="Calibri" w:cs="Calibri"/>
                <w:b/>
                <w:sz w:val="22"/>
                <w:szCs w:val="22"/>
                <w:highlight w:val="yellow"/>
                <w:lang w:bidi="en-US"/>
              </w:rPr>
            </w:pPr>
          </w:p>
        </w:tc>
      </w:tr>
      <w:tr w:rsidR="008E50EB" w:rsidRPr="00907D75" w14:paraId="483651B8" w14:textId="77777777" w:rsidTr="00093B76">
        <w:trPr>
          <w:gridAfter w:val="1"/>
          <w:wAfter w:w="198" w:type="dxa"/>
          <w:trHeight w:val="4795"/>
        </w:trPr>
        <w:tc>
          <w:tcPr>
            <w:tcW w:w="5805" w:type="dxa"/>
            <w:vAlign w:val="center"/>
          </w:tcPr>
          <w:p w14:paraId="26E31EC2" w14:textId="005AA419" w:rsidR="008E50EB" w:rsidRDefault="008E50EB" w:rsidP="00785BC0">
            <w:pPr>
              <w:pStyle w:val="O-BodyText"/>
              <w:spacing w:after="120"/>
              <w:ind w:right="200"/>
              <w:jc w:val="both"/>
              <w:rPr>
                <w:rFonts w:ascii="Calibri" w:hAnsi="Calibri" w:cs="Calibri"/>
                <w:b/>
                <w:sz w:val="28"/>
                <w:szCs w:val="28"/>
              </w:rPr>
            </w:pPr>
            <w:r>
              <w:rPr>
                <w:rFonts w:ascii="Calibri" w:hAnsi="Calibri" w:cs="Calibri"/>
                <w:b/>
                <w:sz w:val="28"/>
                <w:szCs w:val="28"/>
              </w:rPr>
              <w:t>How</w:t>
            </w:r>
            <w:r w:rsidR="00FF7461">
              <w:rPr>
                <w:rFonts w:ascii="Calibri" w:hAnsi="Calibri" w:cs="Calibri"/>
                <w:b/>
                <w:sz w:val="28"/>
                <w:szCs w:val="28"/>
              </w:rPr>
              <w:t>, according to Plaintiffs,</w:t>
            </w:r>
            <w:r>
              <w:rPr>
                <w:rFonts w:ascii="Calibri" w:hAnsi="Calibri" w:cs="Calibri"/>
                <w:b/>
                <w:sz w:val="28"/>
                <w:szCs w:val="28"/>
              </w:rPr>
              <w:t xml:space="preserve"> did the DSRA affect the prices charged by AT&amp;T for wireless services?</w:t>
            </w:r>
          </w:p>
        </w:tc>
        <w:tc>
          <w:tcPr>
            <w:tcW w:w="5805" w:type="dxa"/>
            <w:gridSpan w:val="2"/>
            <w:vAlign w:val="center"/>
          </w:tcPr>
          <w:p w14:paraId="3CC1D18D" w14:textId="3EA7F120" w:rsidR="00FF7461" w:rsidRPr="00A8781C" w:rsidRDefault="00FF7461" w:rsidP="00FF7461">
            <w:pPr>
              <w:pStyle w:val="O-BodyText"/>
              <w:spacing w:after="120"/>
              <w:ind w:left="290" w:right="65"/>
              <w:rPr>
                <w:rFonts w:ascii="Calibri" w:hAnsi="Calibri" w:cs="Calibri"/>
                <w:b/>
                <w:sz w:val="22"/>
                <w:szCs w:val="22"/>
                <w:highlight w:val="yellow"/>
                <w:lang w:bidi="en-US"/>
              </w:rPr>
            </w:pPr>
            <w:r w:rsidRPr="00A8781C">
              <w:rPr>
                <w:rFonts w:ascii="Calibri" w:hAnsi="Calibri" w:cs="Calibri"/>
                <w:b/>
                <w:sz w:val="22"/>
                <w:szCs w:val="22"/>
                <w:highlight w:val="yellow"/>
                <w:lang w:bidi="en-US"/>
              </w:rPr>
              <w:t>Plaintiffs claim that b</w:t>
            </w:r>
            <w:r w:rsidR="008E50EB" w:rsidRPr="00A8781C">
              <w:rPr>
                <w:rFonts w:ascii="Calibri" w:hAnsi="Calibri" w:cs="Calibri"/>
                <w:b/>
                <w:sz w:val="22"/>
                <w:szCs w:val="22"/>
                <w:highlight w:val="yellow"/>
                <w:lang w:bidi="en-US"/>
              </w:rPr>
              <w:t xml:space="preserve">ecause of the DSRA, AT&amp;T charged supra-competitive prices for wireless services, which it shared with Apple during the terms of these agreements.  This </w:t>
            </w:r>
            <w:r w:rsidRPr="00A8781C">
              <w:rPr>
                <w:rFonts w:ascii="Calibri" w:hAnsi="Calibri" w:cs="Calibri"/>
                <w:b/>
                <w:sz w:val="22"/>
                <w:szCs w:val="22"/>
                <w:highlight w:val="yellow"/>
                <w:lang w:bidi="en-US"/>
              </w:rPr>
              <w:t>raised</w:t>
            </w:r>
            <w:r w:rsidR="008E50EB" w:rsidRPr="00A8781C">
              <w:rPr>
                <w:rFonts w:ascii="Calibri" w:hAnsi="Calibri" w:cs="Calibri"/>
                <w:b/>
                <w:sz w:val="22"/>
                <w:szCs w:val="22"/>
                <w:highlight w:val="yellow"/>
                <w:lang w:bidi="en-US"/>
              </w:rPr>
              <w:t xml:space="preserve"> the total ownership cost for all c</w:t>
            </w:r>
            <w:r w:rsidRPr="00A8781C">
              <w:rPr>
                <w:rFonts w:ascii="Calibri" w:hAnsi="Calibri" w:cs="Calibri"/>
                <w:b/>
                <w:sz w:val="22"/>
                <w:szCs w:val="22"/>
                <w:highlight w:val="yellow"/>
                <w:lang w:bidi="en-US"/>
              </w:rPr>
              <w:t>lass members.</w:t>
            </w:r>
          </w:p>
          <w:p w14:paraId="721FC786" w14:textId="1035CBD8" w:rsidR="008E50EB" w:rsidRPr="00A8781C" w:rsidRDefault="00FF7461" w:rsidP="00A8781C">
            <w:pPr>
              <w:pStyle w:val="O-BodyText"/>
              <w:spacing w:after="120"/>
              <w:ind w:left="290" w:right="65"/>
              <w:rPr>
                <w:rFonts w:ascii="Calibri" w:hAnsi="Calibri" w:cs="Calibri"/>
                <w:b/>
                <w:sz w:val="22"/>
                <w:szCs w:val="22"/>
                <w:lang w:bidi="en-US"/>
              </w:rPr>
            </w:pPr>
            <w:r w:rsidRPr="00A8781C">
              <w:rPr>
                <w:rFonts w:ascii="Calibri" w:hAnsi="Calibri" w:cs="Calibri"/>
                <w:b/>
                <w:sz w:val="22"/>
                <w:szCs w:val="22"/>
                <w:highlight w:val="yellow"/>
                <w:lang w:bidi="en-US"/>
              </w:rPr>
              <w:t xml:space="preserve">Plaintiffs also say that </w:t>
            </w:r>
            <w:r w:rsidR="008E50EB" w:rsidRPr="00A8781C">
              <w:rPr>
                <w:rFonts w:ascii="Calibri" w:hAnsi="Calibri" w:cs="Calibri"/>
                <w:b/>
                <w:sz w:val="22"/>
                <w:szCs w:val="22"/>
                <w:highlight w:val="yellow"/>
                <w:lang w:bidi="en-US"/>
              </w:rPr>
              <w:t>Apple extracted supra-competitive profits from all class members by char</w:t>
            </w:r>
            <w:r w:rsidRPr="00A8781C">
              <w:rPr>
                <w:rFonts w:ascii="Calibri" w:hAnsi="Calibri" w:cs="Calibri"/>
                <w:b/>
                <w:sz w:val="22"/>
                <w:szCs w:val="22"/>
                <w:highlight w:val="yellow"/>
                <w:lang w:bidi="en-US"/>
              </w:rPr>
              <w:t>ging more for the iPhone than they</w:t>
            </w:r>
            <w:r w:rsidR="008E50EB" w:rsidRPr="00A8781C">
              <w:rPr>
                <w:rFonts w:ascii="Calibri" w:hAnsi="Calibri" w:cs="Calibri"/>
                <w:b/>
                <w:sz w:val="22"/>
                <w:szCs w:val="22"/>
                <w:highlight w:val="yellow"/>
                <w:lang w:bidi="en-US"/>
              </w:rPr>
              <w:t xml:space="preserve"> could have if the exclusivity arrangements had been disclosed. </w:t>
            </w:r>
            <w:r w:rsidR="003D1E9C" w:rsidRPr="00A8781C">
              <w:rPr>
                <w:rFonts w:ascii="Calibri" w:hAnsi="Calibri" w:cs="Calibri"/>
                <w:b/>
                <w:sz w:val="22"/>
                <w:szCs w:val="22"/>
                <w:highlight w:val="yellow"/>
                <w:lang w:bidi="en-US"/>
              </w:rPr>
              <w:t xml:space="preserve"> </w:t>
            </w:r>
            <w:r w:rsidR="008E50EB" w:rsidRPr="00A8781C">
              <w:rPr>
                <w:rFonts w:ascii="Calibri" w:hAnsi="Calibri" w:cs="Calibri"/>
                <w:b/>
                <w:sz w:val="22"/>
                <w:szCs w:val="22"/>
                <w:highlight w:val="yellow"/>
                <w:lang w:bidi="en-US"/>
              </w:rPr>
              <w:t>Br. 6.</w:t>
            </w:r>
          </w:p>
        </w:tc>
      </w:tr>
      <w:tr w:rsidR="00785BC0" w:rsidRPr="00907D75" w14:paraId="4DA70EAF" w14:textId="77777777" w:rsidTr="00093B76">
        <w:trPr>
          <w:gridAfter w:val="1"/>
          <w:wAfter w:w="198" w:type="dxa"/>
          <w:trHeight w:val="4795"/>
        </w:trPr>
        <w:tc>
          <w:tcPr>
            <w:tcW w:w="5805" w:type="dxa"/>
            <w:vAlign w:val="center"/>
          </w:tcPr>
          <w:p w14:paraId="464BCD3C" w14:textId="2EA0D598"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Why do you argue that it was “exceedingly unlikely” that </w:t>
            </w:r>
            <w:r w:rsidRPr="001F3162">
              <w:rPr>
                <w:rFonts w:ascii="Calibri" w:hAnsi="Calibri" w:cs="Calibri"/>
                <w:b/>
                <w:sz w:val="28"/>
                <w:szCs w:val="28"/>
              </w:rPr>
              <w:t>iPhone purchasers</w:t>
            </w:r>
            <w:r>
              <w:rPr>
                <w:rFonts w:ascii="Calibri" w:hAnsi="Calibri" w:cs="Calibri"/>
                <w:b/>
                <w:sz w:val="28"/>
                <w:szCs w:val="28"/>
              </w:rPr>
              <w:t xml:space="preserve"> </w:t>
            </w:r>
            <w:r w:rsidRPr="001F3162">
              <w:rPr>
                <w:rFonts w:ascii="Calibri" w:hAnsi="Calibri" w:cs="Calibri"/>
                <w:b/>
                <w:sz w:val="28"/>
                <w:szCs w:val="28"/>
              </w:rPr>
              <w:t>during this period failed to understand that they were committing to two years of AT&amp;T service</w:t>
            </w:r>
            <w:r w:rsidR="007867B1">
              <w:rPr>
                <w:rFonts w:ascii="Calibri" w:hAnsi="Calibri" w:cs="Calibri"/>
                <w:b/>
                <w:sz w:val="28"/>
                <w:szCs w:val="28"/>
              </w:rPr>
              <w:t xml:space="preserve"> when they purchased </w:t>
            </w:r>
            <w:r w:rsidR="007867B1" w:rsidRPr="001F3162">
              <w:rPr>
                <w:rFonts w:ascii="Calibri" w:hAnsi="Calibri" w:cs="Calibri"/>
                <w:b/>
                <w:sz w:val="28"/>
                <w:szCs w:val="28"/>
              </w:rPr>
              <w:t>an iPhone</w:t>
            </w:r>
            <w:r>
              <w:rPr>
                <w:rFonts w:ascii="Calibri" w:hAnsi="Calibri" w:cs="Calibri"/>
                <w:b/>
                <w:sz w:val="28"/>
                <w:szCs w:val="28"/>
              </w:rPr>
              <w:t>?  Apple Br. 11.</w:t>
            </w:r>
          </w:p>
        </w:tc>
        <w:tc>
          <w:tcPr>
            <w:tcW w:w="5805" w:type="dxa"/>
            <w:gridSpan w:val="2"/>
            <w:vAlign w:val="center"/>
          </w:tcPr>
          <w:p w14:paraId="650D634B" w14:textId="4A53E3CF" w:rsidR="00785BC0" w:rsidRPr="00E9253E" w:rsidRDefault="00785BC0" w:rsidP="00785BC0">
            <w:pPr>
              <w:pStyle w:val="O-BodyText"/>
              <w:spacing w:after="120"/>
              <w:ind w:left="290" w:right="65"/>
              <w:jc w:val="both"/>
              <w:rPr>
                <w:rFonts w:ascii="Calibri" w:hAnsi="Calibri" w:cs="Calibri"/>
                <w:b/>
                <w:sz w:val="22"/>
                <w:szCs w:val="22"/>
                <w:highlight w:val="yellow"/>
              </w:rPr>
            </w:pPr>
            <w:r>
              <w:rPr>
                <w:rFonts w:ascii="Calibri" w:hAnsi="Calibri" w:cs="Calibri"/>
                <w:b/>
                <w:sz w:val="22"/>
                <w:szCs w:val="22"/>
                <w:lang w:bidi="en-US"/>
              </w:rPr>
              <w:t xml:space="preserve">Because customers knew that AT&amp;T was subsidizing the cost of the iPhone (and charging them </w:t>
            </w:r>
            <w:r w:rsidRPr="001F3162">
              <w:rPr>
                <w:rFonts w:ascii="Calibri" w:hAnsi="Calibri" w:cs="Calibri"/>
                <w:b/>
                <w:sz w:val="22"/>
                <w:szCs w:val="22"/>
                <w:lang w:bidi="en-US"/>
              </w:rPr>
              <w:t xml:space="preserve">less </w:t>
            </w:r>
            <w:r>
              <w:rPr>
                <w:rFonts w:ascii="Calibri" w:hAnsi="Calibri" w:cs="Calibri"/>
                <w:b/>
                <w:sz w:val="22"/>
                <w:szCs w:val="22"/>
                <w:lang w:bidi="en-US"/>
              </w:rPr>
              <w:t xml:space="preserve">for it) </w:t>
            </w:r>
            <w:r w:rsidR="007867B1">
              <w:rPr>
                <w:rFonts w:ascii="Calibri" w:hAnsi="Calibri" w:cs="Calibri"/>
                <w:b/>
                <w:sz w:val="22"/>
                <w:szCs w:val="22"/>
                <w:lang w:bidi="en-US"/>
              </w:rPr>
              <w:t xml:space="preserve">on the condition that they </w:t>
            </w:r>
            <w:r w:rsidRPr="001F3162">
              <w:rPr>
                <w:rFonts w:ascii="Calibri" w:hAnsi="Calibri" w:cs="Calibri"/>
                <w:b/>
                <w:sz w:val="22"/>
                <w:szCs w:val="22"/>
                <w:lang w:bidi="en-US"/>
              </w:rPr>
              <w:t>agreed to a two-year service agreement.</w:t>
            </w:r>
            <w:r w:rsidR="00FF7461">
              <w:rPr>
                <w:rFonts w:ascii="Calibri" w:hAnsi="Calibri" w:cs="Calibri"/>
                <w:b/>
                <w:sz w:val="22"/>
                <w:szCs w:val="22"/>
                <w:lang w:bidi="en-US"/>
              </w:rPr>
              <w:t xml:space="preserve"> And in </w:t>
            </w:r>
            <w:proofErr w:type="gramStart"/>
            <w:r w:rsidR="00FF7461">
              <w:rPr>
                <w:rFonts w:ascii="Calibri" w:hAnsi="Calibri" w:cs="Calibri"/>
                <w:b/>
                <w:sz w:val="22"/>
                <w:szCs w:val="22"/>
                <w:lang w:bidi="en-US"/>
              </w:rPr>
              <w:t>fact</w:t>
            </w:r>
            <w:proofErr w:type="gramEnd"/>
            <w:r w:rsidR="00FF7461">
              <w:rPr>
                <w:rFonts w:ascii="Calibri" w:hAnsi="Calibri" w:cs="Calibri"/>
                <w:b/>
                <w:sz w:val="22"/>
                <w:szCs w:val="22"/>
                <w:lang w:bidi="en-US"/>
              </w:rPr>
              <w:t xml:space="preserve"> Apple and ATT specifically advertised that the iPhone was available only on ATT.</w:t>
            </w:r>
          </w:p>
        </w:tc>
      </w:tr>
      <w:tr w:rsidR="00785BC0" w:rsidRPr="00907D75" w14:paraId="03BE56DF" w14:textId="77777777" w:rsidTr="00093B76">
        <w:trPr>
          <w:gridAfter w:val="1"/>
          <w:wAfter w:w="198" w:type="dxa"/>
          <w:trHeight w:val="4795"/>
        </w:trPr>
        <w:tc>
          <w:tcPr>
            <w:tcW w:w="5805" w:type="dxa"/>
            <w:vAlign w:val="center"/>
          </w:tcPr>
          <w:p w14:paraId="18E07907" w14:textId="2F273803"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the named plaintiffs understand that AT&amp;T was the exclusive provider of cellular service for the iPhone?</w:t>
            </w:r>
          </w:p>
        </w:tc>
        <w:tc>
          <w:tcPr>
            <w:tcW w:w="5805" w:type="dxa"/>
            <w:gridSpan w:val="2"/>
            <w:vAlign w:val="center"/>
          </w:tcPr>
          <w:p w14:paraId="768FBFCF" w14:textId="13B8687E" w:rsidR="00785BC0" w:rsidRDefault="00785BC0" w:rsidP="00785BC0">
            <w:pPr>
              <w:pStyle w:val="O-BodyText"/>
              <w:spacing w:after="120"/>
              <w:ind w:left="290" w:right="65"/>
              <w:jc w:val="both"/>
              <w:rPr>
                <w:rFonts w:ascii="Calibri" w:hAnsi="Calibri" w:cs="Calibri"/>
                <w:b/>
                <w:sz w:val="22"/>
                <w:szCs w:val="22"/>
                <w:highlight w:val="yellow"/>
              </w:rPr>
            </w:pPr>
            <w:r>
              <w:rPr>
                <w:rFonts w:ascii="Calibri" w:hAnsi="Calibri" w:cs="Calibri"/>
                <w:b/>
                <w:sz w:val="22"/>
                <w:szCs w:val="22"/>
                <w:lang w:bidi="en-US"/>
              </w:rPr>
              <w:t xml:space="preserve">Yes.  Named plaintiffs </w:t>
            </w:r>
            <w:proofErr w:type="spellStart"/>
            <w:r>
              <w:rPr>
                <w:rFonts w:ascii="Calibri" w:hAnsi="Calibri" w:cs="Calibri"/>
                <w:b/>
                <w:sz w:val="22"/>
                <w:szCs w:val="22"/>
                <w:lang w:bidi="en-US"/>
              </w:rPr>
              <w:t>Buchar</w:t>
            </w:r>
            <w:proofErr w:type="spellEnd"/>
            <w:r>
              <w:rPr>
                <w:rFonts w:ascii="Calibri" w:hAnsi="Calibri" w:cs="Calibri"/>
                <w:b/>
                <w:sz w:val="22"/>
                <w:szCs w:val="22"/>
                <w:lang w:bidi="en-US"/>
              </w:rPr>
              <w:t xml:space="preserve"> and </w:t>
            </w:r>
            <w:r w:rsidRPr="001C5F17">
              <w:rPr>
                <w:rFonts w:ascii="Calibri" w:hAnsi="Calibri" w:cs="Calibri"/>
                <w:b/>
                <w:sz w:val="22"/>
                <w:szCs w:val="22"/>
                <w:lang w:bidi="en-US"/>
              </w:rPr>
              <w:t>Ward both understood that AT&amp;T was the exclusive provider of cellular service for the iPhone</w:t>
            </w:r>
            <w:r>
              <w:rPr>
                <w:rFonts w:ascii="Calibri" w:hAnsi="Calibri" w:cs="Calibri"/>
                <w:b/>
                <w:sz w:val="22"/>
                <w:szCs w:val="22"/>
                <w:lang w:bidi="en-US"/>
              </w:rPr>
              <w:t xml:space="preserve">.  </w:t>
            </w:r>
            <w:proofErr w:type="spellStart"/>
            <w:r>
              <w:rPr>
                <w:rFonts w:ascii="Calibri" w:hAnsi="Calibri" w:cs="Calibri"/>
                <w:b/>
                <w:sz w:val="22"/>
                <w:szCs w:val="22"/>
                <w:lang w:bidi="en-US"/>
              </w:rPr>
              <w:t>Buchar</w:t>
            </w:r>
            <w:proofErr w:type="spellEnd"/>
            <w:r>
              <w:rPr>
                <w:rFonts w:ascii="Calibri" w:hAnsi="Calibri" w:cs="Calibri"/>
                <w:b/>
                <w:sz w:val="22"/>
                <w:szCs w:val="22"/>
                <w:lang w:bidi="en-US"/>
              </w:rPr>
              <w:t xml:space="preserve"> even believed that </w:t>
            </w:r>
            <w:r w:rsidRPr="001C5F17">
              <w:rPr>
                <w:rFonts w:ascii="Calibri" w:hAnsi="Calibri" w:cs="Calibri"/>
                <w:b/>
                <w:sz w:val="22"/>
                <w:szCs w:val="22"/>
                <w:lang w:bidi="en-US"/>
              </w:rPr>
              <w:t xml:space="preserve">“AT&amp;T was going to have it into perpetuity,” </w:t>
            </w:r>
            <w:r>
              <w:rPr>
                <w:rFonts w:ascii="Calibri" w:hAnsi="Calibri" w:cs="Calibri"/>
                <w:b/>
                <w:sz w:val="22"/>
                <w:szCs w:val="22"/>
                <w:lang w:bidi="en-US"/>
              </w:rPr>
              <w:t xml:space="preserve">and </w:t>
            </w:r>
            <w:r w:rsidRPr="001C5F17">
              <w:rPr>
                <w:rFonts w:ascii="Calibri" w:hAnsi="Calibri" w:cs="Calibri"/>
                <w:b/>
                <w:sz w:val="22"/>
                <w:szCs w:val="22"/>
                <w:lang w:bidi="en-US"/>
              </w:rPr>
              <w:t>thought it was an “impossibility” to switch carriers</w:t>
            </w:r>
            <w:r>
              <w:rPr>
                <w:rFonts w:ascii="Calibri" w:hAnsi="Calibri" w:cs="Calibri"/>
                <w:b/>
                <w:sz w:val="22"/>
                <w:szCs w:val="22"/>
                <w:lang w:bidi="en-US"/>
              </w:rPr>
              <w:t xml:space="preserve">. </w:t>
            </w:r>
          </w:p>
        </w:tc>
      </w:tr>
      <w:tr w:rsidR="00785BC0" w:rsidRPr="00907D75" w14:paraId="1E8BD69C" w14:textId="77777777" w:rsidTr="00093B76">
        <w:trPr>
          <w:gridAfter w:val="1"/>
          <w:wAfter w:w="198" w:type="dxa"/>
          <w:trHeight w:val="4795"/>
        </w:trPr>
        <w:tc>
          <w:tcPr>
            <w:tcW w:w="5805" w:type="dxa"/>
            <w:vAlign w:val="center"/>
          </w:tcPr>
          <w:p w14:paraId="2D5E4695" w14:textId="345A0286"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Please explain how this case fits into the history of iPhone litigation?</w:t>
            </w:r>
          </w:p>
        </w:tc>
        <w:tc>
          <w:tcPr>
            <w:tcW w:w="5805" w:type="dxa"/>
            <w:gridSpan w:val="2"/>
            <w:vAlign w:val="center"/>
          </w:tcPr>
          <w:p w14:paraId="14C68292" w14:textId="1DCAB6A4" w:rsidR="00785BC0" w:rsidRPr="007C6A0B" w:rsidRDefault="00785BC0" w:rsidP="00785BC0">
            <w:pPr>
              <w:pStyle w:val="O-BodyText"/>
              <w:spacing w:after="120"/>
              <w:ind w:left="290" w:right="65"/>
              <w:jc w:val="both"/>
              <w:rPr>
                <w:rFonts w:ascii="Calibri" w:hAnsi="Calibri" w:cs="Calibri"/>
                <w:b/>
                <w:sz w:val="22"/>
                <w:szCs w:val="22"/>
              </w:rPr>
            </w:pPr>
            <w:r w:rsidRPr="009A63A0">
              <w:rPr>
                <w:rFonts w:ascii="Calibri" w:hAnsi="Calibri" w:cs="Calibri"/>
                <w:b/>
                <w:sz w:val="22"/>
                <w:szCs w:val="22"/>
                <w:lang w:bidi="en-US"/>
              </w:rPr>
              <w:t xml:space="preserve">This case is the third of three putative class actions filed by the same counsel alleging that Apple and AT&amp;T conspired to monopolize various “aftermarkets” for iPhone voice and data services. </w:t>
            </w:r>
            <w:r>
              <w:rPr>
                <w:rFonts w:ascii="Calibri" w:hAnsi="Calibri" w:cs="Calibri"/>
                <w:b/>
                <w:sz w:val="22"/>
                <w:szCs w:val="22"/>
                <w:lang w:bidi="en-US"/>
              </w:rPr>
              <w:t xml:space="preserve"> T</w:t>
            </w:r>
            <w:r w:rsidRPr="009A63A0">
              <w:rPr>
                <w:rFonts w:ascii="Calibri" w:hAnsi="Calibri" w:cs="Calibri"/>
                <w:b/>
                <w:sz w:val="22"/>
                <w:szCs w:val="22"/>
                <w:lang w:bidi="en-US"/>
              </w:rPr>
              <w:t xml:space="preserve">he original case was filed in October 2007. </w:t>
            </w:r>
            <w:r>
              <w:rPr>
                <w:rFonts w:ascii="Calibri" w:hAnsi="Calibri" w:cs="Calibri"/>
                <w:b/>
                <w:i/>
                <w:sz w:val="22"/>
                <w:szCs w:val="22"/>
                <w:lang w:bidi="en-US"/>
              </w:rPr>
              <w:t xml:space="preserve"> </w:t>
            </w:r>
            <w:r w:rsidRPr="009A63A0">
              <w:rPr>
                <w:rFonts w:ascii="Calibri" w:hAnsi="Calibri" w:cs="Calibri"/>
                <w:b/>
                <w:i/>
                <w:sz w:val="22"/>
                <w:szCs w:val="22"/>
                <w:lang w:bidi="en-US"/>
              </w:rPr>
              <w:t>In re Apple &amp; AT&amp;TM Antitrust Litig.</w:t>
            </w:r>
            <w:r>
              <w:rPr>
                <w:rFonts w:ascii="Calibri" w:hAnsi="Calibri" w:cs="Calibri"/>
                <w:b/>
                <w:sz w:val="22"/>
                <w:szCs w:val="22"/>
                <w:lang w:bidi="en-US"/>
              </w:rPr>
              <w:t xml:space="preserve"> </w:t>
            </w:r>
            <w:r w:rsidRPr="009A63A0">
              <w:rPr>
                <w:rFonts w:ascii="Calibri" w:hAnsi="Calibri" w:cs="Calibri"/>
                <w:b/>
                <w:sz w:val="22"/>
                <w:szCs w:val="22"/>
                <w:lang w:bidi="en-US"/>
              </w:rPr>
              <w:t>(N.D. Cal.) (“</w:t>
            </w:r>
            <w:r w:rsidRPr="009A63A0">
              <w:rPr>
                <w:rFonts w:ascii="Calibri" w:hAnsi="Calibri" w:cs="Calibri"/>
                <w:b/>
                <w:i/>
                <w:sz w:val="22"/>
                <w:szCs w:val="22"/>
                <w:lang w:bidi="en-US"/>
              </w:rPr>
              <w:t>iPhone I</w:t>
            </w:r>
            <w:r w:rsidRPr="009A63A0">
              <w:rPr>
                <w:rFonts w:ascii="Calibri" w:hAnsi="Calibri" w:cs="Calibri"/>
                <w:b/>
                <w:sz w:val="22"/>
                <w:szCs w:val="22"/>
                <w:lang w:bidi="en-US"/>
              </w:rPr>
              <w:t>”</w:t>
            </w:r>
            <w:r w:rsidR="007867B1">
              <w:rPr>
                <w:rFonts w:ascii="Calibri" w:hAnsi="Calibri" w:cs="Calibri"/>
                <w:b/>
                <w:sz w:val="22"/>
                <w:szCs w:val="22"/>
                <w:lang w:bidi="en-US"/>
              </w:rPr>
              <w:t xml:space="preserve"> </w:t>
            </w:r>
            <w:r w:rsidR="007867B1" w:rsidRPr="00FF7461">
              <w:rPr>
                <w:rFonts w:ascii="Calibri" w:hAnsi="Calibri" w:cs="Calibri"/>
                <w:b/>
                <w:sz w:val="22"/>
                <w:szCs w:val="22"/>
                <w:lang w:bidi="en-US"/>
              </w:rPr>
              <w:t>or “</w:t>
            </w:r>
            <w:r w:rsidR="007867B1" w:rsidRPr="00FF7461">
              <w:rPr>
                <w:rFonts w:ascii="Calibri" w:hAnsi="Calibri" w:cs="Calibri"/>
                <w:b/>
                <w:i/>
                <w:sz w:val="22"/>
                <w:szCs w:val="22"/>
                <w:lang w:bidi="en-US"/>
              </w:rPr>
              <w:t>Apple I</w:t>
            </w:r>
            <w:r w:rsidR="007867B1" w:rsidRPr="00FF7461">
              <w:rPr>
                <w:rFonts w:ascii="Calibri" w:hAnsi="Calibri" w:cs="Calibri"/>
                <w:b/>
                <w:sz w:val="22"/>
                <w:szCs w:val="22"/>
                <w:lang w:bidi="en-US"/>
              </w:rPr>
              <w:t>”</w:t>
            </w:r>
            <w:r w:rsidRPr="00FF7461">
              <w:rPr>
                <w:rFonts w:ascii="Calibri" w:hAnsi="Calibri" w:cs="Calibri"/>
                <w:b/>
                <w:sz w:val="22"/>
                <w:szCs w:val="22"/>
                <w:lang w:bidi="en-US"/>
              </w:rPr>
              <w:t>).</w:t>
            </w:r>
          </w:p>
        </w:tc>
      </w:tr>
      <w:tr w:rsidR="00785BC0" w:rsidRPr="00907D75" w14:paraId="269AE75B" w14:textId="77777777" w:rsidTr="00093B76">
        <w:trPr>
          <w:gridAfter w:val="1"/>
          <w:wAfter w:w="198" w:type="dxa"/>
          <w:trHeight w:val="4795"/>
        </w:trPr>
        <w:tc>
          <w:tcPr>
            <w:tcW w:w="5805" w:type="dxa"/>
            <w:vAlign w:val="center"/>
          </w:tcPr>
          <w:p w14:paraId="3DC4CA94" w14:textId="15E7B315"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How did the </w:t>
            </w:r>
            <w:r>
              <w:rPr>
                <w:rFonts w:ascii="Calibri" w:hAnsi="Calibri" w:cs="Calibri"/>
                <w:b/>
                <w:i/>
                <w:sz w:val="28"/>
                <w:szCs w:val="28"/>
              </w:rPr>
              <w:t xml:space="preserve">iPhone I </w:t>
            </w:r>
            <w:r>
              <w:rPr>
                <w:rFonts w:ascii="Calibri" w:hAnsi="Calibri" w:cs="Calibri"/>
                <w:b/>
                <w:sz w:val="28"/>
                <w:szCs w:val="28"/>
              </w:rPr>
              <w:t>case differ from this case?</w:t>
            </w:r>
          </w:p>
        </w:tc>
        <w:tc>
          <w:tcPr>
            <w:tcW w:w="5805" w:type="dxa"/>
            <w:gridSpan w:val="2"/>
            <w:vAlign w:val="center"/>
          </w:tcPr>
          <w:p w14:paraId="419C5CA4" w14:textId="57F43DFE" w:rsidR="00785BC0" w:rsidRPr="007C6A0B"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 xml:space="preserve">In the </w:t>
            </w:r>
            <w:r>
              <w:rPr>
                <w:rFonts w:ascii="Calibri" w:hAnsi="Calibri" w:cs="Calibri"/>
                <w:b/>
                <w:i/>
                <w:sz w:val="22"/>
                <w:szCs w:val="22"/>
                <w:lang w:bidi="en-US"/>
              </w:rPr>
              <w:t xml:space="preserve">iPhone I </w:t>
            </w:r>
            <w:r>
              <w:rPr>
                <w:rFonts w:ascii="Calibri" w:hAnsi="Calibri" w:cs="Calibri"/>
                <w:b/>
                <w:sz w:val="22"/>
                <w:szCs w:val="22"/>
                <w:lang w:bidi="en-US"/>
              </w:rPr>
              <w:t xml:space="preserve">case, </w:t>
            </w:r>
            <w:r w:rsidRPr="006A6D0D">
              <w:rPr>
                <w:rFonts w:ascii="Calibri" w:hAnsi="Calibri" w:cs="Calibri"/>
                <w:b/>
                <w:sz w:val="22"/>
                <w:szCs w:val="22"/>
                <w:lang w:bidi="en-US"/>
              </w:rPr>
              <w:t>AT&amp;T was a named defendant</w:t>
            </w:r>
            <w:r>
              <w:rPr>
                <w:rFonts w:ascii="Calibri" w:hAnsi="Calibri" w:cs="Calibri"/>
                <w:b/>
                <w:sz w:val="22"/>
                <w:szCs w:val="22"/>
                <w:lang w:bidi="en-US"/>
              </w:rPr>
              <w:t>,</w:t>
            </w:r>
            <w:r w:rsidRPr="006A6D0D">
              <w:rPr>
                <w:rFonts w:ascii="Calibri" w:hAnsi="Calibri" w:cs="Calibri"/>
                <w:b/>
                <w:sz w:val="22"/>
                <w:szCs w:val="22"/>
                <w:lang w:bidi="en-US"/>
              </w:rPr>
              <w:t xml:space="preserve"> and the plaintiffs focused on a revenue-sharing provision in the original DRSA, which did not apply to the 3G and 3GS iPhones sold during the class period in this case.</w:t>
            </w:r>
          </w:p>
        </w:tc>
      </w:tr>
      <w:tr w:rsidR="00785BC0" w:rsidRPr="00907D75" w14:paraId="5A5E8590" w14:textId="77777777" w:rsidTr="00093B76">
        <w:trPr>
          <w:gridAfter w:val="1"/>
          <w:wAfter w:w="198" w:type="dxa"/>
          <w:trHeight w:val="4795"/>
        </w:trPr>
        <w:tc>
          <w:tcPr>
            <w:tcW w:w="5805" w:type="dxa"/>
            <w:vAlign w:val="center"/>
          </w:tcPr>
          <w:p w14:paraId="342D1EC2" w14:textId="0E74CF66" w:rsidR="00785BC0" w:rsidRDefault="00D97355"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was different about the </w:t>
            </w:r>
            <w:proofErr w:type="gramStart"/>
            <w:r>
              <w:rPr>
                <w:rFonts w:ascii="Calibri" w:hAnsi="Calibri" w:cs="Calibri"/>
                <w:b/>
                <w:sz w:val="28"/>
                <w:szCs w:val="28"/>
              </w:rPr>
              <w:t>damages</w:t>
            </w:r>
            <w:proofErr w:type="gramEnd"/>
            <w:r>
              <w:rPr>
                <w:rFonts w:ascii="Calibri" w:hAnsi="Calibri" w:cs="Calibri"/>
                <w:b/>
                <w:sz w:val="28"/>
                <w:szCs w:val="28"/>
              </w:rPr>
              <w:t xml:space="preserve"> theories offered by plaintiffs in </w:t>
            </w:r>
            <w:r w:rsidRPr="007867B1">
              <w:rPr>
                <w:rFonts w:ascii="Calibri" w:hAnsi="Calibri" w:cs="Calibri"/>
                <w:b/>
                <w:i/>
                <w:sz w:val="28"/>
                <w:szCs w:val="28"/>
              </w:rPr>
              <w:t>iPhone I</w:t>
            </w:r>
            <w:r>
              <w:rPr>
                <w:rFonts w:ascii="Calibri" w:hAnsi="Calibri" w:cs="Calibri"/>
                <w:b/>
                <w:sz w:val="28"/>
                <w:szCs w:val="28"/>
              </w:rPr>
              <w:t xml:space="preserve"> compared to this case?</w:t>
            </w:r>
          </w:p>
        </w:tc>
        <w:tc>
          <w:tcPr>
            <w:tcW w:w="5805" w:type="dxa"/>
            <w:gridSpan w:val="2"/>
            <w:vAlign w:val="center"/>
          </w:tcPr>
          <w:p w14:paraId="4201CE92" w14:textId="304504EC" w:rsidR="00785BC0" w:rsidRDefault="00785BC0" w:rsidP="00785BC0">
            <w:pPr>
              <w:pStyle w:val="O-BodyText"/>
              <w:spacing w:after="120"/>
              <w:ind w:left="290" w:right="65"/>
              <w:jc w:val="both"/>
              <w:rPr>
                <w:rFonts w:ascii="Calibri" w:hAnsi="Calibri" w:cs="Calibri"/>
                <w:b/>
                <w:sz w:val="22"/>
                <w:szCs w:val="22"/>
                <w:lang w:bidi="en-US"/>
              </w:rPr>
            </w:pPr>
            <w:r w:rsidRPr="002347E0">
              <w:rPr>
                <w:rFonts w:ascii="Calibri" w:hAnsi="Calibri" w:cs="Calibri"/>
                <w:b/>
                <w:sz w:val="22"/>
                <w:szCs w:val="22"/>
                <w:lang w:bidi="en-US"/>
              </w:rPr>
              <w:t xml:space="preserve">Unlike here, in </w:t>
            </w:r>
            <w:r w:rsidRPr="002347E0">
              <w:rPr>
                <w:rFonts w:ascii="Calibri" w:hAnsi="Calibri" w:cs="Calibri"/>
                <w:b/>
                <w:i/>
                <w:sz w:val="22"/>
                <w:szCs w:val="22"/>
                <w:lang w:bidi="en-US"/>
              </w:rPr>
              <w:t xml:space="preserve">iPhone I </w:t>
            </w:r>
            <w:r w:rsidR="00D97355">
              <w:rPr>
                <w:rFonts w:ascii="Calibri" w:hAnsi="Calibri" w:cs="Calibri"/>
                <w:b/>
                <w:sz w:val="22"/>
                <w:szCs w:val="22"/>
                <w:lang w:bidi="en-US"/>
              </w:rPr>
              <w:t>(also litigated by p</w:t>
            </w:r>
            <w:r w:rsidRPr="002347E0">
              <w:rPr>
                <w:rFonts w:ascii="Calibri" w:hAnsi="Calibri" w:cs="Calibri"/>
                <w:b/>
                <w:sz w:val="22"/>
                <w:szCs w:val="22"/>
                <w:lang w:bidi="en-US"/>
              </w:rPr>
              <w:t xml:space="preserve">laintiffs’ counsel), the plaintiffs’ expert, Dr. Simon </w:t>
            </w:r>
            <w:proofErr w:type="spellStart"/>
            <w:r w:rsidRPr="002347E0">
              <w:rPr>
                <w:rFonts w:ascii="Calibri" w:hAnsi="Calibri" w:cs="Calibri"/>
                <w:b/>
                <w:sz w:val="22"/>
                <w:szCs w:val="22"/>
                <w:lang w:bidi="en-US"/>
              </w:rPr>
              <w:t>Wilkie</w:t>
            </w:r>
            <w:proofErr w:type="spellEnd"/>
            <w:r w:rsidRPr="002347E0">
              <w:rPr>
                <w:rFonts w:ascii="Calibri" w:hAnsi="Calibri" w:cs="Calibri"/>
                <w:b/>
                <w:sz w:val="22"/>
                <w:szCs w:val="22"/>
                <w:lang w:bidi="en-US"/>
              </w:rPr>
              <w:t xml:space="preserve">, </w:t>
            </w:r>
            <w:r w:rsidR="00D97355" w:rsidRPr="002347E0">
              <w:rPr>
                <w:rFonts w:ascii="Calibri" w:hAnsi="Calibri" w:cs="Calibri"/>
                <w:b/>
                <w:sz w:val="22"/>
                <w:szCs w:val="22"/>
                <w:lang w:bidi="en-US"/>
              </w:rPr>
              <w:t>deduced</w:t>
            </w:r>
            <w:r w:rsidRPr="002347E0">
              <w:rPr>
                <w:rFonts w:ascii="Calibri" w:hAnsi="Calibri" w:cs="Calibri"/>
                <w:b/>
                <w:sz w:val="22"/>
                <w:szCs w:val="22"/>
                <w:lang w:bidi="en-US"/>
              </w:rPr>
              <w:t xml:space="preserve"> his damages theories into estimates of class-wide injury and damages at class certification.</w:t>
            </w:r>
          </w:p>
        </w:tc>
      </w:tr>
      <w:tr w:rsidR="00785BC0" w:rsidRPr="00907D75" w14:paraId="0A67076F" w14:textId="77777777" w:rsidTr="00093B76">
        <w:trPr>
          <w:gridAfter w:val="1"/>
          <w:wAfter w:w="198" w:type="dxa"/>
          <w:trHeight w:val="4795"/>
        </w:trPr>
        <w:tc>
          <w:tcPr>
            <w:tcW w:w="5805" w:type="dxa"/>
            <w:vAlign w:val="center"/>
          </w:tcPr>
          <w:p w14:paraId="0C149196" w14:textId="2236F833" w:rsidR="00785BC0" w:rsidRPr="002347E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result of the </w:t>
            </w:r>
            <w:r>
              <w:rPr>
                <w:rFonts w:ascii="Calibri" w:hAnsi="Calibri" w:cs="Calibri"/>
                <w:b/>
                <w:i/>
                <w:sz w:val="28"/>
                <w:szCs w:val="28"/>
              </w:rPr>
              <w:t>iPhone I</w:t>
            </w:r>
            <w:r>
              <w:rPr>
                <w:rFonts w:ascii="Calibri" w:hAnsi="Calibri" w:cs="Calibri"/>
                <w:b/>
                <w:sz w:val="28"/>
                <w:szCs w:val="28"/>
              </w:rPr>
              <w:t xml:space="preserve"> case?</w:t>
            </w:r>
          </w:p>
        </w:tc>
        <w:tc>
          <w:tcPr>
            <w:tcW w:w="5805" w:type="dxa"/>
            <w:gridSpan w:val="2"/>
            <w:vAlign w:val="center"/>
          </w:tcPr>
          <w:p w14:paraId="0C21DEA5" w14:textId="6E859ADE" w:rsidR="00785BC0" w:rsidRPr="001803EF"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 xml:space="preserve">Judge Ware certified a class in </w:t>
            </w:r>
            <w:r w:rsidRPr="002347E0">
              <w:rPr>
                <w:rFonts w:ascii="Calibri" w:hAnsi="Calibri" w:cs="Calibri"/>
                <w:b/>
                <w:i/>
                <w:sz w:val="22"/>
                <w:szCs w:val="22"/>
                <w:lang w:bidi="en-US"/>
              </w:rPr>
              <w:t>iPhone I</w:t>
            </w:r>
            <w:r>
              <w:rPr>
                <w:rFonts w:ascii="Calibri" w:hAnsi="Calibri" w:cs="Calibri"/>
                <w:b/>
                <w:sz w:val="22"/>
                <w:szCs w:val="22"/>
                <w:lang w:bidi="en-US"/>
              </w:rPr>
              <w:t>,</w:t>
            </w:r>
            <w:r w:rsidR="007867B1">
              <w:rPr>
                <w:rFonts w:ascii="Calibri" w:hAnsi="Calibri" w:cs="Calibri"/>
                <w:b/>
                <w:sz w:val="22"/>
                <w:szCs w:val="22"/>
                <w:lang w:bidi="en-US"/>
              </w:rPr>
              <w:t xml:space="preserve"> but </w:t>
            </w:r>
            <w:r>
              <w:rPr>
                <w:rFonts w:ascii="Calibri" w:hAnsi="Calibri" w:cs="Calibri"/>
                <w:b/>
                <w:sz w:val="22"/>
                <w:szCs w:val="22"/>
                <w:lang w:bidi="en-US"/>
              </w:rPr>
              <w:t>the</w:t>
            </w:r>
            <w:r w:rsidRPr="002347E0">
              <w:rPr>
                <w:rFonts w:ascii="Calibri" w:hAnsi="Calibri" w:cs="Calibri"/>
                <w:b/>
                <w:sz w:val="22"/>
                <w:szCs w:val="22"/>
                <w:lang w:bidi="en-US"/>
              </w:rPr>
              <w:t xml:space="preserve"> case came to an abrupt halt</w:t>
            </w:r>
            <w:r>
              <w:rPr>
                <w:rFonts w:ascii="Calibri" w:hAnsi="Calibri" w:cs="Calibri"/>
                <w:b/>
                <w:sz w:val="22"/>
                <w:szCs w:val="22"/>
                <w:lang w:bidi="en-US"/>
              </w:rPr>
              <w:t xml:space="preserve"> </w:t>
            </w:r>
            <w:r w:rsidR="00DF08DB">
              <w:rPr>
                <w:rFonts w:ascii="Calibri" w:hAnsi="Calibri" w:cs="Calibri"/>
                <w:b/>
                <w:sz w:val="22"/>
                <w:szCs w:val="22"/>
                <w:lang w:bidi="en-US"/>
              </w:rPr>
              <w:t xml:space="preserve">when the Supreme Court decided </w:t>
            </w:r>
            <w:r w:rsidR="00DF08DB">
              <w:rPr>
                <w:rFonts w:ascii="Calibri" w:hAnsi="Calibri" w:cs="Calibri"/>
                <w:b/>
                <w:i/>
                <w:sz w:val="22"/>
                <w:szCs w:val="22"/>
                <w:lang w:bidi="en-US"/>
              </w:rPr>
              <w:t>A</w:t>
            </w:r>
            <w:r w:rsidRPr="002347E0">
              <w:rPr>
                <w:rFonts w:ascii="Calibri" w:hAnsi="Calibri" w:cs="Calibri"/>
                <w:b/>
                <w:i/>
                <w:sz w:val="22"/>
                <w:szCs w:val="22"/>
                <w:lang w:bidi="en-US"/>
              </w:rPr>
              <w:t>T&amp;T Mobility LLC v. Concepcion</w:t>
            </w:r>
            <w:r>
              <w:rPr>
                <w:rFonts w:ascii="Calibri" w:hAnsi="Calibri" w:cs="Calibri"/>
                <w:b/>
                <w:sz w:val="22"/>
                <w:szCs w:val="22"/>
                <w:lang w:bidi="en-US"/>
              </w:rPr>
              <w:t xml:space="preserve"> </w:t>
            </w:r>
            <w:r w:rsidRPr="002347E0">
              <w:rPr>
                <w:rFonts w:ascii="Calibri" w:hAnsi="Calibri" w:cs="Calibri"/>
                <w:b/>
                <w:sz w:val="22"/>
                <w:szCs w:val="22"/>
                <w:lang w:bidi="en-US"/>
              </w:rPr>
              <w:t>(2011)</w:t>
            </w:r>
            <w:r>
              <w:rPr>
                <w:rFonts w:ascii="Calibri" w:hAnsi="Calibri" w:cs="Calibri"/>
                <w:b/>
                <w:sz w:val="22"/>
                <w:szCs w:val="22"/>
                <w:lang w:bidi="en-US"/>
              </w:rPr>
              <w:t xml:space="preserve">.  In that case, the Supreme Court held that </w:t>
            </w:r>
            <w:r w:rsidRPr="002347E0">
              <w:rPr>
                <w:rFonts w:ascii="Calibri" w:hAnsi="Calibri" w:cs="Calibri"/>
                <w:b/>
                <w:sz w:val="22"/>
                <w:szCs w:val="22"/>
                <w:lang w:bidi="en-US"/>
              </w:rPr>
              <w:t>an ar</w:t>
            </w:r>
            <w:r w:rsidR="007867B1">
              <w:rPr>
                <w:rFonts w:ascii="Calibri" w:hAnsi="Calibri" w:cs="Calibri"/>
                <w:b/>
                <w:sz w:val="22"/>
                <w:szCs w:val="22"/>
                <w:lang w:bidi="en-US"/>
              </w:rPr>
              <w:t xml:space="preserve">bitration clause within AT&amp;T’s </w:t>
            </w:r>
            <w:r w:rsidR="007867B1" w:rsidRPr="00FF7461">
              <w:rPr>
                <w:rFonts w:ascii="Calibri" w:hAnsi="Calibri" w:cs="Calibri"/>
                <w:b/>
                <w:sz w:val="22"/>
                <w:szCs w:val="22"/>
                <w:lang w:bidi="en-US"/>
              </w:rPr>
              <w:t>w</w:t>
            </w:r>
            <w:r w:rsidRPr="00FF7461">
              <w:rPr>
                <w:rFonts w:ascii="Calibri" w:hAnsi="Calibri" w:cs="Calibri"/>
                <w:b/>
                <w:sz w:val="22"/>
                <w:szCs w:val="22"/>
                <w:lang w:bidi="en-US"/>
              </w:rPr>
              <w:t xml:space="preserve">ireless </w:t>
            </w:r>
            <w:r w:rsidR="007867B1" w:rsidRPr="00FF7461">
              <w:rPr>
                <w:rFonts w:ascii="Calibri" w:hAnsi="Calibri" w:cs="Calibri"/>
                <w:b/>
                <w:sz w:val="22"/>
                <w:szCs w:val="22"/>
                <w:lang w:bidi="en-US"/>
              </w:rPr>
              <w:t>s</w:t>
            </w:r>
            <w:r w:rsidRPr="00FF7461">
              <w:rPr>
                <w:rFonts w:ascii="Calibri" w:hAnsi="Calibri" w:cs="Calibri"/>
                <w:b/>
                <w:sz w:val="22"/>
                <w:szCs w:val="22"/>
                <w:lang w:bidi="en-US"/>
              </w:rPr>
              <w:t>ervice</w:t>
            </w:r>
            <w:r w:rsidR="007867B1" w:rsidRPr="00FF7461">
              <w:rPr>
                <w:rFonts w:ascii="Calibri" w:hAnsi="Calibri" w:cs="Calibri"/>
                <w:b/>
                <w:sz w:val="22"/>
                <w:szCs w:val="22"/>
                <w:lang w:bidi="en-US"/>
              </w:rPr>
              <w:t xml:space="preserve"> a</w:t>
            </w:r>
            <w:r w:rsidRPr="00FF7461">
              <w:rPr>
                <w:rFonts w:ascii="Calibri" w:hAnsi="Calibri" w:cs="Calibri"/>
                <w:b/>
                <w:sz w:val="22"/>
                <w:szCs w:val="22"/>
                <w:lang w:bidi="en-US"/>
              </w:rPr>
              <w:t>greement compelled arbitration of plaintiffs’ claims.</w:t>
            </w:r>
            <w:r w:rsidR="00DF08DB" w:rsidRPr="00FF7461">
              <w:rPr>
                <w:rFonts w:ascii="Calibri" w:hAnsi="Calibri" w:cs="Calibri"/>
                <w:b/>
                <w:sz w:val="22"/>
                <w:szCs w:val="22"/>
                <w:lang w:bidi="en-US"/>
              </w:rPr>
              <w:t xml:space="preserve">  As a result, the district court granted AT&amp;T’s motion to compel </w:t>
            </w:r>
            <w:r w:rsidR="00FF7461">
              <w:rPr>
                <w:rFonts w:ascii="Calibri" w:hAnsi="Calibri" w:cs="Calibri"/>
                <w:b/>
                <w:sz w:val="22"/>
                <w:szCs w:val="22"/>
                <w:lang w:bidi="en-US"/>
              </w:rPr>
              <w:t xml:space="preserve">arbitration. </w:t>
            </w:r>
          </w:p>
        </w:tc>
      </w:tr>
      <w:tr w:rsidR="00715694" w:rsidRPr="00907D75" w14:paraId="653B246C" w14:textId="77777777" w:rsidTr="00093B76">
        <w:trPr>
          <w:gridAfter w:val="1"/>
          <w:wAfter w:w="198" w:type="dxa"/>
          <w:trHeight w:val="4795"/>
        </w:trPr>
        <w:tc>
          <w:tcPr>
            <w:tcW w:w="5805" w:type="dxa"/>
            <w:vAlign w:val="center"/>
          </w:tcPr>
          <w:p w14:paraId="4321B060" w14:textId="7763BE98" w:rsidR="00715694" w:rsidRPr="00715694" w:rsidRDefault="00715694"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7867B1">
              <w:rPr>
                <w:rFonts w:ascii="Calibri" w:hAnsi="Calibri" w:cs="Calibri"/>
                <w:b/>
                <w:sz w:val="28"/>
                <w:szCs w:val="28"/>
              </w:rPr>
              <w:t xml:space="preserve">was the </w:t>
            </w:r>
            <w:r>
              <w:rPr>
                <w:rFonts w:ascii="Calibri" w:hAnsi="Calibri" w:cs="Calibri"/>
                <w:b/>
                <w:sz w:val="28"/>
                <w:szCs w:val="28"/>
              </w:rPr>
              <w:t xml:space="preserve">class </w:t>
            </w:r>
            <w:r w:rsidR="007867B1">
              <w:rPr>
                <w:rFonts w:ascii="Calibri" w:hAnsi="Calibri" w:cs="Calibri"/>
                <w:b/>
                <w:sz w:val="28"/>
                <w:szCs w:val="28"/>
              </w:rPr>
              <w:t xml:space="preserve">that </w:t>
            </w:r>
            <w:r>
              <w:rPr>
                <w:rFonts w:ascii="Calibri" w:hAnsi="Calibri" w:cs="Calibri"/>
                <w:b/>
                <w:sz w:val="28"/>
                <w:szCs w:val="28"/>
              </w:rPr>
              <w:t>Judge Ware certif</w:t>
            </w:r>
            <w:r w:rsidR="007867B1">
              <w:rPr>
                <w:rFonts w:ascii="Calibri" w:hAnsi="Calibri" w:cs="Calibri"/>
                <w:b/>
                <w:sz w:val="28"/>
                <w:szCs w:val="28"/>
              </w:rPr>
              <w:t>ied</w:t>
            </w:r>
            <w:r>
              <w:rPr>
                <w:rFonts w:ascii="Calibri" w:hAnsi="Calibri" w:cs="Calibri"/>
                <w:b/>
                <w:sz w:val="28"/>
                <w:szCs w:val="28"/>
              </w:rPr>
              <w:t xml:space="preserve"> in </w:t>
            </w:r>
            <w:r w:rsidRPr="00715694">
              <w:rPr>
                <w:rFonts w:ascii="Calibri" w:hAnsi="Calibri" w:cs="Calibri"/>
                <w:b/>
                <w:i/>
                <w:sz w:val="28"/>
                <w:szCs w:val="28"/>
              </w:rPr>
              <w:t>iPhone I</w:t>
            </w:r>
            <w:r>
              <w:rPr>
                <w:rFonts w:ascii="Calibri" w:hAnsi="Calibri" w:cs="Calibri"/>
                <w:b/>
                <w:sz w:val="28"/>
                <w:szCs w:val="28"/>
              </w:rPr>
              <w:t>?</w:t>
            </w:r>
          </w:p>
        </w:tc>
        <w:tc>
          <w:tcPr>
            <w:tcW w:w="5805" w:type="dxa"/>
            <w:gridSpan w:val="2"/>
            <w:vAlign w:val="center"/>
          </w:tcPr>
          <w:p w14:paraId="7E78394C" w14:textId="0B97EB4D" w:rsidR="00715694" w:rsidRDefault="00251E15" w:rsidP="00785BC0">
            <w:pPr>
              <w:pStyle w:val="O-BodyText"/>
              <w:spacing w:after="120"/>
              <w:ind w:left="290" w:right="65"/>
              <w:jc w:val="both"/>
              <w:rPr>
                <w:rFonts w:ascii="Calibri" w:hAnsi="Calibri" w:cs="Calibri"/>
                <w:b/>
                <w:sz w:val="22"/>
                <w:szCs w:val="22"/>
                <w:lang w:bidi="en-US"/>
              </w:rPr>
            </w:pPr>
            <w:r w:rsidRPr="002C541A">
              <w:rPr>
                <w:rFonts w:ascii="Calibri" w:hAnsi="Calibri" w:cs="Calibri"/>
                <w:b/>
                <w:sz w:val="22"/>
                <w:szCs w:val="22"/>
                <w:highlight w:val="yellow"/>
                <w:lang w:bidi="en-US"/>
              </w:rPr>
              <w:t xml:space="preserve">In </w:t>
            </w:r>
            <w:r w:rsidRPr="002C541A">
              <w:rPr>
                <w:rFonts w:ascii="Calibri" w:hAnsi="Calibri" w:cs="Calibri"/>
                <w:b/>
                <w:i/>
                <w:sz w:val="22"/>
                <w:szCs w:val="22"/>
                <w:highlight w:val="yellow"/>
                <w:lang w:bidi="en-US"/>
              </w:rPr>
              <w:t>iPhone I</w:t>
            </w:r>
            <w:r w:rsidRPr="002C541A">
              <w:rPr>
                <w:rFonts w:ascii="Calibri" w:hAnsi="Calibri" w:cs="Calibri"/>
                <w:b/>
                <w:sz w:val="22"/>
                <w:szCs w:val="22"/>
                <w:highlight w:val="yellow"/>
                <w:lang w:bidi="en-US"/>
              </w:rPr>
              <w:t>, Judge Ware certified a class of “[a]</w:t>
            </w:r>
            <w:proofErr w:type="spellStart"/>
            <w:r w:rsidRPr="002C541A">
              <w:rPr>
                <w:rFonts w:ascii="Calibri" w:hAnsi="Calibri" w:cs="Calibri"/>
                <w:b/>
                <w:sz w:val="22"/>
                <w:szCs w:val="22"/>
                <w:highlight w:val="yellow"/>
                <w:lang w:bidi="en-US"/>
              </w:rPr>
              <w:t>ll</w:t>
            </w:r>
            <w:proofErr w:type="spellEnd"/>
            <w:r w:rsidRPr="002C541A">
              <w:rPr>
                <w:rFonts w:ascii="Calibri" w:hAnsi="Calibri" w:cs="Calibri"/>
                <w:b/>
                <w:sz w:val="22"/>
                <w:szCs w:val="22"/>
                <w:highlight w:val="yellow"/>
                <w:lang w:bidi="en-US"/>
              </w:rPr>
              <w:t xml:space="preserve"> persons who purchased or acquired an iPhone in the United States and entered into a two-year agreement with Defendant AT&amp;T Mobility, LLC for iPhone voice and data service any time from June 29, 2007, to the present.” </w:t>
            </w:r>
            <w:r w:rsidR="00DF08DB" w:rsidRPr="002C541A">
              <w:rPr>
                <w:rFonts w:ascii="Calibri" w:hAnsi="Calibri" w:cs="Calibri"/>
                <w:b/>
                <w:sz w:val="22"/>
                <w:szCs w:val="22"/>
                <w:highlight w:val="yellow"/>
                <w:lang w:bidi="en-US"/>
              </w:rPr>
              <w:t xml:space="preserve"> </w:t>
            </w:r>
            <w:r w:rsidR="00DF08DB" w:rsidRPr="002C541A">
              <w:rPr>
                <w:rFonts w:ascii="Calibri" w:hAnsi="Calibri" w:cs="Calibri"/>
                <w:b/>
                <w:i/>
                <w:sz w:val="22"/>
                <w:szCs w:val="22"/>
                <w:highlight w:val="yellow"/>
                <w:lang w:bidi="en-US"/>
              </w:rPr>
              <w:t>In re Apple &amp; AT&amp;TM Antitrust Litig.</w:t>
            </w:r>
            <w:r w:rsidR="00DF08DB" w:rsidRPr="002C541A">
              <w:rPr>
                <w:rFonts w:ascii="Calibri" w:hAnsi="Calibri" w:cs="Calibri"/>
                <w:b/>
                <w:sz w:val="22"/>
                <w:szCs w:val="22"/>
                <w:highlight w:val="yellow"/>
                <w:lang w:bidi="en-US"/>
              </w:rPr>
              <w:t xml:space="preserve"> </w:t>
            </w:r>
            <w:r w:rsidRPr="002C541A">
              <w:rPr>
                <w:rFonts w:ascii="Calibri" w:hAnsi="Calibri" w:cs="Calibri"/>
                <w:b/>
                <w:sz w:val="22"/>
                <w:szCs w:val="22"/>
                <w:highlight w:val="yellow"/>
                <w:lang w:bidi="en-US"/>
              </w:rPr>
              <w:t>(N.D. Cal. July 8, 2010).</w:t>
            </w:r>
            <w:r w:rsidR="00CE52D2" w:rsidRPr="002C541A">
              <w:rPr>
                <w:rFonts w:ascii="Calibri" w:hAnsi="Calibri" w:cs="Calibri"/>
                <w:b/>
                <w:sz w:val="22"/>
                <w:szCs w:val="22"/>
                <w:highlight w:val="yellow"/>
                <w:lang w:bidi="en-US"/>
              </w:rPr>
              <w:t xml:space="preserve">  Ward Br. 7.</w:t>
            </w:r>
            <w:r w:rsidR="00FF7461" w:rsidRPr="002C541A">
              <w:rPr>
                <w:rFonts w:ascii="Calibri" w:hAnsi="Calibri" w:cs="Calibri"/>
                <w:b/>
                <w:sz w:val="22"/>
                <w:szCs w:val="22"/>
                <w:highlight w:val="yellow"/>
                <w:lang w:bidi="en-US"/>
              </w:rPr>
              <w:t xml:space="preserve"> Plaintiffs note that this class is identical to the one they want to have certified here, but they are now proceeding on a narrower theory, based only on renewal service.</w:t>
            </w:r>
          </w:p>
        </w:tc>
      </w:tr>
      <w:tr w:rsidR="00785BC0" w:rsidRPr="00907D75" w14:paraId="0143A416" w14:textId="77777777" w:rsidTr="00093B76">
        <w:trPr>
          <w:gridAfter w:val="1"/>
          <w:wAfter w:w="198" w:type="dxa"/>
          <w:trHeight w:val="4795"/>
        </w:trPr>
        <w:tc>
          <w:tcPr>
            <w:tcW w:w="5805" w:type="dxa"/>
            <w:vAlign w:val="center"/>
          </w:tcPr>
          <w:p w14:paraId="2F901EE1" w14:textId="098D36A6"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happened after the claims against AT&amp;T in </w:t>
            </w:r>
            <w:r w:rsidRPr="000F4665">
              <w:rPr>
                <w:rFonts w:ascii="Calibri" w:hAnsi="Calibri" w:cs="Calibri"/>
                <w:b/>
                <w:i/>
                <w:sz w:val="28"/>
                <w:szCs w:val="28"/>
              </w:rPr>
              <w:t>iPhone I</w:t>
            </w:r>
            <w:r>
              <w:rPr>
                <w:rFonts w:ascii="Calibri" w:hAnsi="Calibri" w:cs="Calibri"/>
                <w:b/>
                <w:sz w:val="28"/>
                <w:szCs w:val="28"/>
              </w:rPr>
              <w:t xml:space="preserve"> went to arbitration?</w:t>
            </w:r>
          </w:p>
        </w:tc>
        <w:tc>
          <w:tcPr>
            <w:tcW w:w="5805" w:type="dxa"/>
            <w:gridSpan w:val="2"/>
            <w:vAlign w:val="center"/>
          </w:tcPr>
          <w:p w14:paraId="5E9764C6" w14:textId="62D6DDA5" w:rsidR="00785BC0" w:rsidRPr="000F4665" w:rsidRDefault="00785BC0" w:rsidP="00785BC0">
            <w:pPr>
              <w:pStyle w:val="O-BodyText"/>
              <w:spacing w:after="120"/>
              <w:ind w:left="290" w:right="65"/>
              <w:rPr>
                <w:rFonts w:ascii="Calibri" w:hAnsi="Calibri" w:cs="Calibri"/>
                <w:b/>
                <w:sz w:val="22"/>
                <w:szCs w:val="22"/>
                <w:lang w:bidi="en-US"/>
              </w:rPr>
            </w:pPr>
            <w:r w:rsidRPr="000F4665">
              <w:rPr>
                <w:rFonts w:ascii="Calibri" w:hAnsi="Calibri" w:cs="Calibri"/>
                <w:b/>
                <w:sz w:val="22"/>
                <w:szCs w:val="22"/>
                <w:lang w:bidi="en-US"/>
              </w:rPr>
              <w:t xml:space="preserve">Plaintiffs’ counsel </w:t>
            </w:r>
            <w:r>
              <w:rPr>
                <w:rFonts w:ascii="Calibri" w:hAnsi="Calibri" w:cs="Calibri"/>
                <w:b/>
                <w:sz w:val="22"/>
                <w:szCs w:val="22"/>
                <w:lang w:bidi="en-US"/>
              </w:rPr>
              <w:t>brought</w:t>
            </w:r>
            <w:r w:rsidRPr="000F4665">
              <w:rPr>
                <w:rFonts w:ascii="Calibri" w:hAnsi="Calibri" w:cs="Calibri"/>
                <w:b/>
                <w:sz w:val="22"/>
                <w:szCs w:val="22"/>
                <w:lang w:bidi="en-US"/>
              </w:rPr>
              <w:t xml:space="preserve"> a second lawsuit (“</w:t>
            </w:r>
            <w:r w:rsidR="007867B1">
              <w:rPr>
                <w:rFonts w:ascii="Calibri" w:hAnsi="Calibri" w:cs="Calibri"/>
                <w:b/>
                <w:i/>
                <w:sz w:val="22"/>
                <w:szCs w:val="22"/>
                <w:lang w:bidi="en-US"/>
              </w:rPr>
              <w:t>iPhone II</w:t>
            </w:r>
            <w:r w:rsidRPr="000F4665">
              <w:rPr>
                <w:rFonts w:ascii="Calibri" w:hAnsi="Calibri" w:cs="Calibri"/>
                <w:b/>
                <w:sz w:val="22"/>
                <w:szCs w:val="22"/>
                <w:lang w:bidi="en-US"/>
              </w:rPr>
              <w:t>”</w:t>
            </w:r>
            <w:r w:rsidR="007867B1">
              <w:rPr>
                <w:rFonts w:ascii="Calibri" w:hAnsi="Calibri" w:cs="Calibri"/>
                <w:b/>
                <w:sz w:val="22"/>
                <w:szCs w:val="22"/>
                <w:lang w:bidi="en-US"/>
              </w:rPr>
              <w:t xml:space="preserve"> </w:t>
            </w:r>
            <w:r w:rsidRPr="000F4665">
              <w:rPr>
                <w:rFonts w:ascii="Calibri" w:hAnsi="Calibri" w:cs="Calibri"/>
                <w:b/>
                <w:sz w:val="22"/>
                <w:szCs w:val="22"/>
                <w:lang w:bidi="en-US"/>
              </w:rPr>
              <w:t>or “</w:t>
            </w:r>
            <w:r w:rsidRPr="000F4665">
              <w:rPr>
                <w:rFonts w:ascii="Calibri" w:hAnsi="Calibri" w:cs="Calibri"/>
                <w:b/>
                <w:i/>
                <w:sz w:val="22"/>
                <w:szCs w:val="22"/>
                <w:lang w:bidi="en-US"/>
              </w:rPr>
              <w:t>Pepper</w:t>
            </w:r>
            <w:r w:rsidRPr="000F4665">
              <w:rPr>
                <w:rFonts w:ascii="Calibri" w:hAnsi="Calibri" w:cs="Calibri"/>
                <w:b/>
                <w:sz w:val="22"/>
                <w:szCs w:val="22"/>
                <w:lang w:bidi="en-US"/>
              </w:rPr>
              <w:t>”), which attempted to circumvent the arbitration clause by na</w:t>
            </w:r>
            <w:r>
              <w:rPr>
                <w:rFonts w:ascii="Calibri" w:hAnsi="Calibri" w:cs="Calibri"/>
                <w:b/>
                <w:sz w:val="22"/>
                <w:szCs w:val="22"/>
                <w:lang w:bidi="en-US"/>
              </w:rPr>
              <w:t>ming only Apple as a defendant.</w:t>
            </w:r>
          </w:p>
          <w:p w14:paraId="46FD5F73" w14:textId="5D5D47C6" w:rsidR="00785BC0" w:rsidRPr="007C6A0B" w:rsidRDefault="00785BC0" w:rsidP="00785BC0">
            <w:pPr>
              <w:pStyle w:val="O-BodyText"/>
              <w:spacing w:after="120"/>
              <w:ind w:left="290" w:right="65"/>
              <w:jc w:val="both"/>
              <w:rPr>
                <w:rFonts w:ascii="Calibri" w:hAnsi="Calibri" w:cs="Calibri"/>
                <w:b/>
                <w:sz w:val="22"/>
                <w:szCs w:val="22"/>
              </w:rPr>
            </w:pPr>
          </w:p>
        </w:tc>
      </w:tr>
      <w:tr w:rsidR="00060C38" w:rsidRPr="00907D75" w14:paraId="13FEFD86" w14:textId="77777777" w:rsidTr="00093B76">
        <w:trPr>
          <w:gridAfter w:val="1"/>
          <w:wAfter w:w="198" w:type="dxa"/>
          <w:trHeight w:val="4795"/>
        </w:trPr>
        <w:tc>
          <w:tcPr>
            <w:tcW w:w="5805" w:type="dxa"/>
            <w:vAlign w:val="center"/>
          </w:tcPr>
          <w:p w14:paraId="7E1B9CAF" w14:textId="754483D3" w:rsidR="00060C38" w:rsidRPr="00FF7461" w:rsidRDefault="00060C38" w:rsidP="00785BC0">
            <w:pPr>
              <w:pStyle w:val="O-BodyText"/>
              <w:spacing w:after="120"/>
              <w:ind w:right="200"/>
              <w:jc w:val="both"/>
              <w:rPr>
                <w:rFonts w:ascii="Calibri" w:hAnsi="Calibri" w:cs="Calibri"/>
                <w:b/>
                <w:sz w:val="28"/>
                <w:szCs w:val="28"/>
              </w:rPr>
            </w:pPr>
            <w:r w:rsidRPr="00FF7461">
              <w:rPr>
                <w:rFonts w:ascii="Calibri" w:hAnsi="Calibri" w:cs="Calibri"/>
                <w:b/>
                <w:sz w:val="28"/>
                <w:szCs w:val="28"/>
              </w:rPr>
              <w:t xml:space="preserve">When did plaintiffs file the complaint in </w:t>
            </w:r>
            <w:r w:rsidRPr="00FF7461">
              <w:rPr>
                <w:rFonts w:ascii="Calibri" w:hAnsi="Calibri" w:cs="Calibri"/>
                <w:b/>
                <w:i/>
                <w:sz w:val="28"/>
                <w:szCs w:val="28"/>
              </w:rPr>
              <w:t>iPhone II</w:t>
            </w:r>
            <w:r w:rsidRPr="00FF7461">
              <w:rPr>
                <w:rFonts w:ascii="Calibri" w:hAnsi="Calibri" w:cs="Calibri"/>
                <w:b/>
                <w:sz w:val="28"/>
                <w:szCs w:val="28"/>
              </w:rPr>
              <w:t xml:space="preserve"> (or </w:t>
            </w:r>
            <w:r w:rsidRPr="00FF7461">
              <w:rPr>
                <w:rFonts w:ascii="Calibri" w:hAnsi="Calibri" w:cs="Calibri"/>
                <w:b/>
                <w:i/>
                <w:sz w:val="28"/>
                <w:szCs w:val="28"/>
              </w:rPr>
              <w:t>Pepper</w:t>
            </w:r>
            <w:r w:rsidRPr="00FF7461">
              <w:rPr>
                <w:rFonts w:ascii="Calibri" w:hAnsi="Calibri" w:cs="Calibri"/>
                <w:b/>
                <w:sz w:val="28"/>
                <w:szCs w:val="28"/>
              </w:rPr>
              <w:t>)?</w:t>
            </w:r>
          </w:p>
        </w:tc>
        <w:tc>
          <w:tcPr>
            <w:tcW w:w="5805" w:type="dxa"/>
            <w:gridSpan w:val="2"/>
            <w:vAlign w:val="center"/>
          </w:tcPr>
          <w:p w14:paraId="0456E0E9" w14:textId="248D565C" w:rsidR="00060C38" w:rsidRPr="00FF7461" w:rsidRDefault="00060C38" w:rsidP="00785BC0">
            <w:pPr>
              <w:pStyle w:val="O-BodyText"/>
              <w:spacing w:after="120"/>
              <w:ind w:left="290" w:right="65"/>
              <w:rPr>
                <w:rFonts w:ascii="Calibri" w:hAnsi="Calibri" w:cs="Calibri"/>
                <w:b/>
                <w:sz w:val="22"/>
                <w:szCs w:val="22"/>
                <w:lang w:bidi="en-US"/>
              </w:rPr>
            </w:pPr>
            <w:r w:rsidRPr="00A8781C">
              <w:rPr>
                <w:rFonts w:ascii="Calibri" w:hAnsi="Calibri" w:cs="Calibri"/>
                <w:b/>
                <w:sz w:val="22"/>
                <w:szCs w:val="22"/>
                <w:highlight w:val="yellow"/>
                <w:lang w:bidi="en-US"/>
              </w:rPr>
              <w:t xml:space="preserve">On October 19, 2012, plaintiffs </w:t>
            </w:r>
            <w:r w:rsidR="007867B1" w:rsidRPr="00A8781C">
              <w:rPr>
                <w:rFonts w:ascii="Calibri" w:hAnsi="Calibri" w:cs="Calibri"/>
                <w:b/>
                <w:sz w:val="22"/>
                <w:szCs w:val="22"/>
                <w:highlight w:val="yellow"/>
                <w:lang w:bidi="en-US"/>
              </w:rPr>
              <w:t xml:space="preserve">filed the complaint in </w:t>
            </w:r>
            <w:r w:rsidR="007867B1" w:rsidRPr="00A8781C">
              <w:rPr>
                <w:rFonts w:ascii="Calibri" w:hAnsi="Calibri" w:cs="Calibri"/>
                <w:b/>
                <w:i/>
                <w:sz w:val="22"/>
                <w:szCs w:val="22"/>
                <w:highlight w:val="yellow"/>
                <w:lang w:bidi="en-US"/>
              </w:rPr>
              <w:t>Pepper</w:t>
            </w:r>
            <w:r w:rsidR="007867B1" w:rsidRPr="00A8781C">
              <w:rPr>
                <w:rFonts w:ascii="Calibri" w:hAnsi="Calibri" w:cs="Calibri"/>
                <w:b/>
                <w:sz w:val="22"/>
                <w:szCs w:val="22"/>
                <w:highlight w:val="yellow"/>
                <w:lang w:bidi="en-US"/>
              </w:rPr>
              <w:t xml:space="preserve"> against Apple</w:t>
            </w:r>
            <w:r w:rsidRPr="00A8781C">
              <w:rPr>
                <w:rFonts w:ascii="Calibri" w:hAnsi="Calibri" w:cs="Calibri"/>
                <w:b/>
                <w:sz w:val="22"/>
                <w:szCs w:val="22"/>
                <w:highlight w:val="yellow"/>
                <w:lang w:bidi="en-US"/>
              </w:rPr>
              <w:t xml:space="preserve"> only.  Ward Br. 7.</w:t>
            </w:r>
          </w:p>
        </w:tc>
      </w:tr>
      <w:tr w:rsidR="00785BC0" w:rsidRPr="00907D75" w14:paraId="4A194ABA" w14:textId="77777777" w:rsidTr="00093B76">
        <w:trPr>
          <w:gridAfter w:val="1"/>
          <w:wAfter w:w="198" w:type="dxa"/>
          <w:trHeight w:val="4795"/>
        </w:trPr>
        <w:tc>
          <w:tcPr>
            <w:tcW w:w="5805" w:type="dxa"/>
            <w:vAlign w:val="center"/>
          </w:tcPr>
          <w:p w14:paraId="686D4618" w14:textId="2BAC16D8"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What happened in </w:t>
            </w:r>
            <w:r w:rsidR="007A1D0C">
              <w:rPr>
                <w:rFonts w:ascii="Calibri" w:hAnsi="Calibri" w:cs="Calibri"/>
                <w:b/>
                <w:i/>
                <w:sz w:val="28"/>
                <w:szCs w:val="28"/>
              </w:rPr>
              <w:t>iPhone II</w:t>
            </w:r>
            <w:r>
              <w:rPr>
                <w:rFonts w:ascii="Calibri" w:hAnsi="Calibri" w:cs="Calibri"/>
                <w:b/>
                <w:sz w:val="28"/>
                <w:szCs w:val="28"/>
              </w:rPr>
              <w:t>?</w:t>
            </w:r>
          </w:p>
        </w:tc>
        <w:tc>
          <w:tcPr>
            <w:tcW w:w="5805" w:type="dxa"/>
            <w:gridSpan w:val="2"/>
            <w:vAlign w:val="center"/>
          </w:tcPr>
          <w:p w14:paraId="4326FF34" w14:textId="7C183086" w:rsidR="00785BC0" w:rsidRPr="00245464" w:rsidRDefault="00785BC0" w:rsidP="00785BC0">
            <w:pPr>
              <w:pStyle w:val="O-BodyText"/>
              <w:spacing w:after="120"/>
              <w:ind w:left="290" w:right="65"/>
              <w:jc w:val="both"/>
              <w:rPr>
                <w:rFonts w:ascii="Calibri" w:hAnsi="Calibri" w:cs="Calibri"/>
                <w:b/>
                <w:sz w:val="22"/>
                <w:szCs w:val="22"/>
              </w:rPr>
            </w:pPr>
            <w:r w:rsidRPr="000F4665">
              <w:rPr>
                <w:rFonts w:ascii="Calibri" w:hAnsi="Calibri" w:cs="Calibri"/>
                <w:b/>
                <w:sz w:val="22"/>
                <w:szCs w:val="22"/>
                <w:lang w:bidi="en-US"/>
              </w:rPr>
              <w:t xml:space="preserve">Judge Ware dismissed the monopolization claims in </w:t>
            </w:r>
            <w:r w:rsidR="007A1D0C">
              <w:rPr>
                <w:rFonts w:ascii="Calibri" w:hAnsi="Calibri" w:cs="Calibri"/>
                <w:b/>
                <w:i/>
                <w:sz w:val="22"/>
                <w:szCs w:val="22"/>
                <w:lang w:bidi="en-US"/>
              </w:rPr>
              <w:t>iPhone II</w:t>
            </w:r>
            <w:r w:rsidRPr="000F4665">
              <w:rPr>
                <w:rFonts w:ascii="Calibri" w:hAnsi="Calibri" w:cs="Calibri"/>
                <w:b/>
                <w:sz w:val="22"/>
                <w:szCs w:val="22"/>
                <w:lang w:bidi="en-US"/>
              </w:rPr>
              <w:t xml:space="preserve"> because he concluded that AT&amp;T was an indispensable party. </w:t>
            </w:r>
            <w:r>
              <w:rPr>
                <w:rFonts w:ascii="Calibri" w:hAnsi="Calibri" w:cs="Calibri"/>
                <w:b/>
                <w:sz w:val="22"/>
                <w:szCs w:val="22"/>
                <w:lang w:bidi="en-US"/>
              </w:rPr>
              <w:t xml:space="preserve"> </w:t>
            </w:r>
            <w:r w:rsidRPr="000F4665">
              <w:rPr>
                <w:rFonts w:ascii="Calibri" w:hAnsi="Calibri" w:cs="Calibri"/>
                <w:b/>
                <w:sz w:val="22"/>
                <w:szCs w:val="22"/>
                <w:lang w:bidi="en-US"/>
              </w:rPr>
              <w:t xml:space="preserve">Plaintiffs’ counsel </w:t>
            </w:r>
            <w:r>
              <w:rPr>
                <w:rFonts w:ascii="Calibri" w:hAnsi="Calibri" w:cs="Calibri"/>
                <w:b/>
                <w:sz w:val="22"/>
                <w:szCs w:val="22"/>
                <w:lang w:bidi="en-US"/>
              </w:rPr>
              <w:t>then</w:t>
            </w:r>
            <w:r w:rsidRPr="000F4665">
              <w:rPr>
                <w:rFonts w:ascii="Calibri" w:hAnsi="Calibri" w:cs="Calibri"/>
                <w:b/>
                <w:sz w:val="22"/>
                <w:szCs w:val="22"/>
                <w:lang w:bidi="en-US"/>
              </w:rPr>
              <w:t xml:space="preserve"> proceeded </w:t>
            </w:r>
            <w:r w:rsidRPr="00FF7461">
              <w:rPr>
                <w:rFonts w:ascii="Calibri" w:hAnsi="Calibri" w:cs="Calibri"/>
                <w:b/>
                <w:sz w:val="22"/>
                <w:szCs w:val="22"/>
                <w:lang w:bidi="en-US"/>
              </w:rPr>
              <w:t xml:space="preserve">with an amended complaint focused solely on Apple’s role as the exclusive distributor of apps for the iPhone.  In May 2019, the Supreme Court held that customers who purchased apps for their iPhones though Apple’s app store, were direct purchasers from Apple under </w:t>
            </w:r>
            <w:r w:rsidRPr="00FF7461">
              <w:rPr>
                <w:rFonts w:ascii="Calibri" w:hAnsi="Calibri" w:cs="Calibri"/>
                <w:b/>
                <w:i/>
                <w:sz w:val="22"/>
                <w:szCs w:val="22"/>
                <w:lang w:bidi="en-US"/>
              </w:rPr>
              <w:t>Illinois Brick Co. v. Illinois</w:t>
            </w:r>
            <w:r w:rsidRPr="00FF7461">
              <w:rPr>
                <w:rFonts w:ascii="Calibri" w:hAnsi="Calibri" w:cs="Calibri"/>
                <w:b/>
                <w:sz w:val="22"/>
                <w:szCs w:val="22"/>
                <w:lang w:bidi="en-US"/>
              </w:rPr>
              <w:t xml:space="preserve"> and may sue Apple for allegedly monopolizing the retail market for the sale of iPhone apps.  </w:t>
            </w:r>
            <w:r w:rsidRPr="00FF7461">
              <w:rPr>
                <w:rFonts w:ascii="Calibri" w:hAnsi="Calibri" w:cs="Calibri"/>
                <w:b/>
                <w:i/>
                <w:sz w:val="22"/>
                <w:szCs w:val="22"/>
                <w:lang w:bidi="en-US"/>
              </w:rPr>
              <w:t>See Apple Inc. v. Pepper</w:t>
            </w:r>
            <w:r w:rsidRPr="00FF7461">
              <w:rPr>
                <w:rFonts w:ascii="Calibri" w:hAnsi="Calibri" w:cs="Calibri"/>
                <w:b/>
                <w:sz w:val="22"/>
                <w:szCs w:val="22"/>
                <w:lang w:bidi="en-US"/>
              </w:rPr>
              <w:t xml:space="preserve"> (2019).</w:t>
            </w:r>
          </w:p>
        </w:tc>
      </w:tr>
      <w:tr w:rsidR="00785BC0" w:rsidRPr="00907D75" w14:paraId="17DE4E03" w14:textId="77777777" w:rsidTr="00093B76">
        <w:trPr>
          <w:gridAfter w:val="1"/>
          <w:wAfter w:w="198" w:type="dxa"/>
          <w:trHeight w:val="4795"/>
        </w:trPr>
        <w:tc>
          <w:tcPr>
            <w:tcW w:w="5805" w:type="dxa"/>
            <w:vAlign w:val="center"/>
          </w:tcPr>
          <w:p w14:paraId="62B686B2" w14:textId="605D524C"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basis for this lawsuit?</w:t>
            </w:r>
          </w:p>
        </w:tc>
        <w:tc>
          <w:tcPr>
            <w:tcW w:w="5805" w:type="dxa"/>
            <w:gridSpan w:val="2"/>
            <w:vAlign w:val="center"/>
          </w:tcPr>
          <w:p w14:paraId="50893756" w14:textId="2A1D3B33" w:rsidR="00785BC0" w:rsidRPr="000727A5" w:rsidRDefault="00785BC0" w:rsidP="00785BC0">
            <w:pPr>
              <w:pStyle w:val="O-BodyText"/>
              <w:spacing w:after="120"/>
              <w:ind w:left="290" w:right="65"/>
              <w:rPr>
                <w:rFonts w:ascii="Calibri" w:hAnsi="Calibri" w:cs="Calibri"/>
                <w:b/>
                <w:sz w:val="22"/>
                <w:szCs w:val="22"/>
                <w:lang w:bidi="en-US"/>
              </w:rPr>
            </w:pPr>
            <w:r w:rsidRPr="000727A5">
              <w:rPr>
                <w:rFonts w:ascii="Calibri" w:hAnsi="Calibri" w:cs="Calibri"/>
                <w:b/>
                <w:sz w:val="22"/>
                <w:szCs w:val="22"/>
                <w:lang w:bidi="en-US"/>
              </w:rPr>
              <w:t>This lawsuit (“</w:t>
            </w:r>
            <w:r w:rsidRPr="000727A5">
              <w:rPr>
                <w:rFonts w:ascii="Calibri" w:hAnsi="Calibri" w:cs="Calibri"/>
                <w:b/>
                <w:i/>
                <w:sz w:val="22"/>
                <w:szCs w:val="22"/>
                <w:lang w:bidi="en-US"/>
              </w:rPr>
              <w:t>Ward</w:t>
            </w:r>
            <w:r w:rsidRPr="000727A5">
              <w:rPr>
                <w:rFonts w:ascii="Calibri" w:hAnsi="Calibri" w:cs="Calibri"/>
                <w:b/>
                <w:sz w:val="22"/>
                <w:szCs w:val="22"/>
                <w:lang w:bidi="en-US"/>
              </w:rPr>
              <w:t>” or “</w:t>
            </w:r>
            <w:r w:rsidRPr="000727A5">
              <w:rPr>
                <w:rFonts w:ascii="Calibri" w:hAnsi="Calibri" w:cs="Calibri"/>
                <w:b/>
                <w:i/>
                <w:sz w:val="22"/>
                <w:szCs w:val="22"/>
                <w:lang w:bidi="en-US"/>
              </w:rPr>
              <w:t>iPhone III</w:t>
            </w:r>
            <w:r w:rsidRPr="000727A5">
              <w:rPr>
                <w:rFonts w:ascii="Calibri" w:hAnsi="Calibri" w:cs="Calibri"/>
                <w:b/>
                <w:sz w:val="22"/>
                <w:szCs w:val="22"/>
                <w:lang w:bidi="en-US"/>
              </w:rPr>
              <w:t xml:space="preserve">”) was </w:t>
            </w:r>
            <w:r>
              <w:rPr>
                <w:rFonts w:ascii="Calibri" w:hAnsi="Calibri" w:cs="Calibri"/>
                <w:b/>
                <w:sz w:val="22"/>
                <w:szCs w:val="22"/>
                <w:lang w:bidi="en-US"/>
              </w:rPr>
              <w:t>brought</w:t>
            </w:r>
            <w:r w:rsidRPr="000727A5">
              <w:rPr>
                <w:rFonts w:ascii="Calibri" w:hAnsi="Calibri" w:cs="Calibri"/>
                <w:b/>
                <w:sz w:val="22"/>
                <w:szCs w:val="22"/>
                <w:lang w:bidi="en-US"/>
              </w:rPr>
              <w:t xml:space="preserve"> </w:t>
            </w:r>
            <w:proofErr w:type="gramStart"/>
            <w:r w:rsidRPr="000727A5">
              <w:rPr>
                <w:rFonts w:ascii="Calibri" w:hAnsi="Calibri" w:cs="Calibri"/>
                <w:b/>
                <w:sz w:val="22"/>
                <w:szCs w:val="22"/>
                <w:lang w:bidi="en-US"/>
              </w:rPr>
              <w:t xml:space="preserve">as a </w:t>
            </w:r>
            <w:r w:rsidR="007A1D0C">
              <w:rPr>
                <w:rFonts w:ascii="Calibri" w:hAnsi="Calibri" w:cs="Calibri"/>
                <w:b/>
                <w:sz w:val="22"/>
                <w:szCs w:val="22"/>
                <w:lang w:bidi="en-US"/>
              </w:rPr>
              <w:t xml:space="preserve">way </w:t>
            </w:r>
            <w:r w:rsidRPr="000727A5">
              <w:rPr>
                <w:rFonts w:ascii="Calibri" w:hAnsi="Calibri" w:cs="Calibri"/>
                <w:b/>
                <w:sz w:val="22"/>
                <w:szCs w:val="22"/>
                <w:lang w:bidi="en-US"/>
              </w:rPr>
              <w:t>to</w:t>
            </w:r>
            <w:proofErr w:type="gramEnd"/>
            <w:r w:rsidRPr="000727A5">
              <w:rPr>
                <w:rFonts w:ascii="Calibri" w:hAnsi="Calibri" w:cs="Calibri"/>
                <w:b/>
                <w:sz w:val="22"/>
                <w:szCs w:val="22"/>
                <w:lang w:bidi="en-US"/>
              </w:rPr>
              <w:t xml:space="preserve"> obtain immediate appellate review of Judge Ware’s indispensable party ruling in </w:t>
            </w:r>
            <w:r w:rsidRPr="000727A5">
              <w:rPr>
                <w:rFonts w:ascii="Calibri" w:hAnsi="Calibri" w:cs="Calibri"/>
                <w:b/>
                <w:i/>
                <w:sz w:val="22"/>
                <w:szCs w:val="22"/>
                <w:lang w:bidi="en-US"/>
              </w:rPr>
              <w:t>iPhone II</w:t>
            </w:r>
            <w:r w:rsidRPr="000727A5">
              <w:rPr>
                <w:rFonts w:ascii="Calibri" w:hAnsi="Calibri" w:cs="Calibri"/>
                <w:b/>
                <w:sz w:val="22"/>
                <w:szCs w:val="22"/>
                <w:lang w:bidi="en-US"/>
              </w:rPr>
              <w:t xml:space="preserve">. </w:t>
            </w:r>
            <w:r>
              <w:rPr>
                <w:rFonts w:ascii="Calibri" w:hAnsi="Calibri" w:cs="Calibri"/>
                <w:b/>
                <w:sz w:val="22"/>
                <w:szCs w:val="22"/>
                <w:lang w:bidi="en-US"/>
              </w:rPr>
              <w:t xml:space="preserve"> </w:t>
            </w:r>
            <w:r w:rsidRPr="000727A5">
              <w:rPr>
                <w:rFonts w:ascii="Calibri" w:hAnsi="Calibri" w:cs="Calibri"/>
                <w:b/>
                <w:sz w:val="22"/>
                <w:szCs w:val="22"/>
                <w:lang w:bidi="en-US"/>
              </w:rPr>
              <w:t xml:space="preserve">Plaintiffs’ counsel drafted a complaint </w:t>
            </w:r>
            <w:r>
              <w:rPr>
                <w:rFonts w:ascii="Calibri" w:hAnsi="Calibri" w:cs="Calibri"/>
                <w:b/>
                <w:sz w:val="22"/>
                <w:szCs w:val="22"/>
                <w:lang w:bidi="en-US"/>
              </w:rPr>
              <w:t>that included</w:t>
            </w:r>
            <w:r w:rsidRPr="000727A5">
              <w:rPr>
                <w:rFonts w:ascii="Calibri" w:hAnsi="Calibri" w:cs="Calibri"/>
                <w:b/>
                <w:sz w:val="22"/>
                <w:szCs w:val="22"/>
                <w:lang w:bidi="en-US"/>
              </w:rPr>
              <w:t xml:space="preserve"> the AT&amp;T-related claims from </w:t>
            </w:r>
            <w:r w:rsidRPr="000727A5">
              <w:rPr>
                <w:rFonts w:ascii="Calibri" w:hAnsi="Calibri" w:cs="Calibri"/>
                <w:b/>
                <w:i/>
                <w:sz w:val="22"/>
                <w:szCs w:val="22"/>
                <w:lang w:bidi="en-US"/>
              </w:rPr>
              <w:t>iPhone II</w:t>
            </w:r>
            <w:r w:rsidRPr="000727A5">
              <w:rPr>
                <w:rFonts w:ascii="Calibri" w:hAnsi="Calibri" w:cs="Calibri"/>
                <w:b/>
                <w:sz w:val="22"/>
                <w:szCs w:val="22"/>
                <w:lang w:bidi="en-US"/>
              </w:rPr>
              <w:t xml:space="preserve">, and then proposed a stipulated dismissal of the case based on Judge Ware’s </w:t>
            </w:r>
            <w:r w:rsidRPr="000727A5">
              <w:rPr>
                <w:rFonts w:ascii="Calibri" w:hAnsi="Calibri" w:cs="Calibri"/>
                <w:b/>
                <w:i/>
                <w:sz w:val="22"/>
                <w:szCs w:val="22"/>
                <w:lang w:bidi="en-US"/>
              </w:rPr>
              <w:t xml:space="preserve">iPhone II </w:t>
            </w:r>
            <w:r w:rsidRPr="000727A5">
              <w:rPr>
                <w:rFonts w:ascii="Calibri" w:hAnsi="Calibri" w:cs="Calibri"/>
                <w:b/>
                <w:sz w:val="22"/>
                <w:szCs w:val="22"/>
                <w:lang w:bidi="en-US"/>
              </w:rPr>
              <w:t xml:space="preserve">reasoning. </w:t>
            </w:r>
            <w:r>
              <w:rPr>
                <w:rFonts w:ascii="Calibri" w:hAnsi="Calibri" w:cs="Calibri"/>
                <w:b/>
                <w:sz w:val="22"/>
                <w:szCs w:val="22"/>
                <w:lang w:bidi="en-US"/>
              </w:rPr>
              <w:t xml:space="preserve"> </w:t>
            </w:r>
            <w:r w:rsidRPr="000727A5">
              <w:rPr>
                <w:rFonts w:ascii="Calibri" w:hAnsi="Calibri" w:cs="Calibri"/>
                <w:b/>
                <w:sz w:val="22"/>
                <w:szCs w:val="22"/>
                <w:lang w:bidi="en-US"/>
              </w:rPr>
              <w:t>Apple agreed to this on December 17, 2012.</w:t>
            </w:r>
          </w:p>
          <w:p w14:paraId="0F5A5793" w14:textId="35170E38" w:rsidR="00785BC0" w:rsidRPr="00245464" w:rsidRDefault="00785BC0" w:rsidP="00785BC0">
            <w:pPr>
              <w:pStyle w:val="O-BodyText"/>
              <w:spacing w:after="120"/>
              <w:ind w:left="290" w:right="65"/>
              <w:jc w:val="both"/>
              <w:rPr>
                <w:rFonts w:ascii="Calibri" w:hAnsi="Calibri" w:cs="Calibri"/>
                <w:b/>
                <w:sz w:val="22"/>
                <w:szCs w:val="22"/>
              </w:rPr>
            </w:pPr>
          </w:p>
        </w:tc>
      </w:tr>
      <w:tr w:rsidR="00785BC0" w:rsidRPr="00907D75" w14:paraId="6A493BFA" w14:textId="77777777" w:rsidTr="00093B76">
        <w:trPr>
          <w:gridAfter w:val="1"/>
          <w:wAfter w:w="198" w:type="dxa"/>
          <w:trHeight w:val="4795"/>
        </w:trPr>
        <w:tc>
          <w:tcPr>
            <w:tcW w:w="5805" w:type="dxa"/>
            <w:vAlign w:val="center"/>
          </w:tcPr>
          <w:p w14:paraId="00526760" w14:textId="37B94330" w:rsidR="00785BC0" w:rsidRPr="00FF7461" w:rsidRDefault="00785BC0" w:rsidP="00785BC0">
            <w:pPr>
              <w:pStyle w:val="O-BodyText"/>
              <w:spacing w:after="120"/>
              <w:ind w:right="200"/>
              <w:jc w:val="both"/>
              <w:rPr>
                <w:rFonts w:ascii="Calibri" w:hAnsi="Calibri" w:cs="Calibri"/>
                <w:b/>
                <w:sz w:val="28"/>
                <w:szCs w:val="28"/>
              </w:rPr>
            </w:pPr>
            <w:r w:rsidRPr="00FF7461">
              <w:rPr>
                <w:rFonts w:ascii="Calibri" w:hAnsi="Calibri" w:cs="Calibri"/>
                <w:b/>
                <w:sz w:val="28"/>
                <w:szCs w:val="28"/>
              </w:rPr>
              <w:t>What did this Court decide regarding whether AT&amp;T was an indispensable party?</w:t>
            </w:r>
          </w:p>
        </w:tc>
        <w:tc>
          <w:tcPr>
            <w:tcW w:w="5805" w:type="dxa"/>
            <w:gridSpan w:val="2"/>
            <w:vAlign w:val="center"/>
          </w:tcPr>
          <w:p w14:paraId="74548A44" w14:textId="6EA73E23" w:rsidR="00785BC0" w:rsidRPr="00FF7461" w:rsidRDefault="00785BC0" w:rsidP="00785BC0">
            <w:pPr>
              <w:pStyle w:val="O-BodyText"/>
              <w:spacing w:after="120"/>
              <w:ind w:left="290" w:right="65"/>
              <w:jc w:val="both"/>
              <w:rPr>
                <w:rFonts w:ascii="Calibri" w:hAnsi="Calibri" w:cs="Calibri"/>
                <w:b/>
                <w:sz w:val="22"/>
                <w:szCs w:val="22"/>
              </w:rPr>
            </w:pPr>
            <w:r w:rsidRPr="00A8781C">
              <w:rPr>
                <w:rFonts w:ascii="Calibri" w:hAnsi="Calibri" w:cs="Calibri"/>
                <w:b/>
                <w:sz w:val="22"/>
                <w:szCs w:val="22"/>
                <w:highlight w:val="yellow"/>
                <w:lang w:bidi="en-US"/>
              </w:rPr>
              <w:t xml:space="preserve">This Court </w:t>
            </w:r>
            <w:r w:rsidR="00DF71A0" w:rsidRPr="00A8781C">
              <w:rPr>
                <w:rFonts w:ascii="Calibri" w:hAnsi="Calibri" w:cs="Calibri"/>
                <w:b/>
                <w:sz w:val="22"/>
                <w:szCs w:val="22"/>
                <w:highlight w:val="yellow"/>
                <w:lang w:bidi="en-US"/>
              </w:rPr>
              <w:t xml:space="preserve">reversed </w:t>
            </w:r>
            <w:r w:rsidRPr="00A8781C">
              <w:rPr>
                <w:rFonts w:ascii="Calibri" w:hAnsi="Calibri" w:cs="Calibri"/>
                <w:b/>
                <w:sz w:val="22"/>
                <w:szCs w:val="22"/>
                <w:highlight w:val="yellow"/>
                <w:lang w:bidi="en-US"/>
              </w:rPr>
              <w:t xml:space="preserve">Judge Ware’s finding that AT&amp;T was an indispensable party.  </w:t>
            </w:r>
            <w:r w:rsidRPr="00A8781C">
              <w:rPr>
                <w:rFonts w:ascii="Calibri" w:hAnsi="Calibri" w:cs="Calibri"/>
                <w:b/>
                <w:i/>
                <w:sz w:val="22"/>
                <w:szCs w:val="22"/>
                <w:highlight w:val="yellow"/>
                <w:lang w:bidi="en-US"/>
              </w:rPr>
              <w:t>Ward v. Apple</w:t>
            </w:r>
            <w:r w:rsidRPr="00A8781C">
              <w:rPr>
                <w:rFonts w:ascii="Calibri" w:hAnsi="Calibri" w:cs="Calibri"/>
                <w:b/>
                <w:sz w:val="22"/>
                <w:szCs w:val="22"/>
                <w:highlight w:val="yellow"/>
                <w:lang w:bidi="en-US"/>
              </w:rPr>
              <w:t xml:space="preserve"> (9th Cir. 2015).</w:t>
            </w:r>
            <w:r w:rsidR="00DF71A0" w:rsidRPr="00A8781C">
              <w:rPr>
                <w:rFonts w:ascii="Calibri" w:hAnsi="Calibri" w:cs="Calibri"/>
                <w:b/>
                <w:sz w:val="22"/>
                <w:szCs w:val="22"/>
                <w:highlight w:val="yellow"/>
                <w:lang w:bidi="en-US"/>
              </w:rPr>
              <w:t xml:space="preserve">  This Court specifically held that AT&amp;T is not a necessary or indispensable party under Federal Rules of Civil Procedure 19(a) and (b).  Ward Br. 7.</w:t>
            </w:r>
          </w:p>
        </w:tc>
      </w:tr>
      <w:tr w:rsidR="00E96DA6" w:rsidRPr="00907D75" w14:paraId="4398A6E1" w14:textId="77777777" w:rsidTr="00093B76">
        <w:trPr>
          <w:gridAfter w:val="1"/>
          <w:wAfter w:w="198" w:type="dxa"/>
          <w:trHeight w:val="4795"/>
        </w:trPr>
        <w:tc>
          <w:tcPr>
            <w:tcW w:w="5805" w:type="dxa"/>
            <w:vAlign w:val="center"/>
          </w:tcPr>
          <w:p w14:paraId="0FB499FB" w14:textId="7ABEFC7B" w:rsidR="00E96DA6" w:rsidRDefault="00E96DA6" w:rsidP="00785BC0">
            <w:pPr>
              <w:pStyle w:val="O-BodyText"/>
              <w:spacing w:after="120"/>
              <w:ind w:right="200"/>
              <w:jc w:val="both"/>
              <w:rPr>
                <w:rFonts w:ascii="Calibri" w:hAnsi="Calibri" w:cs="Calibri"/>
                <w:b/>
                <w:sz w:val="28"/>
                <w:szCs w:val="28"/>
              </w:rPr>
            </w:pPr>
            <w:r>
              <w:rPr>
                <w:rFonts w:ascii="Calibri" w:hAnsi="Calibri" w:cs="Calibri"/>
                <w:b/>
                <w:sz w:val="28"/>
                <w:szCs w:val="28"/>
              </w:rPr>
              <w:t>Did the district court express disagreement with this Court’s ruling that AT&amp;T was not a necessary party?</w:t>
            </w:r>
          </w:p>
        </w:tc>
        <w:tc>
          <w:tcPr>
            <w:tcW w:w="5805" w:type="dxa"/>
            <w:gridSpan w:val="2"/>
            <w:vAlign w:val="center"/>
          </w:tcPr>
          <w:p w14:paraId="6CB10DD1" w14:textId="66E0D469" w:rsidR="00E96DA6" w:rsidRPr="00FF7461" w:rsidRDefault="00E96DA6" w:rsidP="00E96DA6">
            <w:pPr>
              <w:pStyle w:val="O-BodyText"/>
              <w:spacing w:after="120"/>
              <w:ind w:left="290" w:right="65"/>
              <w:rPr>
                <w:rFonts w:ascii="Calibri" w:hAnsi="Calibri" w:cs="Calibri"/>
                <w:b/>
                <w:sz w:val="22"/>
                <w:szCs w:val="22"/>
                <w:lang w:bidi="en-US"/>
              </w:rPr>
            </w:pPr>
            <w:r w:rsidRPr="00A8781C">
              <w:rPr>
                <w:rFonts w:ascii="Calibri" w:hAnsi="Calibri" w:cs="Calibri"/>
                <w:b/>
                <w:sz w:val="22"/>
                <w:szCs w:val="22"/>
                <w:highlight w:val="yellow"/>
                <w:lang w:bidi="en-US"/>
              </w:rPr>
              <w:t xml:space="preserve">Yes.  </w:t>
            </w:r>
            <w:r w:rsidR="00674CDA" w:rsidRPr="00A8781C">
              <w:rPr>
                <w:rFonts w:ascii="Calibri" w:hAnsi="Calibri" w:cs="Calibri"/>
                <w:b/>
                <w:sz w:val="22"/>
                <w:szCs w:val="22"/>
                <w:highlight w:val="yellow"/>
                <w:lang w:bidi="en-US"/>
              </w:rPr>
              <w:t>On August 31, 2015, a</w:t>
            </w:r>
            <w:r w:rsidRPr="00A8781C">
              <w:rPr>
                <w:rFonts w:ascii="Calibri" w:hAnsi="Calibri" w:cs="Calibri"/>
                <w:b/>
                <w:sz w:val="22"/>
                <w:szCs w:val="22"/>
                <w:highlight w:val="yellow"/>
                <w:lang w:bidi="en-US"/>
              </w:rPr>
              <w:t xml:space="preserve">t a case management conference following remand, the district court called the reversal an “interesting opinion by the Ninth Circuit.”  During the same conference, the district court also </w:t>
            </w:r>
            <w:r w:rsidR="007A1D0C" w:rsidRPr="00A8781C">
              <w:rPr>
                <w:rFonts w:ascii="Calibri" w:hAnsi="Calibri" w:cs="Calibri"/>
                <w:b/>
                <w:sz w:val="22"/>
                <w:szCs w:val="22"/>
                <w:highlight w:val="yellow"/>
                <w:lang w:bidi="en-US"/>
              </w:rPr>
              <w:t>said</w:t>
            </w:r>
            <w:r w:rsidRPr="00A8781C">
              <w:rPr>
                <w:rFonts w:ascii="Calibri" w:hAnsi="Calibri" w:cs="Calibri"/>
                <w:b/>
                <w:sz w:val="22"/>
                <w:szCs w:val="22"/>
                <w:highlight w:val="yellow"/>
                <w:lang w:bidi="en-US"/>
              </w:rPr>
              <w:t xml:space="preserve"> the case was “stale.”  Ward Br. 7-8.</w:t>
            </w:r>
            <w:r w:rsidR="00674CDA" w:rsidRPr="00A8781C">
              <w:rPr>
                <w:rFonts w:ascii="Calibri" w:hAnsi="Calibri" w:cs="Calibri"/>
                <w:b/>
                <w:sz w:val="22"/>
                <w:szCs w:val="22"/>
                <w:highlight w:val="yellow"/>
                <w:lang w:bidi="en-US"/>
              </w:rPr>
              <w:t xml:space="preserve">  At another case management conference on May 1, 2017, the district court again expressed the view that AT&amp;T was an indispensable party and that the case was too old.  Ward Br. 9.</w:t>
            </w:r>
          </w:p>
          <w:p w14:paraId="1E83DBEC" w14:textId="004831F4" w:rsidR="00E96DA6" w:rsidRPr="00DF71A0" w:rsidRDefault="00E96DA6" w:rsidP="00785BC0">
            <w:pPr>
              <w:pStyle w:val="O-BodyText"/>
              <w:spacing w:after="120"/>
              <w:ind w:left="290" w:right="65"/>
              <w:jc w:val="both"/>
              <w:rPr>
                <w:rFonts w:ascii="Calibri" w:hAnsi="Calibri" w:cs="Calibri"/>
                <w:b/>
                <w:sz w:val="22"/>
                <w:szCs w:val="22"/>
                <w:highlight w:val="yellow"/>
                <w:lang w:bidi="en-US"/>
              </w:rPr>
            </w:pPr>
          </w:p>
        </w:tc>
      </w:tr>
      <w:tr w:rsidR="00785BC0" w:rsidRPr="00907D75" w14:paraId="5A34A415" w14:textId="77777777" w:rsidTr="00093B76">
        <w:trPr>
          <w:gridAfter w:val="1"/>
          <w:wAfter w:w="198" w:type="dxa"/>
          <w:trHeight w:val="4795"/>
        </w:trPr>
        <w:tc>
          <w:tcPr>
            <w:tcW w:w="5805" w:type="dxa"/>
            <w:vAlign w:val="center"/>
          </w:tcPr>
          <w:p w14:paraId="2CE940C0" w14:textId="4F522CCC"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Apple argue below regarding plaintiffs’ aftermarket claims?</w:t>
            </w:r>
          </w:p>
        </w:tc>
        <w:tc>
          <w:tcPr>
            <w:tcW w:w="5805" w:type="dxa"/>
            <w:gridSpan w:val="2"/>
            <w:vAlign w:val="center"/>
          </w:tcPr>
          <w:p w14:paraId="6782DD38" w14:textId="530CC57E" w:rsidR="00785BC0" w:rsidRPr="0047685D" w:rsidRDefault="00785BC0" w:rsidP="00785BC0">
            <w:pPr>
              <w:pStyle w:val="O-BodyText"/>
              <w:spacing w:after="120"/>
              <w:ind w:left="290" w:right="65"/>
              <w:rPr>
                <w:rFonts w:ascii="Calibri" w:hAnsi="Calibri" w:cs="Calibri"/>
                <w:b/>
                <w:sz w:val="22"/>
                <w:szCs w:val="22"/>
                <w:lang w:bidi="en-US"/>
              </w:rPr>
            </w:pPr>
            <w:r w:rsidRPr="0047685D">
              <w:rPr>
                <w:rFonts w:ascii="Calibri" w:hAnsi="Calibri" w:cs="Calibri"/>
                <w:b/>
                <w:sz w:val="22"/>
                <w:szCs w:val="22"/>
                <w:lang w:bidi="en-US"/>
              </w:rPr>
              <w:t xml:space="preserve">Apple </w:t>
            </w:r>
            <w:r>
              <w:rPr>
                <w:rFonts w:ascii="Calibri" w:hAnsi="Calibri" w:cs="Calibri"/>
                <w:b/>
                <w:sz w:val="22"/>
                <w:szCs w:val="22"/>
                <w:lang w:bidi="en-US"/>
              </w:rPr>
              <w:t xml:space="preserve">moved to dismiss the aftermarket claims, arguing that </w:t>
            </w:r>
            <w:r w:rsidRPr="0047685D">
              <w:rPr>
                <w:rFonts w:ascii="Calibri" w:hAnsi="Calibri" w:cs="Calibri"/>
                <w:b/>
                <w:sz w:val="22"/>
                <w:szCs w:val="22"/>
                <w:lang w:bidi="en-US"/>
              </w:rPr>
              <w:t xml:space="preserve">an iPhone voice and data services aftermarket is not a cognizable antitrust market under </w:t>
            </w:r>
            <w:r w:rsidRPr="0047685D">
              <w:rPr>
                <w:rFonts w:ascii="Calibri" w:hAnsi="Calibri" w:cs="Calibri"/>
                <w:b/>
                <w:i/>
                <w:sz w:val="22"/>
                <w:szCs w:val="22"/>
                <w:lang w:bidi="en-US"/>
              </w:rPr>
              <w:t xml:space="preserve">Kodak </w:t>
            </w:r>
            <w:r w:rsidRPr="0047685D">
              <w:rPr>
                <w:rFonts w:ascii="Calibri" w:hAnsi="Calibri" w:cs="Calibri"/>
                <w:b/>
                <w:sz w:val="22"/>
                <w:szCs w:val="22"/>
                <w:lang w:bidi="en-US"/>
              </w:rPr>
              <w:t xml:space="preserve">and its progeny. </w:t>
            </w:r>
            <w:r>
              <w:rPr>
                <w:rFonts w:ascii="Calibri" w:hAnsi="Calibri" w:cs="Calibri"/>
                <w:b/>
                <w:sz w:val="22"/>
                <w:szCs w:val="22"/>
                <w:lang w:bidi="en-US"/>
              </w:rPr>
              <w:t xml:space="preserve"> </w:t>
            </w:r>
            <w:r w:rsidRPr="0047685D">
              <w:rPr>
                <w:rFonts w:ascii="Calibri" w:hAnsi="Calibri" w:cs="Calibri"/>
                <w:b/>
                <w:sz w:val="22"/>
                <w:szCs w:val="22"/>
                <w:lang w:bidi="en-US"/>
              </w:rPr>
              <w:t xml:space="preserve">The district court denied </w:t>
            </w:r>
            <w:r>
              <w:rPr>
                <w:rFonts w:ascii="Calibri" w:hAnsi="Calibri" w:cs="Calibri"/>
                <w:b/>
                <w:sz w:val="22"/>
                <w:szCs w:val="22"/>
                <w:lang w:bidi="en-US"/>
              </w:rPr>
              <w:t xml:space="preserve">Apple’s motion to dismiss, but later </w:t>
            </w:r>
            <w:r w:rsidRPr="0047685D">
              <w:rPr>
                <w:rFonts w:ascii="Calibri" w:hAnsi="Calibri" w:cs="Calibri"/>
                <w:b/>
                <w:sz w:val="22"/>
                <w:szCs w:val="22"/>
                <w:lang w:bidi="en-US"/>
              </w:rPr>
              <w:t>granted summary judgment in part</w:t>
            </w:r>
            <w:r w:rsidR="007A1D0C">
              <w:rPr>
                <w:rFonts w:ascii="Calibri" w:hAnsi="Calibri" w:cs="Calibri"/>
                <w:b/>
                <w:sz w:val="22"/>
                <w:szCs w:val="22"/>
                <w:lang w:bidi="en-US"/>
              </w:rPr>
              <w:t>, which s</w:t>
            </w:r>
            <w:r w:rsidRPr="0047685D">
              <w:rPr>
                <w:rFonts w:ascii="Calibri" w:hAnsi="Calibri" w:cs="Calibri"/>
                <w:b/>
                <w:sz w:val="22"/>
                <w:szCs w:val="22"/>
                <w:lang w:bidi="en-US"/>
              </w:rPr>
              <w:t xml:space="preserve">ubstantially narrowed </w:t>
            </w:r>
            <w:r>
              <w:rPr>
                <w:rFonts w:ascii="Calibri" w:hAnsi="Calibri" w:cs="Calibri"/>
                <w:b/>
                <w:sz w:val="22"/>
                <w:szCs w:val="22"/>
                <w:lang w:bidi="en-US"/>
              </w:rPr>
              <w:t>the scope of p</w:t>
            </w:r>
            <w:r w:rsidRPr="0047685D">
              <w:rPr>
                <w:rFonts w:ascii="Calibri" w:hAnsi="Calibri" w:cs="Calibri"/>
                <w:b/>
                <w:sz w:val="22"/>
                <w:szCs w:val="22"/>
                <w:lang w:bidi="en-US"/>
              </w:rPr>
              <w:t>laintiffs’ aftermarket claims.</w:t>
            </w:r>
          </w:p>
          <w:p w14:paraId="0B65C49E" w14:textId="0AEAA9DB" w:rsidR="00785BC0" w:rsidRDefault="00785BC0" w:rsidP="00785BC0">
            <w:pPr>
              <w:pStyle w:val="O-BodyText"/>
              <w:spacing w:after="120"/>
              <w:ind w:left="290" w:right="65"/>
              <w:jc w:val="both"/>
              <w:rPr>
                <w:rFonts w:ascii="Calibri" w:hAnsi="Calibri" w:cs="Calibri"/>
                <w:b/>
                <w:sz w:val="22"/>
                <w:szCs w:val="22"/>
              </w:rPr>
            </w:pPr>
          </w:p>
        </w:tc>
      </w:tr>
      <w:tr w:rsidR="00785BC0" w:rsidRPr="00907D75" w14:paraId="4FAD0CED" w14:textId="77777777" w:rsidTr="00093B76">
        <w:trPr>
          <w:gridAfter w:val="1"/>
          <w:wAfter w:w="198" w:type="dxa"/>
          <w:trHeight w:val="4795"/>
        </w:trPr>
        <w:tc>
          <w:tcPr>
            <w:tcW w:w="5805" w:type="dxa"/>
            <w:vAlign w:val="center"/>
          </w:tcPr>
          <w:p w14:paraId="4D5BCD86" w14:textId="5608B183"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How did the district court’s summary judgment decision narrow the scope of plaintiffs’ aftermarket claims?</w:t>
            </w:r>
          </w:p>
        </w:tc>
        <w:tc>
          <w:tcPr>
            <w:tcW w:w="5805" w:type="dxa"/>
            <w:gridSpan w:val="2"/>
            <w:vAlign w:val="center"/>
          </w:tcPr>
          <w:p w14:paraId="027675D1" w14:textId="492151FE" w:rsidR="00785BC0" w:rsidRPr="00C618CC" w:rsidRDefault="00785BC0" w:rsidP="00785BC0">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P</w:t>
            </w:r>
            <w:r w:rsidRPr="00C618CC">
              <w:rPr>
                <w:rFonts w:ascii="Calibri" w:hAnsi="Calibri" w:cs="Calibri"/>
                <w:b/>
                <w:sz w:val="22"/>
                <w:szCs w:val="22"/>
                <w:lang w:bidi="en-US"/>
              </w:rPr>
              <w:t xml:space="preserve">laintiffs </w:t>
            </w:r>
            <w:r>
              <w:rPr>
                <w:rFonts w:ascii="Calibri" w:hAnsi="Calibri" w:cs="Calibri"/>
                <w:b/>
                <w:sz w:val="22"/>
                <w:szCs w:val="22"/>
                <w:lang w:bidi="en-US"/>
              </w:rPr>
              <w:t xml:space="preserve">initially </w:t>
            </w:r>
            <w:r w:rsidRPr="00C618CC">
              <w:rPr>
                <w:rFonts w:ascii="Calibri" w:hAnsi="Calibri" w:cs="Calibri"/>
                <w:b/>
                <w:sz w:val="22"/>
                <w:szCs w:val="22"/>
                <w:lang w:bidi="en-US"/>
              </w:rPr>
              <w:t xml:space="preserve">sought damages relating to </w:t>
            </w:r>
            <w:r w:rsidRPr="00C618CC">
              <w:rPr>
                <w:rFonts w:ascii="Calibri" w:hAnsi="Calibri" w:cs="Calibri"/>
                <w:b/>
                <w:i/>
                <w:sz w:val="22"/>
                <w:szCs w:val="22"/>
                <w:lang w:bidi="en-US"/>
              </w:rPr>
              <w:t xml:space="preserve">all service </w:t>
            </w:r>
            <w:r w:rsidRPr="00C618CC">
              <w:rPr>
                <w:rFonts w:ascii="Calibri" w:hAnsi="Calibri" w:cs="Calibri"/>
                <w:b/>
                <w:sz w:val="22"/>
                <w:szCs w:val="22"/>
                <w:lang w:bidi="en-US"/>
              </w:rPr>
              <w:t xml:space="preserve">purchased during AT&amp;T’s exclusivity over the iPhone, including the initial two-year service contract. </w:t>
            </w:r>
            <w:r>
              <w:rPr>
                <w:rFonts w:ascii="Calibri" w:hAnsi="Calibri" w:cs="Calibri"/>
                <w:b/>
                <w:sz w:val="22"/>
                <w:szCs w:val="22"/>
                <w:lang w:bidi="en-US"/>
              </w:rPr>
              <w:t xml:space="preserve"> </w:t>
            </w:r>
            <w:r w:rsidRPr="00C618CC">
              <w:rPr>
                <w:rFonts w:ascii="Calibri" w:hAnsi="Calibri" w:cs="Calibri"/>
                <w:b/>
                <w:sz w:val="22"/>
                <w:szCs w:val="22"/>
                <w:lang w:bidi="en-US"/>
              </w:rPr>
              <w:t>The district court eliminated claims related to the ini</w:t>
            </w:r>
            <w:r>
              <w:rPr>
                <w:rFonts w:ascii="Calibri" w:hAnsi="Calibri" w:cs="Calibri"/>
                <w:b/>
                <w:sz w:val="22"/>
                <w:szCs w:val="22"/>
                <w:lang w:bidi="en-US"/>
              </w:rPr>
              <w:t xml:space="preserve">tial two-year contract, finding </w:t>
            </w:r>
            <w:r w:rsidRPr="00C618CC">
              <w:rPr>
                <w:rFonts w:ascii="Calibri" w:hAnsi="Calibri" w:cs="Calibri"/>
                <w:b/>
                <w:sz w:val="22"/>
                <w:szCs w:val="22"/>
                <w:lang w:bidi="en-US"/>
              </w:rPr>
              <w:t>no triable issue that c</w:t>
            </w:r>
            <w:r>
              <w:rPr>
                <w:rFonts w:ascii="Calibri" w:hAnsi="Calibri" w:cs="Calibri"/>
                <w:b/>
                <w:sz w:val="22"/>
                <w:szCs w:val="22"/>
                <w:lang w:bidi="en-US"/>
              </w:rPr>
              <w:t xml:space="preserve">onsumers were unaware that they’d have </w:t>
            </w:r>
            <w:r w:rsidRPr="00C618CC">
              <w:rPr>
                <w:rFonts w:ascii="Calibri" w:hAnsi="Calibri" w:cs="Calibri"/>
                <w:b/>
                <w:sz w:val="22"/>
                <w:szCs w:val="22"/>
                <w:lang w:bidi="en-US"/>
              </w:rPr>
              <w:t>to use AT&amp;T service for the duration of those</w:t>
            </w:r>
            <w:r w:rsidRPr="003F37C5">
              <w:rPr>
                <w:rFonts w:ascii="Times New Roman" w:hAnsi="Times New Roman" w:cs="Times New Roman"/>
                <w:sz w:val="28"/>
                <w:szCs w:val="28"/>
                <w:lang w:bidi="en-US"/>
              </w:rPr>
              <w:t xml:space="preserve"> </w:t>
            </w:r>
            <w:r w:rsidRPr="003F37C5">
              <w:rPr>
                <w:rFonts w:ascii="Calibri" w:hAnsi="Calibri" w:cs="Calibri"/>
                <w:b/>
                <w:sz w:val="22"/>
                <w:szCs w:val="22"/>
                <w:lang w:bidi="en-US"/>
              </w:rPr>
              <w:t>contracts (</w:t>
            </w:r>
            <w:r>
              <w:rPr>
                <w:rFonts w:ascii="Calibri" w:hAnsi="Calibri" w:cs="Calibri"/>
                <w:b/>
                <w:sz w:val="22"/>
                <w:szCs w:val="22"/>
                <w:lang w:bidi="en-US"/>
              </w:rPr>
              <w:t xml:space="preserve">which is </w:t>
            </w:r>
            <w:r w:rsidRPr="003F37C5">
              <w:rPr>
                <w:rFonts w:ascii="Calibri" w:hAnsi="Calibri" w:cs="Calibri"/>
                <w:b/>
                <w:sz w:val="22"/>
                <w:szCs w:val="22"/>
                <w:lang w:bidi="en-US"/>
              </w:rPr>
              <w:t xml:space="preserve">a necessary condition of a </w:t>
            </w:r>
            <w:r w:rsidRPr="003F37C5">
              <w:rPr>
                <w:rFonts w:ascii="Calibri" w:hAnsi="Calibri" w:cs="Calibri"/>
                <w:b/>
                <w:i/>
                <w:sz w:val="22"/>
                <w:szCs w:val="22"/>
                <w:lang w:bidi="en-US"/>
              </w:rPr>
              <w:t xml:space="preserve">Kodak </w:t>
            </w:r>
            <w:r>
              <w:rPr>
                <w:rFonts w:ascii="Calibri" w:hAnsi="Calibri" w:cs="Calibri"/>
                <w:b/>
                <w:sz w:val="22"/>
                <w:szCs w:val="22"/>
                <w:lang w:bidi="en-US"/>
              </w:rPr>
              <w:t>aftermarket claim).</w:t>
            </w:r>
          </w:p>
          <w:p w14:paraId="55E86665" w14:textId="37D1B0C0" w:rsidR="00785BC0" w:rsidRDefault="00785BC0" w:rsidP="00785BC0">
            <w:pPr>
              <w:pStyle w:val="O-BodyText"/>
              <w:spacing w:after="120"/>
              <w:ind w:left="290" w:right="65"/>
              <w:jc w:val="both"/>
              <w:rPr>
                <w:rFonts w:ascii="Calibri" w:hAnsi="Calibri" w:cs="Calibri"/>
                <w:b/>
                <w:sz w:val="22"/>
                <w:szCs w:val="22"/>
              </w:rPr>
            </w:pPr>
          </w:p>
        </w:tc>
      </w:tr>
      <w:tr w:rsidR="00046198" w:rsidRPr="00907D75" w14:paraId="5B8D159B" w14:textId="77777777" w:rsidTr="00093B76">
        <w:trPr>
          <w:gridAfter w:val="1"/>
          <w:wAfter w:w="198" w:type="dxa"/>
          <w:trHeight w:val="4795"/>
        </w:trPr>
        <w:tc>
          <w:tcPr>
            <w:tcW w:w="5805" w:type="dxa"/>
            <w:vAlign w:val="center"/>
          </w:tcPr>
          <w:p w14:paraId="6A33D156" w14:textId="08714315" w:rsidR="00046198" w:rsidRPr="00046198" w:rsidRDefault="00046198"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How does this </w:t>
            </w:r>
            <w:r>
              <w:rPr>
                <w:rFonts w:ascii="Calibri" w:hAnsi="Calibri" w:cs="Calibri"/>
                <w:b/>
                <w:i/>
                <w:sz w:val="28"/>
                <w:szCs w:val="28"/>
              </w:rPr>
              <w:t>Kodak</w:t>
            </w:r>
            <w:r>
              <w:rPr>
                <w:rFonts w:ascii="Calibri" w:hAnsi="Calibri" w:cs="Calibri"/>
                <w:b/>
                <w:sz w:val="28"/>
                <w:szCs w:val="28"/>
              </w:rPr>
              <w:t xml:space="preserve"> aftermarket theory work?</w:t>
            </w:r>
          </w:p>
        </w:tc>
        <w:tc>
          <w:tcPr>
            <w:tcW w:w="5805" w:type="dxa"/>
            <w:gridSpan w:val="2"/>
            <w:vAlign w:val="center"/>
          </w:tcPr>
          <w:p w14:paraId="60F2BEC2" w14:textId="6EECAB63" w:rsidR="00046198" w:rsidRPr="00046198" w:rsidRDefault="00046198" w:rsidP="00785BC0">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The Supreme Court in </w:t>
            </w:r>
            <w:r>
              <w:rPr>
                <w:rFonts w:ascii="Calibri" w:hAnsi="Calibri" w:cs="Calibri"/>
                <w:b/>
                <w:i/>
                <w:sz w:val="22"/>
                <w:szCs w:val="22"/>
                <w:lang w:bidi="en-US"/>
              </w:rPr>
              <w:t xml:space="preserve">Kodak </w:t>
            </w:r>
            <w:r>
              <w:rPr>
                <w:rFonts w:ascii="Calibri" w:hAnsi="Calibri" w:cs="Calibri"/>
                <w:b/>
                <w:sz w:val="22"/>
                <w:szCs w:val="22"/>
                <w:lang w:bidi="en-US"/>
              </w:rPr>
              <w:t xml:space="preserve">held that aftermarket claims may be cognizable in certain circumstances. </w:t>
            </w:r>
            <w:r w:rsidR="00A8781C">
              <w:rPr>
                <w:rFonts w:ascii="Calibri" w:hAnsi="Calibri" w:cs="Calibri"/>
                <w:b/>
                <w:sz w:val="22"/>
                <w:szCs w:val="22"/>
                <w:lang w:bidi="en-US"/>
              </w:rPr>
              <w:t xml:space="preserve"> </w:t>
            </w:r>
            <w:r>
              <w:rPr>
                <w:rFonts w:ascii="Calibri" w:hAnsi="Calibri" w:cs="Calibri"/>
                <w:b/>
                <w:sz w:val="22"/>
                <w:szCs w:val="22"/>
                <w:lang w:bidi="en-US"/>
              </w:rPr>
              <w:t xml:space="preserve">The notion is that there can be circumstances where there is </w:t>
            </w:r>
            <w:proofErr w:type="gramStart"/>
            <w:r>
              <w:rPr>
                <w:rFonts w:ascii="Calibri" w:hAnsi="Calibri" w:cs="Calibri"/>
                <w:b/>
                <w:sz w:val="22"/>
                <w:szCs w:val="22"/>
                <w:lang w:bidi="en-US"/>
              </w:rPr>
              <w:t>sufficient</w:t>
            </w:r>
            <w:proofErr w:type="gramEnd"/>
            <w:r>
              <w:rPr>
                <w:rFonts w:ascii="Calibri" w:hAnsi="Calibri" w:cs="Calibri"/>
                <w:b/>
                <w:sz w:val="22"/>
                <w:szCs w:val="22"/>
                <w:lang w:bidi="en-US"/>
              </w:rPr>
              <w:t xml:space="preserve"> competition in the primary market, but because of some monopolistic behavior, a monopolist can give itself power in the aftermarket.</w:t>
            </w:r>
          </w:p>
        </w:tc>
      </w:tr>
      <w:tr w:rsidR="00046198" w:rsidRPr="00907D75" w14:paraId="45E3C9D8" w14:textId="77777777" w:rsidTr="00093B76">
        <w:trPr>
          <w:gridAfter w:val="1"/>
          <w:wAfter w:w="198" w:type="dxa"/>
          <w:trHeight w:val="4795"/>
        </w:trPr>
        <w:tc>
          <w:tcPr>
            <w:tcW w:w="5805" w:type="dxa"/>
            <w:vAlign w:val="center"/>
          </w:tcPr>
          <w:p w14:paraId="21ED7D8F" w14:textId="339B21C5" w:rsidR="00046198" w:rsidRPr="00046198" w:rsidRDefault="00046198"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is </w:t>
            </w:r>
            <w:proofErr w:type="spellStart"/>
            <w:r>
              <w:rPr>
                <w:rFonts w:ascii="Calibri" w:hAnsi="Calibri" w:cs="Calibri"/>
                <w:b/>
                <w:i/>
                <w:sz w:val="28"/>
                <w:szCs w:val="28"/>
              </w:rPr>
              <w:t>Newcal</w:t>
            </w:r>
            <w:proofErr w:type="spellEnd"/>
            <w:r>
              <w:rPr>
                <w:rFonts w:ascii="Calibri" w:hAnsi="Calibri" w:cs="Calibri"/>
                <w:b/>
                <w:sz w:val="28"/>
                <w:szCs w:val="28"/>
              </w:rPr>
              <w:t xml:space="preserve"> and why is it significant?</w:t>
            </w:r>
          </w:p>
        </w:tc>
        <w:tc>
          <w:tcPr>
            <w:tcW w:w="5805" w:type="dxa"/>
            <w:gridSpan w:val="2"/>
            <w:vAlign w:val="center"/>
          </w:tcPr>
          <w:p w14:paraId="2EF69CA2" w14:textId="0877D6D3" w:rsidR="00046198" w:rsidRPr="00046198" w:rsidRDefault="00046198" w:rsidP="00785BC0">
            <w:pPr>
              <w:pStyle w:val="O-BodyText"/>
              <w:spacing w:after="120"/>
              <w:ind w:left="290" w:right="65"/>
              <w:rPr>
                <w:rFonts w:ascii="Calibri" w:hAnsi="Calibri" w:cs="Calibri"/>
                <w:b/>
                <w:sz w:val="22"/>
                <w:szCs w:val="22"/>
                <w:lang w:bidi="en-US"/>
              </w:rPr>
            </w:pPr>
            <w:proofErr w:type="spellStart"/>
            <w:r>
              <w:rPr>
                <w:rFonts w:ascii="Calibri" w:hAnsi="Calibri" w:cs="Calibri"/>
                <w:b/>
                <w:i/>
                <w:sz w:val="22"/>
                <w:szCs w:val="22"/>
                <w:lang w:bidi="en-US"/>
              </w:rPr>
              <w:t>Newcal</w:t>
            </w:r>
            <w:proofErr w:type="spellEnd"/>
            <w:r>
              <w:rPr>
                <w:rFonts w:ascii="Calibri" w:hAnsi="Calibri" w:cs="Calibri"/>
                <w:b/>
                <w:sz w:val="22"/>
                <w:szCs w:val="22"/>
                <w:lang w:bidi="en-US"/>
              </w:rPr>
              <w:t xml:space="preserve"> is a Ninth Circuit case that applied the </w:t>
            </w:r>
            <w:r>
              <w:rPr>
                <w:rFonts w:ascii="Calibri" w:hAnsi="Calibri" w:cs="Calibri"/>
                <w:b/>
                <w:i/>
                <w:sz w:val="22"/>
                <w:szCs w:val="22"/>
                <w:lang w:bidi="en-US"/>
              </w:rPr>
              <w:t>Kodak</w:t>
            </w:r>
            <w:r>
              <w:rPr>
                <w:rFonts w:ascii="Calibri" w:hAnsi="Calibri" w:cs="Calibri"/>
                <w:b/>
                <w:sz w:val="22"/>
                <w:szCs w:val="22"/>
                <w:lang w:bidi="en-US"/>
              </w:rPr>
              <w:t xml:space="preserve"> theory to claims regarding computers and a repair service aftermarket. </w:t>
            </w:r>
            <w:r w:rsidR="00A8781C">
              <w:rPr>
                <w:rFonts w:ascii="Calibri" w:hAnsi="Calibri" w:cs="Calibri"/>
                <w:b/>
                <w:sz w:val="22"/>
                <w:szCs w:val="22"/>
                <w:lang w:bidi="en-US"/>
              </w:rPr>
              <w:t xml:space="preserve"> </w:t>
            </w:r>
            <w:r>
              <w:rPr>
                <w:rFonts w:ascii="Calibri" w:hAnsi="Calibri" w:cs="Calibri"/>
                <w:b/>
                <w:sz w:val="22"/>
                <w:szCs w:val="22"/>
                <w:lang w:bidi="en-US"/>
              </w:rPr>
              <w:t>It developed the critical aspect of the framework being applied here: That no antitrust claim for an aftermarket lies where consumers have knowingly given the alleged monopolist its alleged market power.</w:t>
            </w:r>
            <w:r w:rsidR="00A8781C">
              <w:rPr>
                <w:rFonts w:ascii="Calibri" w:hAnsi="Calibri" w:cs="Calibri"/>
                <w:b/>
                <w:sz w:val="22"/>
                <w:szCs w:val="22"/>
                <w:lang w:bidi="en-US"/>
              </w:rPr>
              <w:t xml:space="preserve"> </w:t>
            </w:r>
            <w:r>
              <w:rPr>
                <w:rFonts w:ascii="Calibri" w:hAnsi="Calibri" w:cs="Calibri"/>
                <w:b/>
                <w:sz w:val="22"/>
                <w:szCs w:val="22"/>
                <w:lang w:bidi="en-US"/>
              </w:rPr>
              <w:t xml:space="preserve"> In other words, if consumers knowingly agree to exclusivity in the aftermarket, or even if they simply </w:t>
            </w:r>
            <w:proofErr w:type="gramStart"/>
            <w:r>
              <w:rPr>
                <w:rFonts w:ascii="Calibri" w:hAnsi="Calibri" w:cs="Calibri"/>
                <w:b/>
                <w:sz w:val="22"/>
                <w:szCs w:val="22"/>
                <w:lang w:bidi="en-US"/>
              </w:rPr>
              <w:t>are well aware that</w:t>
            </w:r>
            <w:proofErr w:type="gramEnd"/>
            <w:r>
              <w:rPr>
                <w:rFonts w:ascii="Calibri" w:hAnsi="Calibri" w:cs="Calibri"/>
                <w:b/>
                <w:sz w:val="22"/>
                <w:szCs w:val="22"/>
                <w:lang w:bidi="en-US"/>
              </w:rPr>
              <w:t xml:space="preserve"> exists when they make their initial purchasing decision, there is no claim.</w:t>
            </w:r>
          </w:p>
        </w:tc>
      </w:tr>
      <w:tr w:rsidR="00674CDA" w:rsidRPr="00907D75" w14:paraId="63B2791D" w14:textId="77777777" w:rsidTr="00093B76">
        <w:trPr>
          <w:gridAfter w:val="1"/>
          <w:wAfter w:w="198" w:type="dxa"/>
          <w:trHeight w:val="4795"/>
        </w:trPr>
        <w:tc>
          <w:tcPr>
            <w:tcW w:w="5805" w:type="dxa"/>
            <w:vAlign w:val="center"/>
          </w:tcPr>
          <w:p w14:paraId="29C0C32B" w14:textId="07CF8B9A" w:rsidR="00674CDA" w:rsidRDefault="00674CDA"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district court decide regarding plaintiffs’ </w:t>
            </w:r>
            <w:r w:rsidR="00046198">
              <w:rPr>
                <w:rFonts w:ascii="Calibri" w:hAnsi="Calibri" w:cs="Calibri"/>
                <w:b/>
                <w:sz w:val="28"/>
                <w:szCs w:val="28"/>
              </w:rPr>
              <w:t xml:space="preserve">principal </w:t>
            </w:r>
            <w:r>
              <w:rPr>
                <w:rFonts w:ascii="Calibri" w:hAnsi="Calibri" w:cs="Calibri"/>
                <w:b/>
                <w:sz w:val="28"/>
                <w:szCs w:val="28"/>
              </w:rPr>
              <w:t>aftermarket claims</w:t>
            </w:r>
            <w:r w:rsidR="00046198">
              <w:rPr>
                <w:rFonts w:ascii="Calibri" w:hAnsi="Calibri" w:cs="Calibri"/>
                <w:b/>
                <w:sz w:val="28"/>
                <w:szCs w:val="28"/>
              </w:rPr>
              <w:t xml:space="preserve"> based on all ATT service, rather than just the renewal term</w:t>
            </w:r>
            <w:r>
              <w:rPr>
                <w:rFonts w:ascii="Calibri" w:hAnsi="Calibri" w:cs="Calibri"/>
                <w:b/>
                <w:sz w:val="28"/>
                <w:szCs w:val="28"/>
              </w:rPr>
              <w:t>?</w:t>
            </w:r>
          </w:p>
        </w:tc>
        <w:tc>
          <w:tcPr>
            <w:tcW w:w="5805" w:type="dxa"/>
            <w:gridSpan w:val="2"/>
            <w:vAlign w:val="center"/>
          </w:tcPr>
          <w:p w14:paraId="630C2348" w14:textId="2154EE9B" w:rsidR="00674CDA" w:rsidRDefault="00046198" w:rsidP="00785BC0">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The court held that there were no distinct initial and aftermarkets for iPhones and wireless service. The transactions in which consumers bought iPhones and agreed to two-year service plans were one and the same, foreclosing any notion of an aftermarket claim.</w:t>
            </w:r>
          </w:p>
        </w:tc>
      </w:tr>
      <w:tr w:rsidR="00EE372C" w:rsidRPr="00907D75" w14:paraId="59AA37F4" w14:textId="77777777" w:rsidTr="00093B76">
        <w:trPr>
          <w:gridAfter w:val="1"/>
          <w:wAfter w:w="198" w:type="dxa"/>
          <w:trHeight w:val="4795"/>
        </w:trPr>
        <w:tc>
          <w:tcPr>
            <w:tcW w:w="5805" w:type="dxa"/>
            <w:vAlign w:val="center"/>
          </w:tcPr>
          <w:p w14:paraId="153AC664" w14:textId="7804CC81" w:rsidR="00EE372C" w:rsidRDefault="00EE372C" w:rsidP="00785BC0">
            <w:pPr>
              <w:pStyle w:val="O-BodyText"/>
              <w:spacing w:after="120"/>
              <w:ind w:right="200"/>
              <w:jc w:val="both"/>
              <w:rPr>
                <w:rFonts w:ascii="Calibri" w:hAnsi="Calibri" w:cs="Calibri"/>
                <w:b/>
                <w:sz w:val="28"/>
                <w:szCs w:val="28"/>
              </w:rPr>
            </w:pPr>
            <w:r>
              <w:rPr>
                <w:rFonts w:ascii="Calibri" w:hAnsi="Calibri" w:cs="Calibri"/>
                <w:b/>
                <w:sz w:val="28"/>
                <w:szCs w:val="28"/>
              </w:rPr>
              <w:t>What about the aftermarket claims for renewal service? What happened there on summary judgment?</w:t>
            </w:r>
          </w:p>
        </w:tc>
        <w:tc>
          <w:tcPr>
            <w:tcW w:w="5805" w:type="dxa"/>
            <w:gridSpan w:val="2"/>
            <w:vAlign w:val="center"/>
          </w:tcPr>
          <w:p w14:paraId="0AD99EB5" w14:textId="38D8F9D7" w:rsidR="00EE372C" w:rsidRPr="00EE372C" w:rsidRDefault="00EE372C" w:rsidP="00785BC0">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Plaintiffs seemingly tried to base their claims on a theory of five years of exclusivity. That didn’t work because the five-year exclusivity Plaintiffs alleged didn’t </w:t>
            </w:r>
            <w:proofErr w:type="gramStart"/>
            <w:r>
              <w:rPr>
                <w:rFonts w:ascii="Calibri" w:hAnsi="Calibri" w:cs="Calibri"/>
                <w:b/>
                <w:sz w:val="22"/>
                <w:szCs w:val="22"/>
                <w:lang w:bidi="en-US"/>
              </w:rPr>
              <w:t>actually materialize</w:t>
            </w:r>
            <w:proofErr w:type="gramEnd"/>
            <w:r>
              <w:rPr>
                <w:rFonts w:ascii="Calibri" w:hAnsi="Calibri" w:cs="Calibri"/>
                <w:b/>
                <w:sz w:val="22"/>
                <w:szCs w:val="22"/>
                <w:lang w:bidi="en-US"/>
              </w:rPr>
              <w:t xml:space="preserve">. </w:t>
            </w:r>
            <w:proofErr w:type="gramStart"/>
            <w:r>
              <w:rPr>
                <w:rFonts w:ascii="Calibri" w:hAnsi="Calibri" w:cs="Calibri"/>
                <w:b/>
                <w:sz w:val="22"/>
                <w:szCs w:val="22"/>
                <w:lang w:bidi="en-US"/>
              </w:rPr>
              <w:t>But,</w:t>
            </w:r>
            <w:proofErr w:type="gramEnd"/>
            <w:r>
              <w:rPr>
                <w:rFonts w:ascii="Calibri" w:hAnsi="Calibri" w:cs="Calibri"/>
                <w:b/>
                <w:sz w:val="22"/>
                <w:szCs w:val="22"/>
                <w:lang w:bidi="en-US"/>
              </w:rPr>
              <w:t xml:space="preserve"> the district court recognized that exclusivity—whether by the five-year agreement or otherwise—beyond the two-year service period initially agreed to by the consumer </w:t>
            </w:r>
            <w:r>
              <w:rPr>
                <w:rFonts w:ascii="Calibri" w:hAnsi="Calibri" w:cs="Calibri"/>
                <w:b/>
                <w:i/>
                <w:sz w:val="22"/>
                <w:szCs w:val="22"/>
                <w:lang w:bidi="en-US"/>
              </w:rPr>
              <w:t xml:space="preserve">could </w:t>
            </w:r>
            <w:r>
              <w:rPr>
                <w:rFonts w:ascii="Calibri" w:hAnsi="Calibri" w:cs="Calibri"/>
                <w:b/>
                <w:sz w:val="22"/>
                <w:szCs w:val="22"/>
                <w:lang w:bidi="en-US"/>
              </w:rPr>
              <w:t>potentially support an aftermarket claim.</w:t>
            </w:r>
          </w:p>
        </w:tc>
      </w:tr>
      <w:tr w:rsidR="00674CDA" w:rsidRPr="00907D75" w14:paraId="7EFF1DAD" w14:textId="77777777" w:rsidTr="00093B76">
        <w:trPr>
          <w:gridAfter w:val="1"/>
          <w:wAfter w:w="198" w:type="dxa"/>
          <w:trHeight w:val="4795"/>
        </w:trPr>
        <w:tc>
          <w:tcPr>
            <w:tcW w:w="5805" w:type="dxa"/>
            <w:vAlign w:val="center"/>
          </w:tcPr>
          <w:p w14:paraId="77B41902" w14:textId="081BB011" w:rsidR="00674CDA" w:rsidRDefault="00674CDA"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district court decide regarding the antitrust market </w:t>
            </w:r>
            <w:r w:rsidRPr="00674CDA">
              <w:rPr>
                <w:rFonts w:ascii="Calibri" w:hAnsi="Calibri" w:cs="Calibri"/>
                <w:b/>
                <w:i/>
                <w:sz w:val="28"/>
                <w:szCs w:val="28"/>
              </w:rPr>
              <w:t>after</w:t>
            </w:r>
            <w:r>
              <w:rPr>
                <w:rFonts w:ascii="Calibri" w:hAnsi="Calibri" w:cs="Calibri"/>
                <w:b/>
                <w:sz w:val="28"/>
                <w:szCs w:val="28"/>
              </w:rPr>
              <w:t xml:space="preserve"> the initial two-year service period?</w:t>
            </w:r>
          </w:p>
        </w:tc>
        <w:tc>
          <w:tcPr>
            <w:tcW w:w="5805" w:type="dxa"/>
            <w:gridSpan w:val="2"/>
            <w:vAlign w:val="center"/>
          </w:tcPr>
          <w:p w14:paraId="78CC9809" w14:textId="787918D1" w:rsidR="00674CDA" w:rsidRPr="00EE372C" w:rsidRDefault="00674CDA" w:rsidP="00674CDA">
            <w:pPr>
              <w:pStyle w:val="O-BodyText"/>
              <w:spacing w:after="120"/>
              <w:ind w:left="290" w:right="65"/>
              <w:rPr>
                <w:rFonts w:ascii="Calibri" w:hAnsi="Calibri" w:cs="Calibri"/>
                <w:b/>
                <w:sz w:val="22"/>
                <w:szCs w:val="22"/>
                <w:lang w:bidi="en-US"/>
              </w:rPr>
            </w:pPr>
            <w:r w:rsidRPr="00A8781C">
              <w:rPr>
                <w:rFonts w:ascii="Calibri" w:hAnsi="Calibri" w:cs="Calibri"/>
                <w:b/>
                <w:sz w:val="22"/>
                <w:szCs w:val="22"/>
                <w:highlight w:val="yellow"/>
                <w:lang w:bidi="en-US"/>
              </w:rPr>
              <w:t xml:space="preserve">The district court found that plaintiffs could prove that Apple manipulated the aftermarket for iPhone wireless service by refusing to unlock iPhones for either domestic or international use after the initial two-year service period </w:t>
            </w:r>
            <w:proofErr w:type="gramStart"/>
            <w:r w:rsidRPr="00A8781C">
              <w:rPr>
                <w:rFonts w:ascii="Calibri" w:hAnsi="Calibri" w:cs="Calibri"/>
                <w:b/>
                <w:sz w:val="22"/>
                <w:szCs w:val="22"/>
                <w:highlight w:val="yellow"/>
                <w:lang w:bidi="en-US"/>
              </w:rPr>
              <w:t>expired</w:t>
            </w:r>
            <w:r w:rsidR="007A1D0C" w:rsidRPr="00A8781C">
              <w:rPr>
                <w:rFonts w:ascii="Calibri" w:hAnsi="Calibri" w:cs="Calibri"/>
                <w:b/>
                <w:sz w:val="22"/>
                <w:szCs w:val="22"/>
                <w:highlight w:val="yellow"/>
                <w:lang w:bidi="en-US"/>
              </w:rPr>
              <w:t>,</w:t>
            </w:r>
            <w:r w:rsidRPr="00A8781C">
              <w:rPr>
                <w:rFonts w:ascii="Calibri" w:hAnsi="Calibri" w:cs="Calibri"/>
                <w:b/>
                <w:sz w:val="22"/>
                <w:szCs w:val="22"/>
                <w:highlight w:val="yellow"/>
                <w:lang w:bidi="en-US"/>
              </w:rPr>
              <w:t xml:space="preserve"> and</w:t>
            </w:r>
            <w:proofErr w:type="gramEnd"/>
            <w:r w:rsidRPr="00A8781C">
              <w:rPr>
                <w:rFonts w:ascii="Calibri" w:hAnsi="Calibri" w:cs="Calibri"/>
                <w:b/>
                <w:sz w:val="22"/>
                <w:szCs w:val="22"/>
                <w:highlight w:val="yellow"/>
                <w:lang w:bidi="en-US"/>
              </w:rPr>
              <w:t xml:space="preserve"> denied Apple’s motion for summary judgment to that extent.  Ward Br. 8.</w:t>
            </w:r>
          </w:p>
          <w:p w14:paraId="53304CCC" w14:textId="77777777" w:rsidR="00674CDA" w:rsidRPr="00674CDA" w:rsidRDefault="00674CDA" w:rsidP="00785BC0">
            <w:pPr>
              <w:pStyle w:val="O-BodyText"/>
              <w:spacing w:after="120"/>
              <w:ind w:left="290" w:right="65"/>
              <w:rPr>
                <w:rFonts w:ascii="Calibri" w:hAnsi="Calibri" w:cs="Calibri"/>
                <w:b/>
                <w:sz w:val="22"/>
                <w:szCs w:val="22"/>
                <w:highlight w:val="yellow"/>
                <w:lang w:bidi="en-US"/>
              </w:rPr>
            </w:pPr>
          </w:p>
        </w:tc>
      </w:tr>
      <w:tr w:rsidR="00EE372C" w:rsidRPr="00907D75" w14:paraId="02112989" w14:textId="77777777" w:rsidTr="00093B76">
        <w:trPr>
          <w:gridAfter w:val="1"/>
          <w:wAfter w:w="198" w:type="dxa"/>
          <w:trHeight w:val="4795"/>
        </w:trPr>
        <w:tc>
          <w:tcPr>
            <w:tcW w:w="5805" w:type="dxa"/>
            <w:vAlign w:val="center"/>
          </w:tcPr>
          <w:p w14:paraId="0D3D571B" w14:textId="0FF4D52D" w:rsidR="00EE372C" w:rsidRDefault="00EE372C" w:rsidP="00785BC0">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say about international roaming?</w:t>
            </w:r>
          </w:p>
        </w:tc>
        <w:tc>
          <w:tcPr>
            <w:tcW w:w="5805" w:type="dxa"/>
            <w:gridSpan w:val="2"/>
            <w:vAlign w:val="center"/>
          </w:tcPr>
          <w:p w14:paraId="05434DED" w14:textId="12C8B78D" w:rsidR="00EE372C" w:rsidRPr="00EE372C" w:rsidRDefault="00EE372C" w:rsidP="00674CDA">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It dropped a footnote and said there might be an additional claim based on consumer expectations that their phones would be unlocked during the initial two-year-service periods for use on international networks. The court said that the claims was not sufficiently developed, but still said the claims may be viable.</w:t>
            </w:r>
          </w:p>
        </w:tc>
      </w:tr>
      <w:tr w:rsidR="00785BC0" w:rsidRPr="00907D75" w14:paraId="1888ED31" w14:textId="77777777" w:rsidTr="00093B76">
        <w:trPr>
          <w:gridAfter w:val="1"/>
          <w:wAfter w:w="198" w:type="dxa"/>
          <w:trHeight w:val="4795"/>
        </w:trPr>
        <w:tc>
          <w:tcPr>
            <w:tcW w:w="5805" w:type="dxa"/>
            <w:vAlign w:val="center"/>
          </w:tcPr>
          <w:p w14:paraId="255549F6" w14:textId="44E29748"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After the district court’s summary judgment decision, what claims remained in the case?</w:t>
            </w:r>
          </w:p>
        </w:tc>
        <w:tc>
          <w:tcPr>
            <w:tcW w:w="5805" w:type="dxa"/>
            <w:gridSpan w:val="2"/>
            <w:vAlign w:val="center"/>
          </w:tcPr>
          <w:p w14:paraId="54032AAC" w14:textId="2B0A1633" w:rsidR="00785BC0" w:rsidRPr="00AF358E" w:rsidRDefault="00785BC0" w:rsidP="00785BC0">
            <w:pPr>
              <w:pStyle w:val="O-BodyText"/>
              <w:spacing w:after="120"/>
              <w:ind w:left="290" w:right="65"/>
              <w:rPr>
                <w:rFonts w:ascii="Calibri" w:hAnsi="Calibri" w:cs="Calibri"/>
                <w:b/>
                <w:i/>
                <w:sz w:val="22"/>
                <w:szCs w:val="22"/>
                <w:lang w:bidi="en-US"/>
              </w:rPr>
            </w:pPr>
            <w:r w:rsidRPr="00AF358E">
              <w:rPr>
                <w:rFonts w:ascii="Calibri" w:hAnsi="Calibri" w:cs="Calibri"/>
                <w:b/>
                <w:sz w:val="22"/>
                <w:szCs w:val="22"/>
                <w:lang w:bidi="en-US"/>
              </w:rPr>
              <w:t xml:space="preserve">The district court held that </w:t>
            </w:r>
            <w:r>
              <w:rPr>
                <w:rFonts w:ascii="Calibri" w:hAnsi="Calibri" w:cs="Calibri"/>
                <w:b/>
                <w:sz w:val="22"/>
                <w:szCs w:val="22"/>
                <w:lang w:bidi="en-US"/>
              </w:rPr>
              <w:t>p</w:t>
            </w:r>
            <w:r w:rsidRPr="00AF358E">
              <w:rPr>
                <w:rFonts w:ascii="Calibri" w:hAnsi="Calibri" w:cs="Calibri"/>
                <w:b/>
                <w:sz w:val="22"/>
                <w:szCs w:val="22"/>
                <w:lang w:bidi="en-US"/>
              </w:rPr>
              <w:t>laintiffs ha</w:t>
            </w:r>
            <w:r>
              <w:rPr>
                <w:rFonts w:ascii="Calibri" w:hAnsi="Calibri" w:cs="Calibri"/>
                <w:b/>
                <w:sz w:val="22"/>
                <w:szCs w:val="22"/>
                <w:lang w:bidi="en-US"/>
              </w:rPr>
              <w:t>d</w:t>
            </w:r>
            <w:r w:rsidRPr="00AF358E">
              <w:rPr>
                <w:rFonts w:ascii="Calibri" w:hAnsi="Calibri" w:cs="Calibri"/>
                <w:b/>
                <w:sz w:val="22"/>
                <w:szCs w:val="22"/>
                <w:lang w:bidi="en-US"/>
              </w:rPr>
              <w:t xml:space="preserve"> a triable antitrust claim only with respect to iPhone purchasers who </w:t>
            </w:r>
            <w:r w:rsidRPr="00AF358E">
              <w:rPr>
                <w:rFonts w:ascii="Calibri" w:hAnsi="Calibri" w:cs="Calibri"/>
                <w:b/>
                <w:i/>
                <w:sz w:val="22"/>
                <w:szCs w:val="22"/>
                <w:lang w:bidi="en-US"/>
              </w:rPr>
              <w:t xml:space="preserve">kept </w:t>
            </w:r>
            <w:r w:rsidRPr="00AF358E">
              <w:rPr>
                <w:rFonts w:ascii="Calibri" w:hAnsi="Calibri" w:cs="Calibri"/>
                <w:b/>
                <w:sz w:val="22"/>
                <w:szCs w:val="22"/>
                <w:lang w:bidi="en-US"/>
              </w:rPr>
              <w:t xml:space="preserve">their iPhones </w:t>
            </w:r>
            <w:r w:rsidRPr="00AF358E">
              <w:rPr>
                <w:rFonts w:ascii="Calibri" w:hAnsi="Calibri" w:cs="Calibri"/>
                <w:b/>
                <w:i/>
                <w:sz w:val="22"/>
                <w:szCs w:val="22"/>
                <w:lang w:bidi="en-US"/>
              </w:rPr>
              <w:t xml:space="preserve">after </w:t>
            </w:r>
            <w:r w:rsidRPr="00AF358E">
              <w:rPr>
                <w:rFonts w:ascii="Calibri" w:hAnsi="Calibri" w:cs="Calibri"/>
                <w:b/>
                <w:sz w:val="22"/>
                <w:szCs w:val="22"/>
                <w:lang w:bidi="en-US"/>
              </w:rPr>
              <w:t>the expiration of their initial two-</w:t>
            </w:r>
            <w:r>
              <w:rPr>
                <w:rFonts w:ascii="Calibri" w:hAnsi="Calibri" w:cs="Calibri"/>
                <w:b/>
                <w:sz w:val="22"/>
                <w:szCs w:val="22"/>
                <w:lang w:bidi="en-US"/>
              </w:rPr>
              <w:t>year AT&amp;T service contract and</w:t>
            </w:r>
            <w:r w:rsidRPr="00AF358E">
              <w:rPr>
                <w:rFonts w:ascii="Calibri" w:hAnsi="Calibri" w:cs="Calibri"/>
                <w:b/>
                <w:sz w:val="22"/>
                <w:szCs w:val="22"/>
                <w:lang w:bidi="en-US"/>
              </w:rPr>
              <w:t xml:space="preserve"> purchased AT&amp;T </w:t>
            </w:r>
            <w:r w:rsidRPr="00AF358E">
              <w:rPr>
                <w:rFonts w:ascii="Calibri" w:hAnsi="Calibri" w:cs="Calibri"/>
                <w:b/>
                <w:i/>
                <w:sz w:val="22"/>
                <w:szCs w:val="22"/>
                <w:lang w:bidi="en-US"/>
              </w:rPr>
              <w:t xml:space="preserve">renewal </w:t>
            </w:r>
            <w:r w:rsidRPr="00AF358E">
              <w:rPr>
                <w:rFonts w:ascii="Calibri" w:hAnsi="Calibri" w:cs="Calibri"/>
                <w:b/>
                <w:sz w:val="22"/>
                <w:szCs w:val="22"/>
                <w:lang w:bidi="en-US"/>
              </w:rPr>
              <w:t xml:space="preserve">service. </w:t>
            </w:r>
            <w:r>
              <w:rPr>
                <w:rFonts w:ascii="Calibri" w:hAnsi="Calibri" w:cs="Calibri"/>
                <w:b/>
                <w:sz w:val="22"/>
                <w:szCs w:val="22"/>
                <w:lang w:bidi="en-US"/>
              </w:rPr>
              <w:t xml:space="preserve"> </w:t>
            </w:r>
            <w:r w:rsidRPr="00AF358E">
              <w:rPr>
                <w:rFonts w:ascii="Calibri" w:hAnsi="Calibri" w:cs="Calibri"/>
                <w:b/>
                <w:sz w:val="22"/>
                <w:szCs w:val="22"/>
                <w:lang w:bidi="en-US"/>
              </w:rPr>
              <w:t>The court found some evidence that consumers “could have expected to switch to another GSM provider, like T-Mobile, at the end of th</w:t>
            </w:r>
            <w:r>
              <w:rPr>
                <w:rFonts w:ascii="Calibri" w:hAnsi="Calibri" w:cs="Calibri"/>
                <w:b/>
                <w:sz w:val="22"/>
                <w:szCs w:val="22"/>
                <w:lang w:bidi="en-US"/>
              </w:rPr>
              <w:t>e two-year contract with AT&amp;T.”</w:t>
            </w:r>
          </w:p>
        </w:tc>
      </w:tr>
      <w:tr w:rsidR="00785BC0" w:rsidRPr="00907D75" w14:paraId="15959150" w14:textId="77777777" w:rsidTr="00093B76">
        <w:trPr>
          <w:gridAfter w:val="1"/>
          <w:wAfter w:w="198" w:type="dxa"/>
          <w:trHeight w:val="4795"/>
        </w:trPr>
        <w:tc>
          <w:tcPr>
            <w:tcW w:w="5805" w:type="dxa"/>
            <w:vAlign w:val="center"/>
          </w:tcPr>
          <w:p w14:paraId="0E4F46A8" w14:textId="4BD47474" w:rsidR="00785BC0" w:rsidRDefault="00785BC0" w:rsidP="00785BC0">
            <w:pPr>
              <w:pStyle w:val="O-BodyText"/>
              <w:spacing w:after="120"/>
              <w:ind w:right="200"/>
              <w:jc w:val="both"/>
              <w:rPr>
                <w:rFonts w:ascii="Calibri" w:hAnsi="Calibri" w:cs="Calibri"/>
                <w:b/>
                <w:sz w:val="28"/>
                <w:szCs w:val="28"/>
              </w:rPr>
            </w:pPr>
            <w:r w:rsidRPr="00F0597B">
              <w:rPr>
                <w:rFonts w:ascii="Calibri" w:hAnsi="Calibri" w:cs="Calibri"/>
                <w:b/>
                <w:sz w:val="28"/>
                <w:szCs w:val="28"/>
              </w:rPr>
              <w:lastRenderedPageBreak/>
              <w:t>After the district court’s summary judgment decision</w:t>
            </w:r>
            <w:r>
              <w:rPr>
                <w:rFonts w:ascii="Calibri" w:hAnsi="Calibri" w:cs="Calibri"/>
                <w:b/>
                <w:sz w:val="28"/>
                <w:szCs w:val="28"/>
              </w:rPr>
              <w:t>, what remained of plaintiffs’ liability theory?</w:t>
            </w:r>
          </w:p>
        </w:tc>
        <w:tc>
          <w:tcPr>
            <w:tcW w:w="5805" w:type="dxa"/>
            <w:gridSpan w:val="2"/>
            <w:vAlign w:val="center"/>
          </w:tcPr>
          <w:p w14:paraId="125658B3" w14:textId="38BD9598" w:rsidR="00785BC0" w:rsidRPr="00AF358E" w:rsidRDefault="00785BC0" w:rsidP="00785BC0">
            <w:pPr>
              <w:pStyle w:val="O-BodyText"/>
              <w:rPr>
                <w:rFonts w:ascii="Calibri" w:hAnsi="Calibri" w:cs="Calibri"/>
                <w:b/>
                <w:sz w:val="22"/>
                <w:szCs w:val="22"/>
                <w:lang w:bidi="en-US"/>
              </w:rPr>
            </w:pPr>
            <w:r>
              <w:rPr>
                <w:rFonts w:ascii="Calibri" w:hAnsi="Calibri" w:cs="Calibri"/>
                <w:b/>
                <w:sz w:val="22"/>
                <w:szCs w:val="22"/>
                <w:lang w:bidi="en-US"/>
              </w:rPr>
              <w:t>Only “a very narrow slice” of p</w:t>
            </w:r>
            <w:r w:rsidRPr="00F0597B">
              <w:rPr>
                <w:rFonts w:ascii="Calibri" w:hAnsi="Calibri" w:cs="Calibri"/>
                <w:b/>
                <w:sz w:val="22"/>
                <w:szCs w:val="22"/>
                <w:lang w:bidi="en-US"/>
              </w:rPr>
              <w:t xml:space="preserve">laintiffs’ </w:t>
            </w:r>
            <w:r>
              <w:rPr>
                <w:rFonts w:ascii="Calibri" w:hAnsi="Calibri" w:cs="Calibri"/>
                <w:b/>
                <w:sz w:val="22"/>
                <w:szCs w:val="22"/>
                <w:lang w:bidi="en-US"/>
              </w:rPr>
              <w:t xml:space="preserve">original liability claim remained.  </w:t>
            </w:r>
            <w:r w:rsidRPr="00F0597B">
              <w:rPr>
                <w:rFonts w:ascii="Calibri" w:hAnsi="Calibri" w:cs="Calibri"/>
                <w:b/>
                <w:sz w:val="22"/>
                <w:szCs w:val="22"/>
                <w:lang w:bidi="en-US"/>
              </w:rPr>
              <w:t xml:space="preserve">ER146. </w:t>
            </w:r>
            <w:r>
              <w:rPr>
                <w:rFonts w:ascii="Calibri" w:hAnsi="Calibri" w:cs="Calibri"/>
                <w:b/>
                <w:sz w:val="22"/>
                <w:szCs w:val="22"/>
                <w:lang w:bidi="en-US"/>
              </w:rPr>
              <w:t xml:space="preserve"> During </w:t>
            </w:r>
            <w:r w:rsidRPr="00F0597B">
              <w:rPr>
                <w:rFonts w:ascii="Calibri" w:hAnsi="Calibri" w:cs="Calibri"/>
                <w:b/>
                <w:sz w:val="22"/>
                <w:szCs w:val="22"/>
                <w:lang w:bidi="en-US"/>
              </w:rPr>
              <w:t xml:space="preserve">the relevant period, the average iPhone customer held his or her phone </w:t>
            </w:r>
            <w:r>
              <w:rPr>
                <w:rFonts w:ascii="Calibri" w:hAnsi="Calibri" w:cs="Calibri"/>
                <w:b/>
                <w:sz w:val="22"/>
                <w:szCs w:val="22"/>
                <w:lang w:bidi="en-US"/>
              </w:rPr>
              <w:t>about</w:t>
            </w:r>
            <w:r w:rsidRPr="00F0597B">
              <w:rPr>
                <w:rFonts w:ascii="Calibri" w:hAnsi="Calibri" w:cs="Calibri"/>
                <w:b/>
                <w:sz w:val="22"/>
                <w:szCs w:val="22"/>
                <w:lang w:bidi="en-US"/>
              </w:rPr>
              <w:t xml:space="preserve"> 18-22 months, </w:t>
            </w:r>
            <w:r>
              <w:rPr>
                <w:rFonts w:ascii="Calibri" w:hAnsi="Calibri" w:cs="Calibri"/>
                <w:b/>
                <w:sz w:val="22"/>
                <w:szCs w:val="22"/>
                <w:lang w:bidi="en-US"/>
              </w:rPr>
              <w:t xml:space="preserve">and </w:t>
            </w:r>
            <w:r w:rsidRPr="00F0597B">
              <w:rPr>
                <w:rFonts w:ascii="Calibri" w:hAnsi="Calibri" w:cs="Calibri"/>
                <w:b/>
                <w:sz w:val="22"/>
                <w:szCs w:val="22"/>
                <w:lang w:bidi="en-US"/>
              </w:rPr>
              <w:t xml:space="preserve">then upgraded to a new phone. </w:t>
            </w:r>
            <w:r>
              <w:rPr>
                <w:rFonts w:ascii="Calibri" w:hAnsi="Calibri" w:cs="Calibri"/>
                <w:b/>
                <w:sz w:val="22"/>
                <w:szCs w:val="22"/>
                <w:lang w:bidi="en-US"/>
              </w:rPr>
              <w:t xml:space="preserve"> </w:t>
            </w:r>
            <w:r w:rsidRPr="00F0597B">
              <w:rPr>
                <w:rFonts w:ascii="Calibri" w:hAnsi="Calibri" w:cs="Calibri"/>
                <w:b/>
                <w:sz w:val="22"/>
                <w:szCs w:val="22"/>
                <w:lang w:bidi="en-US"/>
              </w:rPr>
              <w:t>Only a small minority of iPhone customers kept their iPhones long enough to buy renewal service.</w:t>
            </w:r>
            <w:r w:rsidR="007A1D0C">
              <w:rPr>
                <w:rFonts w:ascii="Calibri" w:hAnsi="Calibri" w:cs="Calibri"/>
                <w:b/>
                <w:sz w:val="22"/>
                <w:szCs w:val="22"/>
                <w:lang w:bidi="en-US"/>
              </w:rPr>
              <w:t xml:space="preserve"> </w:t>
            </w:r>
          </w:p>
        </w:tc>
      </w:tr>
      <w:tr w:rsidR="007A1D0C" w:rsidRPr="00907D75" w14:paraId="143B2284" w14:textId="77777777" w:rsidTr="00093B76">
        <w:trPr>
          <w:gridAfter w:val="1"/>
          <w:wAfter w:w="198" w:type="dxa"/>
          <w:trHeight w:val="4795"/>
        </w:trPr>
        <w:tc>
          <w:tcPr>
            <w:tcW w:w="5805" w:type="dxa"/>
            <w:vAlign w:val="center"/>
          </w:tcPr>
          <w:p w14:paraId="4B5EFE98" w14:textId="53EF490E" w:rsidR="007A1D0C" w:rsidRPr="00F0597B" w:rsidRDefault="007A1D0C" w:rsidP="00785BC0">
            <w:pPr>
              <w:pStyle w:val="O-BodyText"/>
              <w:spacing w:after="120"/>
              <w:ind w:right="200"/>
              <w:jc w:val="both"/>
              <w:rPr>
                <w:rFonts w:ascii="Calibri" w:hAnsi="Calibri" w:cs="Calibri"/>
                <w:b/>
                <w:sz w:val="28"/>
                <w:szCs w:val="28"/>
              </w:rPr>
            </w:pPr>
            <w:r w:rsidRPr="007A1D0C">
              <w:rPr>
                <w:rFonts w:ascii="Calibri" w:hAnsi="Calibri" w:cs="Calibri"/>
                <w:b/>
                <w:sz w:val="22"/>
                <w:szCs w:val="22"/>
                <w:lang w:bidi="en-US"/>
              </w:rPr>
              <w:t>What percentage of iPhone cu</w:t>
            </w:r>
            <w:r>
              <w:rPr>
                <w:rFonts w:ascii="Calibri" w:hAnsi="Calibri" w:cs="Calibri"/>
                <w:b/>
                <w:sz w:val="22"/>
                <w:szCs w:val="22"/>
                <w:lang w:bidi="en-US"/>
              </w:rPr>
              <w:t>stomers bought renewal service during the class period?</w:t>
            </w:r>
          </w:p>
        </w:tc>
        <w:tc>
          <w:tcPr>
            <w:tcW w:w="5805" w:type="dxa"/>
            <w:gridSpan w:val="2"/>
            <w:vAlign w:val="center"/>
          </w:tcPr>
          <w:p w14:paraId="1659F5E5" w14:textId="625A2E38" w:rsidR="007A1D0C" w:rsidRDefault="00EE372C" w:rsidP="00785BC0">
            <w:pPr>
              <w:pStyle w:val="O-BodyText"/>
              <w:rPr>
                <w:rFonts w:ascii="Calibri" w:hAnsi="Calibri" w:cs="Calibri"/>
                <w:b/>
                <w:sz w:val="22"/>
                <w:szCs w:val="22"/>
                <w:lang w:bidi="en-US"/>
              </w:rPr>
            </w:pPr>
            <w:r>
              <w:rPr>
                <w:rFonts w:ascii="Calibri" w:hAnsi="Calibri" w:cs="Calibri"/>
                <w:b/>
                <w:sz w:val="22"/>
                <w:szCs w:val="22"/>
                <w:lang w:bidi="en-US"/>
              </w:rPr>
              <w:t>We say that only a small minority of iPhone customers kept their iPhones long enough to purchase renewal service. And we say the great majority of putative class members never purchased renewal service.</w:t>
            </w:r>
          </w:p>
        </w:tc>
      </w:tr>
      <w:tr w:rsidR="00785BC0" w:rsidRPr="00907D75" w14:paraId="352EC5BB" w14:textId="77777777" w:rsidTr="00093B76">
        <w:trPr>
          <w:gridAfter w:val="1"/>
          <w:wAfter w:w="198" w:type="dxa"/>
          <w:trHeight w:val="4795"/>
        </w:trPr>
        <w:tc>
          <w:tcPr>
            <w:tcW w:w="5805" w:type="dxa"/>
            <w:vAlign w:val="center"/>
          </w:tcPr>
          <w:p w14:paraId="18F098D4" w14:textId="752870B9"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decide regarding international charges on iPhones?</w:t>
            </w:r>
          </w:p>
        </w:tc>
        <w:tc>
          <w:tcPr>
            <w:tcW w:w="5805" w:type="dxa"/>
            <w:gridSpan w:val="2"/>
            <w:vAlign w:val="center"/>
          </w:tcPr>
          <w:p w14:paraId="0EC4457F" w14:textId="51A1D4F2" w:rsidR="00785BC0" w:rsidRPr="005B7B31" w:rsidRDefault="00785BC0" w:rsidP="00785BC0">
            <w:pPr>
              <w:pStyle w:val="O-BodyText"/>
              <w:spacing w:after="120"/>
              <w:ind w:left="290" w:right="65"/>
              <w:rPr>
                <w:rFonts w:ascii="Calibri" w:hAnsi="Calibri" w:cs="Calibri"/>
                <w:b/>
                <w:sz w:val="22"/>
                <w:szCs w:val="22"/>
                <w:lang w:bidi="en-US"/>
              </w:rPr>
            </w:pPr>
            <w:r w:rsidRPr="005B7B31">
              <w:rPr>
                <w:rFonts w:ascii="Calibri" w:hAnsi="Calibri" w:cs="Calibri"/>
                <w:b/>
                <w:sz w:val="22"/>
                <w:szCs w:val="22"/>
                <w:lang w:bidi="en-US"/>
              </w:rPr>
              <w:t>The district court referenced a “not sufficiently developed” theory based on international charges on iPhones, that similarly depended on consumer expectations and knowledge: “whether consumers were aware that neither AT&amp;T nor Apple would unlock their phones during the initial two-year contract for the purposes of international use.”</w:t>
            </w:r>
          </w:p>
          <w:p w14:paraId="6123CAFA" w14:textId="172C04E3" w:rsidR="00785BC0" w:rsidRPr="00527F79" w:rsidRDefault="00785BC0" w:rsidP="00785BC0">
            <w:pPr>
              <w:pStyle w:val="O-BodyText"/>
              <w:spacing w:after="120"/>
              <w:ind w:left="290" w:right="65"/>
              <w:jc w:val="both"/>
              <w:rPr>
                <w:rFonts w:ascii="Calibri" w:hAnsi="Calibri" w:cs="Calibri"/>
                <w:b/>
                <w:sz w:val="22"/>
                <w:szCs w:val="22"/>
                <w:highlight w:val="yellow"/>
              </w:rPr>
            </w:pPr>
          </w:p>
        </w:tc>
      </w:tr>
      <w:tr w:rsidR="00785BC0" w:rsidRPr="00907D75" w14:paraId="3EF3141B" w14:textId="77777777" w:rsidTr="00093B76">
        <w:trPr>
          <w:gridAfter w:val="1"/>
          <w:wAfter w:w="198" w:type="dxa"/>
          <w:trHeight w:val="4795"/>
        </w:trPr>
        <w:tc>
          <w:tcPr>
            <w:tcW w:w="5805" w:type="dxa"/>
            <w:vAlign w:val="center"/>
          </w:tcPr>
          <w:p w14:paraId="43327626" w14:textId="2DF0C40D"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After summary judgment, what was the basis for class certification?</w:t>
            </w:r>
          </w:p>
        </w:tc>
        <w:tc>
          <w:tcPr>
            <w:tcW w:w="5805" w:type="dxa"/>
            <w:gridSpan w:val="2"/>
            <w:vAlign w:val="center"/>
          </w:tcPr>
          <w:p w14:paraId="01EB67A0" w14:textId="30085EC6" w:rsidR="00785BC0" w:rsidRPr="00200A79" w:rsidRDefault="00785BC0" w:rsidP="007A1D0C">
            <w:pPr>
              <w:pStyle w:val="O-BodyText"/>
              <w:spacing w:after="120"/>
              <w:ind w:right="65"/>
              <w:rPr>
                <w:rFonts w:ascii="Calibri" w:hAnsi="Calibri" w:cs="Calibri"/>
                <w:b/>
                <w:sz w:val="22"/>
                <w:szCs w:val="22"/>
                <w:lang w:bidi="en-US"/>
              </w:rPr>
            </w:pPr>
            <w:r>
              <w:rPr>
                <w:rFonts w:ascii="Calibri" w:hAnsi="Calibri" w:cs="Calibri"/>
                <w:b/>
                <w:sz w:val="22"/>
                <w:szCs w:val="22"/>
                <w:lang w:bidi="en-US"/>
              </w:rPr>
              <w:t xml:space="preserve">After summary judgment, </w:t>
            </w:r>
            <w:r w:rsidRPr="00D4622D">
              <w:rPr>
                <w:rFonts w:ascii="Calibri" w:hAnsi="Calibri" w:cs="Calibri"/>
                <w:b/>
                <w:sz w:val="22"/>
                <w:szCs w:val="22"/>
                <w:lang w:bidi="en-US"/>
              </w:rPr>
              <w:t>the only remaining basis for class certification was</w:t>
            </w:r>
            <w:r w:rsidR="007A1D0C">
              <w:rPr>
                <w:rFonts w:ascii="Calibri" w:hAnsi="Calibri" w:cs="Calibri"/>
                <w:b/>
                <w:sz w:val="22"/>
                <w:szCs w:val="22"/>
                <w:lang w:bidi="en-US"/>
              </w:rPr>
              <w:t xml:space="preserve"> </w:t>
            </w:r>
            <w:r w:rsidRPr="00D4622D">
              <w:rPr>
                <w:rFonts w:ascii="Calibri" w:hAnsi="Calibri" w:cs="Calibri"/>
                <w:b/>
                <w:sz w:val="22"/>
                <w:szCs w:val="22"/>
                <w:lang w:bidi="en-US"/>
              </w:rPr>
              <w:t xml:space="preserve">the alleged aftermarket for </w:t>
            </w:r>
            <w:r w:rsidRPr="00D4622D">
              <w:rPr>
                <w:rFonts w:ascii="Calibri" w:hAnsi="Calibri" w:cs="Calibri"/>
                <w:b/>
                <w:i/>
                <w:sz w:val="22"/>
                <w:szCs w:val="22"/>
                <w:lang w:bidi="en-US"/>
              </w:rPr>
              <w:t xml:space="preserve">renewal </w:t>
            </w:r>
            <w:r w:rsidRPr="00D4622D">
              <w:rPr>
                <w:rFonts w:ascii="Calibri" w:hAnsi="Calibri" w:cs="Calibri"/>
                <w:b/>
                <w:sz w:val="22"/>
                <w:szCs w:val="22"/>
                <w:lang w:bidi="en-US"/>
              </w:rPr>
              <w:t>voice and data</w:t>
            </w:r>
            <w:r>
              <w:rPr>
                <w:rFonts w:ascii="Calibri" w:hAnsi="Calibri" w:cs="Calibri"/>
                <w:b/>
                <w:sz w:val="22"/>
                <w:szCs w:val="22"/>
                <w:lang w:bidi="en-US"/>
              </w:rPr>
              <w:t xml:space="preserve"> </w:t>
            </w:r>
            <w:r w:rsidRPr="00D4622D">
              <w:rPr>
                <w:rFonts w:ascii="Calibri" w:hAnsi="Calibri" w:cs="Calibri"/>
                <w:b/>
                <w:sz w:val="22"/>
                <w:szCs w:val="22"/>
                <w:lang w:bidi="en-US"/>
              </w:rPr>
              <w:t>services.</w:t>
            </w:r>
          </w:p>
        </w:tc>
      </w:tr>
      <w:tr w:rsidR="00785BC0" w:rsidRPr="00907D75" w14:paraId="7BD7B3BF" w14:textId="77777777" w:rsidTr="00093B76">
        <w:trPr>
          <w:gridAfter w:val="1"/>
          <w:wAfter w:w="198" w:type="dxa"/>
          <w:trHeight w:val="4795"/>
        </w:trPr>
        <w:tc>
          <w:tcPr>
            <w:tcW w:w="5805" w:type="dxa"/>
            <w:vAlign w:val="center"/>
          </w:tcPr>
          <w:p w14:paraId="7A0CAFC2" w14:textId="1AFED087"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lang w:bidi="en-US"/>
              </w:rPr>
              <w:t>When did p</w:t>
            </w:r>
            <w:r w:rsidRPr="00B34F16">
              <w:rPr>
                <w:rFonts w:ascii="Calibri" w:hAnsi="Calibri" w:cs="Calibri"/>
                <w:b/>
                <w:sz w:val="28"/>
                <w:szCs w:val="28"/>
                <w:lang w:bidi="en-US"/>
              </w:rPr>
              <w:t>laintiffs file their motion for class certification</w:t>
            </w:r>
            <w:r>
              <w:rPr>
                <w:rFonts w:ascii="Calibri" w:hAnsi="Calibri" w:cs="Calibri"/>
                <w:b/>
                <w:sz w:val="28"/>
                <w:szCs w:val="28"/>
                <w:lang w:bidi="en-US"/>
              </w:rPr>
              <w:t xml:space="preserve"> in this case</w:t>
            </w:r>
            <w:r>
              <w:rPr>
                <w:rFonts w:ascii="Calibri" w:hAnsi="Calibri" w:cs="Calibri"/>
                <w:b/>
                <w:sz w:val="28"/>
                <w:szCs w:val="28"/>
              </w:rPr>
              <w:t>?</w:t>
            </w:r>
          </w:p>
        </w:tc>
        <w:tc>
          <w:tcPr>
            <w:tcW w:w="5805" w:type="dxa"/>
            <w:gridSpan w:val="2"/>
            <w:vAlign w:val="center"/>
          </w:tcPr>
          <w:p w14:paraId="53BFB035" w14:textId="617069D8" w:rsidR="00785BC0" w:rsidRPr="0018584D"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On August 15, 2017, p</w:t>
            </w:r>
            <w:r w:rsidRPr="00B34F16">
              <w:rPr>
                <w:rFonts w:ascii="Calibri" w:hAnsi="Calibri" w:cs="Calibri"/>
                <w:b/>
                <w:sz w:val="22"/>
                <w:szCs w:val="22"/>
                <w:lang w:bidi="en-US"/>
              </w:rPr>
              <w:t>laintiffs filed their motion to certify a class under Rule 23(b)(3).</w:t>
            </w:r>
          </w:p>
        </w:tc>
      </w:tr>
      <w:tr w:rsidR="00785BC0" w:rsidRPr="00907D75" w14:paraId="17875D33" w14:textId="77777777" w:rsidTr="00093B76">
        <w:trPr>
          <w:gridAfter w:val="1"/>
          <w:wAfter w:w="198" w:type="dxa"/>
          <w:trHeight w:val="4795"/>
        </w:trPr>
        <w:tc>
          <w:tcPr>
            <w:tcW w:w="5805" w:type="dxa"/>
            <w:vAlign w:val="center"/>
          </w:tcPr>
          <w:p w14:paraId="1862CD20" w14:textId="54FB24E4"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What class did plaintiffs seek to certify?</w:t>
            </w:r>
          </w:p>
        </w:tc>
        <w:tc>
          <w:tcPr>
            <w:tcW w:w="5805" w:type="dxa"/>
            <w:gridSpan w:val="2"/>
            <w:vAlign w:val="center"/>
          </w:tcPr>
          <w:p w14:paraId="421370F8" w14:textId="77D4CB3D" w:rsidR="00785BC0" w:rsidRPr="00BE4560" w:rsidRDefault="00785BC0" w:rsidP="00785BC0">
            <w:pPr>
              <w:pStyle w:val="O-BodyText"/>
              <w:rPr>
                <w:rFonts w:ascii="Calibri" w:hAnsi="Calibri" w:cs="Calibri"/>
                <w:b/>
                <w:sz w:val="22"/>
                <w:szCs w:val="22"/>
                <w:lang w:bidi="en-US"/>
              </w:rPr>
            </w:pPr>
            <w:r w:rsidRPr="00BE4560">
              <w:rPr>
                <w:rFonts w:ascii="Calibri" w:hAnsi="Calibri" w:cs="Calibri"/>
                <w:b/>
                <w:sz w:val="22"/>
                <w:szCs w:val="22"/>
                <w:lang w:bidi="en-US"/>
              </w:rPr>
              <w:t xml:space="preserve">Despite the court’s summary judgment order </w:t>
            </w:r>
            <w:r>
              <w:rPr>
                <w:rFonts w:ascii="Calibri" w:hAnsi="Calibri" w:cs="Calibri"/>
                <w:b/>
                <w:sz w:val="22"/>
                <w:szCs w:val="22"/>
                <w:lang w:bidi="en-US"/>
              </w:rPr>
              <w:t>substanti</w:t>
            </w:r>
            <w:r w:rsidRPr="00BE4560">
              <w:rPr>
                <w:rFonts w:ascii="Calibri" w:hAnsi="Calibri" w:cs="Calibri"/>
                <w:b/>
                <w:sz w:val="22"/>
                <w:szCs w:val="22"/>
                <w:lang w:bidi="en-US"/>
              </w:rPr>
              <w:t xml:space="preserve">ally narrowing their case, </w:t>
            </w:r>
            <w:r>
              <w:rPr>
                <w:rFonts w:ascii="Calibri" w:hAnsi="Calibri" w:cs="Calibri"/>
                <w:b/>
                <w:sz w:val="22"/>
                <w:szCs w:val="22"/>
                <w:lang w:bidi="en-US"/>
              </w:rPr>
              <w:t>p</w:t>
            </w:r>
            <w:r w:rsidRPr="00BE4560">
              <w:rPr>
                <w:rFonts w:ascii="Calibri" w:hAnsi="Calibri" w:cs="Calibri"/>
                <w:b/>
                <w:sz w:val="22"/>
                <w:szCs w:val="22"/>
                <w:lang w:bidi="en-US"/>
              </w:rPr>
              <w:t>laintiffs sought to certify essentially the same class they had advanced before: “All persons</w:t>
            </w:r>
          </w:p>
          <w:p w14:paraId="21641506" w14:textId="3732A357" w:rsidR="00785BC0" w:rsidRDefault="00785BC0" w:rsidP="00785BC0">
            <w:pPr>
              <w:pStyle w:val="O-BodyText"/>
              <w:rPr>
                <w:rFonts w:ascii="Calibri" w:hAnsi="Calibri" w:cs="Calibri"/>
                <w:b/>
                <w:sz w:val="22"/>
                <w:szCs w:val="22"/>
              </w:rPr>
            </w:pPr>
            <w:r w:rsidRPr="00BE4560">
              <w:rPr>
                <w:rFonts w:ascii="Calibri" w:hAnsi="Calibri" w:cs="Calibri"/>
                <w:b/>
                <w:sz w:val="22"/>
                <w:szCs w:val="22"/>
                <w:lang w:bidi="en-US"/>
              </w:rPr>
              <w:t>… who purchased an iPhone anywhere in the United States at any time from October 19, 2008, through April 8, 2012, and who purchased voice and data service for their iPhones from AT&amp;T.”</w:t>
            </w:r>
          </w:p>
        </w:tc>
      </w:tr>
      <w:tr w:rsidR="00785BC0" w:rsidRPr="00907D75" w14:paraId="1ABED216" w14:textId="77777777" w:rsidTr="00093B76">
        <w:trPr>
          <w:gridAfter w:val="1"/>
          <w:wAfter w:w="198" w:type="dxa"/>
          <w:trHeight w:val="4795"/>
        </w:trPr>
        <w:tc>
          <w:tcPr>
            <w:tcW w:w="5805" w:type="dxa"/>
            <w:vAlign w:val="center"/>
          </w:tcPr>
          <w:p w14:paraId="5DF78A4E" w14:textId="1928FADD"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plaintiffs’ proposed class is overbroad?</w:t>
            </w:r>
          </w:p>
        </w:tc>
        <w:tc>
          <w:tcPr>
            <w:tcW w:w="5805" w:type="dxa"/>
            <w:gridSpan w:val="2"/>
            <w:vAlign w:val="center"/>
          </w:tcPr>
          <w:p w14:paraId="7C81CDBD" w14:textId="5A03AC4B" w:rsidR="00785BC0" w:rsidRDefault="00785BC0" w:rsidP="00785BC0">
            <w:pPr>
              <w:pStyle w:val="O-BodyText"/>
              <w:spacing w:after="120"/>
              <w:ind w:left="290" w:right="65"/>
              <w:jc w:val="both"/>
              <w:rPr>
                <w:rFonts w:ascii="Calibri" w:hAnsi="Calibri" w:cs="Calibri"/>
                <w:b/>
                <w:sz w:val="22"/>
                <w:szCs w:val="22"/>
              </w:rPr>
            </w:pPr>
            <w:r w:rsidRPr="00EE372C">
              <w:rPr>
                <w:rFonts w:ascii="Calibri" w:hAnsi="Calibri" w:cs="Calibri"/>
                <w:b/>
                <w:sz w:val="22"/>
                <w:szCs w:val="22"/>
                <w:lang w:bidi="en-US"/>
              </w:rPr>
              <w:t xml:space="preserve">Because the great majority of putative class members never purchased renewal service from AT&amp;T, which is what is left of plaintiffs’ liability claim after summary judgment.  In fact, plaintiffs sought to certify a class </w:t>
            </w:r>
            <w:r w:rsidRPr="00EE372C">
              <w:rPr>
                <w:rFonts w:ascii="Calibri" w:hAnsi="Calibri" w:cs="Calibri"/>
                <w:b/>
                <w:i/>
                <w:sz w:val="22"/>
                <w:szCs w:val="22"/>
                <w:lang w:bidi="en-US"/>
              </w:rPr>
              <w:t xml:space="preserve">broader </w:t>
            </w:r>
            <w:r w:rsidRPr="00EE372C">
              <w:rPr>
                <w:rFonts w:ascii="Calibri" w:hAnsi="Calibri" w:cs="Calibri"/>
                <w:b/>
                <w:sz w:val="22"/>
                <w:szCs w:val="22"/>
                <w:lang w:bidi="en-US"/>
              </w:rPr>
              <w:t xml:space="preserve">than what they had originally alleged in their complaint, </w:t>
            </w:r>
            <w:r w:rsidR="00F61E44" w:rsidRPr="00EE372C">
              <w:rPr>
                <w:rFonts w:ascii="Calibri" w:hAnsi="Calibri" w:cs="Calibri"/>
                <w:b/>
                <w:sz w:val="22"/>
                <w:szCs w:val="22"/>
                <w:lang w:bidi="en-US"/>
              </w:rPr>
              <w:t>extending the class period by over a year.</w:t>
            </w:r>
          </w:p>
        </w:tc>
      </w:tr>
      <w:tr w:rsidR="00785BC0" w:rsidRPr="00907D75" w14:paraId="6C41B47D" w14:textId="77777777" w:rsidTr="00093B76">
        <w:trPr>
          <w:gridAfter w:val="1"/>
          <w:wAfter w:w="198" w:type="dxa"/>
          <w:trHeight w:val="4795"/>
        </w:trPr>
        <w:tc>
          <w:tcPr>
            <w:tcW w:w="5805" w:type="dxa"/>
            <w:vAlign w:val="center"/>
          </w:tcPr>
          <w:p w14:paraId="53468CFC" w14:textId="1F33199E"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What expert materials did plaintiffs submit in support of their class certification motion?</w:t>
            </w:r>
          </w:p>
        </w:tc>
        <w:tc>
          <w:tcPr>
            <w:tcW w:w="5805" w:type="dxa"/>
            <w:gridSpan w:val="2"/>
            <w:vAlign w:val="center"/>
          </w:tcPr>
          <w:p w14:paraId="549B7E1B" w14:textId="763BD63B" w:rsidR="00785BC0"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P</w:t>
            </w:r>
            <w:r w:rsidRPr="000F775A">
              <w:rPr>
                <w:rFonts w:ascii="Calibri" w:hAnsi="Calibri" w:cs="Calibri"/>
                <w:b/>
                <w:sz w:val="22"/>
                <w:szCs w:val="22"/>
                <w:lang w:bidi="en-US"/>
              </w:rPr>
              <w:t xml:space="preserve">laintiffs submitted an 11-page declaration from an economist, Dr. Frederick R. Warren-Boulton, which </w:t>
            </w:r>
            <w:r>
              <w:rPr>
                <w:rFonts w:ascii="Calibri" w:hAnsi="Calibri" w:cs="Calibri"/>
                <w:b/>
                <w:sz w:val="22"/>
                <w:szCs w:val="22"/>
                <w:lang w:bidi="en-US"/>
              </w:rPr>
              <w:t>presented</w:t>
            </w:r>
            <w:r w:rsidRPr="000F775A">
              <w:rPr>
                <w:rFonts w:ascii="Calibri" w:hAnsi="Calibri" w:cs="Calibri"/>
                <w:b/>
                <w:sz w:val="22"/>
                <w:szCs w:val="22"/>
                <w:lang w:bidi="en-US"/>
              </w:rPr>
              <w:t xml:space="preserve"> two inconsistent theories of common impact.</w:t>
            </w:r>
          </w:p>
        </w:tc>
      </w:tr>
      <w:tr w:rsidR="00677F9F" w:rsidRPr="00907D75" w14:paraId="071B71EA" w14:textId="77777777" w:rsidTr="00093B76">
        <w:trPr>
          <w:gridAfter w:val="1"/>
          <w:wAfter w:w="198" w:type="dxa"/>
          <w:trHeight w:val="4795"/>
        </w:trPr>
        <w:tc>
          <w:tcPr>
            <w:tcW w:w="5805" w:type="dxa"/>
            <w:vAlign w:val="center"/>
          </w:tcPr>
          <w:p w14:paraId="2A57C38D" w14:textId="0BAD6E6D" w:rsidR="00677F9F" w:rsidRDefault="00677F9F"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What did Dr. </w:t>
            </w:r>
            <w:r w:rsidRPr="00677F9F">
              <w:rPr>
                <w:rFonts w:ascii="Calibri" w:hAnsi="Calibri" w:cs="Calibri"/>
                <w:b/>
                <w:sz w:val="28"/>
                <w:szCs w:val="28"/>
                <w:lang w:bidi="en-US"/>
              </w:rPr>
              <w:t>Warren-Boulton</w:t>
            </w:r>
            <w:r>
              <w:rPr>
                <w:rFonts w:ascii="Calibri" w:hAnsi="Calibri" w:cs="Calibri"/>
                <w:b/>
                <w:sz w:val="28"/>
                <w:szCs w:val="28"/>
                <w:lang w:bidi="en-US"/>
              </w:rPr>
              <w:t xml:space="preserve"> say in his expert </w:t>
            </w:r>
            <w:r w:rsidR="00FE5625">
              <w:rPr>
                <w:rFonts w:ascii="Calibri" w:hAnsi="Calibri" w:cs="Calibri"/>
                <w:b/>
                <w:sz w:val="28"/>
                <w:szCs w:val="28"/>
                <w:lang w:bidi="en-US"/>
              </w:rPr>
              <w:t>declaration</w:t>
            </w:r>
            <w:r>
              <w:rPr>
                <w:rFonts w:ascii="Calibri" w:hAnsi="Calibri" w:cs="Calibri"/>
                <w:b/>
                <w:sz w:val="28"/>
                <w:szCs w:val="28"/>
                <w:lang w:bidi="en-US"/>
              </w:rPr>
              <w:t>?</w:t>
            </w:r>
          </w:p>
        </w:tc>
        <w:tc>
          <w:tcPr>
            <w:tcW w:w="5805" w:type="dxa"/>
            <w:gridSpan w:val="2"/>
            <w:vAlign w:val="center"/>
          </w:tcPr>
          <w:p w14:paraId="1BA77180" w14:textId="44E7932F" w:rsidR="00677F9F" w:rsidRPr="00167045" w:rsidRDefault="00677F9F" w:rsidP="00785BC0">
            <w:pPr>
              <w:pStyle w:val="O-BodyText"/>
              <w:spacing w:after="120"/>
              <w:ind w:left="290" w:right="65"/>
              <w:jc w:val="both"/>
              <w:rPr>
                <w:rFonts w:ascii="Calibri" w:hAnsi="Calibri" w:cs="Calibri"/>
                <w:b/>
                <w:sz w:val="22"/>
                <w:szCs w:val="22"/>
                <w:highlight w:val="yellow"/>
                <w:lang w:bidi="en-US"/>
              </w:rPr>
            </w:pPr>
            <w:r w:rsidRPr="00167045">
              <w:rPr>
                <w:rFonts w:ascii="Calibri" w:hAnsi="Calibri" w:cs="Calibri"/>
                <w:b/>
                <w:sz w:val="22"/>
                <w:szCs w:val="22"/>
                <w:highlight w:val="yellow"/>
                <w:lang w:bidi="en-US"/>
              </w:rPr>
              <w:t xml:space="preserve">In his expert </w:t>
            </w:r>
            <w:r w:rsidR="00FE5625" w:rsidRPr="00167045">
              <w:rPr>
                <w:rFonts w:ascii="Calibri" w:hAnsi="Calibri" w:cs="Calibri"/>
                <w:b/>
                <w:sz w:val="22"/>
                <w:szCs w:val="22"/>
                <w:highlight w:val="yellow"/>
                <w:lang w:bidi="en-US"/>
              </w:rPr>
              <w:t>declaration</w:t>
            </w:r>
            <w:r w:rsidRPr="00167045">
              <w:rPr>
                <w:rFonts w:ascii="Calibri" w:hAnsi="Calibri" w:cs="Calibri"/>
                <w:b/>
                <w:sz w:val="22"/>
                <w:szCs w:val="22"/>
                <w:highlight w:val="yellow"/>
                <w:lang w:bidi="en-US"/>
              </w:rPr>
              <w:t xml:space="preserve">, Dr. Warren-Boulton said: </w:t>
            </w:r>
          </w:p>
          <w:p w14:paraId="311D9A0A" w14:textId="251B1954" w:rsidR="00677F9F" w:rsidRPr="00167045" w:rsidRDefault="00677F9F" w:rsidP="00785BC0">
            <w:pPr>
              <w:pStyle w:val="O-BodyText"/>
              <w:spacing w:after="120"/>
              <w:ind w:left="290" w:right="65"/>
              <w:jc w:val="both"/>
              <w:rPr>
                <w:rFonts w:ascii="Calibri" w:hAnsi="Calibri" w:cs="Calibri"/>
                <w:b/>
                <w:sz w:val="22"/>
                <w:szCs w:val="22"/>
                <w:highlight w:val="yellow"/>
                <w:lang w:bidi="en-US"/>
              </w:rPr>
            </w:pPr>
            <w:r w:rsidRPr="00167045">
              <w:rPr>
                <w:rFonts w:ascii="Calibri" w:hAnsi="Calibri" w:cs="Calibri"/>
                <w:b/>
                <w:sz w:val="22"/>
                <w:szCs w:val="22"/>
                <w:highlight w:val="yellow"/>
                <w:lang w:bidi="en-US"/>
              </w:rPr>
              <w:t xml:space="preserve">(1) Apple’s alleged conduct in “the aftermarket for iPhone [Wireless Service], if proven, can establish that all or almost all members of the proposed Class in this case sustained similar economic injury,” and </w:t>
            </w:r>
          </w:p>
          <w:p w14:paraId="03F5C88D" w14:textId="70967E1B" w:rsidR="00677F9F" w:rsidRDefault="00677F9F" w:rsidP="00785BC0">
            <w:pPr>
              <w:pStyle w:val="O-BodyText"/>
              <w:spacing w:after="120"/>
              <w:ind w:left="290" w:right="65"/>
              <w:jc w:val="both"/>
              <w:rPr>
                <w:rFonts w:ascii="Calibri" w:hAnsi="Calibri" w:cs="Calibri"/>
                <w:b/>
                <w:sz w:val="22"/>
                <w:szCs w:val="22"/>
                <w:lang w:bidi="en-US"/>
              </w:rPr>
            </w:pPr>
            <w:r w:rsidRPr="00167045">
              <w:rPr>
                <w:rFonts w:ascii="Calibri" w:hAnsi="Calibri" w:cs="Calibri"/>
                <w:b/>
                <w:sz w:val="22"/>
                <w:szCs w:val="22"/>
                <w:highlight w:val="yellow"/>
                <w:lang w:bidi="en-US"/>
              </w:rPr>
              <w:t>(2) “there exist a common methodology and data to reliably assess the existence and amount of damages to the Class members without the need for individual inquiry.”</w:t>
            </w:r>
            <w:r w:rsidR="00FE5625" w:rsidRPr="00167045">
              <w:rPr>
                <w:rFonts w:ascii="Calibri" w:hAnsi="Calibri" w:cs="Calibri"/>
                <w:b/>
                <w:sz w:val="22"/>
                <w:szCs w:val="22"/>
                <w:highlight w:val="yellow"/>
                <w:lang w:bidi="en-US"/>
              </w:rPr>
              <w:t xml:space="preserve">  Ward Br. 9-10.</w:t>
            </w:r>
          </w:p>
        </w:tc>
      </w:tr>
      <w:tr w:rsidR="00785BC0" w:rsidRPr="00907D75" w14:paraId="7738D5E5" w14:textId="77777777" w:rsidTr="00093B76">
        <w:trPr>
          <w:gridAfter w:val="1"/>
          <w:wAfter w:w="198" w:type="dxa"/>
          <w:trHeight w:val="4795"/>
        </w:trPr>
        <w:tc>
          <w:tcPr>
            <w:tcW w:w="5805" w:type="dxa"/>
            <w:vAlign w:val="center"/>
          </w:tcPr>
          <w:p w14:paraId="64D337B1" w14:textId="5ECF624E"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were Dr. Warren-Boulton’s two theories of common impact?</w:t>
            </w:r>
          </w:p>
        </w:tc>
        <w:tc>
          <w:tcPr>
            <w:tcW w:w="5805" w:type="dxa"/>
            <w:gridSpan w:val="2"/>
            <w:vAlign w:val="center"/>
          </w:tcPr>
          <w:p w14:paraId="58F0A898" w14:textId="2E46832A" w:rsidR="00785BC0" w:rsidRDefault="00785BC0" w:rsidP="00785BC0">
            <w:pPr>
              <w:pStyle w:val="O-BodyText"/>
              <w:spacing w:after="120"/>
              <w:ind w:left="290" w:right="65"/>
              <w:jc w:val="both"/>
              <w:rPr>
                <w:rFonts w:ascii="Calibri" w:hAnsi="Calibri" w:cs="Calibri"/>
                <w:b/>
                <w:sz w:val="22"/>
                <w:szCs w:val="22"/>
                <w:lang w:bidi="en-US"/>
              </w:rPr>
            </w:pPr>
            <w:r w:rsidRPr="000F775A">
              <w:rPr>
                <w:rFonts w:ascii="Calibri" w:hAnsi="Calibri" w:cs="Calibri"/>
                <w:b/>
                <w:sz w:val="22"/>
                <w:szCs w:val="22"/>
                <w:lang w:bidi="en-US"/>
              </w:rPr>
              <w:t>Dr. Warren-Boulton’s</w:t>
            </w:r>
            <w:r>
              <w:rPr>
                <w:rFonts w:ascii="Calibri" w:hAnsi="Calibri" w:cs="Calibri"/>
                <w:b/>
                <w:sz w:val="22"/>
                <w:szCs w:val="22"/>
                <w:lang w:bidi="en-US"/>
              </w:rPr>
              <w:t xml:space="preserve"> posited two</w:t>
            </w:r>
            <w:r w:rsidRPr="000F775A">
              <w:rPr>
                <w:rFonts w:ascii="Calibri" w:hAnsi="Calibri" w:cs="Calibri"/>
                <w:b/>
                <w:sz w:val="22"/>
                <w:szCs w:val="22"/>
                <w:lang w:bidi="en-US"/>
              </w:rPr>
              <w:t xml:space="preserve"> theories of common impact </w:t>
            </w:r>
            <w:r>
              <w:rPr>
                <w:rFonts w:ascii="Calibri" w:hAnsi="Calibri" w:cs="Calibri"/>
                <w:b/>
                <w:sz w:val="22"/>
                <w:szCs w:val="22"/>
                <w:lang w:bidi="en-US"/>
              </w:rPr>
              <w:t>were:</w:t>
            </w:r>
          </w:p>
          <w:p w14:paraId="0793C4F2" w14:textId="4879869F" w:rsidR="00785BC0" w:rsidRDefault="00785BC0" w:rsidP="00785BC0">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 xml:space="preserve">(1) </w:t>
            </w:r>
            <w:r w:rsidR="0036001C">
              <w:rPr>
                <w:rFonts w:ascii="Calibri" w:hAnsi="Calibri" w:cs="Calibri"/>
                <w:b/>
                <w:sz w:val="22"/>
                <w:szCs w:val="22"/>
                <w:lang w:bidi="en-US"/>
              </w:rPr>
              <w:t>the</w:t>
            </w:r>
            <w:r w:rsidRPr="000F775A">
              <w:rPr>
                <w:rFonts w:ascii="Calibri" w:hAnsi="Calibri" w:cs="Calibri"/>
                <w:b/>
                <w:sz w:val="22"/>
                <w:szCs w:val="22"/>
                <w:lang w:bidi="en-US"/>
              </w:rPr>
              <w:t xml:space="preserve"> “truthfully exclusive” world</w:t>
            </w:r>
            <w:r>
              <w:rPr>
                <w:rFonts w:ascii="Calibri" w:hAnsi="Calibri" w:cs="Calibri"/>
                <w:b/>
                <w:sz w:val="22"/>
                <w:szCs w:val="22"/>
                <w:lang w:bidi="en-US"/>
              </w:rPr>
              <w:t>,</w:t>
            </w:r>
            <w:r w:rsidRPr="000F775A">
              <w:rPr>
                <w:rFonts w:ascii="Calibri" w:hAnsi="Calibri" w:cs="Calibri"/>
                <w:b/>
                <w:sz w:val="22"/>
                <w:szCs w:val="22"/>
                <w:lang w:bidi="en-US"/>
              </w:rPr>
              <w:t xml:space="preserve"> in which AT&amp;T’s exclusi</w:t>
            </w:r>
            <w:r>
              <w:rPr>
                <w:rFonts w:ascii="Calibri" w:hAnsi="Calibri" w:cs="Calibri"/>
                <w:b/>
                <w:sz w:val="22"/>
                <w:szCs w:val="22"/>
                <w:lang w:bidi="en-US"/>
              </w:rPr>
              <w:t xml:space="preserve">ve rights were generally known; and </w:t>
            </w:r>
          </w:p>
          <w:p w14:paraId="4D5E04A8" w14:textId="43C5E6EF" w:rsidR="00785BC0" w:rsidRPr="000F775A" w:rsidRDefault="00785BC0" w:rsidP="00785BC0">
            <w:pPr>
              <w:pStyle w:val="O-BodyText"/>
              <w:spacing w:after="120"/>
              <w:ind w:left="290" w:right="65"/>
              <w:jc w:val="both"/>
              <w:rPr>
                <w:rFonts w:ascii="Calibri" w:hAnsi="Calibri" w:cs="Calibri"/>
                <w:b/>
                <w:i/>
                <w:sz w:val="22"/>
                <w:szCs w:val="22"/>
                <w:lang w:bidi="en-US"/>
              </w:rPr>
            </w:pPr>
            <w:r>
              <w:rPr>
                <w:rFonts w:ascii="Calibri" w:hAnsi="Calibri" w:cs="Calibri"/>
                <w:b/>
                <w:sz w:val="22"/>
                <w:szCs w:val="22"/>
                <w:lang w:bidi="en-US"/>
              </w:rPr>
              <w:t xml:space="preserve">(2) </w:t>
            </w:r>
            <w:r w:rsidR="0036001C">
              <w:rPr>
                <w:rFonts w:ascii="Calibri" w:hAnsi="Calibri" w:cs="Calibri"/>
                <w:b/>
                <w:sz w:val="22"/>
                <w:szCs w:val="22"/>
                <w:lang w:bidi="en-US"/>
              </w:rPr>
              <w:t>the</w:t>
            </w:r>
            <w:r w:rsidRPr="000F775A">
              <w:rPr>
                <w:rFonts w:ascii="Calibri" w:hAnsi="Calibri" w:cs="Calibri"/>
                <w:b/>
                <w:sz w:val="22"/>
                <w:szCs w:val="22"/>
                <w:lang w:bidi="en-US"/>
              </w:rPr>
              <w:t xml:space="preserve"> “truthfully non-exclusive” world</w:t>
            </w:r>
            <w:r>
              <w:rPr>
                <w:rFonts w:ascii="Calibri" w:hAnsi="Calibri" w:cs="Calibri"/>
                <w:b/>
                <w:sz w:val="22"/>
                <w:szCs w:val="22"/>
                <w:lang w:bidi="en-US"/>
              </w:rPr>
              <w:t xml:space="preserve">, in which </w:t>
            </w:r>
            <w:r w:rsidRPr="009B3400">
              <w:rPr>
                <w:rFonts w:ascii="Calibri" w:hAnsi="Calibri" w:cs="Calibri"/>
                <w:b/>
                <w:sz w:val="22"/>
                <w:szCs w:val="22"/>
                <w:lang w:bidi="en-US"/>
              </w:rPr>
              <w:t>AT&amp;T and Apple agreed to unlock iPhones after a customer’s initial two-year service contract</w:t>
            </w:r>
            <w:r>
              <w:rPr>
                <w:rFonts w:ascii="Calibri" w:hAnsi="Calibri" w:cs="Calibri"/>
                <w:b/>
                <w:sz w:val="22"/>
                <w:szCs w:val="22"/>
                <w:lang w:bidi="en-US"/>
              </w:rPr>
              <w:t>.</w:t>
            </w:r>
          </w:p>
          <w:p w14:paraId="160C76DE" w14:textId="36178EB7" w:rsidR="00785BC0" w:rsidRPr="00156276" w:rsidRDefault="00785BC0" w:rsidP="00785BC0">
            <w:pPr>
              <w:pStyle w:val="O-BodyText"/>
              <w:spacing w:after="120"/>
              <w:ind w:left="290" w:right="65"/>
              <w:jc w:val="both"/>
              <w:rPr>
                <w:rFonts w:ascii="Calibri" w:hAnsi="Calibri" w:cs="Calibri"/>
                <w:b/>
                <w:sz w:val="22"/>
                <w:szCs w:val="22"/>
              </w:rPr>
            </w:pPr>
          </w:p>
        </w:tc>
      </w:tr>
      <w:tr w:rsidR="00EE372C" w:rsidRPr="00907D75" w14:paraId="5FBDA666" w14:textId="77777777" w:rsidTr="00093B76">
        <w:trPr>
          <w:gridAfter w:val="1"/>
          <w:wAfter w:w="198" w:type="dxa"/>
          <w:trHeight w:val="4795"/>
        </w:trPr>
        <w:tc>
          <w:tcPr>
            <w:tcW w:w="5805" w:type="dxa"/>
            <w:vAlign w:val="center"/>
          </w:tcPr>
          <w:p w14:paraId="0FF9763A" w14:textId="4021ABD6" w:rsidR="00EE372C" w:rsidRDefault="00EE372C" w:rsidP="00785BC0">
            <w:pPr>
              <w:pStyle w:val="O-BodyText"/>
              <w:spacing w:after="120"/>
              <w:ind w:right="200"/>
              <w:jc w:val="both"/>
              <w:rPr>
                <w:rFonts w:ascii="Calibri" w:hAnsi="Calibri" w:cs="Calibri"/>
                <w:b/>
                <w:sz w:val="28"/>
                <w:szCs w:val="28"/>
              </w:rPr>
            </w:pPr>
            <w:r>
              <w:rPr>
                <w:rFonts w:ascii="Calibri" w:hAnsi="Calibri" w:cs="Calibri"/>
                <w:b/>
                <w:sz w:val="28"/>
                <w:szCs w:val="28"/>
              </w:rPr>
              <w:t>What are these but-for worlds? Like, how do they work?</w:t>
            </w:r>
          </w:p>
        </w:tc>
        <w:tc>
          <w:tcPr>
            <w:tcW w:w="5805" w:type="dxa"/>
            <w:gridSpan w:val="2"/>
            <w:vAlign w:val="center"/>
          </w:tcPr>
          <w:p w14:paraId="7039429E" w14:textId="367FC52A" w:rsidR="00EE372C" w:rsidRPr="000F775A" w:rsidRDefault="00EE372C" w:rsidP="00785BC0">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 xml:space="preserve">The idea is to determine what the world would look like without the alleged conspiracy. Plaintiffs envision the question of which world </w:t>
            </w:r>
            <w:proofErr w:type="gramStart"/>
            <w:r>
              <w:rPr>
                <w:rFonts w:ascii="Calibri" w:hAnsi="Calibri" w:cs="Calibri"/>
                <w:b/>
                <w:sz w:val="22"/>
                <w:szCs w:val="22"/>
                <w:lang w:bidi="en-US"/>
              </w:rPr>
              <w:t>actually supplies</w:t>
            </w:r>
            <w:proofErr w:type="gramEnd"/>
            <w:r>
              <w:rPr>
                <w:rFonts w:ascii="Calibri" w:hAnsi="Calibri" w:cs="Calibri"/>
                <w:b/>
                <w:sz w:val="22"/>
                <w:szCs w:val="22"/>
                <w:lang w:bidi="en-US"/>
              </w:rPr>
              <w:t xml:space="preserve"> the damages theory being a question of fact. </w:t>
            </w:r>
            <w:proofErr w:type="gramStart"/>
            <w:r>
              <w:rPr>
                <w:rFonts w:ascii="Calibri" w:hAnsi="Calibri" w:cs="Calibri"/>
                <w:b/>
                <w:sz w:val="22"/>
                <w:szCs w:val="22"/>
                <w:lang w:bidi="en-US"/>
              </w:rPr>
              <w:t>So</w:t>
            </w:r>
            <w:proofErr w:type="gramEnd"/>
            <w:r>
              <w:rPr>
                <w:rFonts w:ascii="Calibri" w:hAnsi="Calibri" w:cs="Calibri"/>
                <w:b/>
                <w:sz w:val="22"/>
                <w:szCs w:val="22"/>
                <w:lang w:bidi="en-US"/>
              </w:rPr>
              <w:t xml:space="preserve"> the factfinder would determine whether Apple and ATT would have proceeded in the TE world—telling people there was exclusivity beyond two years—or the TNE world—abandoning exclusivity completely.</w:t>
            </w:r>
          </w:p>
        </w:tc>
      </w:tr>
      <w:tr w:rsidR="0036001C" w:rsidRPr="00907D75" w14:paraId="11B4EB7B" w14:textId="77777777" w:rsidTr="00093B76">
        <w:trPr>
          <w:gridAfter w:val="1"/>
          <w:wAfter w:w="198" w:type="dxa"/>
          <w:trHeight w:val="4795"/>
        </w:trPr>
        <w:tc>
          <w:tcPr>
            <w:tcW w:w="5805" w:type="dxa"/>
            <w:vAlign w:val="center"/>
          </w:tcPr>
          <w:p w14:paraId="01D88D7A" w14:textId="6CFA9D10" w:rsidR="0036001C" w:rsidRDefault="0036001C" w:rsidP="00785BC0">
            <w:pPr>
              <w:pStyle w:val="O-BodyText"/>
              <w:spacing w:after="120"/>
              <w:ind w:right="200"/>
              <w:jc w:val="both"/>
              <w:rPr>
                <w:rFonts w:ascii="Calibri" w:hAnsi="Calibri" w:cs="Calibri"/>
                <w:b/>
                <w:sz w:val="28"/>
                <w:szCs w:val="28"/>
              </w:rPr>
            </w:pPr>
            <w:r>
              <w:rPr>
                <w:rFonts w:ascii="Calibri" w:hAnsi="Calibri" w:cs="Calibri"/>
                <w:b/>
                <w:sz w:val="28"/>
                <w:szCs w:val="28"/>
                <w:lang w:bidi="en-US"/>
              </w:rPr>
              <w:t xml:space="preserve">What was </w:t>
            </w:r>
            <w:r>
              <w:rPr>
                <w:rFonts w:ascii="Calibri" w:hAnsi="Calibri" w:cs="Calibri"/>
                <w:b/>
                <w:sz w:val="28"/>
                <w:szCs w:val="28"/>
              </w:rPr>
              <w:t xml:space="preserve">Dr. Warren-Boulton’s first theory — the </w:t>
            </w:r>
            <w:r w:rsidRPr="0036001C">
              <w:rPr>
                <w:rFonts w:ascii="Calibri" w:hAnsi="Calibri" w:cs="Calibri"/>
                <w:b/>
                <w:sz w:val="28"/>
                <w:szCs w:val="28"/>
                <w:lang w:bidi="en-US"/>
              </w:rPr>
              <w:t>“truthfully exclusive” world</w:t>
            </w:r>
            <w:r>
              <w:rPr>
                <w:rFonts w:ascii="Calibri" w:hAnsi="Calibri" w:cs="Calibri"/>
                <w:b/>
                <w:sz w:val="28"/>
                <w:szCs w:val="28"/>
                <w:lang w:bidi="en-US"/>
              </w:rPr>
              <w:t>?</w:t>
            </w:r>
          </w:p>
        </w:tc>
        <w:tc>
          <w:tcPr>
            <w:tcW w:w="5805" w:type="dxa"/>
            <w:gridSpan w:val="2"/>
            <w:vAlign w:val="center"/>
          </w:tcPr>
          <w:p w14:paraId="2F3C5468" w14:textId="39A4C433" w:rsidR="0036001C" w:rsidRPr="0036001C" w:rsidRDefault="0036001C" w:rsidP="0036001C">
            <w:pPr>
              <w:pStyle w:val="O-BodyText"/>
              <w:spacing w:after="120"/>
              <w:ind w:left="290" w:right="65"/>
              <w:rPr>
                <w:rFonts w:ascii="Calibri" w:hAnsi="Calibri" w:cs="Calibri"/>
                <w:b/>
                <w:sz w:val="22"/>
                <w:szCs w:val="22"/>
                <w:lang w:bidi="en-US"/>
              </w:rPr>
            </w:pPr>
            <w:r w:rsidRPr="00167045">
              <w:rPr>
                <w:rFonts w:ascii="Calibri" w:hAnsi="Calibri" w:cs="Calibri"/>
                <w:b/>
                <w:sz w:val="22"/>
                <w:szCs w:val="22"/>
                <w:highlight w:val="yellow"/>
                <w:lang w:bidi="en-US"/>
              </w:rPr>
              <w:t>In the “truthfully exclusive” world, Apple would have informed customers that neither it nor AT&amp;T would unlock their iPhones when their initial two-year wireless service agreements ended.  According to Dr. Warren-Boulton, this would have reduced what consumers were willing to pay for their iPhones, or the “reservation prices,” by an amount equal to the present value of the lower prices or higher quality of the wireless service they could have expected to receive on their iPhones after the expiration of their agreements.  Ward Br. 11.</w:t>
            </w:r>
          </w:p>
          <w:p w14:paraId="6BB8201D" w14:textId="77777777" w:rsidR="0036001C" w:rsidRPr="000F775A" w:rsidRDefault="0036001C" w:rsidP="00785BC0">
            <w:pPr>
              <w:pStyle w:val="O-BodyText"/>
              <w:spacing w:after="120"/>
              <w:ind w:left="290" w:right="65"/>
              <w:jc w:val="both"/>
              <w:rPr>
                <w:rFonts w:ascii="Calibri" w:hAnsi="Calibri" w:cs="Calibri"/>
                <w:b/>
                <w:sz w:val="22"/>
                <w:szCs w:val="22"/>
                <w:lang w:bidi="en-US"/>
              </w:rPr>
            </w:pPr>
          </w:p>
        </w:tc>
      </w:tr>
      <w:tr w:rsidR="00785BC0" w:rsidRPr="00907D75" w14:paraId="30C577D4" w14:textId="77777777" w:rsidTr="00093B76">
        <w:trPr>
          <w:gridAfter w:val="1"/>
          <w:wAfter w:w="198" w:type="dxa"/>
          <w:trHeight w:val="4795"/>
        </w:trPr>
        <w:tc>
          <w:tcPr>
            <w:tcW w:w="5805" w:type="dxa"/>
            <w:vAlign w:val="center"/>
          </w:tcPr>
          <w:p w14:paraId="0A15A710" w14:textId="08A4B81B"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do you argue that Dr. Warren-Boulton’s first theory </w:t>
            </w:r>
            <w:r w:rsidR="00A86E10">
              <w:rPr>
                <w:rFonts w:ascii="Calibri" w:hAnsi="Calibri" w:cs="Calibri"/>
                <w:b/>
                <w:sz w:val="28"/>
                <w:szCs w:val="28"/>
              </w:rPr>
              <w:t>(the</w:t>
            </w:r>
            <w:r>
              <w:rPr>
                <w:rFonts w:ascii="Calibri" w:hAnsi="Calibri" w:cs="Calibri"/>
                <w:b/>
                <w:sz w:val="28"/>
                <w:szCs w:val="28"/>
              </w:rPr>
              <w:t xml:space="preserve"> </w:t>
            </w:r>
            <w:r w:rsidRPr="000F775A">
              <w:rPr>
                <w:rFonts w:ascii="Calibri" w:hAnsi="Calibri" w:cs="Calibri"/>
                <w:b/>
                <w:sz w:val="28"/>
                <w:szCs w:val="28"/>
                <w:lang w:bidi="en-US"/>
              </w:rPr>
              <w:t>“truthfully exclusive”</w:t>
            </w:r>
            <w:r>
              <w:rPr>
                <w:rFonts w:ascii="Calibri" w:hAnsi="Calibri" w:cs="Calibri"/>
                <w:b/>
                <w:sz w:val="28"/>
                <w:szCs w:val="28"/>
                <w:lang w:bidi="en-US"/>
              </w:rPr>
              <w:t xml:space="preserve"> world) i</w:t>
            </w:r>
            <w:r>
              <w:rPr>
                <w:rFonts w:ascii="Calibri" w:hAnsi="Calibri" w:cs="Calibri"/>
                <w:b/>
                <w:sz w:val="28"/>
                <w:szCs w:val="28"/>
              </w:rPr>
              <w:t>s inconsistent with plaintiffs’ aftermarket theory?</w:t>
            </w:r>
          </w:p>
        </w:tc>
        <w:tc>
          <w:tcPr>
            <w:tcW w:w="5805" w:type="dxa"/>
            <w:gridSpan w:val="2"/>
            <w:vAlign w:val="center"/>
          </w:tcPr>
          <w:p w14:paraId="7BB6D991" w14:textId="5870C892" w:rsidR="00785BC0" w:rsidRPr="000F775A"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 xml:space="preserve">The </w:t>
            </w:r>
            <w:r w:rsidRPr="000F775A">
              <w:rPr>
                <w:rFonts w:ascii="Calibri" w:hAnsi="Calibri" w:cs="Calibri"/>
                <w:b/>
                <w:sz w:val="22"/>
                <w:szCs w:val="22"/>
                <w:lang w:bidi="en-US"/>
              </w:rPr>
              <w:t>“truthfully exclusive” world</w:t>
            </w:r>
            <w:r>
              <w:rPr>
                <w:rFonts w:ascii="Calibri" w:hAnsi="Calibri" w:cs="Calibri"/>
                <w:b/>
                <w:sz w:val="22"/>
                <w:szCs w:val="22"/>
                <w:lang w:bidi="en-US"/>
              </w:rPr>
              <w:t xml:space="preserve"> theory is inconsistent with the aftermarket theory because </w:t>
            </w:r>
            <w:r w:rsidRPr="000F775A">
              <w:rPr>
                <w:rFonts w:ascii="Calibri" w:hAnsi="Calibri" w:cs="Calibri"/>
                <w:b/>
                <w:i/>
                <w:sz w:val="22"/>
                <w:szCs w:val="22"/>
                <w:lang w:bidi="en-US"/>
              </w:rPr>
              <w:t xml:space="preserve">nothing happens to the prices for the allegedly monopolized </w:t>
            </w:r>
            <w:r w:rsidRPr="00401EFE">
              <w:rPr>
                <w:rFonts w:ascii="Calibri" w:hAnsi="Calibri" w:cs="Calibri"/>
                <w:b/>
                <w:i/>
                <w:sz w:val="22"/>
                <w:szCs w:val="22"/>
                <w:lang w:bidi="en-US"/>
              </w:rPr>
              <w:t>service</w:t>
            </w:r>
            <w:r w:rsidRPr="000F775A">
              <w:rPr>
                <w:rFonts w:ascii="Calibri" w:hAnsi="Calibri" w:cs="Calibri"/>
                <w:b/>
                <w:sz w:val="22"/>
                <w:szCs w:val="22"/>
                <w:lang w:bidi="en-US"/>
              </w:rPr>
              <w:t>, let alone renewal service.  Instead, the prices for</w:t>
            </w:r>
            <w:r w:rsidRPr="000F775A">
              <w:rPr>
                <w:rFonts w:ascii="Calibri" w:hAnsi="Calibri" w:cs="Calibri"/>
                <w:b/>
                <w:i/>
                <w:sz w:val="22"/>
                <w:szCs w:val="22"/>
                <w:lang w:bidi="en-US"/>
              </w:rPr>
              <w:t xml:space="preserve"> all </w:t>
            </w:r>
            <w:r w:rsidRPr="00401EFE">
              <w:rPr>
                <w:rFonts w:ascii="Calibri" w:hAnsi="Calibri" w:cs="Calibri"/>
                <w:b/>
                <w:i/>
                <w:sz w:val="22"/>
                <w:szCs w:val="22"/>
                <w:lang w:bidi="en-US"/>
              </w:rPr>
              <w:t>iPhones</w:t>
            </w:r>
            <w:r>
              <w:rPr>
                <w:rFonts w:ascii="Calibri" w:hAnsi="Calibri" w:cs="Calibri"/>
                <w:b/>
                <w:i/>
                <w:sz w:val="22"/>
                <w:szCs w:val="22"/>
                <w:lang w:bidi="en-US"/>
              </w:rPr>
              <w:t xml:space="preserve"> </w:t>
            </w:r>
            <w:r w:rsidRPr="000F775A">
              <w:rPr>
                <w:rFonts w:ascii="Calibri" w:hAnsi="Calibri" w:cs="Calibri"/>
                <w:b/>
                <w:sz w:val="22"/>
                <w:szCs w:val="22"/>
                <w:lang w:bidi="en-US"/>
              </w:rPr>
              <w:t xml:space="preserve">are allegedly too high, resulting in injury to </w:t>
            </w:r>
            <w:r w:rsidRPr="000F775A">
              <w:rPr>
                <w:rFonts w:ascii="Calibri" w:hAnsi="Calibri" w:cs="Calibri"/>
                <w:b/>
                <w:i/>
                <w:sz w:val="22"/>
                <w:szCs w:val="22"/>
                <w:lang w:bidi="en-US"/>
              </w:rPr>
              <w:t xml:space="preserve">all </w:t>
            </w:r>
            <w:r w:rsidRPr="000F775A">
              <w:rPr>
                <w:rFonts w:ascii="Calibri" w:hAnsi="Calibri" w:cs="Calibri"/>
                <w:b/>
                <w:sz w:val="22"/>
                <w:szCs w:val="22"/>
                <w:lang w:bidi="en-US"/>
              </w:rPr>
              <w:t>iPhone purchasers</w:t>
            </w:r>
            <w:r w:rsidRPr="000F775A">
              <w:rPr>
                <w:rFonts w:ascii="Calibri" w:hAnsi="Calibri" w:cs="Calibri"/>
                <w:b/>
                <w:i/>
                <w:sz w:val="22"/>
                <w:szCs w:val="22"/>
                <w:lang w:bidi="en-US"/>
              </w:rPr>
              <w:t>.</w:t>
            </w:r>
            <w:r w:rsidRPr="000F775A">
              <w:rPr>
                <w:rFonts w:ascii="Calibri" w:hAnsi="Calibri" w:cs="Calibri"/>
                <w:b/>
                <w:sz w:val="22"/>
                <w:szCs w:val="22"/>
                <w:lang w:bidi="en-US"/>
              </w:rPr>
              <w:tab/>
            </w:r>
            <w:r w:rsidR="00605506">
              <w:rPr>
                <w:rFonts w:ascii="Calibri" w:hAnsi="Calibri" w:cs="Calibri"/>
                <w:b/>
                <w:sz w:val="22"/>
                <w:szCs w:val="22"/>
                <w:lang w:bidi="en-US"/>
              </w:rPr>
              <w:t xml:space="preserve">That is, the thing that’s monopolized is cell service, so fixing that thing ought to </w:t>
            </w:r>
            <w:proofErr w:type="gramStart"/>
            <w:r w:rsidR="00605506">
              <w:rPr>
                <w:rFonts w:ascii="Calibri" w:hAnsi="Calibri" w:cs="Calibri"/>
                <w:b/>
                <w:sz w:val="22"/>
                <w:szCs w:val="22"/>
                <w:lang w:bidi="en-US"/>
              </w:rPr>
              <w:t>have an effect on</w:t>
            </w:r>
            <w:proofErr w:type="gramEnd"/>
            <w:r w:rsidR="00605506">
              <w:rPr>
                <w:rFonts w:ascii="Calibri" w:hAnsi="Calibri" w:cs="Calibri"/>
                <w:b/>
                <w:sz w:val="22"/>
                <w:szCs w:val="22"/>
                <w:lang w:bidi="en-US"/>
              </w:rPr>
              <w:t xml:space="preserve"> the price of cell service, not the iPhone.</w:t>
            </w:r>
          </w:p>
        </w:tc>
      </w:tr>
      <w:tr w:rsidR="00605506" w:rsidRPr="00907D75" w14:paraId="67A7B3E1" w14:textId="77777777" w:rsidTr="00093B76">
        <w:trPr>
          <w:gridAfter w:val="1"/>
          <w:wAfter w:w="198" w:type="dxa"/>
          <w:trHeight w:val="4795"/>
        </w:trPr>
        <w:tc>
          <w:tcPr>
            <w:tcW w:w="5805" w:type="dxa"/>
            <w:vAlign w:val="center"/>
          </w:tcPr>
          <w:p w14:paraId="489427F9" w14:textId="1ABB1A85" w:rsidR="00605506" w:rsidRDefault="00605506" w:rsidP="00785BC0">
            <w:pPr>
              <w:pStyle w:val="O-BodyText"/>
              <w:spacing w:after="120"/>
              <w:ind w:right="200"/>
              <w:jc w:val="both"/>
              <w:rPr>
                <w:rFonts w:ascii="Calibri" w:hAnsi="Calibri" w:cs="Calibri"/>
                <w:b/>
                <w:sz w:val="28"/>
                <w:szCs w:val="28"/>
              </w:rPr>
            </w:pPr>
            <w:r>
              <w:rPr>
                <w:rFonts w:ascii="Calibri" w:hAnsi="Calibri" w:cs="Calibri"/>
                <w:b/>
                <w:sz w:val="28"/>
                <w:szCs w:val="28"/>
              </w:rPr>
              <w:t>Why does Plaintiffs’ TE world result in higher iPhone prices rather than higher service prices?</w:t>
            </w:r>
          </w:p>
        </w:tc>
        <w:tc>
          <w:tcPr>
            <w:tcW w:w="5805" w:type="dxa"/>
            <w:gridSpan w:val="2"/>
            <w:vAlign w:val="center"/>
          </w:tcPr>
          <w:p w14:paraId="76CE6939" w14:textId="775E9053" w:rsidR="00605506" w:rsidRDefault="00E8786B" w:rsidP="00785BC0">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Warren-Boulton says that because ATT has a monopoly in both the actual world and the TE world, it was Apple who was able to sell iPhones with inflated values based on the conspiracy. The parties dispute whether this concept is legally or logically possible. Apple says the very notion that the aftermarket prices stay the same is inconsistent with an aftermarket theory, and plaintiffs say there’s nothing wrong with it. Neither side provides case law.</w:t>
            </w:r>
          </w:p>
        </w:tc>
      </w:tr>
      <w:tr w:rsidR="0036001C" w:rsidRPr="00907D75" w14:paraId="2E269174" w14:textId="77777777" w:rsidTr="00093B76">
        <w:trPr>
          <w:gridAfter w:val="1"/>
          <w:wAfter w:w="198" w:type="dxa"/>
          <w:trHeight w:val="4795"/>
        </w:trPr>
        <w:tc>
          <w:tcPr>
            <w:tcW w:w="5805" w:type="dxa"/>
            <w:vAlign w:val="center"/>
          </w:tcPr>
          <w:p w14:paraId="04041117" w14:textId="094BC60A" w:rsidR="0036001C" w:rsidRDefault="0036001C" w:rsidP="00785BC0">
            <w:pPr>
              <w:pStyle w:val="O-BodyText"/>
              <w:spacing w:after="120"/>
              <w:ind w:right="200"/>
              <w:jc w:val="both"/>
              <w:rPr>
                <w:rFonts w:ascii="Calibri" w:hAnsi="Calibri" w:cs="Calibri"/>
                <w:b/>
                <w:sz w:val="28"/>
                <w:szCs w:val="28"/>
              </w:rPr>
            </w:pPr>
            <w:r>
              <w:rPr>
                <w:rFonts w:ascii="Calibri" w:hAnsi="Calibri" w:cs="Calibri"/>
                <w:b/>
                <w:sz w:val="28"/>
                <w:szCs w:val="28"/>
                <w:lang w:bidi="en-US"/>
              </w:rPr>
              <w:t xml:space="preserve">What was </w:t>
            </w:r>
            <w:r>
              <w:rPr>
                <w:rFonts w:ascii="Calibri" w:hAnsi="Calibri" w:cs="Calibri"/>
                <w:b/>
                <w:sz w:val="28"/>
                <w:szCs w:val="28"/>
              </w:rPr>
              <w:t xml:space="preserve">Dr. Warren-Boulton’s second theory — the </w:t>
            </w:r>
            <w:r w:rsidRPr="0036001C">
              <w:rPr>
                <w:rFonts w:ascii="Calibri" w:hAnsi="Calibri" w:cs="Calibri"/>
                <w:b/>
                <w:sz w:val="28"/>
                <w:szCs w:val="28"/>
                <w:lang w:bidi="en-US"/>
              </w:rPr>
              <w:t xml:space="preserve">“truthfully </w:t>
            </w:r>
            <w:r>
              <w:rPr>
                <w:rFonts w:ascii="Calibri" w:hAnsi="Calibri" w:cs="Calibri"/>
                <w:b/>
                <w:sz w:val="28"/>
                <w:szCs w:val="28"/>
                <w:lang w:bidi="en-US"/>
              </w:rPr>
              <w:t>non-</w:t>
            </w:r>
            <w:r w:rsidRPr="0036001C">
              <w:rPr>
                <w:rFonts w:ascii="Calibri" w:hAnsi="Calibri" w:cs="Calibri"/>
                <w:b/>
                <w:sz w:val="28"/>
                <w:szCs w:val="28"/>
                <w:lang w:bidi="en-US"/>
              </w:rPr>
              <w:t>exclusive” world</w:t>
            </w:r>
            <w:r>
              <w:rPr>
                <w:rFonts w:ascii="Calibri" w:hAnsi="Calibri" w:cs="Calibri"/>
                <w:b/>
                <w:sz w:val="28"/>
                <w:szCs w:val="28"/>
                <w:lang w:bidi="en-US"/>
              </w:rPr>
              <w:t>?</w:t>
            </w:r>
          </w:p>
        </w:tc>
        <w:tc>
          <w:tcPr>
            <w:tcW w:w="5805" w:type="dxa"/>
            <w:gridSpan w:val="2"/>
            <w:vAlign w:val="center"/>
          </w:tcPr>
          <w:p w14:paraId="2B105F59" w14:textId="3337F69C" w:rsidR="0036001C" w:rsidRDefault="0036001C" w:rsidP="0036001C">
            <w:pPr>
              <w:pStyle w:val="O-BodyText"/>
              <w:spacing w:after="120"/>
              <w:ind w:left="290" w:right="65"/>
              <w:rPr>
                <w:rFonts w:ascii="Calibri" w:hAnsi="Calibri" w:cs="Calibri"/>
                <w:b/>
                <w:sz w:val="22"/>
                <w:szCs w:val="22"/>
                <w:lang w:bidi="en-US"/>
              </w:rPr>
            </w:pPr>
            <w:r w:rsidRPr="00167045">
              <w:rPr>
                <w:rFonts w:ascii="Calibri" w:hAnsi="Calibri" w:cs="Calibri"/>
                <w:b/>
                <w:sz w:val="22"/>
                <w:szCs w:val="22"/>
                <w:highlight w:val="yellow"/>
                <w:lang w:bidi="en-US"/>
              </w:rPr>
              <w:t>In the “truthfully non-exclusive” world, Apple would have agreed to unlock iPhones</w:t>
            </w:r>
            <w:r w:rsidR="001C7479" w:rsidRPr="00167045">
              <w:rPr>
                <w:rFonts w:ascii="Calibri" w:hAnsi="Calibri" w:cs="Calibri"/>
                <w:b/>
                <w:sz w:val="22"/>
                <w:szCs w:val="22"/>
                <w:highlight w:val="yellow"/>
                <w:lang w:bidi="en-US"/>
              </w:rPr>
              <w:t xml:space="preserve"> (upon request)</w:t>
            </w:r>
            <w:r w:rsidRPr="00167045">
              <w:rPr>
                <w:rFonts w:ascii="Calibri" w:hAnsi="Calibri" w:cs="Calibri"/>
                <w:b/>
                <w:sz w:val="22"/>
                <w:szCs w:val="22"/>
                <w:highlight w:val="yellow"/>
                <w:lang w:bidi="en-US"/>
              </w:rPr>
              <w:t xml:space="preserve"> at the end of the customers’ wireless service agreements.   According to Dr. Warren-Boulton, the refusal of Apple and AT&amp;T to unlock iPhones </w:t>
            </w:r>
            <w:r w:rsidR="001C7479" w:rsidRPr="00167045">
              <w:rPr>
                <w:rFonts w:ascii="Calibri" w:hAnsi="Calibri" w:cs="Calibri"/>
                <w:b/>
                <w:sz w:val="22"/>
                <w:szCs w:val="22"/>
                <w:highlight w:val="yellow"/>
                <w:lang w:bidi="en-US"/>
              </w:rPr>
              <w:t>at the end</w:t>
            </w:r>
            <w:r w:rsidRPr="00167045">
              <w:rPr>
                <w:rFonts w:ascii="Calibri" w:hAnsi="Calibri" w:cs="Calibri"/>
                <w:b/>
                <w:sz w:val="22"/>
                <w:szCs w:val="22"/>
                <w:highlight w:val="yellow"/>
                <w:lang w:bidi="en-US"/>
              </w:rPr>
              <w:t xml:space="preserve"> of class members’ agreements increased the total cost of ownership in the as-is world through higher</w:t>
            </w:r>
            <w:r w:rsidRPr="00167045">
              <w:rPr>
                <w:rFonts w:ascii="Times New Roman" w:hAnsi="Times New Roman" w:cs="Times New Roman"/>
                <w:sz w:val="28"/>
                <w:szCs w:val="28"/>
                <w:highlight w:val="yellow"/>
              </w:rPr>
              <w:t xml:space="preserve"> </w:t>
            </w:r>
            <w:r w:rsidRPr="00167045">
              <w:rPr>
                <w:rFonts w:ascii="Calibri" w:hAnsi="Calibri" w:cs="Calibri"/>
                <w:b/>
                <w:sz w:val="22"/>
                <w:szCs w:val="22"/>
                <w:highlight w:val="yellow"/>
                <w:lang w:bidi="en-US"/>
              </w:rPr>
              <w:t xml:space="preserve">prices </w:t>
            </w:r>
            <w:proofErr w:type="gramStart"/>
            <w:r w:rsidRPr="00167045">
              <w:rPr>
                <w:rFonts w:ascii="Calibri" w:hAnsi="Calibri" w:cs="Calibri"/>
                <w:b/>
                <w:sz w:val="22"/>
                <w:szCs w:val="22"/>
                <w:highlight w:val="yellow"/>
                <w:lang w:bidi="en-US"/>
              </w:rPr>
              <w:t>or  lower</w:t>
            </w:r>
            <w:proofErr w:type="gramEnd"/>
            <w:r w:rsidRPr="00167045">
              <w:rPr>
                <w:rFonts w:ascii="Calibri" w:hAnsi="Calibri" w:cs="Calibri"/>
                <w:b/>
                <w:sz w:val="22"/>
                <w:szCs w:val="22"/>
                <w:highlight w:val="yellow"/>
                <w:lang w:bidi="en-US"/>
              </w:rPr>
              <w:t xml:space="preserve"> quality  iPhone  voice  and data  service (or both).  Ward Br. 11-12.</w:t>
            </w:r>
          </w:p>
        </w:tc>
      </w:tr>
      <w:tr w:rsidR="00785BC0" w:rsidRPr="00907D75" w14:paraId="77C597AA" w14:textId="77777777" w:rsidTr="00093B76">
        <w:trPr>
          <w:gridAfter w:val="1"/>
          <w:wAfter w:w="198" w:type="dxa"/>
          <w:trHeight w:val="4795"/>
        </w:trPr>
        <w:tc>
          <w:tcPr>
            <w:tcW w:w="5805" w:type="dxa"/>
            <w:vAlign w:val="center"/>
          </w:tcPr>
          <w:p w14:paraId="510D817B" w14:textId="486154CE" w:rsidR="00785BC0" w:rsidRDefault="00785BC0" w:rsidP="00785BC0">
            <w:pPr>
              <w:pStyle w:val="O-BodyText"/>
              <w:spacing w:after="120"/>
              <w:ind w:right="200"/>
              <w:jc w:val="both"/>
              <w:rPr>
                <w:rFonts w:ascii="Calibri" w:hAnsi="Calibri" w:cs="Calibri"/>
                <w:b/>
                <w:sz w:val="28"/>
                <w:szCs w:val="28"/>
              </w:rPr>
            </w:pPr>
            <w:r w:rsidRPr="000F775A">
              <w:rPr>
                <w:rFonts w:ascii="Calibri" w:hAnsi="Calibri" w:cs="Calibri"/>
                <w:b/>
                <w:sz w:val="28"/>
                <w:szCs w:val="28"/>
              </w:rPr>
              <w:lastRenderedPageBreak/>
              <w:t xml:space="preserve">Why do you argue that Dr. Warren-Boulton’s </w:t>
            </w:r>
            <w:r>
              <w:rPr>
                <w:rFonts w:ascii="Calibri" w:hAnsi="Calibri" w:cs="Calibri"/>
                <w:b/>
                <w:sz w:val="28"/>
                <w:szCs w:val="28"/>
              </w:rPr>
              <w:t xml:space="preserve">second </w:t>
            </w:r>
            <w:r w:rsidRPr="000F775A">
              <w:rPr>
                <w:rFonts w:ascii="Calibri" w:hAnsi="Calibri" w:cs="Calibri"/>
                <w:b/>
                <w:sz w:val="28"/>
                <w:szCs w:val="28"/>
              </w:rPr>
              <w:t>theory (</w:t>
            </w:r>
            <w:r w:rsidR="001C7479">
              <w:rPr>
                <w:rFonts w:ascii="Calibri" w:hAnsi="Calibri" w:cs="Calibri"/>
                <w:b/>
                <w:sz w:val="28"/>
                <w:szCs w:val="28"/>
              </w:rPr>
              <w:t>the</w:t>
            </w:r>
            <w:r>
              <w:rPr>
                <w:rFonts w:ascii="Calibri" w:hAnsi="Calibri" w:cs="Calibri"/>
                <w:b/>
                <w:sz w:val="28"/>
                <w:szCs w:val="28"/>
              </w:rPr>
              <w:t xml:space="preserve"> </w:t>
            </w:r>
            <w:r w:rsidRPr="000F775A">
              <w:rPr>
                <w:rFonts w:ascii="Calibri" w:hAnsi="Calibri" w:cs="Calibri"/>
                <w:b/>
                <w:sz w:val="28"/>
                <w:szCs w:val="28"/>
                <w:lang w:bidi="en-US"/>
              </w:rPr>
              <w:t>“truthfully non-exclusive”</w:t>
            </w:r>
            <w:r>
              <w:rPr>
                <w:rFonts w:ascii="Calibri" w:hAnsi="Calibri" w:cs="Calibri"/>
                <w:b/>
                <w:sz w:val="28"/>
                <w:szCs w:val="28"/>
                <w:lang w:bidi="en-US"/>
              </w:rPr>
              <w:t xml:space="preserve"> world</w:t>
            </w:r>
            <w:r w:rsidRPr="000F775A">
              <w:rPr>
                <w:rFonts w:ascii="Calibri" w:hAnsi="Calibri" w:cs="Calibri"/>
                <w:b/>
                <w:sz w:val="28"/>
                <w:szCs w:val="28"/>
                <w:lang w:bidi="en-US"/>
              </w:rPr>
              <w:t xml:space="preserve">) </w:t>
            </w:r>
            <w:r>
              <w:rPr>
                <w:rFonts w:ascii="Calibri" w:hAnsi="Calibri" w:cs="Calibri"/>
                <w:b/>
                <w:sz w:val="28"/>
                <w:szCs w:val="28"/>
                <w:lang w:bidi="en-US"/>
              </w:rPr>
              <w:t>i</w:t>
            </w:r>
            <w:r w:rsidRPr="000F775A">
              <w:rPr>
                <w:rFonts w:ascii="Calibri" w:hAnsi="Calibri" w:cs="Calibri"/>
                <w:b/>
                <w:sz w:val="28"/>
                <w:szCs w:val="28"/>
              </w:rPr>
              <w:t xml:space="preserve">s </w:t>
            </w:r>
            <w:r>
              <w:rPr>
                <w:rFonts w:ascii="Calibri" w:hAnsi="Calibri" w:cs="Calibri"/>
                <w:b/>
                <w:sz w:val="28"/>
                <w:szCs w:val="28"/>
              </w:rPr>
              <w:t>problematic</w:t>
            </w:r>
            <w:r w:rsidRPr="000F775A">
              <w:rPr>
                <w:rFonts w:ascii="Calibri" w:hAnsi="Calibri" w:cs="Calibri"/>
                <w:b/>
                <w:sz w:val="28"/>
                <w:szCs w:val="28"/>
              </w:rPr>
              <w:t>?</w:t>
            </w:r>
          </w:p>
        </w:tc>
        <w:tc>
          <w:tcPr>
            <w:tcW w:w="5805" w:type="dxa"/>
            <w:gridSpan w:val="2"/>
            <w:vAlign w:val="center"/>
          </w:tcPr>
          <w:p w14:paraId="0E2D37E2" w14:textId="4CB19F6C" w:rsidR="00785BC0" w:rsidRPr="00156276" w:rsidRDefault="00785BC0" w:rsidP="00785BC0">
            <w:pPr>
              <w:pStyle w:val="O-BodyText"/>
              <w:spacing w:after="120"/>
              <w:ind w:left="290" w:right="65"/>
              <w:rPr>
                <w:rFonts w:ascii="Calibri" w:hAnsi="Calibri" w:cs="Calibri"/>
                <w:b/>
                <w:sz w:val="22"/>
                <w:szCs w:val="22"/>
                <w:lang w:bidi="en-US"/>
              </w:rPr>
            </w:pPr>
            <w:r w:rsidRPr="00746181">
              <w:rPr>
                <w:rFonts w:ascii="Calibri" w:hAnsi="Calibri" w:cs="Calibri"/>
                <w:b/>
                <w:sz w:val="22"/>
                <w:szCs w:val="22"/>
                <w:lang w:bidi="en-US"/>
              </w:rPr>
              <w:t xml:space="preserve">Dr. Warren-Boulton hypothesizes that AT&amp;T’s renewal service prices might have been lower </w:t>
            </w:r>
            <w:r>
              <w:rPr>
                <w:rFonts w:ascii="Calibri" w:hAnsi="Calibri" w:cs="Calibri"/>
                <w:b/>
                <w:sz w:val="22"/>
                <w:szCs w:val="22"/>
                <w:lang w:bidi="en-US"/>
              </w:rPr>
              <w:t>if</w:t>
            </w:r>
            <w:r w:rsidRPr="00746181">
              <w:rPr>
                <w:rFonts w:ascii="Calibri" w:hAnsi="Calibri" w:cs="Calibri"/>
                <w:b/>
                <w:sz w:val="22"/>
                <w:szCs w:val="22"/>
                <w:lang w:bidi="en-US"/>
              </w:rPr>
              <w:t xml:space="preserve"> Apple and AT&amp;T </w:t>
            </w:r>
            <w:r>
              <w:rPr>
                <w:rFonts w:ascii="Calibri" w:hAnsi="Calibri" w:cs="Calibri"/>
                <w:b/>
                <w:sz w:val="22"/>
                <w:szCs w:val="22"/>
                <w:lang w:bidi="en-US"/>
              </w:rPr>
              <w:t xml:space="preserve">had </w:t>
            </w:r>
            <w:r w:rsidRPr="00746181">
              <w:rPr>
                <w:rFonts w:ascii="Calibri" w:hAnsi="Calibri" w:cs="Calibri"/>
                <w:b/>
                <w:sz w:val="22"/>
                <w:szCs w:val="22"/>
                <w:lang w:bidi="en-US"/>
              </w:rPr>
              <w:t>agreed to unlock iPhones after a customer’s initial two-year service contract</w:t>
            </w:r>
            <w:r>
              <w:rPr>
                <w:rFonts w:ascii="Calibri" w:hAnsi="Calibri" w:cs="Calibri"/>
                <w:b/>
                <w:sz w:val="22"/>
                <w:szCs w:val="22"/>
                <w:lang w:bidi="en-US"/>
              </w:rPr>
              <w:t xml:space="preserve">. </w:t>
            </w:r>
            <w:r w:rsidRPr="00E1353B">
              <w:rPr>
                <w:rFonts w:ascii="Calibri" w:hAnsi="Calibri" w:cs="Calibri"/>
                <w:b/>
                <w:sz w:val="22"/>
                <w:szCs w:val="22"/>
                <w:lang w:bidi="en-US"/>
              </w:rPr>
              <w:t xml:space="preserve"> </w:t>
            </w:r>
            <w:r>
              <w:rPr>
                <w:rFonts w:ascii="Calibri" w:hAnsi="Calibri" w:cs="Calibri"/>
                <w:b/>
                <w:sz w:val="22"/>
                <w:szCs w:val="22"/>
                <w:lang w:bidi="en-US"/>
              </w:rPr>
              <w:t xml:space="preserve">This is problematic because AT&amp;T’s exclusivity </w:t>
            </w:r>
            <w:r w:rsidRPr="009B3400">
              <w:rPr>
                <w:rFonts w:ascii="Calibri" w:hAnsi="Calibri" w:cs="Calibri"/>
                <w:b/>
                <w:sz w:val="22"/>
                <w:szCs w:val="22"/>
                <w:lang w:bidi="en-US"/>
              </w:rPr>
              <w:t xml:space="preserve">and </w:t>
            </w:r>
            <w:r>
              <w:rPr>
                <w:rFonts w:ascii="Calibri" w:hAnsi="Calibri" w:cs="Calibri"/>
                <w:b/>
                <w:sz w:val="22"/>
                <w:szCs w:val="22"/>
                <w:lang w:bidi="en-US"/>
              </w:rPr>
              <w:t>unlocking policies</w:t>
            </w:r>
            <w:r w:rsidRPr="009B3400">
              <w:rPr>
                <w:rFonts w:ascii="Calibri" w:hAnsi="Calibri" w:cs="Calibri"/>
                <w:b/>
                <w:sz w:val="22"/>
                <w:szCs w:val="22"/>
                <w:lang w:bidi="en-US"/>
              </w:rPr>
              <w:t xml:space="preserve"> are not</w:t>
            </w:r>
            <w:r>
              <w:rPr>
                <w:rFonts w:ascii="Calibri" w:hAnsi="Calibri" w:cs="Calibri"/>
                <w:b/>
                <w:sz w:val="22"/>
                <w:szCs w:val="22"/>
                <w:lang w:bidi="en-US"/>
              </w:rPr>
              <w:t xml:space="preserve"> </w:t>
            </w:r>
            <w:r w:rsidRPr="009B3400">
              <w:rPr>
                <w:rFonts w:ascii="Calibri" w:hAnsi="Calibri" w:cs="Calibri"/>
                <w:b/>
                <w:sz w:val="22"/>
                <w:szCs w:val="22"/>
                <w:lang w:bidi="en-US"/>
              </w:rPr>
              <w:t xml:space="preserve">challenged </w:t>
            </w:r>
            <w:r>
              <w:rPr>
                <w:rFonts w:ascii="Calibri" w:hAnsi="Calibri" w:cs="Calibri"/>
                <w:b/>
                <w:sz w:val="22"/>
                <w:szCs w:val="22"/>
                <w:lang w:bidi="en-US"/>
              </w:rPr>
              <w:t>as unlawful in this case</w:t>
            </w:r>
            <w:r w:rsidR="001C7479">
              <w:rPr>
                <w:rFonts w:ascii="Calibri" w:hAnsi="Calibri" w:cs="Calibri"/>
                <w:b/>
                <w:sz w:val="22"/>
                <w:szCs w:val="22"/>
                <w:lang w:bidi="en-US"/>
              </w:rPr>
              <w:t xml:space="preserve">; </w:t>
            </w:r>
            <w:r>
              <w:rPr>
                <w:rFonts w:ascii="Calibri" w:hAnsi="Calibri" w:cs="Calibri"/>
                <w:b/>
                <w:sz w:val="22"/>
                <w:szCs w:val="22"/>
                <w:lang w:bidi="en-US"/>
              </w:rPr>
              <w:t>nor have they ever been challenged as unlawful.</w:t>
            </w:r>
            <w:r w:rsidR="00182DB6">
              <w:rPr>
                <w:rFonts w:ascii="Calibri" w:hAnsi="Calibri" w:cs="Calibri"/>
                <w:b/>
                <w:sz w:val="22"/>
                <w:szCs w:val="22"/>
                <w:lang w:bidi="en-US"/>
              </w:rPr>
              <w:t xml:space="preserve"> </w:t>
            </w:r>
            <w:proofErr w:type="gramStart"/>
            <w:r w:rsidR="00182DB6">
              <w:rPr>
                <w:rFonts w:ascii="Calibri" w:hAnsi="Calibri" w:cs="Calibri"/>
                <w:b/>
                <w:sz w:val="22"/>
                <w:szCs w:val="22"/>
                <w:lang w:bidi="en-US"/>
              </w:rPr>
              <w:t>So</w:t>
            </w:r>
            <w:proofErr w:type="gramEnd"/>
            <w:r w:rsidR="00182DB6">
              <w:rPr>
                <w:rFonts w:ascii="Calibri" w:hAnsi="Calibri" w:cs="Calibri"/>
                <w:b/>
                <w:sz w:val="22"/>
                <w:szCs w:val="22"/>
                <w:lang w:bidi="en-US"/>
              </w:rPr>
              <w:t xml:space="preserve"> the TNE theory presupposes that Apple/ATT would do a thing (eliminate exclusivity) that they were not required to do by law.</w:t>
            </w:r>
          </w:p>
        </w:tc>
      </w:tr>
      <w:tr w:rsidR="00182DB6" w:rsidRPr="00907D75" w14:paraId="5B81E078" w14:textId="77777777" w:rsidTr="00093B76">
        <w:trPr>
          <w:gridAfter w:val="1"/>
          <w:wAfter w:w="198" w:type="dxa"/>
          <w:trHeight w:val="4795"/>
        </w:trPr>
        <w:tc>
          <w:tcPr>
            <w:tcW w:w="5805" w:type="dxa"/>
            <w:vAlign w:val="center"/>
          </w:tcPr>
          <w:p w14:paraId="27A3FB03" w14:textId="4C84CA60" w:rsidR="00182DB6" w:rsidRPr="000F775A" w:rsidRDefault="00182DB6" w:rsidP="00785BC0">
            <w:pPr>
              <w:pStyle w:val="O-BodyText"/>
              <w:spacing w:after="120"/>
              <w:ind w:right="200"/>
              <w:jc w:val="both"/>
              <w:rPr>
                <w:rFonts w:ascii="Calibri" w:hAnsi="Calibri" w:cs="Calibri"/>
                <w:b/>
                <w:sz w:val="28"/>
                <w:szCs w:val="28"/>
              </w:rPr>
            </w:pPr>
            <w:r>
              <w:rPr>
                <w:rFonts w:ascii="Calibri" w:hAnsi="Calibri" w:cs="Calibri"/>
                <w:b/>
                <w:sz w:val="28"/>
                <w:szCs w:val="28"/>
              </w:rPr>
              <w:t>What is Plaintiffs’ response to your argument that the TNE world wrongly supposes that Apple and AT&amp;T would have eliminated exclusivity, even though exclusivity is not itself unlawful?</w:t>
            </w:r>
          </w:p>
        </w:tc>
        <w:tc>
          <w:tcPr>
            <w:tcW w:w="5805" w:type="dxa"/>
            <w:gridSpan w:val="2"/>
            <w:vAlign w:val="center"/>
          </w:tcPr>
          <w:p w14:paraId="58E16F91" w14:textId="51E8329F" w:rsidR="00182DB6" w:rsidRPr="00746181" w:rsidRDefault="00182DB6" w:rsidP="00785BC0">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They say what Apple and AT&amp;T would have done absent the conspiracy they did engage in is a fact question.</w:t>
            </w:r>
          </w:p>
        </w:tc>
      </w:tr>
      <w:tr w:rsidR="00785BC0" w:rsidRPr="00907D75" w14:paraId="6712B716" w14:textId="77777777" w:rsidTr="00093B76">
        <w:trPr>
          <w:gridAfter w:val="1"/>
          <w:wAfter w:w="198" w:type="dxa"/>
          <w:trHeight w:val="4795"/>
        </w:trPr>
        <w:tc>
          <w:tcPr>
            <w:tcW w:w="5805" w:type="dxa"/>
            <w:vAlign w:val="center"/>
          </w:tcPr>
          <w:p w14:paraId="7A2AE104" w14:textId="21EC8721" w:rsidR="00785BC0" w:rsidRPr="000F775A"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How does </w:t>
            </w:r>
            <w:r w:rsidRPr="00082259">
              <w:rPr>
                <w:rFonts w:ascii="Calibri" w:hAnsi="Calibri" w:cs="Calibri"/>
                <w:b/>
                <w:sz w:val="28"/>
                <w:szCs w:val="28"/>
              </w:rPr>
              <w:t>Dr. Warren-Boulton</w:t>
            </w:r>
            <w:r>
              <w:rPr>
                <w:rFonts w:ascii="Calibri" w:hAnsi="Calibri" w:cs="Calibri"/>
                <w:b/>
                <w:sz w:val="28"/>
                <w:szCs w:val="28"/>
              </w:rPr>
              <w:t xml:space="preserve"> argue that iPhone purchasers would have been harmed under his second (</w:t>
            </w:r>
            <w:r w:rsidRPr="00082259">
              <w:rPr>
                <w:rFonts w:ascii="Calibri" w:hAnsi="Calibri" w:cs="Calibri"/>
                <w:b/>
                <w:sz w:val="28"/>
                <w:szCs w:val="28"/>
                <w:lang w:bidi="en-US"/>
              </w:rPr>
              <w:t>“truthfully non-exclusive</w:t>
            </w:r>
            <w:r>
              <w:rPr>
                <w:rFonts w:ascii="Calibri" w:hAnsi="Calibri" w:cs="Calibri"/>
                <w:b/>
                <w:sz w:val="28"/>
                <w:szCs w:val="28"/>
                <w:lang w:bidi="en-US"/>
              </w:rPr>
              <w:t>”) theory?</w:t>
            </w:r>
          </w:p>
        </w:tc>
        <w:tc>
          <w:tcPr>
            <w:tcW w:w="5805" w:type="dxa"/>
            <w:gridSpan w:val="2"/>
            <w:vAlign w:val="center"/>
          </w:tcPr>
          <w:p w14:paraId="5A0759F3" w14:textId="3FA39E00" w:rsidR="00785BC0" w:rsidRPr="00746181" w:rsidRDefault="00785BC0" w:rsidP="00785BC0">
            <w:pPr>
              <w:pStyle w:val="O-BodyText"/>
              <w:spacing w:after="120"/>
              <w:ind w:left="290" w:right="65"/>
              <w:rPr>
                <w:rFonts w:ascii="Calibri" w:hAnsi="Calibri" w:cs="Calibri"/>
                <w:b/>
                <w:sz w:val="22"/>
                <w:szCs w:val="22"/>
                <w:lang w:bidi="en-US"/>
              </w:rPr>
            </w:pPr>
            <w:r w:rsidRPr="00082259">
              <w:rPr>
                <w:rFonts w:ascii="Calibri" w:hAnsi="Calibri" w:cs="Calibri"/>
                <w:b/>
                <w:sz w:val="22"/>
                <w:szCs w:val="22"/>
                <w:lang w:bidi="en-US"/>
              </w:rPr>
              <w:t>He argues that</w:t>
            </w:r>
            <w:r>
              <w:rPr>
                <w:rFonts w:ascii="Calibri" w:hAnsi="Calibri" w:cs="Calibri"/>
                <w:b/>
                <w:sz w:val="22"/>
                <w:szCs w:val="22"/>
                <w:lang w:bidi="en-US"/>
              </w:rPr>
              <w:t xml:space="preserve">, by not unlocking their iPhones after the initial two-year service contract, </w:t>
            </w:r>
            <w:r w:rsidRPr="00082259">
              <w:rPr>
                <w:rFonts w:ascii="Calibri" w:hAnsi="Calibri" w:cs="Calibri"/>
                <w:b/>
                <w:sz w:val="22"/>
                <w:szCs w:val="22"/>
                <w:lang w:bidi="en-US"/>
              </w:rPr>
              <w:t xml:space="preserve">every iPhone purchaser would have been harmed by losing an “option value” of being able to switch to T-Mobile, even if they were </w:t>
            </w:r>
            <w:r w:rsidR="00182DB6">
              <w:rPr>
                <w:rFonts w:ascii="Calibri" w:hAnsi="Calibri" w:cs="Calibri"/>
                <w:b/>
                <w:sz w:val="22"/>
                <w:szCs w:val="22"/>
                <w:lang w:bidi="en-US"/>
              </w:rPr>
              <w:t>never able to do so.</w:t>
            </w:r>
          </w:p>
        </w:tc>
      </w:tr>
      <w:tr w:rsidR="00785BC0" w:rsidRPr="00907D75" w14:paraId="55B7DFD1" w14:textId="77777777" w:rsidTr="00093B76">
        <w:trPr>
          <w:gridAfter w:val="1"/>
          <w:wAfter w:w="198" w:type="dxa"/>
          <w:trHeight w:val="4795"/>
        </w:trPr>
        <w:tc>
          <w:tcPr>
            <w:tcW w:w="5805" w:type="dxa"/>
            <w:vAlign w:val="center"/>
          </w:tcPr>
          <w:p w14:paraId="01C683ED" w14:textId="434441B1"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Have AT&amp;T’s exclusivity provisions (and unlocking policies) ever been challenged as unlawful?</w:t>
            </w:r>
          </w:p>
        </w:tc>
        <w:tc>
          <w:tcPr>
            <w:tcW w:w="5805" w:type="dxa"/>
            <w:gridSpan w:val="2"/>
            <w:vAlign w:val="center"/>
          </w:tcPr>
          <w:p w14:paraId="37BFD76A" w14:textId="7FC6E143" w:rsidR="00785BC0" w:rsidRPr="00182DB6"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 xml:space="preserve">No, AT&amp;T’s exclusivity </w:t>
            </w:r>
            <w:r w:rsidRPr="009B3400">
              <w:rPr>
                <w:rFonts w:ascii="Calibri" w:hAnsi="Calibri" w:cs="Calibri"/>
                <w:b/>
                <w:sz w:val="22"/>
                <w:szCs w:val="22"/>
                <w:lang w:bidi="en-US"/>
              </w:rPr>
              <w:t xml:space="preserve">and </w:t>
            </w:r>
            <w:r>
              <w:rPr>
                <w:rFonts w:ascii="Calibri" w:hAnsi="Calibri" w:cs="Calibri"/>
                <w:b/>
                <w:sz w:val="22"/>
                <w:szCs w:val="22"/>
                <w:lang w:bidi="en-US"/>
              </w:rPr>
              <w:t>unlocking policies</w:t>
            </w:r>
            <w:r w:rsidRPr="009B3400">
              <w:rPr>
                <w:rFonts w:ascii="Calibri" w:hAnsi="Calibri" w:cs="Calibri"/>
                <w:b/>
                <w:sz w:val="22"/>
                <w:szCs w:val="22"/>
                <w:lang w:bidi="en-US"/>
              </w:rPr>
              <w:t xml:space="preserve"> are not</w:t>
            </w:r>
            <w:r>
              <w:rPr>
                <w:rFonts w:ascii="Calibri" w:hAnsi="Calibri" w:cs="Calibri"/>
                <w:b/>
                <w:sz w:val="22"/>
                <w:szCs w:val="22"/>
                <w:lang w:bidi="en-US"/>
              </w:rPr>
              <w:t xml:space="preserve"> </w:t>
            </w:r>
            <w:r w:rsidRPr="009B3400">
              <w:rPr>
                <w:rFonts w:ascii="Calibri" w:hAnsi="Calibri" w:cs="Calibri"/>
                <w:b/>
                <w:sz w:val="22"/>
                <w:szCs w:val="22"/>
                <w:lang w:bidi="en-US"/>
              </w:rPr>
              <w:t xml:space="preserve">challenged </w:t>
            </w:r>
            <w:r>
              <w:rPr>
                <w:rFonts w:ascii="Calibri" w:hAnsi="Calibri" w:cs="Calibri"/>
                <w:b/>
                <w:sz w:val="22"/>
                <w:szCs w:val="22"/>
                <w:lang w:bidi="en-US"/>
              </w:rPr>
              <w:t>as unlawful in this case</w:t>
            </w:r>
            <w:r w:rsidR="001C7479">
              <w:rPr>
                <w:rFonts w:ascii="Calibri" w:hAnsi="Calibri" w:cs="Calibri"/>
                <w:b/>
                <w:sz w:val="22"/>
                <w:szCs w:val="22"/>
                <w:lang w:bidi="en-US"/>
              </w:rPr>
              <w:t xml:space="preserve">, </w:t>
            </w:r>
            <w:r>
              <w:rPr>
                <w:rFonts w:ascii="Calibri" w:hAnsi="Calibri" w:cs="Calibri"/>
                <w:b/>
                <w:sz w:val="22"/>
                <w:szCs w:val="22"/>
                <w:lang w:bidi="en-US"/>
              </w:rPr>
              <w:t>nor have they e</w:t>
            </w:r>
            <w:r w:rsidR="001C7479">
              <w:rPr>
                <w:rFonts w:ascii="Calibri" w:hAnsi="Calibri" w:cs="Calibri"/>
                <w:b/>
                <w:sz w:val="22"/>
                <w:szCs w:val="22"/>
                <w:lang w:bidi="en-US"/>
              </w:rPr>
              <w:t>ver been challenged as unlawful</w:t>
            </w:r>
            <w:r>
              <w:rPr>
                <w:rFonts w:ascii="Calibri" w:hAnsi="Calibri" w:cs="Calibri"/>
                <w:b/>
                <w:sz w:val="22"/>
                <w:szCs w:val="22"/>
                <w:lang w:bidi="en-US"/>
              </w:rPr>
              <w:t>.</w:t>
            </w:r>
            <w:r w:rsidR="00182DB6">
              <w:rPr>
                <w:rFonts w:ascii="Calibri" w:hAnsi="Calibri" w:cs="Calibri"/>
                <w:b/>
                <w:sz w:val="22"/>
                <w:szCs w:val="22"/>
                <w:lang w:bidi="en-US"/>
              </w:rPr>
              <w:t xml:space="preserve"> That is, the existence of exclusivity itself isn’t unlawful. What is being challenged is amassing power in an aftermarket for service through </w:t>
            </w:r>
            <w:r w:rsidR="00182DB6">
              <w:rPr>
                <w:rFonts w:ascii="Calibri" w:hAnsi="Calibri" w:cs="Calibri"/>
                <w:b/>
                <w:i/>
                <w:sz w:val="22"/>
                <w:szCs w:val="22"/>
                <w:lang w:bidi="en-US"/>
              </w:rPr>
              <w:t xml:space="preserve">undisclosed </w:t>
            </w:r>
            <w:r w:rsidR="00182DB6">
              <w:rPr>
                <w:rFonts w:ascii="Calibri" w:hAnsi="Calibri" w:cs="Calibri"/>
                <w:b/>
                <w:sz w:val="22"/>
                <w:szCs w:val="22"/>
                <w:lang w:bidi="en-US"/>
              </w:rPr>
              <w:t xml:space="preserve">exclusivity under </w:t>
            </w:r>
            <w:r w:rsidR="00182DB6">
              <w:rPr>
                <w:rFonts w:ascii="Calibri" w:hAnsi="Calibri" w:cs="Calibri"/>
                <w:b/>
                <w:i/>
                <w:sz w:val="22"/>
                <w:szCs w:val="22"/>
                <w:lang w:bidi="en-US"/>
              </w:rPr>
              <w:t>Kodak</w:t>
            </w:r>
            <w:r w:rsidR="00182DB6">
              <w:rPr>
                <w:rFonts w:ascii="Calibri" w:hAnsi="Calibri" w:cs="Calibri"/>
                <w:b/>
                <w:sz w:val="22"/>
                <w:szCs w:val="22"/>
                <w:lang w:bidi="en-US"/>
              </w:rPr>
              <w:t xml:space="preserve"> and </w:t>
            </w:r>
            <w:proofErr w:type="spellStart"/>
            <w:r w:rsidR="00182DB6">
              <w:rPr>
                <w:rFonts w:ascii="Calibri" w:hAnsi="Calibri" w:cs="Calibri"/>
                <w:b/>
                <w:i/>
                <w:sz w:val="22"/>
                <w:szCs w:val="22"/>
                <w:lang w:bidi="en-US"/>
              </w:rPr>
              <w:t>Newcal</w:t>
            </w:r>
            <w:proofErr w:type="spellEnd"/>
            <w:r w:rsidR="00182DB6">
              <w:rPr>
                <w:rFonts w:ascii="Calibri" w:hAnsi="Calibri" w:cs="Calibri"/>
                <w:b/>
                <w:sz w:val="22"/>
                <w:szCs w:val="22"/>
                <w:lang w:bidi="en-US"/>
              </w:rPr>
              <w:t>.</w:t>
            </w:r>
          </w:p>
        </w:tc>
      </w:tr>
      <w:tr w:rsidR="00785BC0" w14:paraId="156339E5" w14:textId="77777777" w:rsidTr="00093B76">
        <w:trPr>
          <w:gridAfter w:val="1"/>
          <w:wAfter w:w="198" w:type="dxa"/>
          <w:trHeight w:val="4795"/>
        </w:trPr>
        <w:tc>
          <w:tcPr>
            <w:tcW w:w="5805" w:type="dxa"/>
            <w:vAlign w:val="center"/>
          </w:tcPr>
          <w:p w14:paraId="5AF98CA1" w14:textId="510AA0EF"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Why do you argue that </w:t>
            </w:r>
            <w:r w:rsidRPr="005822A4">
              <w:rPr>
                <w:rFonts w:ascii="Calibri" w:hAnsi="Calibri" w:cs="Calibri"/>
                <w:b/>
                <w:sz w:val="28"/>
                <w:szCs w:val="28"/>
              </w:rPr>
              <w:t>Dr. Warren-Boulton’s theories</w:t>
            </w:r>
            <w:r>
              <w:rPr>
                <w:rFonts w:ascii="Calibri" w:hAnsi="Calibri" w:cs="Calibri"/>
                <w:b/>
                <w:sz w:val="28"/>
                <w:szCs w:val="28"/>
              </w:rPr>
              <w:t xml:space="preserve"> are problematic?</w:t>
            </w:r>
          </w:p>
        </w:tc>
        <w:tc>
          <w:tcPr>
            <w:tcW w:w="5805" w:type="dxa"/>
            <w:gridSpan w:val="2"/>
            <w:vAlign w:val="center"/>
          </w:tcPr>
          <w:p w14:paraId="3294E6B3" w14:textId="12499219" w:rsidR="00785BC0" w:rsidRDefault="00785BC0" w:rsidP="00785BC0">
            <w:pPr>
              <w:pStyle w:val="O-BodyText"/>
              <w:spacing w:after="120"/>
              <w:ind w:left="290" w:right="65"/>
              <w:rPr>
                <w:rFonts w:ascii="Calibri" w:hAnsi="Calibri" w:cs="Calibri"/>
                <w:b/>
                <w:sz w:val="22"/>
                <w:szCs w:val="22"/>
              </w:rPr>
            </w:pPr>
            <w:r w:rsidRPr="005822A4">
              <w:rPr>
                <w:rFonts w:ascii="Calibri" w:hAnsi="Calibri" w:cs="Calibri"/>
                <w:b/>
                <w:sz w:val="22"/>
                <w:szCs w:val="22"/>
                <w:lang w:bidi="en-US"/>
              </w:rPr>
              <w:t xml:space="preserve">Dr. Warren-Boulton’s declaration did not provide any functioning econometric model of impact or damages. </w:t>
            </w:r>
            <w:r>
              <w:rPr>
                <w:rFonts w:ascii="Calibri" w:hAnsi="Calibri" w:cs="Calibri"/>
                <w:b/>
                <w:sz w:val="22"/>
                <w:szCs w:val="22"/>
                <w:lang w:bidi="en-US"/>
              </w:rPr>
              <w:t xml:space="preserve"> </w:t>
            </w:r>
            <w:r w:rsidRPr="005822A4">
              <w:rPr>
                <w:rFonts w:ascii="Calibri" w:hAnsi="Calibri" w:cs="Calibri"/>
                <w:b/>
                <w:sz w:val="22"/>
                <w:szCs w:val="22"/>
                <w:lang w:bidi="en-US"/>
              </w:rPr>
              <w:t xml:space="preserve">Nor did he provide any evidentiary or empirical </w:t>
            </w:r>
            <w:r w:rsidR="00796FBC" w:rsidRPr="005822A4">
              <w:rPr>
                <w:rFonts w:ascii="Calibri" w:hAnsi="Calibri" w:cs="Calibri"/>
                <w:b/>
                <w:sz w:val="22"/>
                <w:szCs w:val="22"/>
                <w:lang w:bidi="en-US"/>
              </w:rPr>
              <w:t>foundation for</w:t>
            </w:r>
            <w:r w:rsidRPr="005822A4">
              <w:rPr>
                <w:rFonts w:ascii="Calibri" w:hAnsi="Calibri" w:cs="Calibri"/>
                <w:b/>
                <w:sz w:val="22"/>
                <w:szCs w:val="22"/>
                <w:lang w:bidi="en-US"/>
              </w:rPr>
              <w:t xml:space="preserve"> the existen</w:t>
            </w:r>
            <w:r>
              <w:rPr>
                <w:rFonts w:ascii="Calibri" w:hAnsi="Calibri" w:cs="Calibri"/>
                <w:b/>
                <w:sz w:val="22"/>
                <w:szCs w:val="22"/>
                <w:lang w:bidi="en-US"/>
              </w:rPr>
              <w:t>ce of class-wide damages.</w:t>
            </w:r>
          </w:p>
        </w:tc>
      </w:tr>
      <w:tr w:rsidR="00785BC0" w:rsidRPr="00907D75" w14:paraId="4CBA811A" w14:textId="77777777" w:rsidTr="00093B76">
        <w:trPr>
          <w:gridAfter w:val="1"/>
          <w:wAfter w:w="198" w:type="dxa"/>
          <w:trHeight w:val="4795"/>
        </w:trPr>
        <w:tc>
          <w:tcPr>
            <w:tcW w:w="5805" w:type="dxa"/>
            <w:vAlign w:val="center"/>
          </w:tcPr>
          <w:p w14:paraId="743941DB" w14:textId="2B7676F1"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t xml:space="preserve">What is the main problem with </w:t>
            </w:r>
            <w:r w:rsidRPr="00255DC1">
              <w:rPr>
                <w:rFonts w:ascii="Calibri" w:hAnsi="Calibri" w:cs="Calibri"/>
                <w:b/>
                <w:sz w:val="28"/>
                <w:szCs w:val="28"/>
              </w:rPr>
              <w:t xml:space="preserve">Dr. Warren-Boulton’s </w:t>
            </w:r>
            <w:r w:rsidRPr="00255DC1">
              <w:rPr>
                <w:rFonts w:ascii="Calibri" w:hAnsi="Calibri" w:cs="Calibri"/>
                <w:b/>
                <w:sz w:val="28"/>
                <w:szCs w:val="28"/>
                <w:lang w:bidi="en-US"/>
              </w:rPr>
              <w:t>“truthfully non-exclusive” world</w:t>
            </w:r>
            <w:r>
              <w:rPr>
                <w:rFonts w:ascii="Calibri" w:hAnsi="Calibri" w:cs="Calibri"/>
                <w:b/>
                <w:sz w:val="28"/>
                <w:szCs w:val="28"/>
                <w:lang w:bidi="en-US"/>
              </w:rPr>
              <w:t xml:space="preserve"> theory</w:t>
            </w:r>
            <w:r>
              <w:rPr>
                <w:rFonts w:ascii="Calibri" w:hAnsi="Calibri" w:cs="Calibri"/>
                <w:b/>
                <w:sz w:val="28"/>
                <w:szCs w:val="28"/>
              </w:rPr>
              <w:t>?</w:t>
            </w:r>
          </w:p>
        </w:tc>
        <w:tc>
          <w:tcPr>
            <w:tcW w:w="5805" w:type="dxa"/>
            <w:gridSpan w:val="2"/>
            <w:vAlign w:val="center"/>
          </w:tcPr>
          <w:p w14:paraId="53A06E76" w14:textId="18742F83" w:rsidR="00785BC0" w:rsidRDefault="00785BC0" w:rsidP="00785BC0">
            <w:pPr>
              <w:pStyle w:val="O-BodyText"/>
              <w:spacing w:after="120"/>
              <w:ind w:left="290" w:right="65"/>
              <w:jc w:val="both"/>
              <w:rPr>
                <w:rFonts w:ascii="Calibri" w:hAnsi="Calibri" w:cs="Calibri"/>
                <w:b/>
                <w:sz w:val="22"/>
                <w:szCs w:val="22"/>
              </w:rPr>
            </w:pPr>
            <w:r>
              <w:rPr>
                <w:rFonts w:ascii="Calibri" w:hAnsi="Calibri" w:cs="Calibri"/>
                <w:b/>
                <w:sz w:val="22"/>
                <w:szCs w:val="22"/>
                <w:lang w:bidi="en-US"/>
              </w:rPr>
              <w:t xml:space="preserve">Dr. Warren-Boulton posits that, </w:t>
            </w:r>
            <w:r w:rsidRPr="00255DC1">
              <w:rPr>
                <w:rFonts w:ascii="Calibri" w:hAnsi="Calibri" w:cs="Calibri"/>
                <w:b/>
                <w:sz w:val="22"/>
                <w:szCs w:val="22"/>
                <w:lang w:bidi="en-US"/>
              </w:rPr>
              <w:t xml:space="preserve">if AT&amp;T and Apple had agreed to unlock iPhones after </w:t>
            </w:r>
            <w:r>
              <w:rPr>
                <w:rFonts w:ascii="Calibri" w:hAnsi="Calibri" w:cs="Calibri"/>
                <w:b/>
                <w:sz w:val="22"/>
                <w:szCs w:val="22"/>
                <w:lang w:bidi="en-US"/>
              </w:rPr>
              <w:t>the</w:t>
            </w:r>
            <w:r w:rsidRPr="00255DC1">
              <w:rPr>
                <w:rFonts w:ascii="Calibri" w:hAnsi="Calibri" w:cs="Calibri"/>
                <w:b/>
                <w:sz w:val="22"/>
                <w:szCs w:val="22"/>
                <w:lang w:bidi="en-US"/>
              </w:rPr>
              <w:t xml:space="preserve"> initial two-year service contract, service prices </w:t>
            </w:r>
            <w:r>
              <w:rPr>
                <w:rFonts w:ascii="Calibri" w:hAnsi="Calibri" w:cs="Calibri"/>
                <w:b/>
                <w:sz w:val="22"/>
                <w:szCs w:val="22"/>
                <w:lang w:bidi="en-US"/>
              </w:rPr>
              <w:t xml:space="preserve">for </w:t>
            </w:r>
            <w:r w:rsidRPr="00255DC1">
              <w:rPr>
                <w:rFonts w:ascii="Calibri" w:hAnsi="Calibri" w:cs="Calibri"/>
                <w:b/>
                <w:sz w:val="22"/>
                <w:szCs w:val="22"/>
                <w:lang w:bidi="en-US"/>
              </w:rPr>
              <w:t xml:space="preserve">AT&amp;T </w:t>
            </w:r>
            <w:r>
              <w:rPr>
                <w:rFonts w:ascii="Calibri" w:hAnsi="Calibri" w:cs="Calibri"/>
                <w:b/>
                <w:sz w:val="22"/>
                <w:szCs w:val="22"/>
                <w:lang w:bidi="en-US"/>
              </w:rPr>
              <w:t xml:space="preserve">and </w:t>
            </w:r>
            <w:r w:rsidRPr="00255DC1">
              <w:rPr>
                <w:rFonts w:ascii="Calibri" w:hAnsi="Calibri" w:cs="Calibri"/>
                <w:b/>
                <w:sz w:val="22"/>
                <w:szCs w:val="22"/>
                <w:lang w:bidi="en-US"/>
              </w:rPr>
              <w:t xml:space="preserve">T-Mobile would have converged. </w:t>
            </w:r>
            <w:r>
              <w:rPr>
                <w:rFonts w:ascii="Calibri" w:hAnsi="Calibri" w:cs="Calibri"/>
                <w:b/>
                <w:sz w:val="22"/>
                <w:szCs w:val="22"/>
                <w:lang w:bidi="en-US"/>
              </w:rPr>
              <w:t xml:space="preserve"> This is</w:t>
            </w:r>
            <w:r w:rsidRPr="00255DC1">
              <w:rPr>
                <w:rFonts w:ascii="Calibri" w:hAnsi="Calibri" w:cs="Calibri"/>
                <w:b/>
                <w:sz w:val="22"/>
                <w:szCs w:val="22"/>
                <w:lang w:bidi="en-US"/>
              </w:rPr>
              <w:t xml:space="preserve"> a testable hypothesis</w:t>
            </w:r>
            <w:r>
              <w:rPr>
                <w:rFonts w:ascii="Calibri" w:hAnsi="Calibri" w:cs="Calibri"/>
                <w:b/>
                <w:sz w:val="22"/>
                <w:szCs w:val="22"/>
                <w:lang w:bidi="en-US"/>
              </w:rPr>
              <w:t xml:space="preserve"> (</w:t>
            </w:r>
            <w:r w:rsidRPr="00255DC1">
              <w:rPr>
                <w:rFonts w:ascii="Calibri" w:hAnsi="Calibri" w:cs="Calibri"/>
                <w:b/>
                <w:sz w:val="22"/>
                <w:szCs w:val="22"/>
                <w:lang w:bidi="en-US"/>
              </w:rPr>
              <w:t>Dr. Warren-Boulton</w:t>
            </w:r>
            <w:r>
              <w:rPr>
                <w:rFonts w:ascii="Calibri" w:hAnsi="Calibri" w:cs="Calibri"/>
                <w:b/>
                <w:sz w:val="22"/>
                <w:szCs w:val="22"/>
                <w:lang w:bidi="en-US"/>
              </w:rPr>
              <w:t xml:space="preserve"> said so himself), yet he</w:t>
            </w:r>
            <w:r w:rsidRPr="00255DC1">
              <w:rPr>
                <w:rFonts w:ascii="Calibri" w:hAnsi="Calibri" w:cs="Calibri"/>
                <w:b/>
                <w:sz w:val="22"/>
                <w:szCs w:val="22"/>
                <w:lang w:bidi="en-US"/>
              </w:rPr>
              <w:t xml:space="preserve"> did nothing to establish that </w:t>
            </w:r>
            <w:r>
              <w:rPr>
                <w:rFonts w:ascii="Calibri" w:hAnsi="Calibri" w:cs="Calibri"/>
                <w:b/>
                <w:sz w:val="22"/>
                <w:szCs w:val="22"/>
                <w:lang w:bidi="en-US"/>
              </w:rPr>
              <w:t>an</w:t>
            </w:r>
            <w:r w:rsidRPr="00255DC1">
              <w:rPr>
                <w:rFonts w:ascii="Calibri" w:hAnsi="Calibri" w:cs="Calibri"/>
                <w:b/>
                <w:sz w:val="22"/>
                <w:szCs w:val="22"/>
                <w:lang w:bidi="en-US"/>
              </w:rPr>
              <w:t xml:space="preserve"> injury and damages model consistent with this hypothesis would reliably show that AT&amp;T</w:t>
            </w:r>
            <w:r w:rsidR="00EB37DF">
              <w:rPr>
                <w:rFonts w:ascii="Calibri" w:hAnsi="Calibri" w:cs="Calibri"/>
                <w:b/>
                <w:sz w:val="22"/>
                <w:szCs w:val="22"/>
                <w:lang w:bidi="en-US"/>
              </w:rPr>
              <w:t>’s</w:t>
            </w:r>
            <w:r w:rsidRPr="00255DC1">
              <w:rPr>
                <w:rFonts w:ascii="Calibri" w:hAnsi="Calibri" w:cs="Calibri"/>
                <w:b/>
                <w:sz w:val="22"/>
                <w:szCs w:val="22"/>
                <w:lang w:bidi="en-US"/>
              </w:rPr>
              <w:t xml:space="preserve"> renewal service was overpriced. </w:t>
            </w:r>
            <w:r>
              <w:rPr>
                <w:rFonts w:ascii="Calibri" w:hAnsi="Calibri" w:cs="Calibri"/>
                <w:b/>
                <w:sz w:val="22"/>
                <w:szCs w:val="22"/>
                <w:lang w:bidi="en-US"/>
              </w:rPr>
              <w:t xml:space="preserve"> </w:t>
            </w:r>
            <w:r w:rsidRPr="00255DC1">
              <w:rPr>
                <w:rFonts w:ascii="Calibri" w:hAnsi="Calibri" w:cs="Calibri"/>
                <w:b/>
                <w:sz w:val="22"/>
                <w:szCs w:val="22"/>
                <w:lang w:bidi="en-US"/>
              </w:rPr>
              <w:t>He</w:t>
            </w:r>
            <w:r>
              <w:rPr>
                <w:rFonts w:ascii="Calibri" w:hAnsi="Calibri" w:cs="Calibri"/>
                <w:b/>
                <w:sz w:val="22"/>
                <w:szCs w:val="22"/>
                <w:lang w:bidi="en-US"/>
              </w:rPr>
              <w:t xml:space="preserve"> just </w:t>
            </w:r>
            <w:r w:rsidRPr="00255DC1">
              <w:rPr>
                <w:rFonts w:ascii="Calibri" w:hAnsi="Calibri" w:cs="Calibri"/>
                <w:b/>
                <w:sz w:val="22"/>
                <w:szCs w:val="22"/>
                <w:lang w:bidi="en-US"/>
              </w:rPr>
              <w:t>asked the Court to take his word for it.</w:t>
            </w:r>
          </w:p>
        </w:tc>
      </w:tr>
      <w:tr w:rsidR="00796FBC" w:rsidRPr="00907D75" w14:paraId="75705C1C" w14:textId="77777777" w:rsidTr="00093B76">
        <w:trPr>
          <w:gridAfter w:val="1"/>
          <w:wAfter w:w="198" w:type="dxa"/>
          <w:trHeight w:val="4795"/>
        </w:trPr>
        <w:tc>
          <w:tcPr>
            <w:tcW w:w="5805" w:type="dxa"/>
            <w:vAlign w:val="center"/>
          </w:tcPr>
          <w:p w14:paraId="10F16C86" w14:textId="6293F39B" w:rsidR="00796FBC" w:rsidRPr="00796FBC" w:rsidRDefault="00796FBC"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EB37DF">
              <w:rPr>
                <w:rFonts w:ascii="Calibri" w:hAnsi="Calibri" w:cs="Calibri"/>
                <w:b/>
                <w:sz w:val="28"/>
                <w:szCs w:val="28"/>
              </w:rPr>
              <w:t xml:space="preserve">did </w:t>
            </w:r>
            <w:r>
              <w:rPr>
                <w:rFonts w:ascii="Calibri" w:hAnsi="Calibri" w:cs="Calibri"/>
                <w:b/>
                <w:sz w:val="28"/>
                <w:szCs w:val="28"/>
              </w:rPr>
              <w:t>Dr.</w:t>
            </w:r>
            <w:r w:rsidRPr="00796FBC">
              <w:rPr>
                <w:rFonts w:ascii="Calibri" w:hAnsi="Calibri" w:cs="Calibri"/>
                <w:b/>
                <w:sz w:val="28"/>
                <w:szCs w:val="28"/>
              </w:rPr>
              <w:t xml:space="preserve"> Simon </w:t>
            </w:r>
            <w:proofErr w:type="spellStart"/>
            <w:r w:rsidRPr="00796FBC">
              <w:rPr>
                <w:rFonts w:ascii="Calibri" w:hAnsi="Calibri" w:cs="Calibri"/>
                <w:b/>
                <w:sz w:val="28"/>
                <w:szCs w:val="28"/>
              </w:rPr>
              <w:t>Wilkie</w:t>
            </w:r>
            <w:proofErr w:type="spellEnd"/>
            <w:r w:rsidRPr="00796FBC">
              <w:rPr>
                <w:rFonts w:ascii="Calibri" w:hAnsi="Calibri" w:cs="Calibri"/>
                <w:b/>
                <w:sz w:val="28"/>
                <w:szCs w:val="28"/>
              </w:rPr>
              <w:t xml:space="preserve">, </w:t>
            </w:r>
            <w:r>
              <w:rPr>
                <w:rFonts w:ascii="Calibri" w:hAnsi="Calibri" w:cs="Calibri"/>
                <w:b/>
                <w:sz w:val="28"/>
                <w:szCs w:val="28"/>
              </w:rPr>
              <w:t xml:space="preserve">plaintiffs’ </w:t>
            </w:r>
            <w:r w:rsidR="00D212AD">
              <w:rPr>
                <w:rFonts w:ascii="Calibri" w:hAnsi="Calibri" w:cs="Calibri"/>
                <w:b/>
                <w:sz w:val="28"/>
                <w:szCs w:val="28"/>
              </w:rPr>
              <w:t xml:space="preserve">antitrust economist </w:t>
            </w:r>
            <w:r w:rsidR="00EB37DF">
              <w:rPr>
                <w:rFonts w:ascii="Calibri" w:hAnsi="Calibri" w:cs="Calibri"/>
                <w:b/>
                <w:sz w:val="28"/>
                <w:szCs w:val="28"/>
              </w:rPr>
              <w:t xml:space="preserve">expert </w:t>
            </w:r>
            <w:r w:rsidRPr="00796FBC">
              <w:rPr>
                <w:rFonts w:ascii="Calibri" w:hAnsi="Calibri" w:cs="Calibri"/>
                <w:b/>
                <w:sz w:val="28"/>
                <w:szCs w:val="28"/>
              </w:rPr>
              <w:t xml:space="preserve">in </w:t>
            </w:r>
            <w:r w:rsidRPr="00796FBC">
              <w:rPr>
                <w:rFonts w:ascii="Calibri" w:hAnsi="Calibri" w:cs="Calibri"/>
                <w:b/>
                <w:i/>
                <w:sz w:val="28"/>
                <w:szCs w:val="28"/>
              </w:rPr>
              <w:t>Apple</w:t>
            </w:r>
            <w:r>
              <w:rPr>
                <w:rFonts w:ascii="Calibri" w:hAnsi="Calibri" w:cs="Calibri"/>
                <w:b/>
                <w:i/>
                <w:sz w:val="28"/>
                <w:szCs w:val="28"/>
              </w:rPr>
              <w:t xml:space="preserve"> I</w:t>
            </w:r>
            <w:r>
              <w:rPr>
                <w:rFonts w:ascii="Calibri" w:hAnsi="Calibri" w:cs="Calibri"/>
                <w:b/>
                <w:sz w:val="28"/>
                <w:szCs w:val="28"/>
              </w:rPr>
              <w:t>, conclude regarding T-Mobile’s wireless service?</w:t>
            </w:r>
          </w:p>
        </w:tc>
        <w:tc>
          <w:tcPr>
            <w:tcW w:w="5805" w:type="dxa"/>
            <w:gridSpan w:val="2"/>
            <w:vAlign w:val="center"/>
          </w:tcPr>
          <w:p w14:paraId="18DD1B63" w14:textId="02F147DC" w:rsidR="00796FBC" w:rsidRDefault="00796FBC" w:rsidP="00785BC0">
            <w:pPr>
              <w:pStyle w:val="O-BodyText"/>
              <w:spacing w:after="120"/>
              <w:ind w:left="290" w:right="65"/>
              <w:jc w:val="both"/>
              <w:rPr>
                <w:rFonts w:ascii="Calibri" w:hAnsi="Calibri" w:cs="Calibri"/>
                <w:b/>
                <w:sz w:val="22"/>
                <w:szCs w:val="22"/>
                <w:lang w:bidi="en-US"/>
              </w:rPr>
            </w:pPr>
            <w:r w:rsidRPr="00167045">
              <w:rPr>
                <w:rFonts w:ascii="Calibri" w:hAnsi="Calibri" w:cs="Calibri"/>
                <w:b/>
                <w:sz w:val="22"/>
                <w:szCs w:val="22"/>
                <w:highlight w:val="yellow"/>
                <w:lang w:bidi="en-US"/>
              </w:rPr>
              <w:t xml:space="preserve">Dr. </w:t>
            </w:r>
            <w:proofErr w:type="spellStart"/>
            <w:r w:rsidRPr="00167045">
              <w:rPr>
                <w:rFonts w:ascii="Calibri" w:hAnsi="Calibri" w:cs="Calibri"/>
                <w:b/>
                <w:sz w:val="22"/>
                <w:szCs w:val="22"/>
                <w:highlight w:val="yellow"/>
                <w:lang w:bidi="en-US"/>
              </w:rPr>
              <w:t>Wilkie</w:t>
            </w:r>
            <w:proofErr w:type="spellEnd"/>
            <w:r w:rsidRPr="00167045">
              <w:rPr>
                <w:rFonts w:ascii="Calibri" w:hAnsi="Calibri" w:cs="Calibri"/>
                <w:b/>
                <w:sz w:val="22"/>
                <w:szCs w:val="22"/>
                <w:highlight w:val="yellow"/>
                <w:lang w:bidi="en-US"/>
              </w:rPr>
              <w:t xml:space="preserve"> determined that T-Mobile’s wireless service was a reasonable alternative to AT&amp;T’s wireless service, and he was able to measure damages based on the differences between AT&amp;T’s prices and T-Mobile’s prices for similar wireless service plans.  Ward Br. 12.</w:t>
            </w:r>
          </w:p>
        </w:tc>
      </w:tr>
      <w:tr w:rsidR="00785BC0" w:rsidRPr="00907D75" w14:paraId="67A9C33A" w14:textId="77777777" w:rsidTr="00093B76">
        <w:trPr>
          <w:gridAfter w:val="1"/>
          <w:wAfter w:w="198" w:type="dxa"/>
          <w:trHeight w:val="4795"/>
        </w:trPr>
        <w:tc>
          <w:tcPr>
            <w:tcW w:w="5805" w:type="dxa"/>
            <w:vAlign w:val="center"/>
          </w:tcPr>
          <w:p w14:paraId="0C04A480" w14:textId="7A4C1FAA"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lang w:bidi="en-US"/>
              </w:rPr>
              <w:t xml:space="preserve">Was the </w:t>
            </w:r>
            <w:r w:rsidRPr="00255DC1">
              <w:rPr>
                <w:rFonts w:ascii="Calibri" w:hAnsi="Calibri" w:cs="Calibri"/>
                <w:b/>
                <w:sz w:val="28"/>
                <w:szCs w:val="28"/>
                <w:lang w:bidi="en-US"/>
              </w:rPr>
              <w:t>T-Mobile network competitive with the AT&amp;</w:t>
            </w:r>
            <w:r w:rsidR="00796FBC" w:rsidRPr="00255DC1">
              <w:rPr>
                <w:rFonts w:ascii="Calibri" w:hAnsi="Calibri" w:cs="Calibri"/>
                <w:b/>
                <w:sz w:val="28"/>
                <w:szCs w:val="28"/>
                <w:lang w:bidi="en-US"/>
              </w:rPr>
              <w:t>T network</w:t>
            </w:r>
            <w:r>
              <w:rPr>
                <w:rFonts w:ascii="Calibri" w:hAnsi="Calibri" w:cs="Calibri"/>
                <w:b/>
                <w:sz w:val="28"/>
                <w:szCs w:val="28"/>
                <w:lang w:bidi="en-US"/>
              </w:rPr>
              <w:t xml:space="preserve"> in the 2008-2012 period</w:t>
            </w:r>
            <w:r>
              <w:rPr>
                <w:rFonts w:ascii="Calibri" w:hAnsi="Calibri" w:cs="Calibri"/>
                <w:b/>
                <w:sz w:val="28"/>
                <w:szCs w:val="28"/>
              </w:rPr>
              <w:t>?</w:t>
            </w:r>
          </w:p>
        </w:tc>
        <w:tc>
          <w:tcPr>
            <w:tcW w:w="5805" w:type="dxa"/>
            <w:gridSpan w:val="2"/>
            <w:vAlign w:val="center"/>
          </w:tcPr>
          <w:p w14:paraId="29276711" w14:textId="730D184A" w:rsidR="00785BC0" w:rsidRPr="00E37C8E" w:rsidRDefault="00785BC0" w:rsidP="00785BC0">
            <w:pPr>
              <w:pStyle w:val="O-BodyText"/>
              <w:spacing w:after="120"/>
              <w:ind w:left="290" w:right="65"/>
              <w:rPr>
                <w:rFonts w:ascii="Calibri" w:hAnsi="Calibri" w:cs="Calibri"/>
                <w:b/>
                <w:sz w:val="22"/>
                <w:szCs w:val="22"/>
              </w:rPr>
            </w:pPr>
            <w:r>
              <w:rPr>
                <w:rFonts w:ascii="Calibri" w:hAnsi="Calibri" w:cs="Calibri"/>
                <w:b/>
                <w:sz w:val="22"/>
                <w:szCs w:val="22"/>
                <w:lang w:bidi="en-US"/>
              </w:rPr>
              <w:t>No.  There were t</w:t>
            </w:r>
            <w:r w:rsidRPr="00255DC1">
              <w:rPr>
                <w:rFonts w:ascii="Calibri" w:hAnsi="Calibri" w:cs="Calibri"/>
                <w:b/>
                <w:sz w:val="22"/>
                <w:szCs w:val="22"/>
                <w:lang w:bidi="en-US"/>
              </w:rPr>
              <w:t xml:space="preserve">echnology limitations </w:t>
            </w:r>
            <w:r>
              <w:rPr>
                <w:rFonts w:ascii="Calibri" w:hAnsi="Calibri" w:cs="Calibri"/>
                <w:b/>
                <w:sz w:val="22"/>
                <w:szCs w:val="22"/>
                <w:lang w:bidi="en-US"/>
              </w:rPr>
              <w:t xml:space="preserve">with </w:t>
            </w:r>
            <w:r w:rsidRPr="00255DC1">
              <w:rPr>
                <w:rFonts w:ascii="Calibri" w:hAnsi="Calibri" w:cs="Calibri"/>
                <w:b/>
                <w:sz w:val="22"/>
                <w:szCs w:val="22"/>
                <w:lang w:bidi="en-US"/>
              </w:rPr>
              <w:t>T-Mobile’s different spectrum</w:t>
            </w:r>
            <w:r>
              <w:rPr>
                <w:rFonts w:ascii="Calibri" w:hAnsi="Calibri" w:cs="Calibri"/>
                <w:b/>
                <w:sz w:val="22"/>
                <w:szCs w:val="22"/>
                <w:lang w:bidi="en-US"/>
              </w:rPr>
              <w:t xml:space="preserve">, which </w:t>
            </w:r>
            <w:r w:rsidRPr="00255DC1">
              <w:rPr>
                <w:rFonts w:ascii="Calibri" w:hAnsi="Calibri" w:cs="Calibri"/>
                <w:b/>
                <w:sz w:val="22"/>
                <w:szCs w:val="22"/>
                <w:lang w:bidi="en-US"/>
              </w:rPr>
              <w:t xml:space="preserve">impeded iPhone usage on T-Mobile’s network. </w:t>
            </w:r>
            <w:r>
              <w:rPr>
                <w:rFonts w:ascii="Calibri" w:hAnsi="Calibri" w:cs="Calibri"/>
                <w:b/>
                <w:sz w:val="22"/>
                <w:szCs w:val="22"/>
                <w:lang w:bidi="en-US"/>
              </w:rPr>
              <w:t xml:space="preserve"> </w:t>
            </w:r>
            <w:r w:rsidRPr="00255DC1">
              <w:rPr>
                <w:rFonts w:ascii="Calibri" w:hAnsi="Calibri" w:cs="Calibri"/>
                <w:b/>
                <w:sz w:val="22"/>
                <w:szCs w:val="22"/>
                <w:lang w:bidi="en-US"/>
              </w:rPr>
              <w:t>That is why T-Mobile did not distribute the iPhone until April 2013, after the class period in this case.</w:t>
            </w:r>
          </w:p>
        </w:tc>
      </w:tr>
      <w:tr w:rsidR="00EB37DF" w:rsidRPr="00907D75" w14:paraId="5A34EF0E" w14:textId="77777777" w:rsidTr="00093B76">
        <w:trPr>
          <w:gridAfter w:val="1"/>
          <w:wAfter w:w="198" w:type="dxa"/>
          <w:trHeight w:val="4795"/>
        </w:trPr>
        <w:tc>
          <w:tcPr>
            <w:tcW w:w="5805" w:type="dxa"/>
            <w:vAlign w:val="center"/>
          </w:tcPr>
          <w:p w14:paraId="4274732F" w14:textId="4B8B9E29" w:rsidR="00EB37DF" w:rsidRDefault="00EB37DF"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Once T-Mobile began carrying the iPhone in 2013, was there any convergence between the prices for T-Mobile and AT&amp;T’s service plans?</w:t>
            </w:r>
          </w:p>
        </w:tc>
        <w:tc>
          <w:tcPr>
            <w:tcW w:w="5805" w:type="dxa"/>
            <w:gridSpan w:val="2"/>
            <w:vAlign w:val="center"/>
          </w:tcPr>
          <w:p w14:paraId="0873B6B5" w14:textId="114307C1" w:rsidR="00EB37DF" w:rsidRDefault="00EB37DF" w:rsidP="00785BC0">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No.  </w:t>
            </w:r>
            <w:r w:rsidRPr="00255DC1">
              <w:rPr>
                <w:rFonts w:ascii="Calibri" w:hAnsi="Calibri" w:cs="Calibri"/>
                <w:b/>
                <w:sz w:val="22"/>
                <w:szCs w:val="22"/>
                <w:lang w:bidi="en-US"/>
              </w:rPr>
              <w:t>Apple’s expert showed that</w:t>
            </w:r>
            <w:r>
              <w:rPr>
                <w:rFonts w:ascii="Calibri" w:hAnsi="Calibri" w:cs="Calibri"/>
                <w:b/>
                <w:sz w:val="22"/>
                <w:szCs w:val="22"/>
                <w:lang w:bidi="en-US"/>
              </w:rPr>
              <w:t>,</w:t>
            </w:r>
            <w:r w:rsidRPr="00255DC1">
              <w:rPr>
                <w:rFonts w:ascii="Calibri" w:hAnsi="Calibri" w:cs="Calibri"/>
                <w:b/>
                <w:sz w:val="22"/>
                <w:szCs w:val="22"/>
                <w:lang w:bidi="en-US"/>
              </w:rPr>
              <w:t xml:space="preserve"> when T-Mobile began carrying the iPhone</w:t>
            </w:r>
            <w:r>
              <w:rPr>
                <w:rFonts w:ascii="Calibri" w:hAnsi="Calibri" w:cs="Calibri"/>
                <w:b/>
                <w:sz w:val="22"/>
                <w:szCs w:val="22"/>
                <w:lang w:bidi="en-US"/>
              </w:rPr>
              <w:t xml:space="preserve"> in April 2013</w:t>
            </w:r>
            <w:r w:rsidRPr="00255DC1">
              <w:rPr>
                <w:rFonts w:ascii="Calibri" w:hAnsi="Calibri" w:cs="Calibri"/>
                <w:b/>
                <w:sz w:val="22"/>
                <w:szCs w:val="22"/>
                <w:lang w:bidi="en-US"/>
              </w:rPr>
              <w:t xml:space="preserve">, there was no convergence between </w:t>
            </w:r>
            <w:r>
              <w:rPr>
                <w:rFonts w:ascii="Calibri" w:hAnsi="Calibri" w:cs="Calibri"/>
                <w:b/>
                <w:sz w:val="22"/>
                <w:szCs w:val="22"/>
                <w:lang w:bidi="en-US"/>
              </w:rPr>
              <w:t xml:space="preserve">T-Mobile </w:t>
            </w:r>
            <w:r w:rsidRPr="00255DC1">
              <w:rPr>
                <w:rFonts w:ascii="Calibri" w:hAnsi="Calibri" w:cs="Calibri"/>
                <w:b/>
                <w:sz w:val="22"/>
                <w:szCs w:val="22"/>
                <w:lang w:bidi="en-US"/>
              </w:rPr>
              <w:t>and AT&amp;T’s comparative service plan prices.</w:t>
            </w:r>
          </w:p>
        </w:tc>
      </w:tr>
      <w:tr w:rsidR="00D212AD" w:rsidRPr="00907D75" w14:paraId="5F5BB2BE" w14:textId="77777777" w:rsidTr="00093B76">
        <w:trPr>
          <w:gridAfter w:val="1"/>
          <w:wAfter w:w="198" w:type="dxa"/>
          <w:trHeight w:val="4795"/>
        </w:trPr>
        <w:tc>
          <w:tcPr>
            <w:tcW w:w="5805" w:type="dxa"/>
            <w:vAlign w:val="center"/>
          </w:tcPr>
          <w:p w14:paraId="1BB8BB96" w14:textId="68923827" w:rsidR="00D212AD" w:rsidRDefault="00D212AD"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lastRenderedPageBreak/>
              <w:t>What did Dr. Warren-Boulton conclude regarding class members’ damages?</w:t>
            </w:r>
          </w:p>
        </w:tc>
        <w:tc>
          <w:tcPr>
            <w:tcW w:w="5805" w:type="dxa"/>
            <w:gridSpan w:val="2"/>
            <w:vAlign w:val="center"/>
          </w:tcPr>
          <w:p w14:paraId="5BE4FAC3" w14:textId="7D5E7EF0" w:rsidR="00D212AD" w:rsidRPr="00D212AD" w:rsidRDefault="00D212AD" w:rsidP="00D212AD">
            <w:pPr>
              <w:pStyle w:val="O-BodyText"/>
              <w:spacing w:after="120"/>
              <w:ind w:left="290" w:right="65"/>
              <w:rPr>
                <w:rFonts w:ascii="Calibri" w:hAnsi="Calibri" w:cs="Calibri"/>
                <w:b/>
                <w:sz w:val="22"/>
                <w:szCs w:val="22"/>
                <w:lang w:bidi="en-US"/>
              </w:rPr>
            </w:pPr>
            <w:r w:rsidRPr="00167045">
              <w:rPr>
                <w:rFonts w:ascii="Calibri" w:hAnsi="Calibri" w:cs="Calibri"/>
                <w:b/>
                <w:sz w:val="22"/>
                <w:szCs w:val="22"/>
                <w:highlight w:val="yellow"/>
                <w:lang w:bidi="en-US"/>
              </w:rPr>
              <w:t>Dr. Warren-Boulton concluded that “Class members who purchased iPhones have been harmed by Apple’s conspiracy with [ATTM] to monopolize the aftermarket for iPhone Wireless Service in each of the but-for worlds as measured by an increase in the total cost of ownership (“TCO”) of iPhones and [Wireless Service] for those consumers.”  Ward Br. 12.</w:t>
            </w:r>
          </w:p>
          <w:p w14:paraId="19013BB1" w14:textId="77777777" w:rsidR="00D212AD" w:rsidRDefault="00D212AD" w:rsidP="00785BC0">
            <w:pPr>
              <w:pStyle w:val="O-BodyText"/>
              <w:spacing w:after="120"/>
              <w:ind w:left="290" w:right="65"/>
              <w:rPr>
                <w:rFonts w:ascii="Calibri" w:hAnsi="Calibri" w:cs="Calibri"/>
                <w:b/>
                <w:sz w:val="22"/>
                <w:szCs w:val="22"/>
                <w:lang w:bidi="en-US"/>
              </w:rPr>
            </w:pPr>
          </w:p>
        </w:tc>
      </w:tr>
      <w:tr w:rsidR="007C612E" w:rsidRPr="00907D75" w14:paraId="30FF6552" w14:textId="77777777" w:rsidTr="00093B76">
        <w:trPr>
          <w:gridAfter w:val="1"/>
          <w:wAfter w:w="198" w:type="dxa"/>
          <w:trHeight w:val="4795"/>
        </w:trPr>
        <w:tc>
          <w:tcPr>
            <w:tcW w:w="5805" w:type="dxa"/>
            <w:vAlign w:val="center"/>
          </w:tcPr>
          <w:p w14:paraId="2ACEF94A" w14:textId="675BBCB4" w:rsidR="007C612E" w:rsidRDefault="007C612E"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What does the “total cost of ownership” of iPhones and wireless service mean?</w:t>
            </w:r>
          </w:p>
        </w:tc>
        <w:tc>
          <w:tcPr>
            <w:tcW w:w="5805" w:type="dxa"/>
            <w:gridSpan w:val="2"/>
            <w:vAlign w:val="center"/>
          </w:tcPr>
          <w:p w14:paraId="613E6040" w14:textId="2D38A9FD" w:rsidR="007C612E" w:rsidRPr="00D212AD" w:rsidRDefault="007C612E" w:rsidP="007C612E">
            <w:pPr>
              <w:pStyle w:val="O-BodyText"/>
              <w:spacing w:after="120"/>
              <w:ind w:left="290" w:right="65"/>
              <w:rPr>
                <w:rFonts w:ascii="Calibri" w:hAnsi="Calibri" w:cs="Calibri"/>
                <w:b/>
                <w:sz w:val="22"/>
                <w:szCs w:val="22"/>
                <w:highlight w:val="yellow"/>
                <w:lang w:bidi="en-US"/>
              </w:rPr>
            </w:pPr>
            <w:r w:rsidRPr="00167045">
              <w:rPr>
                <w:rFonts w:ascii="Calibri" w:hAnsi="Calibri" w:cs="Calibri"/>
                <w:b/>
                <w:sz w:val="22"/>
                <w:szCs w:val="22"/>
                <w:highlight w:val="yellow"/>
                <w:lang w:bidi="en-US"/>
              </w:rPr>
              <w:t xml:space="preserve">The total cost of ownership includes the purchase price of the iPhone plus the cost of service for the iPhone over its expected useful lifetime (the expected lifetime extends until the iPhone is expected to be scrapped; </w:t>
            </w:r>
            <w:r w:rsidRPr="00167045">
              <w:rPr>
                <w:rFonts w:ascii="Calibri" w:hAnsi="Calibri" w:cs="Calibri"/>
                <w:b/>
                <w:i/>
                <w:sz w:val="22"/>
                <w:szCs w:val="22"/>
                <w:highlight w:val="yellow"/>
                <w:lang w:bidi="en-US"/>
              </w:rPr>
              <w:t>i.e.</w:t>
            </w:r>
            <w:r w:rsidRPr="00167045">
              <w:rPr>
                <w:rFonts w:ascii="Calibri" w:hAnsi="Calibri" w:cs="Calibri"/>
                <w:b/>
                <w:sz w:val="22"/>
                <w:szCs w:val="22"/>
                <w:highlight w:val="yellow"/>
                <w:lang w:bidi="en-US"/>
              </w:rPr>
              <w:t>, it includes use as a used or refurbished iPhone).”  Ward Br. 12.</w:t>
            </w:r>
          </w:p>
        </w:tc>
      </w:tr>
      <w:tr w:rsidR="007C612E" w:rsidRPr="00907D75" w14:paraId="74D0E90E" w14:textId="77777777" w:rsidTr="00093B76">
        <w:trPr>
          <w:gridAfter w:val="1"/>
          <w:wAfter w:w="198" w:type="dxa"/>
          <w:trHeight w:val="4795"/>
        </w:trPr>
        <w:tc>
          <w:tcPr>
            <w:tcW w:w="5805" w:type="dxa"/>
            <w:vAlign w:val="center"/>
          </w:tcPr>
          <w:p w14:paraId="37969332" w14:textId="6BB81917" w:rsidR="007C612E" w:rsidRDefault="007C612E"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 xml:space="preserve">Did Apple submit an expert declaration in response to </w:t>
            </w:r>
            <w:r w:rsidRPr="007C612E">
              <w:rPr>
                <w:rFonts w:ascii="Calibri" w:hAnsi="Calibri" w:cs="Calibri"/>
                <w:b/>
                <w:sz w:val="28"/>
                <w:szCs w:val="28"/>
                <w:lang w:bidi="en-US"/>
              </w:rPr>
              <w:t>Dr. Warren-Boulton</w:t>
            </w:r>
            <w:r>
              <w:rPr>
                <w:rFonts w:ascii="Calibri" w:hAnsi="Calibri" w:cs="Calibri"/>
                <w:b/>
                <w:sz w:val="28"/>
                <w:szCs w:val="28"/>
                <w:lang w:bidi="en-US"/>
              </w:rPr>
              <w:t>’s declaration?</w:t>
            </w:r>
          </w:p>
        </w:tc>
        <w:tc>
          <w:tcPr>
            <w:tcW w:w="5805" w:type="dxa"/>
            <w:gridSpan w:val="2"/>
            <w:vAlign w:val="center"/>
          </w:tcPr>
          <w:p w14:paraId="2699C96C" w14:textId="0BBCD076" w:rsidR="007C612E" w:rsidRPr="00D212AD" w:rsidRDefault="007C612E" w:rsidP="00D212AD">
            <w:pPr>
              <w:pStyle w:val="O-BodyText"/>
              <w:spacing w:after="120"/>
              <w:ind w:left="290" w:right="65"/>
              <w:rPr>
                <w:rFonts w:ascii="Calibri" w:hAnsi="Calibri" w:cs="Calibri"/>
                <w:b/>
                <w:sz w:val="22"/>
                <w:szCs w:val="22"/>
                <w:highlight w:val="yellow"/>
                <w:lang w:bidi="en-US"/>
              </w:rPr>
            </w:pPr>
            <w:r w:rsidRPr="00182DB6">
              <w:rPr>
                <w:rFonts w:ascii="Calibri" w:hAnsi="Calibri" w:cs="Calibri"/>
                <w:b/>
                <w:sz w:val="22"/>
                <w:szCs w:val="22"/>
                <w:lang w:bidi="en-US"/>
              </w:rPr>
              <w:t xml:space="preserve">Apple submitted a declaration from </w:t>
            </w:r>
            <w:r w:rsidR="00F32D7A" w:rsidRPr="00182DB6">
              <w:rPr>
                <w:rFonts w:ascii="Calibri" w:hAnsi="Calibri" w:cs="Calibri"/>
                <w:b/>
                <w:sz w:val="22"/>
                <w:szCs w:val="22"/>
                <w:lang w:bidi="en-US"/>
              </w:rPr>
              <w:t xml:space="preserve">Dr. </w:t>
            </w:r>
            <w:r w:rsidRPr="00182DB6">
              <w:rPr>
                <w:rFonts w:ascii="Calibri" w:hAnsi="Calibri" w:cs="Calibri"/>
                <w:b/>
                <w:sz w:val="22"/>
                <w:szCs w:val="22"/>
                <w:lang w:bidi="en-US"/>
              </w:rPr>
              <w:t xml:space="preserve">Michael L. Katz, identifying </w:t>
            </w:r>
            <w:r w:rsidR="00F32D7A" w:rsidRPr="00182DB6">
              <w:rPr>
                <w:rFonts w:ascii="Calibri" w:hAnsi="Calibri" w:cs="Calibri"/>
                <w:b/>
                <w:sz w:val="22"/>
                <w:szCs w:val="22"/>
                <w:lang w:bidi="en-US"/>
              </w:rPr>
              <w:t>several</w:t>
            </w:r>
            <w:r w:rsidRPr="00182DB6">
              <w:rPr>
                <w:rFonts w:ascii="Calibri" w:hAnsi="Calibri" w:cs="Calibri"/>
                <w:b/>
                <w:sz w:val="22"/>
                <w:szCs w:val="22"/>
                <w:lang w:bidi="en-US"/>
              </w:rPr>
              <w:t xml:space="preserve"> issues</w:t>
            </w:r>
            <w:r w:rsidR="00F32D7A" w:rsidRPr="00182DB6">
              <w:rPr>
                <w:rFonts w:ascii="Calibri" w:hAnsi="Calibri" w:cs="Calibri"/>
                <w:b/>
                <w:sz w:val="22"/>
                <w:szCs w:val="22"/>
                <w:lang w:bidi="en-US"/>
              </w:rPr>
              <w:t xml:space="preserve"> with Dr. Warren-Boulton’s methodologies.</w:t>
            </w:r>
          </w:p>
        </w:tc>
      </w:tr>
      <w:tr w:rsidR="00F32D7A" w:rsidRPr="00907D75" w14:paraId="53978DE0" w14:textId="77777777" w:rsidTr="00093B76">
        <w:trPr>
          <w:gridAfter w:val="1"/>
          <w:wAfter w:w="198" w:type="dxa"/>
          <w:trHeight w:val="4795"/>
        </w:trPr>
        <w:tc>
          <w:tcPr>
            <w:tcW w:w="5805" w:type="dxa"/>
            <w:vAlign w:val="center"/>
          </w:tcPr>
          <w:p w14:paraId="7B502753" w14:textId="291FA42C" w:rsidR="00F32D7A" w:rsidRDefault="00F32D7A"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lastRenderedPageBreak/>
              <w:t>What did Dr. Katz opine?</w:t>
            </w:r>
          </w:p>
        </w:tc>
        <w:tc>
          <w:tcPr>
            <w:tcW w:w="5805" w:type="dxa"/>
            <w:gridSpan w:val="2"/>
            <w:vAlign w:val="center"/>
          </w:tcPr>
          <w:p w14:paraId="782A9DD8" w14:textId="424CE2FE" w:rsidR="00F32D7A" w:rsidRPr="00182DB6" w:rsidRDefault="00F32D7A" w:rsidP="00F32D7A">
            <w:pPr>
              <w:pStyle w:val="O-BodyText"/>
              <w:spacing w:after="120"/>
              <w:ind w:left="290" w:right="65"/>
              <w:rPr>
                <w:rFonts w:ascii="Calibri" w:hAnsi="Calibri" w:cs="Calibri"/>
                <w:b/>
                <w:sz w:val="22"/>
                <w:szCs w:val="22"/>
                <w:lang w:bidi="en-US"/>
              </w:rPr>
            </w:pPr>
            <w:r w:rsidRPr="00182DB6">
              <w:rPr>
                <w:rFonts w:ascii="Calibri" w:hAnsi="Calibri" w:cs="Calibri"/>
                <w:b/>
                <w:sz w:val="22"/>
                <w:szCs w:val="22"/>
                <w:lang w:bidi="en-US"/>
              </w:rPr>
              <w:t>Dr. Katz opined</w:t>
            </w:r>
            <w:r w:rsidR="00182DB6">
              <w:rPr>
                <w:rFonts w:ascii="Calibri" w:hAnsi="Calibri" w:cs="Calibri"/>
                <w:b/>
                <w:sz w:val="22"/>
                <w:szCs w:val="22"/>
                <w:lang w:bidi="en-US"/>
              </w:rPr>
              <w:t>, among other things,</w:t>
            </w:r>
            <w:r w:rsidRPr="00182DB6">
              <w:rPr>
                <w:rFonts w:ascii="Calibri" w:hAnsi="Calibri" w:cs="Calibri"/>
                <w:b/>
                <w:sz w:val="22"/>
                <w:szCs w:val="22"/>
                <w:lang w:bidi="en-US"/>
              </w:rPr>
              <w:t xml:space="preserve"> that the two but-for worlds would not be able to accurately determine whether there was antitrust injury from </w:t>
            </w:r>
            <w:r w:rsidR="00182DB6">
              <w:rPr>
                <w:rFonts w:ascii="Calibri" w:hAnsi="Calibri" w:cs="Calibri"/>
                <w:b/>
                <w:sz w:val="22"/>
                <w:szCs w:val="22"/>
                <w:lang w:bidi="en-US"/>
              </w:rPr>
              <w:t xml:space="preserve">the conspiracy </w:t>
            </w:r>
            <w:r w:rsidRPr="00182DB6">
              <w:rPr>
                <w:rFonts w:ascii="Calibri" w:hAnsi="Calibri" w:cs="Calibri"/>
                <w:b/>
                <w:sz w:val="22"/>
                <w:szCs w:val="22"/>
                <w:lang w:bidi="en-US"/>
              </w:rPr>
              <w:t xml:space="preserve">and, if they did, they would not be capable of accurately measuring the extent of that injury. </w:t>
            </w:r>
          </w:p>
          <w:p w14:paraId="4D01A804" w14:textId="77777777" w:rsidR="00F32D7A" w:rsidRPr="007C612E" w:rsidRDefault="00F32D7A" w:rsidP="00D212AD">
            <w:pPr>
              <w:pStyle w:val="O-BodyText"/>
              <w:spacing w:after="120"/>
              <w:ind w:left="290" w:right="65"/>
              <w:rPr>
                <w:rFonts w:ascii="Calibri" w:hAnsi="Calibri" w:cs="Calibri"/>
                <w:b/>
                <w:sz w:val="22"/>
                <w:szCs w:val="22"/>
                <w:highlight w:val="yellow"/>
                <w:lang w:bidi="en-US"/>
              </w:rPr>
            </w:pPr>
          </w:p>
        </w:tc>
      </w:tr>
      <w:tr w:rsidR="00F32D7A" w:rsidRPr="00907D75" w14:paraId="6C14C514" w14:textId="77777777" w:rsidTr="00093B76">
        <w:trPr>
          <w:gridAfter w:val="1"/>
          <w:wAfter w:w="198" w:type="dxa"/>
          <w:trHeight w:val="4795"/>
        </w:trPr>
        <w:tc>
          <w:tcPr>
            <w:tcW w:w="5805" w:type="dxa"/>
            <w:vAlign w:val="center"/>
          </w:tcPr>
          <w:p w14:paraId="3CAAC16A" w14:textId="44433456" w:rsidR="00F32D7A" w:rsidRDefault="00F32D7A"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Aren’t the questions of whether plaintiffs</w:t>
            </w:r>
            <w:r w:rsidR="00177D33">
              <w:rPr>
                <w:rFonts w:ascii="Calibri" w:hAnsi="Calibri" w:cs="Calibri"/>
                <w:b/>
                <w:sz w:val="28"/>
                <w:szCs w:val="28"/>
                <w:lang w:bidi="en-US"/>
              </w:rPr>
              <w:t xml:space="preserve"> </w:t>
            </w:r>
            <w:r>
              <w:rPr>
                <w:rFonts w:ascii="Calibri" w:hAnsi="Calibri" w:cs="Calibri"/>
                <w:b/>
                <w:sz w:val="28"/>
                <w:szCs w:val="28"/>
                <w:lang w:bidi="en-US"/>
              </w:rPr>
              <w:t>can show</w:t>
            </w:r>
            <w:r w:rsidRPr="00F32D7A">
              <w:rPr>
                <w:rFonts w:ascii="Calibri" w:hAnsi="Calibri" w:cs="Calibri"/>
                <w:b/>
                <w:sz w:val="28"/>
                <w:szCs w:val="28"/>
                <w:lang w:bidi="en-US"/>
              </w:rPr>
              <w:t xml:space="preserve"> antitrust injury </w:t>
            </w:r>
            <w:r>
              <w:rPr>
                <w:rFonts w:ascii="Calibri" w:hAnsi="Calibri" w:cs="Calibri"/>
                <w:b/>
                <w:sz w:val="28"/>
                <w:szCs w:val="28"/>
                <w:lang w:bidi="en-US"/>
              </w:rPr>
              <w:t xml:space="preserve">and damages </w:t>
            </w:r>
            <w:r w:rsidRPr="00F32D7A">
              <w:rPr>
                <w:rFonts w:ascii="Calibri" w:hAnsi="Calibri" w:cs="Calibri"/>
                <w:b/>
                <w:sz w:val="28"/>
                <w:szCs w:val="28"/>
                <w:lang w:bidi="en-US"/>
              </w:rPr>
              <w:t>merits-based arguments that are inappropriate at the class certification stage</w:t>
            </w:r>
            <w:r>
              <w:rPr>
                <w:rFonts w:ascii="Calibri" w:hAnsi="Calibri" w:cs="Calibri"/>
                <w:b/>
                <w:sz w:val="28"/>
                <w:szCs w:val="28"/>
                <w:lang w:bidi="en-US"/>
              </w:rPr>
              <w:t>?</w:t>
            </w:r>
          </w:p>
        </w:tc>
        <w:tc>
          <w:tcPr>
            <w:tcW w:w="5805" w:type="dxa"/>
            <w:gridSpan w:val="2"/>
            <w:vAlign w:val="center"/>
          </w:tcPr>
          <w:p w14:paraId="7DCAE735" w14:textId="1995743C" w:rsidR="00F32D7A" w:rsidRPr="00182DB6" w:rsidRDefault="00182DB6" w:rsidP="00F32D7A">
            <w:pPr>
              <w:pStyle w:val="O-BodyText"/>
              <w:spacing w:after="120"/>
              <w:ind w:left="290" w:right="65"/>
              <w:rPr>
                <w:rFonts w:ascii="Calibri" w:hAnsi="Calibri" w:cs="Calibri"/>
                <w:b/>
                <w:sz w:val="22"/>
                <w:szCs w:val="22"/>
                <w:highlight w:val="yellow"/>
                <w:lang w:bidi="en-US"/>
              </w:rPr>
            </w:pPr>
            <w:r w:rsidRPr="00182DB6">
              <w:rPr>
                <w:rFonts w:ascii="Calibri" w:hAnsi="Calibri" w:cs="Calibri"/>
                <w:b/>
                <w:sz w:val="22"/>
                <w:szCs w:val="22"/>
                <w:lang w:bidi="en-US"/>
              </w:rPr>
              <w:t xml:space="preserve">No. </w:t>
            </w:r>
            <w:r w:rsidRPr="00182DB6">
              <w:rPr>
                <w:rFonts w:ascii="Calibri" w:hAnsi="Calibri" w:cs="Calibri"/>
                <w:b/>
                <w:i/>
                <w:sz w:val="22"/>
                <w:szCs w:val="22"/>
                <w:lang w:bidi="en-US"/>
              </w:rPr>
              <w:t>Comcast</w:t>
            </w:r>
            <w:r w:rsidRPr="00182DB6">
              <w:rPr>
                <w:rFonts w:ascii="Calibri" w:hAnsi="Calibri" w:cs="Calibri"/>
                <w:b/>
                <w:sz w:val="22"/>
                <w:szCs w:val="22"/>
                <w:lang w:bidi="en-US"/>
              </w:rPr>
              <w:t xml:space="preserve"> specifically prescribes a look at the merits to ensure that Rule 23’s requirements are met.</w:t>
            </w:r>
          </w:p>
        </w:tc>
      </w:tr>
      <w:tr w:rsidR="00F32D7A" w:rsidRPr="00907D75" w14:paraId="19397775" w14:textId="77777777" w:rsidTr="00093B76">
        <w:trPr>
          <w:gridAfter w:val="1"/>
          <w:wAfter w:w="198" w:type="dxa"/>
          <w:trHeight w:val="4795"/>
        </w:trPr>
        <w:tc>
          <w:tcPr>
            <w:tcW w:w="5805" w:type="dxa"/>
            <w:vAlign w:val="center"/>
          </w:tcPr>
          <w:p w14:paraId="76979145" w14:textId="1BC0D8BD" w:rsidR="00F32D7A" w:rsidRPr="00182DB6" w:rsidRDefault="00F32D7A" w:rsidP="00785BC0">
            <w:pPr>
              <w:pStyle w:val="O-BodyText"/>
              <w:spacing w:after="120"/>
              <w:ind w:right="200"/>
              <w:jc w:val="both"/>
              <w:rPr>
                <w:rFonts w:ascii="Calibri" w:hAnsi="Calibri" w:cs="Calibri"/>
                <w:b/>
                <w:sz w:val="28"/>
                <w:szCs w:val="28"/>
                <w:lang w:bidi="en-US"/>
              </w:rPr>
            </w:pPr>
            <w:r w:rsidRPr="00182DB6">
              <w:rPr>
                <w:rFonts w:ascii="Calibri" w:hAnsi="Calibri" w:cs="Calibri"/>
                <w:b/>
                <w:sz w:val="28"/>
                <w:szCs w:val="28"/>
                <w:lang w:bidi="en-US"/>
              </w:rPr>
              <w:t>When did Dr. Warren-Boulton say that harm to class members ar</w:t>
            </w:r>
            <w:r w:rsidR="00A06FE8" w:rsidRPr="00182DB6">
              <w:rPr>
                <w:rFonts w:ascii="Calibri" w:hAnsi="Calibri" w:cs="Calibri"/>
                <w:b/>
                <w:sz w:val="28"/>
                <w:szCs w:val="28"/>
                <w:lang w:bidi="en-US"/>
              </w:rPr>
              <w:t>o</w:t>
            </w:r>
            <w:r w:rsidRPr="00182DB6">
              <w:rPr>
                <w:rFonts w:ascii="Calibri" w:hAnsi="Calibri" w:cs="Calibri"/>
                <w:b/>
                <w:sz w:val="28"/>
                <w:szCs w:val="28"/>
                <w:lang w:bidi="en-US"/>
              </w:rPr>
              <w:t>se?</w:t>
            </w:r>
          </w:p>
        </w:tc>
        <w:tc>
          <w:tcPr>
            <w:tcW w:w="5805" w:type="dxa"/>
            <w:gridSpan w:val="2"/>
            <w:vAlign w:val="center"/>
          </w:tcPr>
          <w:p w14:paraId="2FACF4D6" w14:textId="71DE0F92" w:rsidR="00F32D7A" w:rsidRPr="00182DB6" w:rsidRDefault="00F32D7A" w:rsidP="00F32D7A">
            <w:pPr>
              <w:pStyle w:val="O-BodyText"/>
              <w:spacing w:after="120"/>
              <w:ind w:left="290" w:right="65"/>
              <w:rPr>
                <w:rFonts w:ascii="Calibri" w:hAnsi="Calibri" w:cs="Calibri"/>
                <w:b/>
                <w:sz w:val="22"/>
                <w:szCs w:val="22"/>
                <w:lang w:bidi="en-US"/>
              </w:rPr>
            </w:pPr>
            <w:r w:rsidRPr="00167045">
              <w:rPr>
                <w:rFonts w:ascii="Calibri" w:hAnsi="Calibri" w:cs="Calibri"/>
                <w:b/>
                <w:sz w:val="22"/>
                <w:szCs w:val="22"/>
                <w:highlight w:val="yellow"/>
                <w:lang w:bidi="en-US"/>
              </w:rPr>
              <w:t xml:space="preserve">In his supplemental declaration, Dr. Warren-Boulton explained that class members </w:t>
            </w:r>
            <w:r w:rsidR="00500D89" w:rsidRPr="00167045">
              <w:rPr>
                <w:rFonts w:ascii="Calibri" w:hAnsi="Calibri" w:cs="Calibri"/>
                <w:b/>
                <w:sz w:val="22"/>
                <w:szCs w:val="22"/>
                <w:highlight w:val="yellow"/>
                <w:lang w:bidi="en-US"/>
              </w:rPr>
              <w:t xml:space="preserve">were harmed by </w:t>
            </w:r>
            <w:r w:rsidRPr="00167045">
              <w:rPr>
                <w:rFonts w:ascii="Calibri" w:hAnsi="Calibri" w:cs="Calibri"/>
                <w:b/>
                <w:sz w:val="22"/>
                <w:szCs w:val="22"/>
                <w:highlight w:val="yellow"/>
                <w:lang w:bidi="en-US"/>
              </w:rPr>
              <w:t xml:space="preserve">Apple’s monopolization of the </w:t>
            </w:r>
            <w:r w:rsidR="00500D89" w:rsidRPr="00167045">
              <w:rPr>
                <w:rFonts w:ascii="Calibri" w:hAnsi="Calibri" w:cs="Calibri"/>
                <w:b/>
                <w:sz w:val="22"/>
                <w:szCs w:val="22"/>
                <w:highlight w:val="yellow"/>
                <w:lang w:bidi="en-US"/>
              </w:rPr>
              <w:t>wireless s</w:t>
            </w:r>
            <w:r w:rsidRPr="00167045">
              <w:rPr>
                <w:rFonts w:ascii="Calibri" w:hAnsi="Calibri" w:cs="Calibri"/>
                <w:b/>
                <w:sz w:val="22"/>
                <w:szCs w:val="22"/>
                <w:highlight w:val="yellow"/>
                <w:lang w:bidi="en-US"/>
              </w:rPr>
              <w:t xml:space="preserve">ervice aftermarket </w:t>
            </w:r>
            <w:r w:rsidR="00500D89" w:rsidRPr="00167045">
              <w:rPr>
                <w:rFonts w:ascii="Calibri" w:hAnsi="Calibri" w:cs="Calibri"/>
                <w:b/>
                <w:i/>
                <w:sz w:val="22"/>
                <w:szCs w:val="22"/>
                <w:highlight w:val="yellow"/>
                <w:lang w:bidi="en-US"/>
              </w:rPr>
              <w:t xml:space="preserve">as soon as they </w:t>
            </w:r>
            <w:r w:rsidRPr="00167045">
              <w:rPr>
                <w:rFonts w:ascii="Calibri" w:hAnsi="Calibri" w:cs="Calibri"/>
                <w:b/>
                <w:i/>
                <w:sz w:val="22"/>
                <w:szCs w:val="22"/>
                <w:highlight w:val="yellow"/>
                <w:lang w:bidi="en-US"/>
              </w:rPr>
              <w:t>purchased their iPhones and began paying for AT</w:t>
            </w:r>
            <w:r w:rsidR="00500D89" w:rsidRPr="00167045">
              <w:rPr>
                <w:rFonts w:ascii="Calibri" w:hAnsi="Calibri" w:cs="Calibri"/>
                <w:b/>
                <w:i/>
                <w:sz w:val="22"/>
                <w:szCs w:val="22"/>
                <w:highlight w:val="yellow"/>
                <w:lang w:bidi="en-US"/>
              </w:rPr>
              <w:t>&amp;</w:t>
            </w:r>
            <w:r w:rsidRPr="00167045">
              <w:rPr>
                <w:rFonts w:ascii="Calibri" w:hAnsi="Calibri" w:cs="Calibri"/>
                <w:b/>
                <w:i/>
                <w:sz w:val="22"/>
                <w:szCs w:val="22"/>
                <w:highlight w:val="yellow"/>
                <w:lang w:bidi="en-US"/>
              </w:rPr>
              <w:t xml:space="preserve">T </w:t>
            </w:r>
            <w:r w:rsidR="00500D89" w:rsidRPr="00167045">
              <w:rPr>
                <w:rFonts w:ascii="Calibri" w:hAnsi="Calibri" w:cs="Calibri"/>
                <w:b/>
                <w:i/>
                <w:sz w:val="22"/>
                <w:szCs w:val="22"/>
                <w:highlight w:val="yellow"/>
                <w:lang w:bidi="en-US"/>
              </w:rPr>
              <w:t>w</w:t>
            </w:r>
            <w:r w:rsidRPr="00167045">
              <w:rPr>
                <w:rFonts w:ascii="Calibri" w:hAnsi="Calibri" w:cs="Calibri"/>
                <w:b/>
                <w:i/>
                <w:sz w:val="22"/>
                <w:szCs w:val="22"/>
                <w:highlight w:val="yellow"/>
                <w:lang w:bidi="en-US"/>
              </w:rPr>
              <w:t xml:space="preserve">ireless </w:t>
            </w:r>
            <w:r w:rsidR="00500D89" w:rsidRPr="00167045">
              <w:rPr>
                <w:rFonts w:ascii="Calibri" w:hAnsi="Calibri" w:cs="Calibri"/>
                <w:b/>
                <w:i/>
                <w:sz w:val="22"/>
                <w:szCs w:val="22"/>
                <w:highlight w:val="yellow"/>
                <w:lang w:bidi="en-US"/>
              </w:rPr>
              <w:t>s</w:t>
            </w:r>
            <w:r w:rsidRPr="00167045">
              <w:rPr>
                <w:rFonts w:ascii="Calibri" w:hAnsi="Calibri" w:cs="Calibri"/>
                <w:b/>
                <w:i/>
                <w:sz w:val="22"/>
                <w:szCs w:val="22"/>
                <w:highlight w:val="yellow"/>
                <w:lang w:bidi="en-US"/>
              </w:rPr>
              <w:t>ervice</w:t>
            </w:r>
            <w:r w:rsidR="00500D89" w:rsidRPr="00167045">
              <w:rPr>
                <w:rFonts w:ascii="Calibri" w:hAnsi="Calibri" w:cs="Calibri"/>
                <w:b/>
                <w:sz w:val="22"/>
                <w:szCs w:val="22"/>
                <w:highlight w:val="yellow"/>
                <w:lang w:bidi="en-US"/>
              </w:rPr>
              <w:t xml:space="preserve">.  </w:t>
            </w:r>
            <w:r w:rsidR="00182DB6" w:rsidRPr="00167045">
              <w:rPr>
                <w:rFonts w:ascii="Calibri" w:hAnsi="Calibri" w:cs="Calibri"/>
                <w:b/>
                <w:sz w:val="22"/>
                <w:szCs w:val="22"/>
                <w:highlight w:val="yellow"/>
                <w:lang w:bidi="en-US"/>
              </w:rPr>
              <w:t>Plaintiffs say t</w:t>
            </w:r>
            <w:r w:rsidR="00500D89" w:rsidRPr="00167045">
              <w:rPr>
                <w:rFonts w:ascii="Calibri" w:hAnsi="Calibri" w:cs="Calibri"/>
                <w:b/>
                <w:sz w:val="22"/>
                <w:szCs w:val="22"/>
                <w:highlight w:val="yellow"/>
                <w:lang w:bidi="en-US"/>
              </w:rPr>
              <w:t xml:space="preserve">his harm </w:t>
            </w:r>
            <w:r w:rsidRPr="00167045">
              <w:rPr>
                <w:rFonts w:ascii="Calibri" w:hAnsi="Calibri" w:cs="Calibri"/>
                <w:b/>
                <w:sz w:val="22"/>
                <w:szCs w:val="22"/>
                <w:highlight w:val="yellow"/>
                <w:lang w:bidi="en-US"/>
              </w:rPr>
              <w:t>occurred regardless of when they purc</w:t>
            </w:r>
            <w:r w:rsidR="00500D89" w:rsidRPr="00167045">
              <w:rPr>
                <w:rFonts w:ascii="Calibri" w:hAnsi="Calibri" w:cs="Calibri"/>
                <w:b/>
                <w:sz w:val="22"/>
                <w:szCs w:val="22"/>
                <w:highlight w:val="yellow"/>
                <w:lang w:bidi="en-US"/>
              </w:rPr>
              <w:t>hased their iPhones during the c</w:t>
            </w:r>
            <w:r w:rsidRPr="00167045">
              <w:rPr>
                <w:rFonts w:ascii="Calibri" w:hAnsi="Calibri" w:cs="Calibri"/>
                <w:b/>
                <w:sz w:val="22"/>
                <w:szCs w:val="22"/>
                <w:highlight w:val="yellow"/>
                <w:lang w:bidi="en-US"/>
              </w:rPr>
              <w:t xml:space="preserve">lass </w:t>
            </w:r>
            <w:r w:rsidR="00500D89" w:rsidRPr="00167045">
              <w:rPr>
                <w:rFonts w:ascii="Calibri" w:hAnsi="Calibri" w:cs="Calibri"/>
                <w:b/>
                <w:sz w:val="22"/>
                <w:szCs w:val="22"/>
                <w:highlight w:val="yellow"/>
                <w:lang w:bidi="en-US"/>
              </w:rPr>
              <w:t>p</w:t>
            </w:r>
            <w:r w:rsidRPr="00167045">
              <w:rPr>
                <w:rFonts w:ascii="Calibri" w:hAnsi="Calibri" w:cs="Calibri"/>
                <w:b/>
                <w:sz w:val="22"/>
                <w:szCs w:val="22"/>
                <w:highlight w:val="yellow"/>
                <w:lang w:bidi="en-US"/>
              </w:rPr>
              <w:t>eriod or whether the</w:t>
            </w:r>
            <w:r w:rsidR="00500D89" w:rsidRPr="00167045">
              <w:rPr>
                <w:rFonts w:ascii="Calibri" w:hAnsi="Calibri" w:cs="Calibri"/>
                <w:b/>
                <w:sz w:val="22"/>
                <w:szCs w:val="22"/>
                <w:highlight w:val="yellow"/>
                <w:lang w:bidi="en-US"/>
              </w:rPr>
              <w:t>y completed their two-year term.  Ward Br. 13-14.</w:t>
            </w:r>
          </w:p>
        </w:tc>
      </w:tr>
      <w:tr w:rsidR="00785BC0" w:rsidRPr="00907D75" w14:paraId="4403FDFC" w14:textId="77777777" w:rsidTr="00093B76">
        <w:trPr>
          <w:gridAfter w:val="1"/>
          <w:wAfter w:w="198" w:type="dxa"/>
          <w:trHeight w:val="4795"/>
        </w:trPr>
        <w:tc>
          <w:tcPr>
            <w:tcW w:w="5805" w:type="dxa"/>
            <w:vAlign w:val="center"/>
          </w:tcPr>
          <w:p w14:paraId="00B465C2" w14:textId="7C5FEDCF"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the district court respond to Dr. Warren-Boulton’s theories at the class certification hearing?</w:t>
            </w:r>
          </w:p>
        </w:tc>
        <w:tc>
          <w:tcPr>
            <w:tcW w:w="5805" w:type="dxa"/>
            <w:gridSpan w:val="2"/>
            <w:vAlign w:val="center"/>
          </w:tcPr>
          <w:p w14:paraId="23B0784E" w14:textId="61768309" w:rsidR="00785BC0" w:rsidRDefault="00785BC0" w:rsidP="00785BC0">
            <w:pPr>
              <w:pStyle w:val="O-BodyText"/>
              <w:spacing w:after="120"/>
              <w:ind w:left="290" w:right="65"/>
              <w:rPr>
                <w:rFonts w:ascii="Calibri" w:hAnsi="Calibri" w:cs="Calibri"/>
                <w:b/>
                <w:sz w:val="22"/>
                <w:szCs w:val="22"/>
                <w:lang w:bidi="en-US"/>
              </w:rPr>
            </w:pPr>
            <w:r w:rsidRPr="00C93555">
              <w:rPr>
                <w:rFonts w:ascii="Calibri" w:hAnsi="Calibri" w:cs="Calibri"/>
                <w:b/>
                <w:sz w:val="22"/>
                <w:szCs w:val="22"/>
                <w:lang w:bidi="en-US"/>
              </w:rPr>
              <w:t xml:space="preserve">The district court responded with exasperation that </w:t>
            </w:r>
            <w:r>
              <w:rPr>
                <w:rFonts w:ascii="Calibri" w:hAnsi="Calibri" w:cs="Calibri"/>
                <w:b/>
                <w:sz w:val="22"/>
                <w:szCs w:val="22"/>
                <w:lang w:bidi="en-US"/>
              </w:rPr>
              <w:t>p</w:t>
            </w:r>
            <w:r w:rsidRPr="00C93555">
              <w:rPr>
                <w:rFonts w:ascii="Calibri" w:hAnsi="Calibri" w:cs="Calibri"/>
                <w:b/>
                <w:sz w:val="22"/>
                <w:szCs w:val="22"/>
                <w:lang w:bidi="en-US"/>
              </w:rPr>
              <w:t>laintiffs and Dr. Warren-Boulton had not provided the court with anything it could actually analyze in discharging its Rule 23 burden: “[a]</w:t>
            </w:r>
            <w:proofErr w:type="spellStart"/>
            <w:r w:rsidRPr="00C93555">
              <w:rPr>
                <w:rFonts w:ascii="Calibri" w:hAnsi="Calibri" w:cs="Calibri"/>
                <w:b/>
                <w:sz w:val="22"/>
                <w:szCs w:val="22"/>
                <w:lang w:bidi="en-US"/>
              </w:rPr>
              <w:t>ll</w:t>
            </w:r>
            <w:proofErr w:type="spellEnd"/>
            <w:r w:rsidRPr="00C93555">
              <w:rPr>
                <w:rFonts w:ascii="Calibri" w:hAnsi="Calibri" w:cs="Calibri"/>
                <w:b/>
                <w:sz w:val="22"/>
                <w:szCs w:val="22"/>
                <w:lang w:bidi="en-US"/>
              </w:rPr>
              <w:t xml:space="preserve"> [Dr. Warren-Boulton] says is: ‘Yeah, I can do it.’ Well, okay. </w:t>
            </w:r>
            <w:r>
              <w:rPr>
                <w:rFonts w:ascii="Calibri" w:hAnsi="Calibri" w:cs="Calibri"/>
                <w:b/>
                <w:sz w:val="22"/>
                <w:szCs w:val="22"/>
                <w:lang w:bidi="en-US"/>
              </w:rPr>
              <w:t xml:space="preserve"> </w:t>
            </w:r>
            <w:r w:rsidRPr="00C93555">
              <w:rPr>
                <w:rFonts w:ascii="Calibri" w:hAnsi="Calibri" w:cs="Calibri"/>
                <w:b/>
                <w:sz w:val="22"/>
                <w:szCs w:val="22"/>
                <w:lang w:bidi="en-US"/>
              </w:rPr>
              <w:t>I’m just supposed to believe him?”</w:t>
            </w:r>
          </w:p>
        </w:tc>
      </w:tr>
      <w:tr w:rsidR="00785BC0" w:rsidRPr="00907D75" w14:paraId="44767163" w14:textId="77777777" w:rsidTr="00093B76">
        <w:trPr>
          <w:gridAfter w:val="1"/>
          <w:wAfter w:w="198" w:type="dxa"/>
          <w:trHeight w:val="4795"/>
        </w:trPr>
        <w:tc>
          <w:tcPr>
            <w:tcW w:w="5805" w:type="dxa"/>
            <w:vAlign w:val="center"/>
          </w:tcPr>
          <w:p w14:paraId="6588F0E0" w14:textId="3D55E025"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lang w:bidi="en-US"/>
              </w:rPr>
              <w:t xml:space="preserve">Why did the district </w:t>
            </w:r>
            <w:r w:rsidRPr="000769D3">
              <w:rPr>
                <w:rFonts w:ascii="Calibri" w:hAnsi="Calibri" w:cs="Calibri"/>
                <w:b/>
                <w:sz w:val="28"/>
                <w:szCs w:val="28"/>
                <w:lang w:bidi="en-US"/>
              </w:rPr>
              <w:t>court den</w:t>
            </w:r>
            <w:r>
              <w:rPr>
                <w:rFonts w:ascii="Calibri" w:hAnsi="Calibri" w:cs="Calibri"/>
                <w:b/>
                <w:sz w:val="28"/>
                <w:szCs w:val="28"/>
                <w:lang w:bidi="en-US"/>
              </w:rPr>
              <w:t>y</w:t>
            </w:r>
            <w:r w:rsidRPr="000769D3">
              <w:rPr>
                <w:rFonts w:ascii="Calibri" w:hAnsi="Calibri" w:cs="Calibri"/>
                <w:b/>
                <w:sz w:val="28"/>
                <w:szCs w:val="28"/>
                <w:lang w:bidi="en-US"/>
              </w:rPr>
              <w:t xml:space="preserve"> class certification</w:t>
            </w:r>
            <w:r>
              <w:rPr>
                <w:rFonts w:ascii="Calibri" w:hAnsi="Calibri" w:cs="Calibri"/>
                <w:b/>
                <w:sz w:val="28"/>
                <w:szCs w:val="28"/>
              </w:rPr>
              <w:t>?</w:t>
            </w:r>
          </w:p>
        </w:tc>
        <w:tc>
          <w:tcPr>
            <w:tcW w:w="5805" w:type="dxa"/>
            <w:gridSpan w:val="2"/>
            <w:vAlign w:val="center"/>
          </w:tcPr>
          <w:p w14:paraId="518DB570" w14:textId="72972C2C" w:rsidR="00785BC0" w:rsidRDefault="00785BC0" w:rsidP="00785BC0">
            <w:pPr>
              <w:pStyle w:val="O-BodyText"/>
              <w:spacing w:after="120"/>
              <w:ind w:left="290" w:right="65"/>
              <w:jc w:val="both"/>
              <w:rPr>
                <w:rFonts w:ascii="Calibri" w:hAnsi="Calibri" w:cs="Calibri"/>
                <w:b/>
                <w:sz w:val="22"/>
                <w:szCs w:val="22"/>
              </w:rPr>
            </w:pPr>
            <w:r w:rsidRPr="000769D3">
              <w:rPr>
                <w:rFonts w:ascii="Calibri" w:hAnsi="Calibri" w:cs="Calibri"/>
                <w:b/>
                <w:sz w:val="22"/>
                <w:szCs w:val="22"/>
                <w:lang w:bidi="en-US"/>
              </w:rPr>
              <w:t xml:space="preserve">The </w:t>
            </w:r>
            <w:r>
              <w:rPr>
                <w:rFonts w:ascii="Calibri" w:hAnsi="Calibri" w:cs="Calibri"/>
                <w:b/>
                <w:sz w:val="22"/>
                <w:szCs w:val="22"/>
                <w:lang w:bidi="en-US"/>
              </w:rPr>
              <w:t xml:space="preserve">district </w:t>
            </w:r>
            <w:r w:rsidRPr="000769D3">
              <w:rPr>
                <w:rFonts w:ascii="Calibri" w:hAnsi="Calibri" w:cs="Calibri"/>
                <w:b/>
                <w:sz w:val="22"/>
                <w:szCs w:val="22"/>
                <w:lang w:bidi="en-US"/>
              </w:rPr>
              <w:t xml:space="preserve">court denied class certification </w:t>
            </w:r>
            <w:r>
              <w:rPr>
                <w:rFonts w:ascii="Calibri" w:hAnsi="Calibri" w:cs="Calibri"/>
                <w:b/>
                <w:sz w:val="22"/>
                <w:szCs w:val="22"/>
                <w:lang w:bidi="en-US"/>
              </w:rPr>
              <w:t>because</w:t>
            </w:r>
            <w:r w:rsidRPr="000769D3">
              <w:rPr>
                <w:rFonts w:ascii="Calibri" w:hAnsi="Calibri" w:cs="Calibri"/>
                <w:b/>
                <w:sz w:val="22"/>
                <w:szCs w:val="22"/>
                <w:lang w:bidi="en-US"/>
              </w:rPr>
              <w:t xml:space="preserve"> “Plaintiffs’ expert’s declaration is devoid of analysis.” The court noted that</w:t>
            </w:r>
            <w:r>
              <w:rPr>
                <w:rFonts w:ascii="Calibri" w:hAnsi="Calibri" w:cs="Calibri"/>
                <w:b/>
                <w:sz w:val="22"/>
                <w:szCs w:val="22"/>
                <w:lang w:bidi="en-US"/>
              </w:rPr>
              <w:t>,</w:t>
            </w:r>
            <w:r w:rsidRPr="000769D3">
              <w:rPr>
                <w:rFonts w:ascii="Calibri" w:hAnsi="Calibri" w:cs="Calibri"/>
                <w:b/>
                <w:sz w:val="22"/>
                <w:szCs w:val="22"/>
                <w:lang w:bidi="en-US"/>
              </w:rPr>
              <w:t xml:space="preserve"> although it was required to conduct a rigorous analysis of </w:t>
            </w:r>
            <w:r>
              <w:rPr>
                <w:rFonts w:ascii="Calibri" w:hAnsi="Calibri" w:cs="Calibri"/>
                <w:b/>
                <w:sz w:val="22"/>
                <w:szCs w:val="22"/>
                <w:lang w:bidi="en-US"/>
              </w:rPr>
              <w:t>p</w:t>
            </w:r>
            <w:r w:rsidRPr="000769D3">
              <w:rPr>
                <w:rFonts w:ascii="Calibri" w:hAnsi="Calibri" w:cs="Calibri"/>
                <w:b/>
                <w:sz w:val="22"/>
                <w:szCs w:val="22"/>
                <w:lang w:bidi="en-US"/>
              </w:rPr>
              <w:t>laintiffs’ theory</w:t>
            </w:r>
            <w:r>
              <w:rPr>
                <w:rFonts w:ascii="Calibri" w:hAnsi="Calibri" w:cs="Calibri"/>
                <w:b/>
                <w:sz w:val="22"/>
                <w:szCs w:val="22"/>
                <w:lang w:bidi="en-US"/>
              </w:rPr>
              <w:t xml:space="preserve"> and </w:t>
            </w:r>
            <w:r w:rsidRPr="0011098E">
              <w:rPr>
                <w:rFonts w:ascii="Calibri" w:hAnsi="Calibri" w:cs="Calibri"/>
                <w:b/>
                <w:sz w:val="22"/>
                <w:szCs w:val="22"/>
                <w:lang w:bidi="en-US"/>
              </w:rPr>
              <w:t xml:space="preserve">methodology “‘to ensure that the predominance requirement is met,’” it was “unable to fulfill its obligation” because </w:t>
            </w:r>
            <w:r w:rsidR="00A06FE8">
              <w:rPr>
                <w:rFonts w:ascii="Calibri" w:hAnsi="Calibri" w:cs="Calibri"/>
                <w:b/>
                <w:sz w:val="22"/>
                <w:szCs w:val="22"/>
                <w:lang w:bidi="en-US"/>
              </w:rPr>
              <w:t>p</w:t>
            </w:r>
            <w:r w:rsidRPr="0011098E">
              <w:rPr>
                <w:rFonts w:ascii="Calibri" w:hAnsi="Calibri" w:cs="Calibri"/>
                <w:b/>
                <w:sz w:val="22"/>
                <w:szCs w:val="22"/>
                <w:lang w:bidi="en-US"/>
              </w:rPr>
              <w:t>laintiffs’ expert had not presented anything for the court to scrutinize.</w:t>
            </w:r>
          </w:p>
        </w:tc>
      </w:tr>
      <w:tr w:rsidR="00C76346" w:rsidRPr="00907D75" w14:paraId="005DC8C2" w14:textId="77777777" w:rsidTr="00093B76">
        <w:trPr>
          <w:gridAfter w:val="1"/>
          <w:wAfter w:w="198" w:type="dxa"/>
          <w:trHeight w:val="4795"/>
        </w:trPr>
        <w:tc>
          <w:tcPr>
            <w:tcW w:w="5805" w:type="dxa"/>
            <w:vAlign w:val="center"/>
          </w:tcPr>
          <w:p w14:paraId="4C8679F6" w14:textId="3E260BE1" w:rsidR="00C76346" w:rsidRDefault="00C76346"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 xml:space="preserve">Plaintiffs </w:t>
            </w:r>
            <w:r w:rsidR="00A06FE8">
              <w:rPr>
                <w:rFonts w:ascii="Calibri" w:hAnsi="Calibri" w:cs="Calibri"/>
                <w:b/>
                <w:sz w:val="28"/>
                <w:szCs w:val="28"/>
                <w:lang w:bidi="en-US"/>
              </w:rPr>
              <w:t xml:space="preserve">contend that </w:t>
            </w:r>
            <w:r>
              <w:rPr>
                <w:rFonts w:ascii="Calibri" w:hAnsi="Calibri" w:cs="Calibri"/>
                <w:b/>
                <w:sz w:val="28"/>
                <w:szCs w:val="28"/>
                <w:lang w:bidi="en-US"/>
              </w:rPr>
              <w:t xml:space="preserve">the district court </w:t>
            </w:r>
            <w:r w:rsidR="00A06FE8">
              <w:rPr>
                <w:rFonts w:ascii="Calibri" w:hAnsi="Calibri" w:cs="Calibri"/>
                <w:b/>
                <w:sz w:val="28"/>
                <w:szCs w:val="28"/>
                <w:lang w:bidi="en-US"/>
              </w:rPr>
              <w:t xml:space="preserve">denied class certification because Dr. Warren-Boulton’s report </w:t>
            </w:r>
            <w:r>
              <w:rPr>
                <w:rFonts w:ascii="Calibri" w:hAnsi="Calibri" w:cs="Calibri"/>
                <w:b/>
                <w:sz w:val="28"/>
                <w:szCs w:val="28"/>
                <w:lang w:bidi="en-US"/>
              </w:rPr>
              <w:t>lacked a “data-driven model” for proving impact or damages on a class-wide basis.  Is that what the district court held?</w:t>
            </w:r>
          </w:p>
        </w:tc>
        <w:tc>
          <w:tcPr>
            <w:tcW w:w="5805" w:type="dxa"/>
            <w:gridSpan w:val="2"/>
            <w:vAlign w:val="center"/>
          </w:tcPr>
          <w:p w14:paraId="5E01A683" w14:textId="388B1CA3" w:rsidR="00C76346" w:rsidRPr="000769D3" w:rsidRDefault="00182DB6" w:rsidP="00785BC0">
            <w:pPr>
              <w:pStyle w:val="O-BodyText"/>
              <w:spacing w:after="120"/>
              <w:ind w:left="290" w:right="65"/>
              <w:jc w:val="both"/>
              <w:rPr>
                <w:rFonts w:ascii="Calibri" w:hAnsi="Calibri" w:cs="Calibri"/>
                <w:b/>
                <w:sz w:val="22"/>
                <w:szCs w:val="22"/>
                <w:lang w:bidi="en-US"/>
              </w:rPr>
            </w:pPr>
            <w:r>
              <w:rPr>
                <w:rFonts w:ascii="Calibri" w:hAnsi="Calibri" w:cs="Calibri"/>
                <w:b/>
                <w:sz w:val="22"/>
                <w:szCs w:val="22"/>
                <w:lang w:bidi="en-US"/>
              </w:rPr>
              <w:t xml:space="preserve">The district court did use the term “data-driven model.” Plaintiffs suggest that this created </w:t>
            </w:r>
            <w:proofErr w:type="gramStart"/>
            <w:r>
              <w:rPr>
                <w:rFonts w:ascii="Calibri" w:hAnsi="Calibri" w:cs="Calibri"/>
                <w:b/>
                <w:sz w:val="22"/>
                <w:szCs w:val="22"/>
                <w:lang w:bidi="en-US"/>
              </w:rPr>
              <w:t>some kind of bright-line</w:t>
            </w:r>
            <w:proofErr w:type="gramEnd"/>
            <w:r>
              <w:rPr>
                <w:rFonts w:ascii="Calibri" w:hAnsi="Calibri" w:cs="Calibri"/>
                <w:b/>
                <w:sz w:val="22"/>
                <w:szCs w:val="22"/>
                <w:lang w:bidi="en-US"/>
              </w:rPr>
              <w:t xml:space="preserve"> rule that should not exist. But it is not clear what a model would look like that isn’t data-driven. Ultimately Plaintiffs’ theories are going to have to be put into practice with actual empirical evidence that yields hard numbers—that is, their conceived models are inherently data-based, they just haven’t </w:t>
            </w:r>
            <w:proofErr w:type="gramStart"/>
            <w:r>
              <w:rPr>
                <w:rFonts w:ascii="Calibri" w:hAnsi="Calibri" w:cs="Calibri"/>
                <w:b/>
                <w:sz w:val="22"/>
                <w:szCs w:val="22"/>
                <w:lang w:bidi="en-US"/>
              </w:rPr>
              <w:t>actually supplied</w:t>
            </w:r>
            <w:proofErr w:type="gramEnd"/>
            <w:r>
              <w:rPr>
                <w:rFonts w:ascii="Calibri" w:hAnsi="Calibri" w:cs="Calibri"/>
                <w:b/>
                <w:sz w:val="22"/>
                <w:szCs w:val="22"/>
                <w:lang w:bidi="en-US"/>
              </w:rPr>
              <w:t xml:space="preserve"> any of the data and showed that the model would work.</w:t>
            </w:r>
            <w:r w:rsidR="003615AB">
              <w:rPr>
                <w:rFonts w:ascii="Calibri" w:hAnsi="Calibri" w:cs="Calibri"/>
                <w:b/>
                <w:sz w:val="22"/>
                <w:szCs w:val="22"/>
                <w:lang w:bidi="en-US"/>
              </w:rPr>
              <w:t xml:space="preserve"> That’s all the district court was saying.</w:t>
            </w:r>
          </w:p>
        </w:tc>
      </w:tr>
      <w:tr w:rsidR="00785BC0" w:rsidRPr="00907D75" w14:paraId="7DD5D3D0" w14:textId="77777777" w:rsidTr="00093B76">
        <w:trPr>
          <w:gridAfter w:val="1"/>
          <w:wAfter w:w="198" w:type="dxa"/>
          <w:trHeight w:val="4795"/>
        </w:trPr>
        <w:tc>
          <w:tcPr>
            <w:tcW w:w="5805" w:type="dxa"/>
            <w:vAlign w:val="center"/>
          </w:tcPr>
          <w:p w14:paraId="29B2CBB1" w14:textId="06395BF7"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district court say about Dr. Warren-Boulton’s theories in denying class certification?</w:t>
            </w:r>
          </w:p>
        </w:tc>
        <w:tc>
          <w:tcPr>
            <w:tcW w:w="5805" w:type="dxa"/>
            <w:gridSpan w:val="2"/>
            <w:vAlign w:val="center"/>
          </w:tcPr>
          <w:p w14:paraId="4B3CFD7F" w14:textId="53697557" w:rsidR="00785BC0" w:rsidRPr="00C76346" w:rsidRDefault="00785BC0" w:rsidP="00785BC0">
            <w:pPr>
              <w:pStyle w:val="O-BodyText"/>
              <w:spacing w:after="120"/>
              <w:ind w:left="290" w:right="65"/>
              <w:rPr>
                <w:rFonts w:ascii="Calibri" w:hAnsi="Calibri" w:cs="Calibri"/>
                <w:b/>
                <w:sz w:val="22"/>
                <w:szCs w:val="22"/>
                <w:lang w:bidi="en-US"/>
              </w:rPr>
            </w:pPr>
            <w:r w:rsidRPr="00C54D87">
              <w:rPr>
                <w:rFonts w:ascii="Calibri" w:hAnsi="Calibri" w:cs="Calibri"/>
                <w:b/>
                <w:sz w:val="22"/>
                <w:szCs w:val="22"/>
                <w:lang w:bidi="en-US"/>
              </w:rPr>
              <w:t xml:space="preserve">The </w:t>
            </w:r>
            <w:r>
              <w:rPr>
                <w:rFonts w:ascii="Calibri" w:hAnsi="Calibri" w:cs="Calibri"/>
                <w:b/>
                <w:sz w:val="22"/>
                <w:szCs w:val="22"/>
                <w:lang w:bidi="en-US"/>
              </w:rPr>
              <w:t xml:space="preserve">district </w:t>
            </w:r>
            <w:r w:rsidRPr="00C54D87">
              <w:rPr>
                <w:rFonts w:ascii="Calibri" w:hAnsi="Calibri" w:cs="Calibri"/>
                <w:b/>
                <w:sz w:val="22"/>
                <w:szCs w:val="22"/>
                <w:lang w:bidi="en-US"/>
              </w:rPr>
              <w:t xml:space="preserve">court </w:t>
            </w:r>
            <w:r w:rsidR="00A06FE8">
              <w:rPr>
                <w:rFonts w:ascii="Calibri" w:hAnsi="Calibri" w:cs="Calibri"/>
                <w:b/>
                <w:sz w:val="22"/>
                <w:szCs w:val="22"/>
                <w:lang w:bidi="en-US"/>
              </w:rPr>
              <w:t>stated</w:t>
            </w:r>
            <w:r w:rsidRPr="00C54D87">
              <w:rPr>
                <w:rFonts w:ascii="Calibri" w:hAnsi="Calibri" w:cs="Calibri"/>
                <w:b/>
                <w:sz w:val="22"/>
                <w:szCs w:val="22"/>
                <w:lang w:bidi="en-US"/>
              </w:rPr>
              <w:t xml:space="preserve"> that Dr. Warren-Boulton’s theories did not provide a </w:t>
            </w:r>
            <w:r>
              <w:rPr>
                <w:rFonts w:ascii="Calibri" w:hAnsi="Calibri" w:cs="Calibri"/>
                <w:b/>
                <w:sz w:val="22"/>
                <w:szCs w:val="22"/>
                <w:lang w:bidi="en-US"/>
              </w:rPr>
              <w:t>“</w:t>
            </w:r>
            <w:r w:rsidRPr="00C54D87">
              <w:rPr>
                <w:rFonts w:ascii="Calibri" w:hAnsi="Calibri" w:cs="Calibri"/>
                <w:b/>
                <w:sz w:val="22"/>
                <w:szCs w:val="22"/>
                <w:lang w:bidi="en-US"/>
              </w:rPr>
              <w:t>functioning model that is tailored to market f</w:t>
            </w:r>
            <w:r>
              <w:rPr>
                <w:rFonts w:ascii="Calibri" w:hAnsi="Calibri" w:cs="Calibri"/>
                <w:b/>
                <w:sz w:val="22"/>
                <w:szCs w:val="22"/>
                <w:lang w:bidi="en-US"/>
              </w:rPr>
              <w:t xml:space="preserve">acts in the case at hand.”  ER5.  </w:t>
            </w:r>
            <w:r w:rsidRPr="00C54D87">
              <w:rPr>
                <w:rFonts w:ascii="Calibri" w:hAnsi="Calibri" w:cs="Calibri"/>
                <w:b/>
                <w:sz w:val="22"/>
                <w:szCs w:val="22"/>
                <w:lang w:bidi="en-US"/>
              </w:rPr>
              <w:t xml:space="preserve">Rather, </w:t>
            </w:r>
            <w:r w:rsidR="00A06FE8">
              <w:rPr>
                <w:rFonts w:ascii="Calibri" w:hAnsi="Calibri" w:cs="Calibri"/>
                <w:b/>
                <w:sz w:val="22"/>
                <w:szCs w:val="22"/>
                <w:lang w:bidi="en-US"/>
              </w:rPr>
              <w:t>Dr. Warren-Boulton</w:t>
            </w:r>
            <w:r w:rsidRPr="00C54D87">
              <w:rPr>
                <w:rFonts w:ascii="Calibri" w:hAnsi="Calibri" w:cs="Calibri"/>
                <w:b/>
                <w:sz w:val="22"/>
                <w:szCs w:val="22"/>
                <w:lang w:bidi="en-US"/>
              </w:rPr>
              <w:t xml:space="preserve"> referred generally to “common methodology and data,</w:t>
            </w:r>
            <w:r>
              <w:rPr>
                <w:rFonts w:ascii="Calibri" w:hAnsi="Calibri" w:cs="Calibri"/>
                <w:b/>
                <w:sz w:val="22"/>
                <w:szCs w:val="22"/>
                <w:lang w:bidi="en-US"/>
              </w:rPr>
              <w:t>” which he would supposedly use to “</w:t>
            </w:r>
            <w:r w:rsidRPr="00C54D87">
              <w:rPr>
                <w:rFonts w:ascii="Calibri" w:hAnsi="Calibri" w:cs="Calibri"/>
                <w:b/>
                <w:sz w:val="22"/>
                <w:szCs w:val="22"/>
                <w:lang w:bidi="en-US"/>
              </w:rPr>
              <w:t>reliably assess the existence and amount of damages to the Class members.</w:t>
            </w:r>
            <w:r w:rsidRPr="00FB4D25">
              <w:rPr>
                <w:rFonts w:ascii="Calibri" w:hAnsi="Calibri" w:cs="Calibri"/>
                <w:b/>
                <w:sz w:val="22"/>
                <w:szCs w:val="22"/>
                <w:lang w:bidi="en-US"/>
              </w:rPr>
              <w:t xml:space="preserve">”  </w:t>
            </w:r>
            <w:r w:rsidRPr="00C54D87">
              <w:rPr>
                <w:rFonts w:ascii="Calibri" w:hAnsi="Calibri" w:cs="Calibri"/>
                <w:b/>
                <w:sz w:val="22"/>
                <w:szCs w:val="22"/>
                <w:lang w:bidi="en-US"/>
              </w:rPr>
              <w:t xml:space="preserve">The </w:t>
            </w:r>
            <w:r w:rsidR="00A06FE8">
              <w:rPr>
                <w:rFonts w:ascii="Calibri" w:hAnsi="Calibri" w:cs="Calibri"/>
                <w:b/>
                <w:sz w:val="22"/>
                <w:szCs w:val="22"/>
                <w:lang w:bidi="en-US"/>
              </w:rPr>
              <w:t xml:space="preserve">district </w:t>
            </w:r>
            <w:r w:rsidRPr="00C54D87">
              <w:rPr>
                <w:rFonts w:ascii="Calibri" w:hAnsi="Calibri" w:cs="Calibri"/>
                <w:b/>
                <w:sz w:val="22"/>
                <w:szCs w:val="22"/>
                <w:lang w:bidi="en-US"/>
              </w:rPr>
              <w:t>court found that insufficient to satisfy Rule 23(b)(3), which requires providing “a viable method for demonstrating class-wide antitrust injury based on common proof.”</w:t>
            </w:r>
          </w:p>
        </w:tc>
      </w:tr>
      <w:tr w:rsidR="00C76346" w:rsidRPr="00907D75" w14:paraId="2843E3DE" w14:textId="77777777" w:rsidTr="00093B76">
        <w:trPr>
          <w:gridAfter w:val="1"/>
          <w:wAfter w:w="198" w:type="dxa"/>
          <w:trHeight w:val="4795"/>
        </w:trPr>
        <w:tc>
          <w:tcPr>
            <w:tcW w:w="5805" w:type="dxa"/>
            <w:vAlign w:val="center"/>
          </w:tcPr>
          <w:p w14:paraId="4182D0B7" w14:textId="04308A49" w:rsidR="00C76346" w:rsidRDefault="00C76346" w:rsidP="00785BC0">
            <w:pPr>
              <w:pStyle w:val="O-BodyText"/>
              <w:spacing w:after="120"/>
              <w:ind w:right="200"/>
              <w:jc w:val="both"/>
              <w:rPr>
                <w:rFonts w:ascii="Calibri" w:hAnsi="Calibri" w:cs="Calibri"/>
                <w:b/>
                <w:sz w:val="28"/>
                <w:szCs w:val="28"/>
              </w:rPr>
            </w:pPr>
            <w:r>
              <w:rPr>
                <w:rFonts w:ascii="Calibri" w:hAnsi="Calibri" w:cs="Calibri"/>
                <w:b/>
                <w:sz w:val="28"/>
                <w:szCs w:val="28"/>
              </w:rPr>
              <w:t>What was the only issue analyzed by the district court in its class certification decision?</w:t>
            </w:r>
          </w:p>
        </w:tc>
        <w:tc>
          <w:tcPr>
            <w:tcW w:w="5805" w:type="dxa"/>
            <w:gridSpan w:val="2"/>
            <w:vAlign w:val="center"/>
          </w:tcPr>
          <w:p w14:paraId="528DE2D5" w14:textId="0FC76BB7" w:rsidR="00C76346" w:rsidRPr="00C54D87" w:rsidRDefault="00C76346" w:rsidP="00785BC0">
            <w:pPr>
              <w:pStyle w:val="O-BodyText"/>
              <w:spacing w:after="120"/>
              <w:ind w:left="290" w:right="65"/>
              <w:rPr>
                <w:rFonts w:ascii="Calibri" w:hAnsi="Calibri" w:cs="Calibri"/>
                <w:b/>
                <w:sz w:val="22"/>
                <w:szCs w:val="22"/>
                <w:lang w:bidi="en-US"/>
              </w:rPr>
            </w:pPr>
            <w:r w:rsidRPr="00167045">
              <w:rPr>
                <w:rFonts w:ascii="Calibri" w:hAnsi="Calibri" w:cs="Calibri"/>
                <w:b/>
                <w:sz w:val="22"/>
                <w:szCs w:val="22"/>
                <w:highlight w:val="yellow"/>
                <w:lang w:bidi="en-US"/>
              </w:rPr>
              <w:t xml:space="preserve">The district court noted that Apple did not dispute that plaintiffs satisfied the threshold requirements of Rule 23(a) or the superiority requirement of Rule 23(b)(3).  Apple argued only that the class definition was overbroad and that plaintiffs had not established predominance.  Therefore, the district court limited its analysis to one issue: whether Dr. Warren-Boulton’s </w:t>
            </w:r>
            <w:r w:rsidR="00A06FE8" w:rsidRPr="00167045">
              <w:rPr>
                <w:rFonts w:ascii="Calibri" w:hAnsi="Calibri" w:cs="Calibri"/>
                <w:b/>
                <w:sz w:val="22"/>
                <w:szCs w:val="22"/>
                <w:highlight w:val="yellow"/>
                <w:lang w:bidi="en-US"/>
              </w:rPr>
              <w:t>e</w:t>
            </w:r>
            <w:r w:rsidRPr="00167045">
              <w:rPr>
                <w:rFonts w:ascii="Calibri" w:hAnsi="Calibri" w:cs="Calibri"/>
                <w:b/>
                <w:sz w:val="22"/>
                <w:szCs w:val="22"/>
                <w:highlight w:val="yellow"/>
                <w:lang w:bidi="en-US"/>
              </w:rPr>
              <w:t>xpert</w:t>
            </w:r>
            <w:r w:rsidRPr="00167045">
              <w:rPr>
                <w:rFonts w:ascii="Times New Roman" w:hAnsi="Times New Roman" w:cs="Times New Roman"/>
                <w:sz w:val="22"/>
                <w:szCs w:val="22"/>
                <w:highlight w:val="yellow"/>
              </w:rPr>
              <w:t xml:space="preserve"> </w:t>
            </w:r>
            <w:r w:rsidR="00A06FE8" w:rsidRPr="00167045">
              <w:rPr>
                <w:rFonts w:ascii="Times New Roman" w:hAnsi="Times New Roman" w:cs="Times New Roman"/>
                <w:sz w:val="22"/>
                <w:szCs w:val="22"/>
                <w:highlight w:val="yellow"/>
              </w:rPr>
              <w:t>d</w:t>
            </w:r>
            <w:r w:rsidRPr="00167045">
              <w:rPr>
                <w:rFonts w:ascii="Calibri" w:hAnsi="Calibri" w:cs="Calibri"/>
                <w:b/>
                <w:sz w:val="22"/>
                <w:szCs w:val="22"/>
                <w:highlight w:val="yellow"/>
                <w:lang w:bidi="en-US"/>
              </w:rPr>
              <w:t>e</w:t>
            </w:r>
            <w:r w:rsidR="00A06FE8" w:rsidRPr="00167045">
              <w:rPr>
                <w:rFonts w:ascii="Calibri" w:hAnsi="Calibri" w:cs="Calibri"/>
                <w:b/>
                <w:sz w:val="22"/>
                <w:szCs w:val="22"/>
                <w:highlight w:val="yellow"/>
                <w:lang w:bidi="en-US"/>
              </w:rPr>
              <w:t>claration adequately supported p</w:t>
            </w:r>
            <w:r w:rsidRPr="00167045">
              <w:rPr>
                <w:rFonts w:ascii="Calibri" w:hAnsi="Calibri" w:cs="Calibri"/>
                <w:b/>
                <w:sz w:val="22"/>
                <w:szCs w:val="22"/>
                <w:highlight w:val="yellow"/>
                <w:lang w:bidi="en-US"/>
              </w:rPr>
              <w:t>laintiffs’ class certification motion.  Ward Br. 14-15.</w:t>
            </w:r>
          </w:p>
        </w:tc>
      </w:tr>
      <w:tr w:rsidR="00C76346" w:rsidRPr="00907D75" w14:paraId="4BBFF9D5" w14:textId="77777777" w:rsidTr="00093B76">
        <w:trPr>
          <w:gridAfter w:val="1"/>
          <w:wAfter w:w="198" w:type="dxa"/>
          <w:trHeight w:val="4795"/>
        </w:trPr>
        <w:tc>
          <w:tcPr>
            <w:tcW w:w="5805" w:type="dxa"/>
            <w:vAlign w:val="center"/>
          </w:tcPr>
          <w:p w14:paraId="1EE02D66" w14:textId="74EFAA82" w:rsidR="00C76346" w:rsidRPr="00C76346" w:rsidRDefault="00C3049B" w:rsidP="00C76346">
            <w:pPr>
              <w:pStyle w:val="O-BodyText"/>
              <w:spacing w:after="120"/>
              <w:ind w:right="200"/>
              <w:rPr>
                <w:rFonts w:ascii="Calibri" w:hAnsi="Calibri" w:cs="Calibri"/>
                <w:b/>
                <w:sz w:val="28"/>
                <w:szCs w:val="28"/>
              </w:rPr>
            </w:pPr>
            <w:r>
              <w:rPr>
                <w:rFonts w:ascii="Calibri" w:hAnsi="Calibri" w:cs="Calibri"/>
                <w:b/>
                <w:sz w:val="28"/>
                <w:szCs w:val="28"/>
              </w:rPr>
              <w:t>Did t</w:t>
            </w:r>
            <w:r w:rsidR="00C76346" w:rsidRPr="00C76346">
              <w:rPr>
                <w:rFonts w:ascii="Calibri" w:hAnsi="Calibri" w:cs="Calibri"/>
                <w:b/>
                <w:sz w:val="28"/>
                <w:szCs w:val="28"/>
              </w:rPr>
              <w:t xml:space="preserve">he </w:t>
            </w:r>
            <w:r>
              <w:rPr>
                <w:rFonts w:ascii="Calibri" w:hAnsi="Calibri" w:cs="Calibri"/>
                <w:b/>
                <w:sz w:val="28"/>
                <w:szCs w:val="28"/>
              </w:rPr>
              <w:t>district c</w:t>
            </w:r>
            <w:r w:rsidR="00C76346" w:rsidRPr="00C76346">
              <w:rPr>
                <w:rFonts w:ascii="Calibri" w:hAnsi="Calibri" w:cs="Calibri"/>
                <w:b/>
                <w:sz w:val="28"/>
                <w:szCs w:val="28"/>
              </w:rPr>
              <w:t>ourt reach Apple’s argum</w:t>
            </w:r>
            <w:r>
              <w:rPr>
                <w:rFonts w:ascii="Calibri" w:hAnsi="Calibri" w:cs="Calibri"/>
                <w:b/>
                <w:sz w:val="28"/>
                <w:szCs w:val="28"/>
              </w:rPr>
              <w:t xml:space="preserve">ent that the class definition </w:t>
            </w:r>
            <w:r w:rsidR="00C76346" w:rsidRPr="00C76346">
              <w:rPr>
                <w:rFonts w:ascii="Calibri" w:hAnsi="Calibri" w:cs="Calibri"/>
                <w:b/>
                <w:sz w:val="28"/>
                <w:szCs w:val="28"/>
              </w:rPr>
              <w:t>was overbroad</w:t>
            </w:r>
            <w:r>
              <w:rPr>
                <w:rFonts w:ascii="Calibri" w:hAnsi="Calibri" w:cs="Calibri"/>
                <w:b/>
                <w:sz w:val="28"/>
                <w:szCs w:val="28"/>
              </w:rPr>
              <w:t>?</w:t>
            </w:r>
          </w:p>
          <w:p w14:paraId="02FEDF9F" w14:textId="77777777" w:rsidR="00C76346" w:rsidRDefault="00C76346" w:rsidP="00785BC0">
            <w:pPr>
              <w:pStyle w:val="O-BodyText"/>
              <w:spacing w:after="120"/>
              <w:ind w:right="200"/>
              <w:jc w:val="both"/>
              <w:rPr>
                <w:rFonts w:ascii="Calibri" w:hAnsi="Calibri" w:cs="Calibri"/>
                <w:b/>
                <w:sz w:val="28"/>
                <w:szCs w:val="28"/>
              </w:rPr>
            </w:pPr>
          </w:p>
        </w:tc>
        <w:tc>
          <w:tcPr>
            <w:tcW w:w="5805" w:type="dxa"/>
            <w:gridSpan w:val="2"/>
            <w:vAlign w:val="center"/>
          </w:tcPr>
          <w:p w14:paraId="06D59BA0" w14:textId="4D6BA5A5" w:rsidR="00C76346" w:rsidRPr="00C76346" w:rsidRDefault="00C76346" w:rsidP="00785BC0">
            <w:pPr>
              <w:pStyle w:val="O-BodyText"/>
              <w:spacing w:after="120"/>
              <w:ind w:left="290" w:right="65"/>
              <w:rPr>
                <w:rFonts w:ascii="Calibri" w:hAnsi="Calibri" w:cs="Calibri"/>
                <w:b/>
                <w:sz w:val="22"/>
                <w:szCs w:val="22"/>
                <w:highlight w:val="yellow"/>
                <w:lang w:bidi="en-US"/>
              </w:rPr>
            </w:pPr>
            <w:r w:rsidRPr="003615AB">
              <w:rPr>
                <w:rFonts w:ascii="Calibri" w:hAnsi="Calibri" w:cs="Calibri"/>
                <w:b/>
                <w:sz w:val="22"/>
                <w:szCs w:val="22"/>
                <w:lang w:bidi="en-US"/>
              </w:rPr>
              <w:t>No.</w:t>
            </w:r>
          </w:p>
        </w:tc>
      </w:tr>
      <w:tr w:rsidR="00785BC0" w:rsidRPr="00907D75" w14:paraId="4503FD96" w14:textId="77777777" w:rsidTr="00093B76">
        <w:trPr>
          <w:gridAfter w:val="1"/>
          <w:wAfter w:w="198" w:type="dxa"/>
          <w:trHeight w:val="4795"/>
        </w:trPr>
        <w:tc>
          <w:tcPr>
            <w:tcW w:w="5805" w:type="dxa"/>
            <w:vAlign w:val="center"/>
          </w:tcPr>
          <w:p w14:paraId="3B891551" w14:textId="22D6130B" w:rsidR="00785BC0" w:rsidRDefault="00785BC0" w:rsidP="00785BC0">
            <w:pPr>
              <w:pStyle w:val="O-BodyText"/>
              <w:spacing w:after="120"/>
              <w:ind w:right="200"/>
              <w:jc w:val="both"/>
              <w:rPr>
                <w:rFonts w:ascii="Calibri" w:hAnsi="Calibri" w:cs="Calibri"/>
                <w:b/>
                <w:sz w:val="28"/>
                <w:szCs w:val="28"/>
              </w:rPr>
            </w:pPr>
            <w:r>
              <w:rPr>
                <w:rFonts w:ascii="Calibri" w:hAnsi="Calibri" w:cs="Calibri"/>
                <w:b/>
                <w:sz w:val="28"/>
                <w:szCs w:val="28"/>
                <w:lang w:bidi="en-US"/>
              </w:rPr>
              <w:lastRenderedPageBreak/>
              <w:t xml:space="preserve">When did plaintiffs file their </w:t>
            </w:r>
            <w:r w:rsidRPr="003D4A14">
              <w:rPr>
                <w:rFonts w:ascii="Calibri" w:hAnsi="Calibri" w:cs="Calibri"/>
                <w:b/>
                <w:sz w:val="28"/>
                <w:szCs w:val="28"/>
                <w:lang w:bidi="en-US"/>
              </w:rPr>
              <w:t>petition under Rule 23(f)</w:t>
            </w:r>
            <w:r>
              <w:rPr>
                <w:rFonts w:ascii="Calibri" w:hAnsi="Calibri" w:cs="Calibri"/>
                <w:b/>
                <w:sz w:val="28"/>
                <w:szCs w:val="28"/>
              </w:rPr>
              <w:t>?</w:t>
            </w:r>
          </w:p>
        </w:tc>
        <w:tc>
          <w:tcPr>
            <w:tcW w:w="5805" w:type="dxa"/>
            <w:gridSpan w:val="2"/>
            <w:vAlign w:val="center"/>
          </w:tcPr>
          <w:p w14:paraId="07DA03AD" w14:textId="35BE884E" w:rsidR="00785BC0" w:rsidRPr="003D4A14" w:rsidRDefault="00785BC0" w:rsidP="00785BC0">
            <w:pPr>
              <w:pStyle w:val="O-BodyText"/>
              <w:spacing w:after="120"/>
              <w:ind w:left="290" w:right="65"/>
              <w:rPr>
                <w:rFonts w:ascii="Calibri" w:hAnsi="Calibri" w:cs="Calibri"/>
                <w:b/>
                <w:sz w:val="22"/>
                <w:szCs w:val="22"/>
                <w:lang w:bidi="en-US"/>
              </w:rPr>
            </w:pPr>
            <w:r w:rsidRPr="003D4A14">
              <w:rPr>
                <w:rFonts w:ascii="Calibri" w:hAnsi="Calibri" w:cs="Calibri"/>
                <w:b/>
                <w:sz w:val="22"/>
                <w:szCs w:val="22"/>
                <w:lang w:bidi="en-US"/>
              </w:rPr>
              <w:t xml:space="preserve">March 2, 2018. </w:t>
            </w:r>
            <w:r>
              <w:rPr>
                <w:rFonts w:ascii="Calibri" w:hAnsi="Calibri" w:cs="Calibri"/>
                <w:b/>
                <w:sz w:val="22"/>
                <w:szCs w:val="22"/>
                <w:lang w:bidi="en-US"/>
              </w:rPr>
              <w:t xml:space="preserve"> </w:t>
            </w:r>
            <w:r w:rsidRPr="003D4A14">
              <w:rPr>
                <w:rFonts w:ascii="Calibri" w:hAnsi="Calibri" w:cs="Calibri"/>
                <w:b/>
                <w:sz w:val="22"/>
                <w:szCs w:val="22"/>
                <w:lang w:bidi="en-US"/>
              </w:rPr>
              <w:t>On June 1, 2018, a</w:t>
            </w:r>
            <w:r>
              <w:rPr>
                <w:rFonts w:ascii="Calibri" w:hAnsi="Calibri" w:cs="Calibri"/>
                <w:b/>
                <w:sz w:val="22"/>
                <w:szCs w:val="22"/>
                <w:lang w:bidi="en-US"/>
              </w:rPr>
              <w:t xml:space="preserve"> </w:t>
            </w:r>
            <w:r w:rsidRPr="003D4A14">
              <w:rPr>
                <w:rFonts w:ascii="Calibri" w:hAnsi="Calibri" w:cs="Calibri"/>
                <w:b/>
                <w:sz w:val="22"/>
                <w:szCs w:val="22"/>
                <w:lang w:bidi="en-US"/>
              </w:rPr>
              <w:t>motio</w:t>
            </w:r>
            <w:r>
              <w:rPr>
                <w:rFonts w:ascii="Calibri" w:hAnsi="Calibri" w:cs="Calibri"/>
                <w:b/>
                <w:sz w:val="22"/>
                <w:szCs w:val="22"/>
                <w:lang w:bidi="en-US"/>
              </w:rPr>
              <w:t xml:space="preserve">ns panel of this Court granted </w:t>
            </w:r>
            <w:r w:rsidR="00A06FE8">
              <w:rPr>
                <w:rFonts w:ascii="Calibri" w:hAnsi="Calibri" w:cs="Calibri"/>
                <w:b/>
                <w:sz w:val="22"/>
                <w:szCs w:val="22"/>
                <w:lang w:bidi="en-US"/>
              </w:rPr>
              <w:t>the</w:t>
            </w:r>
            <w:r w:rsidRPr="003D4A14">
              <w:rPr>
                <w:rFonts w:ascii="Calibri" w:hAnsi="Calibri" w:cs="Calibri"/>
                <w:b/>
                <w:sz w:val="22"/>
                <w:szCs w:val="22"/>
                <w:lang w:bidi="en-US"/>
              </w:rPr>
              <w:t xml:space="preserve"> petition.</w:t>
            </w:r>
          </w:p>
          <w:p w14:paraId="150391FB" w14:textId="6FB59564" w:rsidR="00785BC0" w:rsidRDefault="00785BC0" w:rsidP="00785BC0">
            <w:pPr>
              <w:pStyle w:val="O-BodyText"/>
              <w:spacing w:after="120"/>
              <w:ind w:left="290" w:right="65"/>
              <w:jc w:val="both"/>
              <w:rPr>
                <w:rFonts w:ascii="Calibri" w:hAnsi="Calibri" w:cs="Calibri"/>
                <w:b/>
                <w:sz w:val="22"/>
                <w:szCs w:val="22"/>
              </w:rPr>
            </w:pPr>
          </w:p>
        </w:tc>
      </w:tr>
      <w:tr w:rsidR="00785BC0" w:rsidRPr="00907D75" w14:paraId="57B50100" w14:textId="77777777" w:rsidTr="00093B76">
        <w:trPr>
          <w:gridAfter w:val="1"/>
          <w:wAfter w:w="198" w:type="dxa"/>
          <w:trHeight w:val="4795"/>
        </w:trPr>
        <w:tc>
          <w:tcPr>
            <w:tcW w:w="5805" w:type="dxa"/>
            <w:vAlign w:val="center"/>
          </w:tcPr>
          <w:p w14:paraId="0DB8F44A" w14:textId="6C54470B" w:rsidR="00785BC0" w:rsidRDefault="00C3049B"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Why did p</w:t>
            </w:r>
            <w:r w:rsidRPr="00C3049B">
              <w:rPr>
                <w:rFonts w:ascii="Calibri" w:hAnsi="Calibri" w:cs="Calibri"/>
                <w:b/>
                <w:sz w:val="28"/>
                <w:szCs w:val="28"/>
                <w:lang w:bidi="en-US"/>
              </w:rPr>
              <w:t xml:space="preserve">laintiffs file an emergency motion under Circuit Rule 27-3 to stay discovery and vacate the </w:t>
            </w:r>
            <w:r w:rsidR="00A06FE8">
              <w:rPr>
                <w:rFonts w:ascii="Calibri" w:hAnsi="Calibri" w:cs="Calibri"/>
                <w:b/>
                <w:sz w:val="28"/>
                <w:szCs w:val="28"/>
                <w:lang w:bidi="en-US"/>
              </w:rPr>
              <w:t xml:space="preserve">trial date </w:t>
            </w:r>
            <w:r w:rsidRPr="00C3049B">
              <w:rPr>
                <w:rFonts w:ascii="Calibri" w:hAnsi="Calibri" w:cs="Calibri"/>
                <w:b/>
                <w:sz w:val="28"/>
                <w:szCs w:val="28"/>
                <w:lang w:bidi="en-US"/>
              </w:rPr>
              <w:t>p</w:t>
            </w:r>
            <w:r>
              <w:rPr>
                <w:rFonts w:ascii="Calibri" w:hAnsi="Calibri" w:cs="Calibri"/>
                <w:b/>
                <w:sz w:val="28"/>
                <w:szCs w:val="28"/>
                <w:lang w:bidi="en-US"/>
              </w:rPr>
              <w:t>ending this</w:t>
            </w:r>
            <w:r w:rsidR="006671EC">
              <w:rPr>
                <w:rFonts w:ascii="Calibri" w:hAnsi="Calibri" w:cs="Calibri"/>
                <w:b/>
                <w:sz w:val="28"/>
                <w:szCs w:val="28"/>
                <w:lang w:bidi="en-US"/>
              </w:rPr>
              <w:t xml:space="preserve"> Court’s decision on the</w:t>
            </w:r>
            <w:r>
              <w:rPr>
                <w:rFonts w:ascii="Calibri" w:hAnsi="Calibri" w:cs="Calibri"/>
                <w:b/>
                <w:sz w:val="28"/>
                <w:szCs w:val="28"/>
                <w:lang w:bidi="en-US"/>
              </w:rPr>
              <w:t xml:space="preserve"> Rule 23(f) p</w:t>
            </w:r>
            <w:r w:rsidRPr="00C3049B">
              <w:rPr>
                <w:rFonts w:ascii="Calibri" w:hAnsi="Calibri" w:cs="Calibri"/>
                <w:b/>
                <w:sz w:val="28"/>
                <w:szCs w:val="28"/>
                <w:lang w:bidi="en-US"/>
              </w:rPr>
              <w:t>etition</w:t>
            </w:r>
            <w:r>
              <w:rPr>
                <w:rFonts w:ascii="Calibri" w:hAnsi="Calibri" w:cs="Calibri"/>
                <w:b/>
                <w:sz w:val="28"/>
                <w:szCs w:val="28"/>
                <w:lang w:bidi="en-US"/>
              </w:rPr>
              <w:t>?</w:t>
            </w:r>
          </w:p>
        </w:tc>
        <w:tc>
          <w:tcPr>
            <w:tcW w:w="5805" w:type="dxa"/>
            <w:gridSpan w:val="2"/>
            <w:vAlign w:val="center"/>
          </w:tcPr>
          <w:p w14:paraId="0B806525" w14:textId="5AF60AC3" w:rsidR="00785BC0" w:rsidRPr="003D4A14" w:rsidRDefault="00C3049B" w:rsidP="00785BC0">
            <w:pPr>
              <w:pStyle w:val="O-BodyText"/>
              <w:spacing w:after="120"/>
              <w:ind w:left="290" w:right="65"/>
              <w:rPr>
                <w:rFonts w:ascii="Calibri" w:hAnsi="Calibri" w:cs="Calibri"/>
                <w:b/>
                <w:sz w:val="22"/>
                <w:szCs w:val="22"/>
                <w:lang w:bidi="en-US"/>
              </w:rPr>
            </w:pPr>
            <w:r w:rsidRPr="00167045">
              <w:rPr>
                <w:rFonts w:ascii="Calibri" w:hAnsi="Calibri" w:cs="Calibri"/>
                <w:b/>
                <w:sz w:val="22"/>
                <w:szCs w:val="22"/>
                <w:highlight w:val="yellow"/>
                <w:lang w:bidi="en-US"/>
              </w:rPr>
              <w:t>After plaintiffs filed their Rule 23(f) petition for permission to appeal the denial of class certification, the parties filed a stipulation requesting a stay of discovery and adjournment of the trial and associated dates pending resolution of the Rule 23(f) petition.  The district court summarily denied the joint request the next day without explanation</w:t>
            </w:r>
            <w:r w:rsidR="00167045" w:rsidRPr="00167045">
              <w:rPr>
                <w:rFonts w:ascii="Calibri" w:hAnsi="Calibri" w:cs="Calibri"/>
                <w:b/>
                <w:sz w:val="22"/>
                <w:szCs w:val="22"/>
                <w:highlight w:val="yellow"/>
                <w:lang w:bidi="en-US"/>
              </w:rPr>
              <w:t xml:space="preserve">. </w:t>
            </w:r>
            <w:r w:rsidRPr="00167045">
              <w:rPr>
                <w:rFonts w:ascii="Calibri" w:hAnsi="Calibri" w:cs="Calibri"/>
                <w:b/>
                <w:sz w:val="22"/>
                <w:szCs w:val="22"/>
                <w:highlight w:val="yellow"/>
                <w:lang w:bidi="en-US"/>
              </w:rPr>
              <w:t xml:space="preserve"> Plaintiffs therefore were forced to file an emergency motion with this Court, which was granted on March 20, 2018.  Ward Br. 15.</w:t>
            </w:r>
          </w:p>
        </w:tc>
      </w:tr>
      <w:tr w:rsidR="00A12A64" w:rsidRPr="00907D75" w14:paraId="6C7A7B20" w14:textId="77777777" w:rsidTr="00093B76">
        <w:trPr>
          <w:gridAfter w:val="1"/>
          <w:wAfter w:w="198" w:type="dxa"/>
          <w:trHeight w:val="4795"/>
        </w:trPr>
        <w:tc>
          <w:tcPr>
            <w:tcW w:w="5805" w:type="dxa"/>
            <w:vAlign w:val="center"/>
          </w:tcPr>
          <w:p w14:paraId="7A57CFE9" w14:textId="759495F4" w:rsidR="00A12A64" w:rsidRDefault="00A12A64" w:rsidP="00785BC0">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What rulings are presented for review in this case?</w:t>
            </w:r>
          </w:p>
        </w:tc>
        <w:tc>
          <w:tcPr>
            <w:tcW w:w="5805" w:type="dxa"/>
            <w:gridSpan w:val="2"/>
            <w:vAlign w:val="center"/>
          </w:tcPr>
          <w:p w14:paraId="15D02079" w14:textId="72DFD45B" w:rsidR="00A12A64" w:rsidRPr="00C3049B" w:rsidRDefault="00A12A64" w:rsidP="00A12A64">
            <w:pPr>
              <w:pStyle w:val="O-BodyText"/>
              <w:spacing w:after="120"/>
              <w:ind w:left="290" w:right="65"/>
              <w:rPr>
                <w:rFonts w:ascii="Calibri" w:hAnsi="Calibri" w:cs="Calibri"/>
                <w:b/>
                <w:sz w:val="22"/>
                <w:szCs w:val="22"/>
                <w:highlight w:val="yellow"/>
                <w:lang w:bidi="en-US"/>
              </w:rPr>
            </w:pPr>
            <w:r w:rsidRPr="00167045">
              <w:rPr>
                <w:rFonts w:ascii="Calibri" w:hAnsi="Calibri" w:cs="Calibri"/>
                <w:b/>
                <w:sz w:val="22"/>
                <w:szCs w:val="22"/>
                <w:highlight w:val="yellow"/>
                <w:lang w:bidi="en-US"/>
              </w:rPr>
              <w:t>Plaintiffs submit for review all rulings in the district court’s February 16, 2018 order denying plaintiffs’ motion for class certification.  Ward Br. 16.</w:t>
            </w:r>
          </w:p>
        </w:tc>
      </w:tr>
    </w:tbl>
    <w:p w14:paraId="492EABF7" w14:textId="77777777" w:rsidR="00070F98" w:rsidRDefault="00070F98" w:rsidP="00070F98">
      <w:pPr>
        <w:rPr>
          <w:b/>
          <w:u w:val="single"/>
        </w:rPr>
      </w:pPr>
    </w:p>
    <w:p w14:paraId="639D8B71" w14:textId="77777777" w:rsidR="00070F98" w:rsidRDefault="00070F98">
      <w:pPr>
        <w:spacing w:after="240"/>
        <w:rPr>
          <w:b/>
          <w:u w:val="single"/>
        </w:rPr>
      </w:pPr>
      <w:r>
        <w:rPr>
          <w:b/>
          <w:u w:val="single"/>
        </w:rPr>
        <w:lastRenderedPageBreak/>
        <w:br w:type="page"/>
      </w:r>
    </w:p>
    <w:p w14:paraId="5848D307" w14:textId="241DF05F" w:rsidR="00070F98" w:rsidRDefault="00070F98" w:rsidP="00070F98">
      <w:pPr>
        <w:rPr>
          <w:b/>
          <w:u w:val="single"/>
        </w:rPr>
      </w:pPr>
      <w:r w:rsidRPr="00070F98">
        <w:rPr>
          <w:b/>
          <w:u w:val="single"/>
        </w:rPr>
        <w:lastRenderedPageBreak/>
        <w:t>Arguments 1-2</w:t>
      </w:r>
    </w:p>
    <w:p w14:paraId="2B9B3A4A" w14:textId="77777777" w:rsidR="00093B76" w:rsidRPr="00070F98" w:rsidRDefault="00093B76" w:rsidP="00070F98">
      <w:pPr>
        <w:rPr>
          <w:b/>
          <w:u w:val="single"/>
        </w:rPr>
      </w:pP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070F98" w:rsidRPr="0010708E" w14:paraId="7F6030F7" w14:textId="77777777" w:rsidTr="00093B76">
        <w:trPr>
          <w:trHeight w:val="4795"/>
        </w:trPr>
        <w:tc>
          <w:tcPr>
            <w:tcW w:w="5904" w:type="dxa"/>
            <w:vAlign w:val="center"/>
          </w:tcPr>
          <w:p w14:paraId="23C53078" w14:textId="77777777" w:rsidR="00070F98" w:rsidRDefault="00070F98" w:rsidP="00070F98">
            <w:pPr>
              <w:pStyle w:val="O-BodyText"/>
              <w:spacing w:afterLines="120" w:after="288"/>
              <w:ind w:right="108"/>
              <w:jc w:val="center"/>
              <w:rPr>
                <w:rFonts w:ascii="Calibri" w:hAnsi="Calibri"/>
                <w:b/>
                <w:bCs/>
                <w:sz w:val="52"/>
                <w:szCs w:val="52"/>
              </w:rPr>
            </w:pPr>
            <w:bookmarkStart w:id="2" w:name="_Hlk31285729"/>
            <w:r>
              <w:rPr>
                <w:rFonts w:ascii="Calibri" w:hAnsi="Calibri"/>
                <w:b/>
                <w:bCs/>
                <w:sz w:val="52"/>
                <w:szCs w:val="52"/>
              </w:rPr>
              <w:t>Standard of Review</w:t>
            </w:r>
          </w:p>
        </w:tc>
        <w:tc>
          <w:tcPr>
            <w:tcW w:w="5904" w:type="dxa"/>
            <w:vAlign w:val="center"/>
          </w:tcPr>
          <w:p w14:paraId="5EE12BF5" w14:textId="77777777" w:rsidR="00070F98" w:rsidRPr="0010708E" w:rsidRDefault="00070F98" w:rsidP="00070F98">
            <w:pPr>
              <w:pStyle w:val="O-BodyText"/>
              <w:spacing w:afterLines="120" w:after="288"/>
              <w:ind w:right="162"/>
              <w:jc w:val="center"/>
              <w:rPr>
                <w:rFonts w:ascii="Calibri" w:hAnsi="Calibri"/>
                <w:b/>
                <w:bCs/>
                <w:sz w:val="52"/>
                <w:szCs w:val="52"/>
              </w:rPr>
            </w:pPr>
            <w:r>
              <w:rPr>
                <w:rFonts w:ascii="Calibri" w:hAnsi="Calibri"/>
                <w:b/>
                <w:bCs/>
                <w:sz w:val="52"/>
                <w:szCs w:val="52"/>
              </w:rPr>
              <w:t>Color:</w:t>
            </w:r>
          </w:p>
        </w:tc>
      </w:tr>
      <w:tr w:rsidR="00070F98" w:rsidRPr="0010708E" w14:paraId="38F27DBB" w14:textId="77777777" w:rsidTr="00093B76">
        <w:trPr>
          <w:trHeight w:val="4795"/>
        </w:trPr>
        <w:tc>
          <w:tcPr>
            <w:tcW w:w="5904" w:type="dxa"/>
            <w:vAlign w:val="center"/>
          </w:tcPr>
          <w:p w14:paraId="28436134" w14:textId="77777777" w:rsidR="00070F98" w:rsidRDefault="00070F98" w:rsidP="00070F98">
            <w:pPr>
              <w:pStyle w:val="O-BodyText"/>
              <w:spacing w:afterLines="120" w:after="288"/>
              <w:ind w:right="108"/>
              <w:jc w:val="both"/>
              <w:rPr>
                <w:rFonts w:ascii="Calibri" w:hAnsi="Calibri"/>
                <w:b/>
                <w:bCs/>
                <w:sz w:val="52"/>
                <w:szCs w:val="52"/>
              </w:rPr>
            </w:pPr>
            <w:r>
              <w:rPr>
                <w:rFonts w:ascii="Calibri" w:hAnsi="Calibri"/>
                <w:b/>
                <w:bCs/>
                <w:sz w:val="28"/>
                <w:szCs w:val="28"/>
              </w:rPr>
              <w:t>What standard of review do we apply?</w:t>
            </w:r>
          </w:p>
        </w:tc>
        <w:tc>
          <w:tcPr>
            <w:tcW w:w="5904" w:type="dxa"/>
            <w:vAlign w:val="center"/>
          </w:tcPr>
          <w:p w14:paraId="3BF4C9E7" w14:textId="77777777" w:rsidR="00070F98" w:rsidRPr="008341DF" w:rsidRDefault="00070F98" w:rsidP="00070F98">
            <w:pPr>
              <w:pStyle w:val="O-BodyText"/>
              <w:spacing w:afterLines="120" w:after="288"/>
              <w:ind w:right="162"/>
              <w:jc w:val="both"/>
              <w:rPr>
                <w:rFonts w:ascii="Calibri" w:hAnsi="Calibri"/>
                <w:b/>
                <w:bCs/>
                <w:sz w:val="52"/>
                <w:szCs w:val="52"/>
              </w:rPr>
            </w:pPr>
            <w:r w:rsidRPr="008341DF">
              <w:rPr>
                <w:rFonts w:ascii="Calibri" w:hAnsi="Calibri"/>
                <w:b/>
                <w:bCs/>
                <w:sz w:val="22"/>
                <w:szCs w:val="22"/>
              </w:rPr>
              <w:t>This Court</w:t>
            </w:r>
            <w:r>
              <w:rPr>
                <w:rFonts w:ascii="Calibri" w:hAnsi="Calibri"/>
                <w:b/>
                <w:bCs/>
                <w:sz w:val="22"/>
                <w:szCs w:val="22"/>
              </w:rPr>
              <w:t xml:space="preserve"> reviews the </w:t>
            </w:r>
            <w:r w:rsidRPr="006E7B8B">
              <w:rPr>
                <w:rFonts w:ascii="Calibri" w:hAnsi="Calibri"/>
                <w:b/>
                <w:bCs/>
                <w:sz w:val="22"/>
                <w:szCs w:val="22"/>
              </w:rPr>
              <w:t xml:space="preserve">district court’s class certification decision for abuse of discretion. </w:t>
            </w:r>
            <w:r>
              <w:rPr>
                <w:rFonts w:ascii="Calibri" w:hAnsi="Calibri"/>
                <w:b/>
                <w:bCs/>
                <w:sz w:val="22"/>
                <w:szCs w:val="22"/>
              </w:rPr>
              <w:t xml:space="preserve"> </w:t>
            </w:r>
            <w:r w:rsidRPr="006E7B8B">
              <w:rPr>
                <w:rFonts w:ascii="Calibri" w:hAnsi="Calibri"/>
                <w:b/>
                <w:bCs/>
                <w:i/>
                <w:sz w:val="22"/>
                <w:szCs w:val="22"/>
              </w:rPr>
              <w:t xml:space="preserve">Just Film, Inc. v. </w:t>
            </w:r>
            <w:proofErr w:type="spellStart"/>
            <w:r w:rsidRPr="006E7B8B">
              <w:rPr>
                <w:rFonts w:ascii="Calibri" w:hAnsi="Calibri"/>
                <w:b/>
                <w:bCs/>
                <w:i/>
                <w:sz w:val="22"/>
                <w:szCs w:val="22"/>
              </w:rPr>
              <w:t>Buono</w:t>
            </w:r>
            <w:proofErr w:type="spellEnd"/>
            <w:r>
              <w:rPr>
                <w:rFonts w:ascii="Calibri" w:hAnsi="Calibri"/>
                <w:b/>
                <w:bCs/>
                <w:sz w:val="22"/>
                <w:szCs w:val="22"/>
              </w:rPr>
              <w:t xml:space="preserve"> </w:t>
            </w:r>
            <w:r w:rsidRPr="006E7B8B">
              <w:rPr>
                <w:rFonts w:ascii="Calibri" w:hAnsi="Calibri"/>
                <w:b/>
                <w:bCs/>
                <w:sz w:val="22"/>
                <w:szCs w:val="22"/>
              </w:rPr>
              <w:t>(9th 2017)</w:t>
            </w:r>
            <w:r>
              <w:rPr>
                <w:rFonts w:ascii="Calibri" w:hAnsi="Calibri"/>
                <w:b/>
                <w:bCs/>
                <w:sz w:val="22"/>
                <w:szCs w:val="22"/>
              </w:rPr>
              <w:t>.</w:t>
            </w:r>
          </w:p>
        </w:tc>
      </w:tr>
      <w:tr w:rsidR="00070F98" w:rsidRPr="0010708E" w14:paraId="7B274E06" w14:textId="77777777" w:rsidTr="00093B76">
        <w:trPr>
          <w:trHeight w:val="4795"/>
        </w:trPr>
        <w:tc>
          <w:tcPr>
            <w:tcW w:w="5904" w:type="dxa"/>
            <w:vAlign w:val="center"/>
          </w:tcPr>
          <w:p w14:paraId="49CE4E78" w14:textId="77777777" w:rsidR="00070F98" w:rsidRDefault="00070F98" w:rsidP="00070F98">
            <w:pPr>
              <w:pStyle w:val="O-BodyText"/>
              <w:spacing w:afterLines="120" w:after="288"/>
              <w:ind w:right="108"/>
              <w:jc w:val="both"/>
              <w:rPr>
                <w:rFonts w:ascii="Calibri" w:hAnsi="Calibri"/>
                <w:b/>
                <w:bCs/>
                <w:sz w:val="28"/>
                <w:szCs w:val="28"/>
              </w:rPr>
            </w:pPr>
            <w:r>
              <w:rPr>
                <w:rFonts w:ascii="Calibri" w:hAnsi="Calibri"/>
                <w:b/>
                <w:bCs/>
                <w:sz w:val="28"/>
                <w:szCs w:val="28"/>
              </w:rPr>
              <w:lastRenderedPageBreak/>
              <w:t>If we find that the district court’s decision was based on a flawed legal conclusion, are we compelled to find an abuse of discretion and reverse and remand?</w:t>
            </w:r>
          </w:p>
        </w:tc>
        <w:tc>
          <w:tcPr>
            <w:tcW w:w="5904" w:type="dxa"/>
            <w:vAlign w:val="center"/>
          </w:tcPr>
          <w:p w14:paraId="0AA51BC7" w14:textId="77777777" w:rsidR="00070F98" w:rsidRPr="008341DF" w:rsidRDefault="00070F98" w:rsidP="00070F98">
            <w:pPr>
              <w:pStyle w:val="O-BodyText"/>
              <w:spacing w:afterLines="120" w:after="288"/>
              <w:ind w:right="162"/>
              <w:jc w:val="both"/>
              <w:rPr>
                <w:rFonts w:ascii="Calibri" w:hAnsi="Calibri"/>
                <w:b/>
                <w:bCs/>
                <w:sz w:val="22"/>
                <w:szCs w:val="22"/>
              </w:rPr>
            </w:pPr>
            <w:r w:rsidRPr="0017451F">
              <w:rPr>
                <w:rFonts w:ascii="Calibri" w:hAnsi="Calibri"/>
                <w:b/>
                <w:bCs/>
                <w:sz w:val="22"/>
                <w:szCs w:val="22"/>
                <w:highlight w:val="yellow"/>
              </w:rPr>
              <w:t>Yes.</w:t>
            </w:r>
            <w:r w:rsidRPr="0068276C">
              <w:rPr>
                <w:rFonts w:ascii="Calibri" w:hAnsi="Calibri"/>
                <w:b/>
                <w:bCs/>
                <w:sz w:val="22"/>
                <w:szCs w:val="22"/>
                <w:highlight w:val="yellow"/>
              </w:rPr>
              <w:t xml:space="preserve">  </w:t>
            </w:r>
            <w:r>
              <w:rPr>
                <w:rFonts w:ascii="Calibri" w:hAnsi="Calibri"/>
                <w:b/>
                <w:bCs/>
                <w:sz w:val="22"/>
                <w:szCs w:val="22"/>
                <w:highlight w:val="yellow"/>
              </w:rPr>
              <w:t xml:space="preserve">As </w:t>
            </w:r>
            <w:r w:rsidRPr="007A59F9">
              <w:rPr>
                <w:rFonts w:ascii="Calibri" w:hAnsi="Calibri"/>
                <w:b/>
                <w:bCs/>
                <w:sz w:val="22"/>
                <w:szCs w:val="22"/>
                <w:highlight w:val="yellow"/>
              </w:rPr>
              <w:t xml:space="preserve">this Court held in </w:t>
            </w:r>
            <w:r w:rsidRPr="007A59F9">
              <w:rPr>
                <w:rFonts w:ascii="Calibri" w:hAnsi="Calibri"/>
                <w:b/>
                <w:bCs/>
                <w:i/>
                <w:sz w:val="22"/>
                <w:szCs w:val="22"/>
                <w:highlight w:val="yellow"/>
              </w:rPr>
              <w:t>Yokoyama v. Midland Nat’l Life Ins. Co.</w:t>
            </w:r>
            <w:r w:rsidRPr="007A59F9">
              <w:rPr>
                <w:rFonts w:ascii="Calibri" w:hAnsi="Calibri"/>
                <w:b/>
                <w:bCs/>
                <w:sz w:val="22"/>
                <w:szCs w:val="22"/>
                <w:highlight w:val="yellow"/>
              </w:rPr>
              <w:t xml:space="preserve"> (</w:t>
            </w:r>
            <w:r>
              <w:rPr>
                <w:rFonts w:ascii="Calibri" w:hAnsi="Calibri"/>
                <w:b/>
                <w:bCs/>
                <w:sz w:val="22"/>
                <w:szCs w:val="22"/>
                <w:highlight w:val="yellow"/>
              </w:rPr>
              <w:t xml:space="preserve">9th </w:t>
            </w:r>
            <w:r w:rsidRPr="007A59F9">
              <w:rPr>
                <w:rFonts w:ascii="Calibri" w:hAnsi="Calibri"/>
                <w:b/>
                <w:bCs/>
                <w:sz w:val="22"/>
                <w:szCs w:val="22"/>
                <w:highlight w:val="yellow"/>
              </w:rPr>
              <w:t xml:space="preserve">2010), “[i]f the district court’s determination was premised on </w:t>
            </w:r>
            <w:r w:rsidRPr="0068276C">
              <w:rPr>
                <w:rFonts w:ascii="Calibri" w:hAnsi="Calibri"/>
                <w:b/>
                <w:bCs/>
                <w:sz w:val="22"/>
                <w:szCs w:val="22"/>
                <w:highlight w:val="yellow"/>
              </w:rPr>
              <w:t xml:space="preserve">a legal error, </w:t>
            </w:r>
            <w:r>
              <w:rPr>
                <w:rFonts w:ascii="Calibri" w:hAnsi="Calibri"/>
                <w:b/>
                <w:bCs/>
                <w:sz w:val="22"/>
                <w:szCs w:val="22"/>
                <w:highlight w:val="yellow"/>
              </w:rPr>
              <w:t>[the Court]</w:t>
            </w:r>
            <w:r w:rsidRPr="0068276C">
              <w:rPr>
                <w:rFonts w:ascii="Calibri" w:hAnsi="Calibri"/>
                <w:b/>
                <w:bCs/>
                <w:sz w:val="22"/>
                <w:szCs w:val="22"/>
                <w:highlight w:val="yellow"/>
              </w:rPr>
              <w:t xml:space="preserve"> will find a per se abuse of discretion.”  But in the absence of a legal error, as is the case here, this Court “proceed[s] to review the district court’s class certification decision for abuse of discretion as [it] always ha[s] done.”  </w:t>
            </w:r>
            <w:r>
              <w:rPr>
                <w:rFonts w:ascii="Calibri" w:hAnsi="Calibri"/>
                <w:b/>
                <w:bCs/>
                <w:i/>
                <w:sz w:val="22"/>
                <w:szCs w:val="22"/>
                <w:highlight w:val="yellow"/>
              </w:rPr>
              <w:t>Id.</w:t>
            </w:r>
            <w:r w:rsidRPr="0068276C">
              <w:rPr>
                <w:rFonts w:ascii="Calibri" w:hAnsi="Calibri"/>
                <w:b/>
                <w:bCs/>
                <w:sz w:val="22"/>
                <w:szCs w:val="22"/>
                <w:highlight w:val="yellow"/>
              </w:rPr>
              <w:t xml:space="preserve">  Ward Br. 16.</w:t>
            </w:r>
          </w:p>
        </w:tc>
      </w:tr>
      <w:tr w:rsidR="00070F98" w:rsidRPr="0010708E" w14:paraId="69B69932" w14:textId="77777777" w:rsidTr="00093B76">
        <w:trPr>
          <w:trHeight w:val="4795"/>
        </w:trPr>
        <w:tc>
          <w:tcPr>
            <w:tcW w:w="5904" w:type="dxa"/>
            <w:vAlign w:val="center"/>
          </w:tcPr>
          <w:p w14:paraId="2DE926E1" w14:textId="77777777" w:rsidR="00070F98" w:rsidRDefault="00070F98" w:rsidP="00070F98">
            <w:pPr>
              <w:pStyle w:val="O-BodyText"/>
              <w:spacing w:afterLines="120" w:after="288"/>
              <w:ind w:right="108"/>
              <w:jc w:val="both"/>
              <w:rPr>
                <w:rFonts w:ascii="Calibri" w:hAnsi="Calibri"/>
                <w:b/>
                <w:bCs/>
                <w:sz w:val="28"/>
                <w:szCs w:val="28"/>
              </w:rPr>
            </w:pPr>
            <w:r>
              <w:rPr>
                <w:rFonts w:ascii="Calibri" w:hAnsi="Calibri"/>
                <w:b/>
                <w:bCs/>
                <w:sz w:val="28"/>
                <w:szCs w:val="28"/>
              </w:rPr>
              <w:t>Can we evaluate whether the district court judgment is based on legal error as part of our discussion of the class certification merits, or do we need to resolve that legal error question as a separate inquiry?</w:t>
            </w:r>
          </w:p>
        </w:tc>
        <w:tc>
          <w:tcPr>
            <w:tcW w:w="5904" w:type="dxa"/>
            <w:vAlign w:val="center"/>
          </w:tcPr>
          <w:p w14:paraId="64855263" w14:textId="77777777" w:rsidR="00070F98" w:rsidRDefault="00070F98" w:rsidP="00070F98">
            <w:pPr>
              <w:pStyle w:val="O-BodyText"/>
              <w:spacing w:afterLines="120" w:after="288"/>
              <w:ind w:right="162"/>
              <w:jc w:val="both"/>
              <w:rPr>
                <w:rFonts w:ascii="Calibri" w:hAnsi="Calibri"/>
                <w:b/>
                <w:bCs/>
                <w:sz w:val="22"/>
                <w:szCs w:val="22"/>
              </w:rPr>
            </w:pPr>
            <w:r>
              <w:rPr>
                <w:rFonts w:ascii="Calibri" w:hAnsi="Calibri"/>
                <w:b/>
                <w:bCs/>
                <w:sz w:val="22"/>
                <w:szCs w:val="22"/>
                <w:highlight w:val="yellow"/>
              </w:rPr>
              <w:t>The answers are interrelated. I</w:t>
            </w:r>
            <w:r w:rsidRPr="0017451F">
              <w:rPr>
                <w:rFonts w:ascii="Calibri" w:hAnsi="Calibri"/>
                <w:b/>
                <w:bCs/>
                <w:sz w:val="22"/>
                <w:szCs w:val="22"/>
                <w:highlight w:val="yellow"/>
              </w:rPr>
              <w:t xml:space="preserve">n the Ninth Circuit, “when an appellant raises the argument that the district court premised a class certification determination on an error of law, [the Court’s] first task is to evaluate whether such legal error occurred.”  </w:t>
            </w:r>
            <w:r w:rsidRPr="0017451F">
              <w:rPr>
                <w:rFonts w:ascii="Calibri" w:hAnsi="Calibri"/>
                <w:b/>
                <w:bCs/>
                <w:i/>
                <w:sz w:val="22"/>
                <w:szCs w:val="22"/>
                <w:highlight w:val="yellow"/>
              </w:rPr>
              <w:t>Yokoyama v. Midland Nat’l Life Ins. Co.</w:t>
            </w:r>
            <w:r>
              <w:rPr>
                <w:rFonts w:ascii="Calibri" w:hAnsi="Calibri"/>
                <w:b/>
                <w:bCs/>
                <w:sz w:val="22"/>
                <w:szCs w:val="22"/>
                <w:highlight w:val="yellow"/>
              </w:rPr>
              <w:t xml:space="preserve"> (9th </w:t>
            </w:r>
            <w:r w:rsidRPr="0017451F">
              <w:rPr>
                <w:rFonts w:ascii="Calibri" w:hAnsi="Calibri"/>
                <w:b/>
                <w:bCs/>
                <w:sz w:val="22"/>
                <w:szCs w:val="22"/>
                <w:highlight w:val="yellow"/>
              </w:rPr>
              <w:t>2010).  Ward Br. 16.  But in determining that no legal error occurred, you can answer the determinative question that there was no abuse of discretion and affirm.</w:t>
            </w:r>
            <w:r w:rsidRPr="0017451F">
              <w:rPr>
                <w:rFonts w:ascii="Calibri" w:hAnsi="Calibri"/>
                <w:b/>
                <w:bCs/>
                <w:sz w:val="22"/>
                <w:szCs w:val="22"/>
              </w:rPr>
              <w:t xml:space="preserve"> </w:t>
            </w:r>
          </w:p>
        </w:tc>
      </w:tr>
      <w:tr w:rsidR="00070F98" w:rsidRPr="0010708E" w14:paraId="6897D195" w14:textId="77777777" w:rsidTr="00093B76">
        <w:trPr>
          <w:trHeight w:val="4795"/>
        </w:trPr>
        <w:tc>
          <w:tcPr>
            <w:tcW w:w="5904" w:type="dxa"/>
            <w:vAlign w:val="center"/>
          </w:tcPr>
          <w:p w14:paraId="1D200F53" w14:textId="77777777" w:rsidR="00070F98" w:rsidRPr="00E273E6" w:rsidRDefault="00070F98" w:rsidP="00070F98">
            <w:pPr>
              <w:pStyle w:val="O-BodyText"/>
              <w:spacing w:afterLines="120" w:after="288"/>
              <w:ind w:right="108"/>
              <w:jc w:val="both"/>
              <w:rPr>
                <w:rFonts w:ascii="Calibri" w:hAnsi="Calibri"/>
                <w:b/>
                <w:bCs/>
                <w:sz w:val="28"/>
                <w:szCs w:val="28"/>
              </w:rPr>
            </w:pPr>
            <w:r>
              <w:rPr>
                <w:rFonts w:ascii="Calibri" w:hAnsi="Calibri"/>
                <w:b/>
                <w:bCs/>
                <w:sz w:val="28"/>
                <w:szCs w:val="28"/>
              </w:rPr>
              <w:t>In your brief, you claim that it would</w:t>
            </w:r>
            <w:r w:rsidRPr="00E273E6">
              <w:rPr>
                <w:rFonts w:ascii="Calibri" w:hAnsi="Calibri"/>
                <w:b/>
                <w:bCs/>
                <w:sz w:val="28"/>
                <w:szCs w:val="28"/>
              </w:rPr>
              <w:t xml:space="preserve"> have been an abuse of discretion for the district court to have certified a class on the record before it</w:t>
            </w:r>
            <w:r>
              <w:rPr>
                <w:rFonts w:ascii="Calibri" w:hAnsi="Calibri"/>
                <w:b/>
                <w:bCs/>
                <w:sz w:val="28"/>
                <w:szCs w:val="28"/>
              </w:rPr>
              <w:t>. Could you explain that claim for us?</w:t>
            </w:r>
          </w:p>
        </w:tc>
        <w:tc>
          <w:tcPr>
            <w:tcW w:w="5904" w:type="dxa"/>
            <w:vAlign w:val="center"/>
          </w:tcPr>
          <w:p w14:paraId="71F895CD" w14:textId="77777777" w:rsidR="00070F98" w:rsidRPr="00E273E6" w:rsidRDefault="00070F98" w:rsidP="00070F98">
            <w:pPr>
              <w:pStyle w:val="O-BodyText"/>
              <w:spacing w:afterLines="120" w:after="288"/>
              <w:ind w:right="162"/>
              <w:jc w:val="both"/>
              <w:rPr>
                <w:rFonts w:ascii="Calibri" w:hAnsi="Calibri"/>
                <w:b/>
                <w:bCs/>
                <w:sz w:val="22"/>
                <w:szCs w:val="22"/>
              </w:rPr>
            </w:pPr>
            <w:r>
              <w:rPr>
                <w:rFonts w:ascii="Calibri" w:hAnsi="Calibri"/>
                <w:b/>
                <w:bCs/>
                <w:sz w:val="22"/>
                <w:szCs w:val="22"/>
              </w:rPr>
              <w:t xml:space="preserve">Without any evidence beyond 11-pages of guesswork and unfounded promises from plaintiffs’ expert, the </w:t>
            </w:r>
            <w:r w:rsidRPr="00E273E6">
              <w:rPr>
                <w:rFonts w:ascii="Calibri" w:hAnsi="Calibri"/>
                <w:b/>
                <w:bCs/>
                <w:sz w:val="22"/>
                <w:szCs w:val="22"/>
              </w:rPr>
              <w:t>district judge</w:t>
            </w:r>
            <w:r>
              <w:rPr>
                <w:rFonts w:ascii="Calibri" w:hAnsi="Calibri"/>
                <w:b/>
                <w:bCs/>
                <w:sz w:val="22"/>
                <w:szCs w:val="22"/>
              </w:rPr>
              <w:t xml:space="preserve"> </w:t>
            </w:r>
            <w:r w:rsidRPr="00E273E6">
              <w:rPr>
                <w:rFonts w:ascii="Calibri" w:hAnsi="Calibri"/>
                <w:b/>
                <w:bCs/>
                <w:sz w:val="22"/>
                <w:szCs w:val="22"/>
              </w:rPr>
              <w:t>could not fulfill his obligation under Rule 23</w:t>
            </w:r>
            <w:r>
              <w:rPr>
                <w:rFonts w:ascii="Calibri" w:hAnsi="Calibri"/>
                <w:b/>
                <w:bCs/>
                <w:sz w:val="22"/>
                <w:szCs w:val="22"/>
              </w:rPr>
              <w:t xml:space="preserve"> and </w:t>
            </w:r>
            <w:r w:rsidRPr="00E273E6">
              <w:rPr>
                <w:rFonts w:ascii="Calibri" w:hAnsi="Calibri"/>
                <w:b/>
                <w:bCs/>
                <w:i/>
                <w:sz w:val="22"/>
                <w:szCs w:val="22"/>
              </w:rPr>
              <w:t>Wal-Mart</w:t>
            </w:r>
            <w:r>
              <w:rPr>
                <w:rFonts w:ascii="Calibri" w:hAnsi="Calibri"/>
                <w:b/>
                <w:bCs/>
                <w:sz w:val="22"/>
                <w:szCs w:val="22"/>
              </w:rPr>
              <w:t xml:space="preserve"> (U.S. 2011) </w:t>
            </w:r>
            <w:r w:rsidRPr="00E273E6">
              <w:rPr>
                <w:rFonts w:ascii="Calibri" w:hAnsi="Calibri"/>
                <w:b/>
                <w:bCs/>
                <w:sz w:val="22"/>
                <w:szCs w:val="22"/>
              </w:rPr>
              <w:t>to rigorously analyze whether antitrust impact could indeed be established through class-wide proof or whether “[q]</w:t>
            </w:r>
            <w:proofErr w:type="spellStart"/>
            <w:r w:rsidRPr="00E273E6">
              <w:rPr>
                <w:rFonts w:ascii="Calibri" w:hAnsi="Calibri"/>
                <w:b/>
                <w:bCs/>
                <w:sz w:val="22"/>
                <w:szCs w:val="22"/>
              </w:rPr>
              <w:t>uestions</w:t>
            </w:r>
            <w:proofErr w:type="spellEnd"/>
            <w:r w:rsidRPr="00E273E6">
              <w:rPr>
                <w:rFonts w:ascii="Calibri" w:hAnsi="Calibri"/>
                <w:b/>
                <w:bCs/>
                <w:sz w:val="22"/>
                <w:szCs w:val="22"/>
              </w:rPr>
              <w:t xml:space="preserve"> of individual [injury] will inevitably overwhelm questions common to the class.”</w:t>
            </w:r>
            <w:r>
              <w:rPr>
                <w:rFonts w:ascii="Calibri" w:hAnsi="Calibri"/>
                <w:b/>
                <w:bCs/>
                <w:sz w:val="22"/>
                <w:szCs w:val="22"/>
              </w:rPr>
              <w:t xml:space="preserve">  </w:t>
            </w:r>
            <w:r w:rsidRPr="00E273E6">
              <w:rPr>
                <w:rFonts w:ascii="Calibri" w:hAnsi="Calibri"/>
                <w:b/>
                <w:bCs/>
                <w:i/>
                <w:sz w:val="22"/>
                <w:szCs w:val="22"/>
              </w:rPr>
              <w:t>Comcast Corp. v. Behrend</w:t>
            </w:r>
            <w:r>
              <w:rPr>
                <w:rFonts w:ascii="Calibri" w:hAnsi="Calibri"/>
                <w:b/>
                <w:bCs/>
                <w:sz w:val="22"/>
                <w:szCs w:val="22"/>
              </w:rPr>
              <w:t xml:space="preserve"> (U.S. </w:t>
            </w:r>
            <w:r w:rsidRPr="00E273E6">
              <w:rPr>
                <w:rFonts w:ascii="Calibri" w:hAnsi="Calibri"/>
                <w:b/>
                <w:bCs/>
                <w:sz w:val="22"/>
                <w:szCs w:val="22"/>
              </w:rPr>
              <w:t>2013)</w:t>
            </w:r>
            <w:r>
              <w:rPr>
                <w:rFonts w:ascii="Calibri" w:hAnsi="Calibri"/>
                <w:b/>
                <w:bCs/>
                <w:sz w:val="22"/>
                <w:szCs w:val="22"/>
              </w:rPr>
              <w:t>.  Certifying without having anything to analyze or even consider would have constituted an abuse of discretion.</w:t>
            </w:r>
          </w:p>
        </w:tc>
      </w:tr>
      <w:tr w:rsidR="00070F98" w:rsidRPr="0010708E" w14:paraId="12DF37F9" w14:textId="77777777" w:rsidTr="00093B76">
        <w:trPr>
          <w:trHeight w:val="4795"/>
        </w:trPr>
        <w:tc>
          <w:tcPr>
            <w:tcW w:w="5904" w:type="dxa"/>
            <w:vAlign w:val="center"/>
          </w:tcPr>
          <w:p w14:paraId="23502190" w14:textId="77777777" w:rsidR="00070F98" w:rsidRDefault="00070F98" w:rsidP="00070F98">
            <w:pPr>
              <w:pStyle w:val="O-BodyText"/>
              <w:spacing w:afterLines="120" w:after="288"/>
              <w:ind w:right="108"/>
              <w:jc w:val="both"/>
              <w:rPr>
                <w:rFonts w:ascii="Calibri" w:hAnsi="Calibri"/>
                <w:b/>
                <w:bCs/>
                <w:sz w:val="28"/>
                <w:szCs w:val="28"/>
              </w:rPr>
            </w:pPr>
            <w:r>
              <w:rPr>
                <w:rFonts w:ascii="Calibri" w:hAnsi="Calibri"/>
                <w:b/>
                <w:bCs/>
                <w:sz w:val="28"/>
                <w:szCs w:val="28"/>
              </w:rPr>
              <w:lastRenderedPageBreak/>
              <w:t>Can you give us an example where we have found a judge’s certification of a class to be an abuse of discretion?</w:t>
            </w:r>
          </w:p>
        </w:tc>
        <w:tc>
          <w:tcPr>
            <w:tcW w:w="5904" w:type="dxa"/>
            <w:vAlign w:val="center"/>
          </w:tcPr>
          <w:p w14:paraId="54246262" w14:textId="77777777" w:rsidR="00070F98" w:rsidRPr="00A714B2" w:rsidRDefault="00070F98" w:rsidP="00070F98">
            <w:pPr>
              <w:pStyle w:val="O-BodyText"/>
              <w:spacing w:afterLines="120" w:after="288"/>
              <w:ind w:right="162"/>
              <w:jc w:val="both"/>
              <w:rPr>
                <w:rFonts w:ascii="Calibri" w:hAnsi="Calibri"/>
                <w:b/>
                <w:bCs/>
                <w:sz w:val="22"/>
                <w:szCs w:val="22"/>
                <w:highlight w:val="yellow"/>
              </w:rPr>
            </w:pPr>
            <w:r>
              <w:rPr>
                <w:rFonts w:ascii="Calibri" w:hAnsi="Calibri"/>
                <w:b/>
                <w:bCs/>
                <w:sz w:val="22"/>
                <w:szCs w:val="22"/>
              </w:rPr>
              <w:t xml:space="preserve">Yes.  </w:t>
            </w:r>
            <w:r w:rsidRPr="0068276C">
              <w:rPr>
                <w:rFonts w:ascii="Calibri" w:hAnsi="Calibri"/>
                <w:b/>
                <w:bCs/>
                <w:sz w:val="22"/>
                <w:szCs w:val="22"/>
              </w:rPr>
              <w:t>In</w:t>
            </w:r>
            <w:r>
              <w:rPr>
                <w:rFonts w:ascii="Calibri" w:hAnsi="Calibri"/>
                <w:b/>
                <w:bCs/>
                <w:sz w:val="22"/>
                <w:szCs w:val="22"/>
              </w:rPr>
              <w:t xml:space="preserve"> </w:t>
            </w:r>
            <w:r w:rsidRPr="0068276C">
              <w:rPr>
                <w:rFonts w:ascii="Calibri" w:hAnsi="Calibri"/>
                <w:b/>
                <w:bCs/>
                <w:i/>
                <w:sz w:val="22"/>
                <w:szCs w:val="22"/>
              </w:rPr>
              <w:t>In re Hotel Tel. Charges</w:t>
            </w:r>
            <w:r w:rsidRPr="0068276C">
              <w:rPr>
                <w:rFonts w:ascii="Calibri" w:hAnsi="Calibri"/>
                <w:b/>
                <w:bCs/>
                <w:sz w:val="22"/>
                <w:szCs w:val="22"/>
              </w:rPr>
              <w:t xml:space="preserve">, </w:t>
            </w:r>
            <w:r>
              <w:rPr>
                <w:rFonts w:ascii="Calibri" w:hAnsi="Calibri"/>
                <w:b/>
                <w:bCs/>
                <w:sz w:val="22"/>
                <w:szCs w:val="22"/>
              </w:rPr>
              <w:t xml:space="preserve">this Court </w:t>
            </w:r>
            <w:r w:rsidRPr="0068276C">
              <w:rPr>
                <w:rFonts w:ascii="Calibri" w:hAnsi="Calibri"/>
                <w:b/>
                <w:bCs/>
                <w:sz w:val="22"/>
                <w:szCs w:val="22"/>
              </w:rPr>
              <w:t>revers</w:t>
            </w:r>
            <w:r>
              <w:rPr>
                <w:rFonts w:ascii="Calibri" w:hAnsi="Calibri"/>
                <w:b/>
                <w:bCs/>
                <w:sz w:val="22"/>
                <w:szCs w:val="22"/>
              </w:rPr>
              <w:t>ed</w:t>
            </w:r>
            <w:r w:rsidRPr="0068276C">
              <w:rPr>
                <w:rFonts w:ascii="Calibri" w:hAnsi="Calibri"/>
                <w:b/>
                <w:bCs/>
                <w:sz w:val="22"/>
                <w:szCs w:val="22"/>
              </w:rPr>
              <w:t xml:space="preserve"> certification where </w:t>
            </w:r>
            <w:r>
              <w:rPr>
                <w:rFonts w:ascii="Calibri" w:hAnsi="Calibri"/>
                <w:b/>
                <w:bCs/>
                <w:sz w:val="22"/>
                <w:szCs w:val="22"/>
              </w:rPr>
              <w:t xml:space="preserve">the lower </w:t>
            </w:r>
            <w:r w:rsidRPr="0068276C">
              <w:rPr>
                <w:rFonts w:ascii="Calibri" w:hAnsi="Calibri"/>
                <w:b/>
                <w:bCs/>
                <w:sz w:val="22"/>
                <w:szCs w:val="22"/>
              </w:rPr>
              <w:t>court “relied on the ‘imagination’ of [plaintiffs’] counsel to provide solutions that will, at some point in the future, prevent these individual issues from splintering the action into thousands of individual trials</w:t>
            </w:r>
            <w:r>
              <w:rPr>
                <w:rFonts w:ascii="Calibri" w:hAnsi="Calibri"/>
                <w:b/>
                <w:bCs/>
                <w:sz w:val="22"/>
                <w:szCs w:val="22"/>
              </w:rPr>
              <w:t xml:space="preserve">.”  </w:t>
            </w:r>
            <w:r w:rsidRPr="0068276C">
              <w:rPr>
                <w:rFonts w:ascii="Calibri" w:hAnsi="Calibri"/>
                <w:b/>
                <w:bCs/>
                <w:sz w:val="22"/>
                <w:szCs w:val="22"/>
              </w:rPr>
              <w:t>(9th 1974)</w:t>
            </w:r>
            <w:r>
              <w:rPr>
                <w:rFonts w:ascii="Calibri" w:hAnsi="Calibri"/>
                <w:b/>
                <w:bCs/>
                <w:sz w:val="22"/>
                <w:szCs w:val="22"/>
              </w:rPr>
              <w:t>.</w:t>
            </w:r>
          </w:p>
        </w:tc>
      </w:tr>
      <w:tr w:rsidR="00070F98" w:rsidRPr="0010708E" w14:paraId="120A0C5E" w14:textId="77777777" w:rsidTr="00093B76">
        <w:trPr>
          <w:trHeight w:val="4795"/>
        </w:trPr>
        <w:tc>
          <w:tcPr>
            <w:tcW w:w="5904" w:type="dxa"/>
            <w:vAlign w:val="center"/>
          </w:tcPr>
          <w:p w14:paraId="1873144A" w14:textId="77777777" w:rsidR="00070F98" w:rsidRDefault="00070F98" w:rsidP="00070F98">
            <w:pPr>
              <w:pStyle w:val="O-BodyText"/>
              <w:spacing w:afterLines="120" w:after="288"/>
              <w:ind w:right="108"/>
              <w:jc w:val="both"/>
              <w:rPr>
                <w:rFonts w:ascii="Calibri" w:hAnsi="Calibri"/>
                <w:b/>
                <w:bCs/>
                <w:sz w:val="28"/>
                <w:szCs w:val="28"/>
              </w:rPr>
            </w:pPr>
            <w:r>
              <w:rPr>
                <w:rFonts w:ascii="Calibri" w:hAnsi="Calibri"/>
                <w:b/>
                <w:bCs/>
                <w:sz w:val="28"/>
                <w:szCs w:val="28"/>
              </w:rPr>
              <w:t>Plaintiffs claim that th</w:t>
            </w:r>
            <w:r w:rsidRPr="00A67141">
              <w:rPr>
                <w:rFonts w:ascii="Calibri" w:hAnsi="Calibri"/>
                <w:b/>
                <w:bCs/>
                <w:sz w:val="28"/>
                <w:szCs w:val="28"/>
              </w:rPr>
              <w:t xml:space="preserve">e district court’s decision must be supported by </w:t>
            </w:r>
            <w:proofErr w:type="gramStart"/>
            <w:r w:rsidRPr="00A67141">
              <w:rPr>
                <w:rFonts w:ascii="Calibri" w:hAnsi="Calibri"/>
                <w:b/>
                <w:bCs/>
                <w:sz w:val="28"/>
                <w:szCs w:val="28"/>
              </w:rPr>
              <w:t>sufficient</w:t>
            </w:r>
            <w:proofErr w:type="gramEnd"/>
            <w:r w:rsidRPr="00A67141">
              <w:rPr>
                <w:rFonts w:ascii="Calibri" w:hAnsi="Calibri"/>
                <w:b/>
                <w:bCs/>
                <w:sz w:val="28"/>
                <w:szCs w:val="28"/>
              </w:rPr>
              <w:t xml:space="preserve"> findings to be entitled to the traditional</w:t>
            </w:r>
            <w:r>
              <w:rPr>
                <w:rFonts w:ascii="Calibri" w:hAnsi="Calibri"/>
                <w:b/>
                <w:bCs/>
                <w:sz w:val="28"/>
                <w:szCs w:val="28"/>
              </w:rPr>
              <w:t xml:space="preserve"> deference traditionally given under the abuse of discretion standard. Is this true?</w:t>
            </w:r>
          </w:p>
        </w:tc>
        <w:tc>
          <w:tcPr>
            <w:tcW w:w="5904" w:type="dxa"/>
            <w:vAlign w:val="center"/>
          </w:tcPr>
          <w:p w14:paraId="11DE23A4" w14:textId="77777777" w:rsidR="00070F98" w:rsidRPr="00A67141" w:rsidRDefault="00070F98" w:rsidP="00070F98">
            <w:pPr>
              <w:pStyle w:val="O-BodyText"/>
              <w:spacing w:afterLines="120" w:after="288"/>
              <w:ind w:right="162"/>
              <w:jc w:val="both"/>
              <w:rPr>
                <w:rFonts w:ascii="Calibri" w:hAnsi="Calibri"/>
                <w:b/>
                <w:bCs/>
                <w:sz w:val="22"/>
                <w:szCs w:val="22"/>
                <w:highlight w:val="yellow"/>
              </w:rPr>
            </w:pPr>
            <w:r>
              <w:rPr>
                <w:rFonts w:ascii="Calibri" w:hAnsi="Calibri"/>
                <w:b/>
                <w:bCs/>
                <w:sz w:val="22"/>
                <w:szCs w:val="22"/>
                <w:highlight w:val="yellow"/>
              </w:rPr>
              <w:t>[Explain.]</w:t>
            </w:r>
            <w:r w:rsidRPr="00A67141">
              <w:rPr>
                <w:rFonts w:ascii="Calibri" w:hAnsi="Calibri"/>
                <w:b/>
                <w:bCs/>
                <w:sz w:val="22"/>
                <w:szCs w:val="22"/>
                <w:highlight w:val="yellow"/>
              </w:rPr>
              <w:t xml:space="preserve">  Ward Br. 17.</w:t>
            </w:r>
          </w:p>
        </w:tc>
      </w:tr>
      <w:bookmarkEnd w:id="2"/>
    </w:tbl>
    <w:p w14:paraId="36F63221" w14:textId="2B3D58E0" w:rsidR="000959CC" w:rsidRDefault="000959CC" w:rsidP="005F53E4">
      <w:pPr>
        <w:pStyle w:val="Heading1"/>
        <w:numPr>
          <w:ilvl w:val="0"/>
          <w:numId w:val="0"/>
        </w:numPr>
        <w:spacing w:after="120"/>
        <w:rPr>
          <w:rFonts w:ascii="Calibri" w:hAnsi="Calibri" w:cs="Calibri"/>
        </w:rPr>
      </w:pPr>
    </w:p>
    <w:p w14:paraId="6B87482A" w14:textId="690FEA58" w:rsidR="00070F98" w:rsidRDefault="00070F98" w:rsidP="005F53E4">
      <w:pPr>
        <w:pStyle w:val="Heading1"/>
        <w:numPr>
          <w:ilvl w:val="0"/>
          <w:numId w:val="0"/>
        </w:numPr>
        <w:spacing w:after="120"/>
        <w:rPr>
          <w:rFonts w:ascii="Calibri" w:hAnsi="Calibri" w:cs="Calibri"/>
        </w:rPr>
      </w:pP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99"/>
        <w:gridCol w:w="5706"/>
        <w:gridCol w:w="198"/>
      </w:tblGrid>
      <w:tr w:rsidR="00070F98" w:rsidRPr="0010708E" w14:paraId="111A4528" w14:textId="77777777" w:rsidTr="00093B76">
        <w:trPr>
          <w:trHeight w:val="4795"/>
        </w:trPr>
        <w:tc>
          <w:tcPr>
            <w:tcW w:w="5904" w:type="dxa"/>
            <w:gridSpan w:val="2"/>
            <w:vAlign w:val="center"/>
          </w:tcPr>
          <w:p w14:paraId="280929E7" w14:textId="77777777" w:rsidR="00070F98" w:rsidRDefault="00070F98" w:rsidP="00070F98">
            <w:pPr>
              <w:pStyle w:val="O-BodyText"/>
              <w:spacing w:afterLines="120" w:after="288"/>
              <w:ind w:right="108"/>
              <w:jc w:val="center"/>
              <w:rPr>
                <w:rFonts w:ascii="Calibri" w:hAnsi="Calibri"/>
                <w:b/>
                <w:bCs/>
                <w:sz w:val="52"/>
                <w:szCs w:val="52"/>
              </w:rPr>
            </w:pPr>
            <w:r>
              <w:rPr>
                <w:rFonts w:ascii="Calibri" w:hAnsi="Calibri"/>
                <w:b/>
                <w:bCs/>
                <w:sz w:val="52"/>
                <w:szCs w:val="52"/>
              </w:rPr>
              <w:lastRenderedPageBreak/>
              <w:t xml:space="preserve">Argument I: </w:t>
            </w:r>
          </w:p>
          <w:p w14:paraId="0299483B" w14:textId="77777777" w:rsidR="00070F98" w:rsidRPr="0010708E" w:rsidRDefault="00070F98" w:rsidP="00070F98">
            <w:pPr>
              <w:pStyle w:val="O-BodyText"/>
              <w:spacing w:afterLines="120" w:after="288"/>
              <w:ind w:right="108"/>
              <w:jc w:val="center"/>
              <w:rPr>
                <w:rFonts w:ascii="Calibri" w:hAnsi="Calibri"/>
                <w:b/>
                <w:bCs/>
                <w:sz w:val="28"/>
                <w:szCs w:val="28"/>
              </w:rPr>
            </w:pPr>
            <w:r>
              <w:rPr>
                <w:rFonts w:ascii="Calibri" w:hAnsi="Calibri"/>
                <w:b/>
                <w:bCs/>
                <w:sz w:val="52"/>
                <w:szCs w:val="52"/>
              </w:rPr>
              <w:t>District court did not abuse its discretion; plaintiffs failed to show their injury could be resolved with proof</w:t>
            </w:r>
          </w:p>
        </w:tc>
        <w:tc>
          <w:tcPr>
            <w:tcW w:w="5904" w:type="dxa"/>
            <w:gridSpan w:val="2"/>
            <w:vAlign w:val="center"/>
          </w:tcPr>
          <w:p w14:paraId="4D74B395" w14:textId="77777777" w:rsidR="00070F98" w:rsidRPr="0010708E" w:rsidRDefault="00070F98" w:rsidP="00070F98">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r>
              <w:rPr>
                <w:rFonts w:ascii="Calibri" w:hAnsi="Calibri"/>
                <w:b/>
                <w:bCs/>
                <w:sz w:val="52"/>
                <w:szCs w:val="52"/>
              </w:rPr>
              <w:t>:</w:t>
            </w:r>
          </w:p>
        </w:tc>
      </w:tr>
      <w:tr w:rsidR="00070F98" w:rsidRPr="0010708E" w14:paraId="744EACAC" w14:textId="77777777" w:rsidTr="00093B76">
        <w:trPr>
          <w:trHeight w:val="4795"/>
        </w:trPr>
        <w:tc>
          <w:tcPr>
            <w:tcW w:w="5904" w:type="dxa"/>
            <w:gridSpan w:val="2"/>
            <w:vAlign w:val="center"/>
          </w:tcPr>
          <w:p w14:paraId="37DBDAD6" w14:textId="77777777" w:rsidR="00070F98" w:rsidRPr="0010708E" w:rsidRDefault="00070F98" w:rsidP="00070F98">
            <w:pPr>
              <w:pStyle w:val="O-BodyText"/>
              <w:spacing w:afterLines="120" w:after="288"/>
              <w:ind w:right="108"/>
              <w:rPr>
                <w:rFonts w:ascii="Calibri" w:hAnsi="Calibri"/>
                <w:b/>
                <w:bCs/>
                <w:sz w:val="28"/>
                <w:szCs w:val="28"/>
              </w:rPr>
            </w:pPr>
            <w:bookmarkStart w:id="3" w:name="_Hlk15040963"/>
            <w:r>
              <w:rPr>
                <w:rFonts w:ascii="Calibri" w:hAnsi="Calibri"/>
                <w:b/>
                <w:bCs/>
                <w:sz w:val="28"/>
                <w:szCs w:val="28"/>
              </w:rPr>
              <w:t>How did 1998’s amendment to the Federal Rule of Civil Procedure 23(f) change the landscape of antitrust class cases?</w:t>
            </w:r>
          </w:p>
        </w:tc>
        <w:tc>
          <w:tcPr>
            <w:tcW w:w="5904" w:type="dxa"/>
            <w:gridSpan w:val="2"/>
            <w:vAlign w:val="center"/>
          </w:tcPr>
          <w:p w14:paraId="08670C47" w14:textId="77777777" w:rsidR="00070F98" w:rsidRPr="0010708E"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T</w:t>
            </w:r>
            <w:r w:rsidRPr="00101967">
              <w:rPr>
                <w:rFonts w:ascii="Calibri" w:hAnsi="Calibri"/>
                <w:b/>
                <w:bCs/>
                <w:sz w:val="22"/>
                <w:szCs w:val="22"/>
              </w:rPr>
              <w:t>he 1998 amendment to Federal Rule of Civil Procedure 23(f)</w:t>
            </w:r>
            <w:r>
              <w:rPr>
                <w:rFonts w:ascii="Calibri" w:hAnsi="Calibri"/>
                <w:b/>
                <w:bCs/>
                <w:sz w:val="22"/>
                <w:szCs w:val="22"/>
              </w:rPr>
              <w:t xml:space="preserve"> made class certification decisions subject to interlocutory appeals.  Before this amendment, plaintiffs could obtain certification in most class antitrust cases, by offering an</w:t>
            </w:r>
            <w:r w:rsidRPr="00101967">
              <w:rPr>
                <w:rFonts w:ascii="Calibri" w:hAnsi="Calibri"/>
                <w:b/>
                <w:bCs/>
                <w:sz w:val="22"/>
                <w:szCs w:val="22"/>
              </w:rPr>
              <w:t xml:space="preserve"> expert who proposed theoretical methods for establishing common proof of impact and damages</w:t>
            </w:r>
            <w:r>
              <w:rPr>
                <w:rFonts w:ascii="Calibri" w:hAnsi="Calibri"/>
                <w:b/>
                <w:bCs/>
                <w:sz w:val="22"/>
                <w:szCs w:val="22"/>
              </w:rPr>
              <w:t>—essentially exactly what Plaintiffs have done here.  In recent years, the Supreme Court, this Court, and many other jurisdictions have rejected that pre-1998 paradigm of effortless certification.</w:t>
            </w:r>
          </w:p>
        </w:tc>
      </w:tr>
      <w:tr w:rsidR="00070F98" w:rsidRPr="0010708E" w14:paraId="736DD1D8" w14:textId="77777777" w:rsidTr="00093B76">
        <w:trPr>
          <w:trHeight w:val="4795"/>
        </w:trPr>
        <w:tc>
          <w:tcPr>
            <w:tcW w:w="5904" w:type="dxa"/>
            <w:gridSpan w:val="2"/>
            <w:vAlign w:val="center"/>
          </w:tcPr>
          <w:p w14:paraId="09433B1F"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What elevates the Rule 23 certification question above a “mere pleading standard”?</w:t>
            </w:r>
          </w:p>
        </w:tc>
        <w:tc>
          <w:tcPr>
            <w:tcW w:w="5904" w:type="dxa"/>
            <w:gridSpan w:val="2"/>
            <w:vAlign w:val="center"/>
          </w:tcPr>
          <w:p w14:paraId="733FD8D1" w14:textId="77777777" w:rsidR="00070F98" w:rsidRPr="00C03380"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Courts have been clear that Rule 23 now</w:t>
            </w:r>
            <w:r w:rsidRPr="00101967">
              <w:rPr>
                <w:rFonts w:ascii="Calibri" w:hAnsi="Calibri"/>
                <w:b/>
                <w:bCs/>
                <w:sz w:val="22"/>
                <w:szCs w:val="22"/>
              </w:rPr>
              <w:t xml:space="preserve"> requires a plaintiff to establish to the district court’s satisfaction that the Rule’s requirements are “in fact” satisfied. </w:t>
            </w:r>
            <w:r>
              <w:rPr>
                <w:rFonts w:ascii="Calibri" w:hAnsi="Calibri"/>
                <w:b/>
                <w:bCs/>
                <w:sz w:val="22"/>
                <w:szCs w:val="22"/>
              </w:rPr>
              <w:t xml:space="preserve"> </w:t>
            </w:r>
            <w:r w:rsidRPr="00101967">
              <w:rPr>
                <w:rFonts w:ascii="Calibri" w:hAnsi="Calibri"/>
                <w:b/>
                <w:bCs/>
                <w:i/>
                <w:sz w:val="22"/>
                <w:szCs w:val="22"/>
              </w:rPr>
              <w:t>Comcast Corp. v. Behrend</w:t>
            </w:r>
            <w:r>
              <w:rPr>
                <w:rFonts w:ascii="Calibri" w:hAnsi="Calibri"/>
                <w:b/>
                <w:bCs/>
                <w:sz w:val="22"/>
                <w:szCs w:val="22"/>
              </w:rPr>
              <w:t xml:space="preserve"> (U.S. </w:t>
            </w:r>
            <w:r w:rsidRPr="00101967">
              <w:rPr>
                <w:rFonts w:ascii="Calibri" w:hAnsi="Calibri"/>
                <w:b/>
                <w:bCs/>
                <w:sz w:val="22"/>
                <w:szCs w:val="22"/>
              </w:rPr>
              <w:t xml:space="preserve">2013) (quoting </w:t>
            </w:r>
            <w:r w:rsidRPr="00101967">
              <w:rPr>
                <w:rFonts w:ascii="Calibri" w:hAnsi="Calibri"/>
                <w:b/>
                <w:bCs/>
                <w:i/>
                <w:sz w:val="22"/>
                <w:szCs w:val="22"/>
              </w:rPr>
              <w:t>Wal-Mart Stores, Inc. v. Dukes</w:t>
            </w:r>
            <w:r>
              <w:rPr>
                <w:rFonts w:ascii="Calibri" w:hAnsi="Calibri"/>
                <w:b/>
                <w:bCs/>
                <w:sz w:val="22"/>
                <w:szCs w:val="22"/>
              </w:rPr>
              <w:t xml:space="preserve"> </w:t>
            </w:r>
            <w:r w:rsidRPr="00101967">
              <w:rPr>
                <w:rFonts w:ascii="Calibri" w:hAnsi="Calibri"/>
                <w:b/>
                <w:bCs/>
                <w:sz w:val="22"/>
                <w:szCs w:val="22"/>
              </w:rPr>
              <w:t>(</w:t>
            </w:r>
            <w:r>
              <w:rPr>
                <w:rFonts w:ascii="Calibri" w:hAnsi="Calibri"/>
                <w:b/>
                <w:bCs/>
                <w:sz w:val="22"/>
                <w:szCs w:val="22"/>
              </w:rPr>
              <w:t xml:space="preserve">U.S. </w:t>
            </w:r>
            <w:r w:rsidRPr="00101967">
              <w:rPr>
                <w:rFonts w:ascii="Calibri" w:hAnsi="Calibri"/>
                <w:b/>
                <w:bCs/>
                <w:sz w:val="22"/>
                <w:szCs w:val="22"/>
              </w:rPr>
              <w:t xml:space="preserve">2011)). This is a strict standard, and it requires a “rigorous analysis” that invariably will “entail some overlap with the merits of the plaintiff’s underlying claim.” </w:t>
            </w:r>
            <w:r w:rsidRPr="00101967">
              <w:rPr>
                <w:rFonts w:ascii="Calibri" w:hAnsi="Calibri"/>
                <w:b/>
                <w:bCs/>
                <w:i/>
                <w:sz w:val="22"/>
                <w:szCs w:val="22"/>
              </w:rPr>
              <w:t>Wal-Mart</w:t>
            </w:r>
            <w:r>
              <w:rPr>
                <w:rFonts w:ascii="Calibri" w:hAnsi="Calibri"/>
                <w:b/>
                <w:bCs/>
                <w:sz w:val="22"/>
                <w:szCs w:val="22"/>
              </w:rPr>
              <w:t>.</w:t>
            </w:r>
          </w:p>
        </w:tc>
      </w:tr>
      <w:tr w:rsidR="00070F98" w:rsidRPr="0010708E" w14:paraId="32B2EEC8" w14:textId="77777777" w:rsidTr="00093B76">
        <w:trPr>
          <w:trHeight w:val="4795"/>
        </w:trPr>
        <w:tc>
          <w:tcPr>
            <w:tcW w:w="5904" w:type="dxa"/>
            <w:gridSpan w:val="2"/>
            <w:vAlign w:val="center"/>
          </w:tcPr>
          <w:p w14:paraId="5718387D"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Has our Circuit interpreted the Supreme Court’s decisions in </w:t>
            </w:r>
            <w:r w:rsidRPr="00101967">
              <w:rPr>
                <w:rFonts w:ascii="Calibri" w:hAnsi="Calibri"/>
                <w:b/>
                <w:bCs/>
                <w:i/>
                <w:sz w:val="28"/>
                <w:szCs w:val="28"/>
              </w:rPr>
              <w:t>Wal-Mart</w:t>
            </w:r>
            <w:r>
              <w:rPr>
                <w:rFonts w:ascii="Calibri" w:hAnsi="Calibri"/>
                <w:b/>
                <w:bCs/>
                <w:sz w:val="28"/>
                <w:szCs w:val="28"/>
              </w:rPr>
              <w:t xml:space="preserve"> and </w:t>
            </w:r>
            <w:r w:rsidRPr="00101967">
              <w:rPr>
                <w:rFonts w:ascii="Calibri" w:hAnsi="Calibri"/>
                <w:b/>
                <w:bCs/>
                <w:i/>
                <w:sz w:val="28"/>
                <w:szCs w:val="28"/>
              </w:rPr>
              <w:t>Comcast</w:t>
            </w:r>
            <w:r>
              <w:rPr>
                <w:rFonts w:ascii="Calibri" w:hAnsi="Calibri"/>
                <w:b/>
                <w:bCs/>
                <w:sz w:val="28"/>
                <w:szCs w:val="28"/>
              </w:rPr>
              <w:t xml:space="preserve"> to have established this strict standard?</w:t>
            </w:r>
          </w:p>
        </w:tc>
        <w:tc>
          <w:tcPr>
            <w:tcW w:w="5904" w:type="dxa"/>
            <w:gridSpan w:val="2"/>
            <w:vAlign w:val="center"/>
          </w:tcPr>
          <w:p w14:paraId="573BF856" w14:textId="77777777" w:rsidR="00070F98" w:rsidRPr="006D09C3" w:rsidRDefault="00070F98" w:rsidP="00070F98">
            <w:pPr>
              <w:pStyle w:val="O-BodyText"/>
              <w:spacing w:afterLines="120" w:after="288"/>
              <w:ind w:right="162"/>
              <w:rPr>
                <w:rFonts w:ascii="Calibri" w:hAnsi="Calibri"/>
                <w:b/>
                <w:bCs/>
                <w:sz w:val="22"/>
                <w:szCs w:val="22"/>
              </w:rPr>
            </w:pPr>
            <w:r w:rsidRPr="00B134B1">
              <w:rPr>
                <w:rFonts w:ascii="Calibri" w:hAnsi="Calibri"/>
                <w:b/>
                <w:bCs/>
                <w:sz w:val="22"/>
                <w:szCs w:val="22"/>
              </w:rPr>
              <w:t xml:space="preserve">Yes.  </w:t>
            </w:r>
            <w:r w:rsidRPr="00B134B1">
              <w:rPr>
                <w:rFonts w:ascii="Calibri" w:hAnsi="Calibri"/>
                <w:b/>
                <w:bCs/>
                <w:i/>
                <w:sz w:val="22"/>
                <w:szCs w:val="22"/>
              </w:rPr>
              <w:t>Ellis v. Costco Wholesale Corp.</w:t>
            </w:r>
            <w:r w:rsidRPr="00B134B1">
              <w:rPr>
                <w:rFonts w:ascii="Calibri" w:hAnsi="Calibri"/>
                <w:b/>
                <w:bCs/>
                <w:sz w:val="22"/>
                <w:szCs w:val="22"/>
              </w:rPr>
              <w:t>, 657 F.3d 970, 980 (9th 2011).</w:t>
            </w:r>
          </w:p>
        </w:tc>
      </w:tr>
      <w:tr w:rsidR="00070F98" w:rsidRPr="0010708E" w14:paraId="11B24290" w14:textId="77777777" w:rsidTr="00093B76">
        <w:trPr>
          <w:trHeight w:val="4795"/>
        </w:trPr>
        <w:tc>
          <w:tcPr>
            <w:tcW w:w="5904" w:type="dxa"/>
            <w:gridSpan w:val="2"/>
            <w:vAlign w:val="center"/>
          </w:tcPr>
          <w:p w14:paraId="157F4BF2"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Have our sister circuits followed suit and found that before certifying, district courts need to engage a rigorous inquiry?</w:t>
            </w:r>
          </w:p>
        </w:tc>
        <w:tc>
          <w:tcPr>
            <w:tcW w:w="5904" w:type="dxa"/>
            <w:gridSpan w:val="2"/>
            <w:vAlign w:val="center"/>
          </w:tcPr>
          <w:p w14:paraId="4F913BDC" w14:textId="77777777" w:rsidR="00070F98" w:rsidRPr="00387D65" w:rsidRDefault="00070F98" w:rsidP="00070F98">
            <w:pPr>
              <w:pStyle w:val="O-BodyText"/>
              <w:spacing w:afterLines="120" w:after="288"/>
              <w:ind w:right="162"/>
              <w:rPr>
                <w:rFonts w:ascii="Calibri" w:hAnsi="Calibri"/>
                <w:b/>
                <w:bCs/>
                <w:sz w:val="22"/>
                <w:szCs w:val="22"/>
                <w:highlight w:val="yellow"/>
              </w:rPr>
            </w:pPr>
            <w:r>
              <w:rPr>
                <w:rFonts w:ascii="Calibri" w:hAnsi="Calibri"/>
                <w:b/>
                <w:bCs/>
                <w:sz w:val="22"/>
                <w:szCs w:val="22"/>
              </w:rPr>
              <w:t xml:space="preserve">Several have, including the D.C. Circuit in </w:t>
            </w:r>
            <w:proofErr w:type="gramStart"/>
            <w:r w:rsidRPr="006D09C3">
              <w:rPr>
                <w:rFonts w:ascii="Calibri" w:hAnsi="Calibri"/>
                <w:b/>
                <w:bCs/>
                <w:i/>
                <w:sz w:val="22"/>
                <w:szCs w:val="22"/>
              </w:rPr>
              <w:t>In</w:t>
            </w:r>
            <w:proofErr w:type="gramEnd"/>
            <w:r w:rsidRPr="006D09C3">
              <w:rPr>
                <w:rFonts w:ascii="Calibri" w:hAnsi="Calibri"/>
                <w:b/>
                <w:bCs/>
                <w:i/>
                <w:sz w:val="22"/>
                <w:szCs w:val="22"/>
              </w:rPr>
              <w:t xml:space="preserve"> re Rail Freight Fuel Surcharge Antitrust Litig.</w:t>
            </w:r>
            <w:r w:rsidRPr="006D09C3">
              <w:rPr>
                <w:rFonts w:ascii="Calibri" w:hAnsi="Calibri"/>
                <w:b/>
                <w:bCs/>
                <w:sz w:val="22"/>
                <w:szCs w:val="22"/>
              </w:rPr>
              <w:t xml:space="preserve"> </w:t>
            </w:r>
            <w:r>
              <w:rPr>
                <w:rFonts w:ascii="Calibri" w:hAnsi="Calibri"/>
                <w:b/>
                <w:bCs/>
                <w:sz w:val="22"/>
                <w:szCs w:val="22"/>
              </w:rPr>
              <w:t xml:space="preserve">(D.C. </w:t>
            </w:r>
            <w:r w:rsidRPr="006D09C3">
              <w:rPr>
                <w:rFonts w:ascii="Calibri" w:hAnsi="Calibri"/>
                <w:b/>
                <w:bCs/>
                <w:sz w:val="22"/>
                <w:szCs w:val="22"/>
              </w:rPr>
              <w:t>2013)</w:t>
            </w:r>
            <w:r>
              <w:rPr>
                <w:rFonts w:ascii="Calibri" w:hAnsi="Calibri"/>
                <w:b/>
                <w:bCs/>
                <w:sz w:val="22"/>
                <w:szCs w:val="22"/>
              </w:rPr>
              <w:t>, holding that “[i]</w:t>
            </w:r>
            <w:r w:rsidRPr="006D09C3">
              <w:rPr>
                <w:rFonts w:ascii="Calibri" w:hAnsi="Calibri"/>
                <w:b/>
                <w:bCs/>
                <w:sz w:val="22"/>
                <w:szCs w:val="22"/>
              </w:rPr>
              <w:t xml:space="preserve">t is now indisputably the role of the district court to scrutinize the evidence before granting certification, even when doing so ‘requires inquiry into the merits of the claim.’” </w:t>
            </w:r>
            <w:r>
              <w:rPr>
                <w:rFonts w:ascii="Calibri" w:hAnsi="Calibri"/>
                <w:b/>
                <w:bCs/>
                <w:sz w:val="22"/>
                <w:szCs w:val="22"/>
              </w:rPr>
              <w:t xml:space="preserve"> </w:t>
            </w:r>
            <w:r>
              <w:rPr>
                <w:rFonts w:ascii="Calibri" w:hAnsi="Calibri"/>
                <w:b/>
                <w:bCs/>
                <w:i/>
                <w:sz w:val="22"/>
                <w:szCs w:val="22"/>
              </w:rPr>
              <w:t>Id.</w:t>
            </w:r>
            <w:r w:rsidRPr="006D09C3">
              <w:rPr>
                <w:rFonts w:ascii="Calibri" w:hAnsi="Calibri"/>
                <w:b/>
                <w:bCs/>
                <w:sz w:val="22"/>
                <w:szCs w:val="22"/>
              </w:rPr>
              <w:t xml:space="preserve"> (quoting </w:t>
            </w:r>
            <w:r w:rsidRPr="006D09C3">
              <w:rPr>
                <w:rFonts w:ascii="Calibri" w:hAnsi="Calibri"/>
                <w:b/>
                <w:bCs/>
                <w:i/>
                <w:sz w:val="22"/>
                <w:szCs w:val="22"/>
              </w:rPr>
              <w:t>Comcast</w:t>
            </w:r>
            <w:r w:rsidRPr="006D09C3">
              <w:rPr>
                <w:rFonts w:ascii="Calibri" w:hAnsi="Calibri"/>
                <w:b/>
                <w:bCs/>
                <w:sz w:val="22"/>
                <w:szCs w:val="22"/>
              </w:rPr>
              <w:t xml:space="preserve">, </w:t>
            </w:r>
            <w:r>
              <w:rPr>
                <w:rFonts w:ascii="Calibri" w:hAnsi="Calibri"/>
                <w:b/>
                <w:bCs/>
                <w:sz w:val="22"/>
                <w:szCs w:val="22"/>
              </w:rPr>
              <w:t>(U.S. 2013)</w:t>
            </w:r>
            <w:r w:rsidRPr="006D09C3">
              <w:rPr>
                <w:rFonts w:ascii="Calibri" w:hAnsi="Calibri"/>
                <w:b/>
                <w:bCs/>
                <w:sz w:val="22"/>
                <w:szCs w:val="22"/>
              </w:rPr>
              <w:t>).</w:t>
            </w:r>
          </w:p>
        </w:tc>
      </w:tr>
      <w:tr w:rsidR="00070F98" w:rsidRPr="0010708E" w14:paraId="45215C5A" w14:textId="77777777" w:rsidTr="00093B76">
        <w:trPr>
          <w:trHeight w:val="4795"/>
        </w:trPr>
        <w:tc>
          <w:tcPr>
            <w:tcW w:w="5904" w:type="dxa"/>
            <w:gridSpan w:val="2"/>
            <w:vAlign w:val="center"/>
          </w:tcPr>
          <w:p w14:paraId="7EB04768"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If district courts have a heightened burden to go through a rigorous analysis to certify, is the opposite true that they must do a rigorous analysis to de-certify?</w:t>
            </w:r>
          </w:p>
        </w:tc>
        <w:tc>
          <w:tcPr>
            <w:tcW w:w="5904" w:type="dxa"/>
            <w:gridSpan w:val="2"/>
            <w:vAlign w:val="center"/>
          </w:tcPr>
          <w:p w14:paraId="4BB04A5B" w14:textId="77777777" w:rsidR="00070F98" w:rsidRPr="00ED5AEC" w:rsidRDefault="00070F98" w:rsidP="00070F98">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[Explain.]</w:t>
            </w:r>
          </w:p>
        </w:tc>
      </w:tr>
      <w:tr w:rsidR="00070F98" w:rsidRPr="0010708E" w14:paraId="51671F33" w14:textId="77777777" w:rsidTr="00093B76">
        <w:trPr>
          <w:trHeight w:val="4795"/>
        </w:trPr>
        <w:tc>
          <w:tcPr>
            <w:tcW w:w="5904" w:type="dxa"/>
            <w:gridSpan w:val="2"/>
            <w:vAlign w:val="center"/>
          </w:tcPr>
          <w:p w14:paraId="2BE0B3A0"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How is the decision to certify a class under Rule 23(b)(3)—plaintiff’s chosen course here—more difficult than certifying under Rule 23(a)?</w:t>
            </w:r>
          </w:p>
        </w:tc>
        <w:tc>
          <w:tcPr>
            <w:tcW w:w="5904" w:type="dxa"/>
            <w:gridSpan w:val="2"/>
            <w:vAlign w:val="center"/>
          </w:tcPr>
          <w:p w14:paraId="6657CD2D" w14:textId="77777777" w:rsidR="00070F98" w:rsidRPr="00B134B1" w:rsidRDefault="00070F98" w:rsidP="00070F98">
            <w:pPr>
              <w:pStyle w:val="O-BodyText"/>
              <w:spacing w:afterLines="120" w:after="288"/>
              <w:ind w:right="162"/>
              <w:rPr>
                <w:rFonts w:ascii="Calibri" w:hAnsi="Calibri"/>
                <w:b/>
                <w:bCs/>
                <w:sz w:val="22"/>
                <w:szCs w:val="22"/>
              </w:rPr>
            </w:pPr>
            <w:r w:rsidRPr="00B134B1">
              <w:rPr>
                <w:rFonts w:ascii="Calibri" w:hAnsi="Calibri"/>
                <w:b/>
                <w:bCs/>
                <w:sz w:val="22"/>
                <w:szCs w:val="22"/>
              </w:rPr>
              <w:t xml:space="preserve">The Court has called Rule 23(b)(3) an “adventuresome innovation” created for situations “in which class-action treatment is not as clearly called for.”  </w:t>
            </w:r>
            <w:r w:rsidRPr="00B134B1">
              <w:rPr>
                <w:rFonts w:ascii="Calibri" w:hAnsi="Calibri"/>
                <w:b/>
                <w:bCs/>
                <w:i/>
                <w:sz w:val="22"/>
                <w:szCs w:val="22"/>
              </w:rPr>
              <w:t>Wal-Mart Stores, Inc. v. Dukes</w:t>
            </w:r>
            <w:r w:rsidRPr="00B134B1">
              <w:rPr>
                <w:rFonts w:ascii="Calibri" w:hAnsi="Calibri"/>
                <w:b/>
                <w:bCs/>
                <w:sz w:val="22"/>
                <w:szCs w:val="22"/>
              </w:rPr>
              <w:t xml:space="preserve"> (U.S. 2011) (quoting </w:t>
            </w:r>
            <w:proofErr w:type="spellStart"/>
            <w:r w:rsidRPr="00B134B1">
              <w:rPr>
                <w:rFonts w:ascii="Calibri" w:hAnsi="Calibri"/>
                <w:b/>
                <w:bCs/>
                <w:i/>
                <w:sz w:val="22"/>
                <w:szCs w:val="22"/>
              </w:rPr>
              <w:t>Amchem</w:t>
            </w:r>
            <w:proofErr w:type="spellEnd"/>
            <w:r w:rsidRPr="00B134B1">
              <w:rPr>
                <w:rFonts w:ascii="Calibri" w:hAnsi="Calibri"/>
                <w:b/>
                <w:bCs/>
                <w:i/>
                <w:sz w:val="22"/>
                <w:szCs w:val="22"/>
              </w:rPr>
              <w:t xml:space="preserve"> Products, Inc. v. Windsor</w:t>
            </w:r>
            <w:r w:rsidRPr="00B134B1">
              <w:rPr>
                <w:rFonts w:ascii="Calibri" w:hAnsi="Calibri"/>
                <w:b/>
                <w:bCs/>
                <w:sz w:val="22"/>
                <w:szCs w:val="22"/>
              </w:rPr>
              <w:t xml:space="preserve"> (U.S. 1997)). That explains Congress's addition of procedural safeguards for (b)(3) class members beyond those provided for (b)(1) or (b)(2) class members (e.g., an opportunity to opt out), and the court's duty to take a “close look” at whether common questions predominate over individual ones.” </w:t>
            </w:r>
            <w:r w:rsidRPr="00B134B1">
              <w:rPr>
                <w:rFonts w:ascii="Calibri" w:hAnsi="Calibri"/>
                <w:b/>
                <w:bCs/>
                <w:i/>
                <w:sz w:val="22"/>
                <w:szCs w:val="22"/>
              </w:rPr>
              <w:t>Id.</w:t>
            </w:r>
            <w:r w:rsidRPr="00B134B1">
              <w:rPr>
                <w:rFonts w:ascii="Calibri" w:hAnsi="Calibri"/>
                <w:b/>
                <w:bCs/>
                <w:sz w:val="22"/>
                <w:szCs w:val="22"/>
              </w:rPr>
              <w:t xml:space="preserve"> </w:t>
            </w:r>
          </w:p>
        </w:tc>
      </w:tr>
      <w:tr w:rsidR="00070F98" w:rsidRPr="0010708E" w14:paraId="45ECA774" w14:textId="77777777" w:rsidTr="00093B76">
        <w:trPr>
          <w:trHeight w:val="4795"/>
        </w:trPr>
        <w:tc>
          <w:tcPr>
            <w:tcW w:w="5904" w:type="dxa"/>
            <w:gridSpan w:val="2"/>
            <w:vAlign w:val="center"/>
          </w:tcPr>
          <w:p w14:paraId="7C24B7EC"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Why should plaintiffs have to prove definitively that their models can successfully calculate impact damages for all members of the class at this early class certification stage? Isn’t a theoretical model enough?</w:t>
            </w:r>
          </w:p>
        </w:tc>
        <w:tc>
          <w:tcPr>
            <w:tcW w:w="5904" w:type="dxa"/>
            <w:gridSpan w:val="2"/>
            <w:vAlign w:val="center"/>
          </w:tcPr>
          <w:p w14:paraId="27B0D51E" w14:textId="77777777" w:rsidR="00070F98" w:rsidRPr="00ED5AEC" w:rsidRDefault="00070F98" w:rsidP="00070F98">
            <w:pPr>
              <w:pStyle w:val="O-BodyText"/>
              <w:spacing w:afterLines="120" w:after="288"/>
              <w:ind w:right="162"/>
              <w:rPr>
                <w:rFonts w:ascii="Calibri" w:hAnsi="Calibri"/>
                <w:b/>
                <w:bCs/>
                <w:sz w:val="22"/>
                <w:szCs w:val="22"/>
                <w:highlight w:val="yellow"/>
              </w:rPr>
            </w:pPr>
            <w:r>
              <w:rPr>
                <w:rFonts w:ascii="Calibri" w:hAnsi="Calibri"/>
                <w:b/>
                <w:bCs/>
                <w:sz w:val="22"/>
                <w:szCs w:val="22"/>
              </w:rPr>
              <w:t xml:space="preserve">The Supreme Court clarified in </w:t>
            </w:r>
            <w:r w:rsidRPr="00713424">
              <w:rPr>
                <w:rFonts w:ascii="Calibri" w:hAnsi="Calibri"/>
                <w:b/>
                <w:bCs/>
                <w:i/>
                <w:sz w:val="22"/>
                <w:szCs w:val="22"/>
              </w:rPr>
              <w:t>Wal-Mart</w:t>
            </w:r>
            <w:r>
              <w:rPr>
                <w:rFonts w:ascii="Calibri" w:hAnsi="Calibri"/>
                <w:b/>
                <w:bCs/>
                <w:sz w:val="22"/>
                <w:szCs w:val="22"/>
              </w:rPr>
              <w:t xml:space="preserve"> (U.S. 2011), that t</w:t>
            </w:r>
            <w:r w:rsidRPr="006B5B43">
              <w:rPr>
                <w:rFonts w:ascii="Calibri" w:hAnsi="Calibri"/>
                <w:b/>
                <w:bCs/>
                <w:sz w:val="22"/>
                <w:szCs w:val="22"/>
              </w:rPr>
              <w:t xml:space="preserve">he </w:t>
            </w:r>
            <w:r>
              <w:rPr>
                <w:rFonts w:ascii="Calibri" w:hAnsi="Calibri"/>
                <w:b/>
                <w:bCs/>
                <w:sz w:val="22"/>
                <w:szCs w:val="22"/>
              </w:rPr>
              <w:t xml:space="preserve">key question in all contemporary certification cases is whether plaintiffs can make a showing of “aggregate proof” that can resolve key issues against defendants “in one stroke,” </w:t>
            </w:r>
            <w:r w:rsidRPr="006B5B43">
              <w:rPr>
                <w:rFonts w:ascii="Calibri" w:hAnsi="Calibri"/>
                <w:b/>
                <w:bCs/>
                <w:sz w:val="22"/>
                <w:szCs w:val="22"/>
              </w:rPr>
              <w:t>rather than through individualized evidence.</w:t>
            </w:r>
            <w:r>
              <w:rPr>
                <w:rFonts w:ascii="Calibri" w:hAnsi="Calibri"/>
                <w:b/>
                <w:bCs/>
                <w:sz w:val="22"/>
                <w:szCs w:val="22"/>
              </w:rPr>
              <w:t xml:space="preserve">  Since this Court’s 1995 decision in </w:t>
            </w:r>
            <w:r w:rsidRPr="00713424">
              <w:rPr>
                <w:rFonts w:ascii="Calibri" w:hAnsi="Calibri"/>
                <w:b/>
                <w:bCs/>
                <w:i/>
                <w:sz w:val="22"/>
                <w:szCs w:val="22"/>
              </w:rPr>
              <w:t>Rebel Oil Co. v. Atlantic Richfield Co.</w:t>
            </w:r>
            <w:r>
              <w:rPr>
                <w:rFonts w:ascii="Calibri" w:hAnsi="Calibri"/>
                <w:b/>
                <w:bCs/>
                <w:sz w:val="22"/>
                <w:szCs w:val="22"/>
              </w:rPr>
              <w:t>, it’s been clear that “c</w:t>
            </w:r>
            <w:r w:rsidRPr="006B5B43">
              <w:rPr>
                <w:rFonts w:ascii="Calibri" w:hAnsi="Calibri"/>
                <w:b/>
                <w:bCs/>
                <w:sz w:val="22"/>
                <w:szCs w:val="22"/>
              </w:rPr>
              <w:t xml:space="preserve">ausal antitrust </w:t>
            </w:r>
            <w:proofErr w:type="gramStart"/>
            <w:r w:rsidRPr="006B5B43">
              <w:rPr>
                <w:rFonts w:ascii="Calibri" w:hAnsi="Calibri"/>
                <w:b/>
                <w:bCs/>
                <w:sz w:val="22"/>
                <w:szCs w:val="22"/>
              </w:rPr>
              <w:t>injury[</w:t>
            </w:r>
            <w:proofErr w:type="gramEnd"/>
            <w:r w:rsidRPr="006B5B43">
              <w:rPr>
                <w:rFonts w:ascii="Calibri" w:hAnsi="Calibri"/>
                <w:b/>
                <w:bCs/>
                <w:sz w:val="22"/>
                <w:szCs w:val="22"/>
              </w:rPr>
              <w:t xml:space="preserve"> ] is an element of all antitrust suits</w:t>
            </w:r>
            <w:r w:rsidRPr="00713424">
              <w:rPr>
                <w:rFonts w:ascii="Calibri" w:hAnsi="Calibri"/>
                <w:b/>
                <w:bCs/>
                <w:sz w:val="22"/>
                <w:szCs w:val="22"/>
              </w:rPr>
              <w:t xml:space="preserve">.” </w:t>
            </w:r>
            <w:r>
              <w:rPr>
                <w:rFonts w:ascii="Calibri" w:hAnsi="Calibri"/>
                <w:b/>
                <w:bCs/>
                <w:sz w:val="22"/>
                <w:szCs w:val="22"/>
              </w:rPr>
              <w:t xml:space="preserve">It follows that </w:t>
            </w:r>
            <w:r w:rsidRPr="006B5B43">
              <w:rPr>
                <w:rFonts w:ascii="Calibri" w:hAnsi="Calibri"/>
                <w:b/>
                <w:bCs/>
                <w:sz w:val="22"/>
                <w:szCs w:val="22"/>
              </w:rPr>
              <w:t>the critical aggregate proof is the plaintiffs’ injury and damages model, typically a regression or benchmark model that purports to estimate the price or prices that putative class members would have paid in the absence of the alleged anticompetitive conduct.</w:t>
            </w:r>
          </w:p>
        </w:tc>
      </w:tr>
      <w:tr w:rsidR="00070F98" w:rsidRPr="0010708E" w14:paraId="224775F6" w14:textId="77777777" w:rsidTr="00093B76">
        <w:trPr>
          <w:trHeight w:val="4795"/>
        </w:trPr>
        <w:tc>
          <w:tcPr>
            <w:tcW w:w="5904" w:type="dxa"/>
            <w:gridSpan w:val="2"/>
            <w:vAlign w:val="center"/>
          </w:tcPr>
          <w:p w14:paraId="22E0F8E4"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What does a model have to do for Plaintiffs’ class to be certified? (General)</w:t>
            </w:r>
          </w:p>
        </w:tc>
        <w:tc>
          <w:tcPr>
            <w:tcW w:w="5904" w:type="dxa"/>
            <w:gridSpan w:val="2"/>
            <w:vAlign w:val="center"/>
          </w:tcPr>
          <w:p w14:paraId="2BB8FDF3"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Plaintiffs’ model must accomplish three main objectives to achieve certification: </w:t>
            </w:r>
          </w:p>
          <w:p w14:paraId="72F312D0"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(1) provide </w:t>
            </w:r>
            <w:r w:rsidRPr="00277B1E">
              <w:rPr>
                <w:rFonts w:ascii="Calibri" w:hAnsi="Calibri"/>
                <w:b/>
                <w:bCs/>
                <w:sz w:val="22"/>
                <w:szCs w:val="22"/>
              </w:rPr>
              <w:t>a workable, reliable way to model antitrust injury for all class members</w:t>
            </w:r>
            <w:r>
              <w:rPr>
                <w:rFonts w:ascii="Calibri" w:hAnsi="Calibri"/>
                <w:b/>
                <w:bCs/>
                <w:sz w:val="22"/>
                <w:szCs w:val="22"/>
              </w:rPr>
              <w:t xml:space="preserve">; </w:t>
            </w:r>
          </w:p>
          <w:p w14:paraId="7225B6F6"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(2) show how that “</w:t>
            </w:r>
            <w:r w:rsidRPr="00277B1E">
              <w:rPr>
                <w:rFonts w:ascii="Calibri" w:hAnsi="Calibri"/>
                <w:b/>
                <w:bCs/>
                <w:sz w:val="22"/>
                <w:szCs w:val="22"/>
              </w:rPr>
              <w:t xml:space="preserve">common proof” </w:t>
            </w:r>
            <w:r>
              <w:rPr>
                <w:rFonts w:ascii="Calibri" w:hAnsi="Calibri"/>
                <w:b/>
                <w:bCs/>
                <w:sz w:val="22"/>
                <w:szCs w:val="22"/>
              </w:rPr>
              <w:t>will indicate that</w:t>
            </w:r>
            <w:r w:rsidRPr="00277B1E">
              <w:rPr>
                <w:rFonts w:ascii="Calibri" w:hAnsi="Calibri"/>
                <w:b/>
                <w:bCs/>
                <w:sz w:val="22"/>
                <w:szCs w:val="22"/>
              </w:rPr>
              <w:t xml:space="preserve"> substantially all class members have suffered the</w:t>
            </w:r>
            <w:r>
              <w:rPr>
                <w:rFonts w:ascii="Calibri" w:hAnsi="Calibri"/>
                <w:b/>
                <w:bCs/>
                <w:sz w:val="22"/>
                <w:szCs w:val="22"/>
              </w:rPr>
              <w:t xml:space="preserve"> same injury; and </w:t>
            </w:r>
          </w:p>
          <w:p w14:paraId="2BE8EFE2"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(3) show that it will be possible for </w:t>
            </w:r>
            <w:r w:rsidRPr="00474316">
              <w:rPr>
                <w:rFonts w:ascii="Calibri" w:hAnsi="Calibri"/>
                <w:b/>
                <w:bCs/>
                <w:sz w:val="22"/>
                <w:szCs w:val="22"/>
              </w:rPr>
              <w:t xml:space="preserve">defendants </w:t>
            </w:r>
            <w:r>
              <w:rPr>
                <w:rFonts w:ascii="Calibri" w:hAnsi="Calibri"/>
                <w:b/>
                <w:bCs/>
                <w:sz w:val="22"/>
                <w:szCs w:val="22"/>
              </w:rPr>
              <w:t>to</w:t>
            </w:r>
            <w:r w:rsidRPr="00474316">
              <w:rPr>
                <w:rFonts w:ascii="Calibri" w:hAnsi="Calibri"/>
                <w:b/>
                <w:bCs/>
                <w:sz w:val="22"/>
                <w:szCs w:val="22"/>
              </w:rPr>
              <w:t xml:space="preserve"> defend against </w:t>
            </w:r>
            <w:r>
              <w:rPr>
                <w:rFonts w:ascii="Calibri" w:hAnsi="Calibri"/>
                <w:b/>
                <w:bCs/>
                <w:sz w:val="22"/>
                <w:szCs w:val="22"/>
              </w:rPr>
              <w:t>this</w:t>
            </w:r>
            <w:r w:rsidRPr="00474316">
              <w:rPr>
                <w:rFonts w:ascii="Calibri" w:hAnsi="Calibri"/>
                <w:b/>
                <w:bCs/>
                <w:sz w:val="22"/>
                <w:szCs w:val="22"/>
              </w:rPr>
              <w:t xml:space="preserve"> aggregate proof at a class trial without losing substantive rights</w:t>
            </w:r>
            <w:r>
              <w:rPr>
                <w:rFonts w:ascii="Calibri" w:hAnsi="Calibri"/>
                <w:b/>
                <w:bCs/>
                <w:sz w:val="22"/>
                <w:szCs w:val="22"/>
              </w:rPr>
              <w:t>.  If Plaintiffs cannot show any one of these three things, the class cannot be certified.</w:t>
            </w:r>
          </w:p>
        </w:tc>
      </w:tr>
      <w:bookmarkEnd w:id="3"/>
      <w:tr w:rsidR="00070F98" w:rsidRPr="0010708E" w14:paraId="1B4A8189" w14:textId="77777777" w:rsidTr="00093B76">
        <w:trPr>
          <w:trHeight w:val="4795"/>
        </w:trPr>
        <w:tc>
          <w:tcPr>
            <w:tcW w:w="5904" w:type="dxa"/>
            <w:gridSpan w:val="2"/>
            <w:vAlign w:val="center"/>
          </w:tcPr>
          <w:p w14:paraId="2A85356F" w14:textId="77777777" w:rsidR="00070F98" w:rsidRDefault="00070F98" w:rsidP="00070F98">
            <w:pPr>
              <w:pStyle w:val="O-BodyText"/>
              <w:spacing w:afterLines="120" w:after="288"/>
              <w:ind w:right="108"/>
              <w:rPr>
                <w:rFonts w:ascii="Calibri" w:hAnsi="Calibri"/>
                <w:b/>
                <w:bCs/>
                <w:sz w:val="28"/>
                <w:szCs w:val="28"/>
              </w:rPr>
            </w:pPr>
            <w:r w:rsidRPr="00277B1E">
              <w:rPr>
                <w:rFonts w:ascii="Calibri" w:hAnsi="Calibri"/>
                <w:b/>
                <w:bCs/>
                <w:sz w:val="28"/>
                <w:szCs w:val="28"/>
              </w:rPr>
              <w:lastRenderedPageBreak/>
              <w:t xml:space="preserve">What does a model have to do for Plaintiffs’ class to be certified? </w:t>
            </w:r>
            <w:r>
              <w:rPr>
                <w:rFonts w:ascii="Calibri" w:hAnsi="Calibri"/>
                <w:b/>
                <w:bCs/>
                <w:sz w:val="28"/>
                <w:szCs w:val="28"/>
              </w:rPr>
              <w:t>(First Requirement)</w:t>
            </w:r>
          </w:p>
        </w:tc>
        <w:tc>
          <w:tcPr>
            <w:tcW w:w="5904" w:type="dxa"/>
            <w:gridSpan w:val="2"/>
            <w:vAlign w:val="center"/>
          </w:tcPr>
          <w:p w14:paraId="535FBFB6" w14:textId="77777777" w:rsidR="00070F98" w:rsidRPr="001271BA"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First, Plaintiffs seeking certification in this context must provide </w:t>
            </w:r>
            <w:r w:rsidRPr="00277B1E">
              <w:rPr>
                <w:rFonts w:ascii="Calibri" w:hAnsi="Calibri"/>
                <w:b/>
                <w:bCs/>
                <w:sz w:val="22"/>
                <w:szCs w:val="22"/>
              </w:rPr>
              <w:t>a workable, reliable way to model antitrust injury for all class members</w:t>
            </w:r>
            <w:r>
              <w:rPr>
                <w:rFonts w:ascii="Calibri" w:hAnsi="Calibri"/>
                <w:b/>
                <w:bCs/>
                <w:sz w:val="22"/>
                <w:szCs w:val="22"/>
              </w:rPr>
              <w:t xml:space="preserve">. In </w:t>
            </w:r>
            <w:r w:rsidRPr="00474316">
              <w:rPr>
                <w:rFonts w:ascii="Calibri" w:hAnsi="Calibri"/>
                <w:b/>
                <w:bCs/>
                <w:i/>
                <w:sz w:val="22"/>
                <w:szCs w:val="22"/>
              </w:rPr>
              <w:t>Comcast</w:t>
            </w:r>
            <w:r>
              <w:rPr>
                <w:rFonts w:ascii="Calibri" w:hAnsi="Calibri"/>
                <w:b/>
                <w:bCs/>
                <w:i/>
                <w:sz w:val="22"/>
                <w:szCs w:val="22"/>
              </w:rPr>
              <w:t xml:space="preserve"> </w:t>
            </w:r>
            <w:r>
              <w:rPr>
                <w:rFonts w:ascii="Calibri" w:hAnsi="Calibri"/>
                <w:b/>
                <w:bCs/>
                <w:sz w:val="22"/>
                <w:szCs w:val="22"/>
              </w:rPr>
              <w:t>(U.S. 2013)</w:t>
            </w:r>
            <w:r w:rsidRPr="006B5B43">
              <w:rPr>
                <w:rFonts w:ascii="Calibri" w:hAnsi="Calibri"/>
                <w:b/>
                <w:bCs/>
                <w:sz w:val="22"/>
                <w:szCs w:val="22"/>
              </w:rPr>
              <w:t xml:space="preserve">, </w:t>
            </w:r>
            <w:r>
              <w:rPr>
                <w:rFonts w:ascii="Calibri" w:hAnsi="Calibri"/>
                <w:b/>
                <w:bCs/>
                <w:sz w:val="22"/>
                <w:szCs w:val="22"/>
              </w:rPr>
              <w:t xml:space="preserve">the Supreme Court reversed </w:t>
            </w:r>
            <w:r w:rsidRPr="00474316">
              <w:rPr>
                <w:rFonts w:ascii="Calibri" w:hAnsi="Calibri"/>
                <w:b/>
                <w:bCs/>
                <w:sz w:val="22"/>
                <w:szCs w:val="22"/>
              </w:rPr>
              <w:t>class certification where lower courts refused to consider whether the plaintiffs’ damages model in fact produced just and reasonable damages estimates for all class members</w:t>
            </w:r>
            <w:r>
              <w:rPr>
                <w:rFonts w:ascii="Calibri" w:hAnsi="Calibri"/>
                <w:b/>
                <w:bCs/>
                <w:sz w:val="22"/>
                <w:szCs w:val="22"/>
              </w:rPr>
              <w:t>.  In</w:t>
            </w:r>
            <w:r w:rsidRPr="006B5B43">
              <w:rPr>
                <w:rFonts w:ascii="Calibri" w:hAnsi="Calibri"/>
                <w:b/>
                <w:bCs/>
                <w:sz w:val="22"/>
                <w:szCs w:val="22"/>
              </w:rPr>
              <w:t xml:space="preserve"> </w:t>
            </w:r>
            <w:r w:rsidRPr="00474316">
              <w:rPr>
                <w:rFonts w:ascii="Calibri" w:hAnsi="Calibri"/>
                <w:b/>
                <w:bCs/>
                <w:i/>
                <w:sz w:val="22"/>
                <w:szCs w:val="22"/>
              </w:rPr>
              <w:t>Rail Freight</w:t>
            </w:r>
            <w:r w:rsidRPr="0089644E">
              <w:rPr>
                <w:rFonts w:ascii="Calibri" w:hAnsi="Calibri"/>
                <w:b/>
                <w:bCs/>
                <w:sz w:val="22"/>
                <w:szCs w:val="22"/>
              </w:rPr>
              <w:t xml:space="preserve"> (</w:t>
            </w:r>
            <w:r>
              <w:rPr>
                <w:rFonts w:ascii="Calibri" w:hAnsi="Calibri"/>
                <w:b/>
                <w:bCs/>
                <w:sz w:val="22"/>
                <w:szCs w:val="22"/>
              </w:rPr>
              <w:t xml:space="preserve">D.C. </w:t>
            </w:r>
            <w:r w:rsidRPr="0089644E">
              <w:rPr>
                <w:rFonts w:ascii="Calibri" w:hAnsi="Calibri"/>
                <w:b/>
                <w:bCs/>
                <w:sz w:val="22"/>
                <w:szCs w:val="22"/>
              </w:rPr>
              <w:t>2013)</w:t>
            </w:r>
            <w:r w:rsidRPr="006B5B43">
              <w:rPr>
                <w:rFonts w:ascii="Calibri" w:hAnsi="Calibri"/>
                <w:b/>
                <w:bCs/>
                <w:sz w:val="22"/>
                <w:szCs w:val="22"/>
              </w:rPr>
              <w:t>,</w:t>
            </w:r>
            <w:r>
              <w:rPr>
                <w:rFonts w:ascii="Calibri" w:hAnsi="Calibri"/>
                <w:b/>
                <w:bCs/>
                <w:sz w:val="22"/>
                <w:szCs w:val="22"/>
              </w:rPr>
              <w:t xml:space="preserve"> the DC Circuit held that </w:t>
            </w:r>
            <w:r w:rsidRPr="006B5B43">
              <w:rPr>
                <w:rFonts w:ascii="Calibri" w:hAnsi="Calibri"/>
                <w:b/>
                <w:bCs/>
                <w:sz w:val="22"/>
                <w:szCs w:val="22"/>
              </w:rPr>
              <w:t xml:space="preserve">reliable injury and damages “models are essential to [a] plaintiff[’s] claim they can offer common evidence of </w:t>
            </w:r>
            <w:proofErr w:type="spellStart"/>
            <w:r w:rsidRPr="006B5B43">
              <w:rPr>
                <w:rFonts w:ascii="Calibri" w:hAnsi="Calibri"/>
                <w:b/>
                <w:bCs/>
                <w:sz w:val="22"/>
                <w:szCs w:val="22"/>
              </w:rPr>
              <w:t>classwide</w:t>
            </w:r>
            <w:proofErr w:type="spellEnd"/>
            <w:r w:rsidRPr="006B5B43">
              <w:rPr>
                <w:rFonts w:ascii="Calibri" w:hAnsi="Calibri"/>
                <w:b/>
                <w:bCs/>
                <w:sz w:val="22"/>
                <w:szCs w:val="22"/>
              </w:rPr>
              <w:t xml:space="preserve"> injury</w:t>
            </w:r>
            <w:r>
              <w:rPr>
                <w:rFonts w:ascii="Calibri" w:hAnsi="Calibri"/>
                <w:b/>
                <w:bCs/>
                <w:sz w:val="22"/>
                <w:szCs w:val="22"/>
              </w:rPr>
              <w:t>.</w:t>
            </w:r>
            <w:r w:rsidRPr="006B5B43">
              <w:rPr>
                <w:rFonts w:ascii="Calibri" w:hAnsi="Calibri"/>
                <w:b/>
                <w:bCs/>
                <w:sz w:val="22"/>
                <w:szCs w:val="22"/>
              </w:rPr>
              <w:t>”</w:t>
            </w:r>
            <w:r>
              <w:rPr>
                <w:rFonts w:ascii="Calibri" w:hAnsi="Calibri"/>
                <w:b/>
                <w:bCs/>
                <w:sz w:val="22"/>
                <w:szCs w:val="22"/>
              </w:rPr>
              <w:t xml:space="preserve">  The First Circuit too required a “common proof” showing i</w:t>
            </w:r>
            <w:r w:rsidRPr="004F7C90">
              <w:rPr>
                <w:rFonts w:ascii="Calibri" w:hAnsi="Calibri"/>
                <w:b/>
                <w:bCs/>
                <w:sz w:val="22"/>
                <w:szCs w:val="22"/>
              </w:rPr>
              <w:t xml:space="preserve">n </w:t>
            </w:r>
            <w:proofErr w:type="gramStart"/>
            <w:r w:rsidRPr="004F7C90">
              <w:rPr>
                <w:rFonts w:ascii="Calibri" w:hAnsi="Calibri"/>
                <w:b/>
                <w:bCs/>
                <w:i/>
                <w:sz w:val="22"/>
                <w:szCs w:val="22"/>
              </w:rPr>
              <w:t>In</w:t>
            </w:r>
            <w:proofErr w:type="gramEnd"/>
            <w:r w:rsidRPr="004F7C90">
              <w:rPr>
                <w:rFonts w:ascii="Calibri" w:hAnsi="Calibri"/>
                <w:b/>
                <w:bCs/>
                <w:i/>
                <w:sz w:val="22"/>
                <w:szCs w:val="22"/>
              </w:rPr>
              <w:t xml:space="preserve"> re New Motor Vehicles Canadian Exp. Antitrust Litig.</w:t>
            </w:r>
            <w:r>
              <w:rPr>
                <w:rFonts w:ascii="Calibri" w:hAnsi="Calibri"/>
                <w:b/>
                <w:bCs/>
                <w:sz w:val="22"/>
                <w:szCs w:val="22"/>
              </w:rPr>
              <w:t xml:space="preserve"> (1st 2008).</w:t>
            </w:r>
            <w:r w:rsidRPr="004F7C90">
              <w:rPr>
                <w:rFonts w:ascii="Calibri" w:hAnsi="Calibri"/>
                <w:b/>
                <w:bCs/>
                <w:sz w:val="22"/>
                <w:szCs w:val="22"/>
              </w:rPr>
              <w:t xml:space="preserve"> </w:t>
            </w:r>
            <w:r>
              <w:rPr>
                <w:rFonts w:ascii="Calibri" w:hAnsi="Calibri"/>
                <w:b/>
                <w:bCs/>
                <w:sz w:val="22"/>
                <w:szCs w:val="22"/>
              </w:rPr>
              <w:t xml:space="preserve"> </w:t>
            </w:r>
            <w:r w:rsidRPr="004F7C90">
              <w:rPr>
                <w:rFonts w:ascii="Calibri" w:hAnsi="Calibri"/>
                <w:b/>
                <w:bCs/>
                <w:sz w:val="22"/>
                <w:szCs w:val="22"/>
              </w:rPr>
              <w:t xml:space="preserve">The Third Circuit came to the same conclusion in </w:t>
            </w:r>
            <w:proofErr w:type="gramStart"/>
            <w:r w:rsidRPr="004F7C90">
              <w:rPr>
                <w:rFonts w:ascii="Calibri" w:hAnsi="Calibri"/>
                <w:b/>
                <w:bCs/>
                <w:i/>
                <w:sz w:val="22"/>
                <w:szCs w:val="22"/>
              </w:rPr>
              <w:t>In</w:t>
            </w:r>
            <w:proofErr w:type="gramEnd"/>
            <w:r w:rsidRPr="004F7C90">
              <w:rPr>
                <w:rFonts w:ascii="Calibri" w:hAnsi="Calibri"/>
                <w:b/>
                <w:bCs/>
                <w:i/>
                <w:sz w:val="22"/>
                <w:szCs w:val="22"/>
              </w:rPr>
              <w:t xml:space="preserve"> re Hydrogen Peroxide Antitrust Litig.</w:t>
            </w:r>
            <w:r>
              <w:rPr>
                <w:rFonts w:ascii="Calibri" w:hAnsi="Calibri"/>
                <w:b/>
                <w:bCs/>
                <w:sz w:val="22"/>
                <w:szCs w:val="22"/>
              </w:rPr>
              <w:t xml:space="preserve"> </w:t>
            </w:r>
            <w:r w:rsidRPr="004F7C90">
              <w:rPr>
                <w:rFonts w:ascii="Calibri" w:hAnsi="Calibri"/>
                <w:b/>
                <w:bCs/>
                <w:sz w:val="22"/>
                <w:szCs w:val="22"/>
              </w:rPr>
              <w:t>(</w:t>
            </w:r>
            <w:r>
              <w:rPr>
                <w:rFonts w:ascii="Calibri" w:hAnsi="Calibri"/>
                <w:b/>
                <w:bCs/>
                <w:sz w:val="22"/>
                <w:szCs w:val="22"/>
              </w:rPr>
              <w:t xml:space="preserve">3rd </w:t>
            </w:r>
            <w:r w:rsidRPr="004F7C90">
              <w:rPr>
                <w:rFonts w:ascii="Calibri" w:hAnsi="Calibri"/>
                <w:b/>
                <w:bCs/>
                <w:sz w:val="22"/>
                <w:szCs w:val="22"/>
              </w:rPr>
              <w:t>2008)</w:t>
            </w:r>
            <w:r>
              <w:rPr>
                <w:rFonts w:ascii="Calibri" w:hAnsi="Calibri"/>
                <w:b/>
                <w:bCs/>
                <w:sz w:val="22"/>
                <w:szCs w:val="22"/>
              </w:rPr>
              <w:t xml:space="preserve">, as </w:t>
            </w:r>
            <w:r w:rsidRPr="004F7C90">
              <w:rPr>
                <w:rFonts w:ascii="Calibri" w:hAnsi="Calibri"/>
                <w:b/>
                <w:bCs/>
                <w:sz w:val="22"/>
                <w:szCs w:val="22"/>
              </w:rPr>
              <w:t xml:space="preserve">did the Fifth Circuit in </w:t>
            </w:r>
            <w:r w:rsidRPr="004F7C90">
              <w:rPr>
                <w:rFonts w:ascii="Calibri" w:hAnsi="Calibri"/>
                <w:b/>
                <w:bCs/>
                <w:i/>
                <w:sz w:val="22"/>
                <w:szCs w:val="22"/>
              </w:rPr>
              <w:t>Bell Atl. Corp. v. AT&amp;T Corp.</w:t>
            </w:r>
            <w:r w:rsidRPr="004F7C90">
              <w:rPr>
                <w:rFonts w:ascii="Calibri" w:hAnsi="Calibri"/>
                <w:b/>
                <w:bCs/>
                <w:sz w:val="22"/>
                <w:szCs w:val="22"/>
              </w:rPr>
              <w:t xml:space="preserve"> (</w:t>
            </w:r>
            <w:r>
              <w:rPr>
                <w:rFonts w:ascii="Calibri" w:hAnsi="Calibri"/>
                <w:b/>
                <w:bCs/>
                <w:sz w:val="22"/>
                <w:szCs w:val="22"/>
              </w:rPr>
              <w:t xml:space="preserve">5th </w:t>
            </w:r>
            <w:r w:rsidRPr="004F7C90">
              <w:rPr>
                <w:rFonts w:ascii="Calibri" w:hAnsi="Calibri"/>
                <w:b/>
                <w:bCs/>
                <w:sz w:val="22"/>
                <w:szCs w:val="22"/>
              </w:rPr>
              <w:t>2003)</w:t>
            </w:r>
            <w:r>
              <w:rPr>
                <w:rFonts w:ascii="Calibri" w:hAnsi="Calibri"/>
                <w:b/>
                <w:bCs/>
                <w:sz w:val="22"/>
                <w:szCs w:val="22"/>
              </w:rPr>
              <w:t>. Appl Br. FN 9.</w:t>
            </w:r>
          </w:p>
        </w:tc>
      </w:tr>
      <w:tr w:rsidR="00070F98" w:rsidRPr="0010708E" w14:paraId="42363E88" w14:textId="77777777" w:rsidTr="00093B76">
        <w:trPr>
          <w:trHeight w:val="4795"/>
        </w:trPr>
        <w:tc>
          <w:tcPr>
            <w:tcW w:w="5904" w:type="dxa"/>
            <w:gridSpan w:val="2"/>
            <w:vAlign w:val="center"/>
          </w:tcPr>
          <w:p w14:paraId="14582523" w14:textId="77777777" w:rsidR="00070F98" w:rsidRDefault="00070F98" w:rsidP="00070F98">
            <w:pPr>
              <w:pStyle w:val="O-BodyText"/>
              <w:spacing w:afterLines="120" w:after="288"/>
              <w:ind w:right="108"/>
              <w:rPr>
                <w:rFonts w:ascii="Calibri" w:hAnsi="Calibri"/>
                <w:b/>
                <w:bCs/>
                <w:sz w:val="28"/>
                <w:szCs w:val="28"/>
              </w:rPr>
            </w:pPr>
            <w:r w:rsidRPr="00277B1E">
              <w:rPr>
                <w:rFonts w:ascii="Calibri" w:hAnsi="Calibri"/>
                <w:b/>
                <w:bCs/>
                <w:sz w:val="28"/>
                <w:szCs w:val="28"/>
              </w:rPr>
              <w:t xml:space="preserve">What does a model have to do for Plaintiffs’ class to be certified? </w:t>
            </w:r>
            <w:r>
              <w:rPr>
                <w:rFonts w:ascii="Calibri" w:hAnsi="Calibri"/>
                <w:b/>
                <w:bCs/>
                <w:sz w:val="28"/>
                <w:szCs w:val="28"/>
              </w:rPr>
              <w:t>(Second Requirement)</w:t>
            </w:r>
          </w:p>
        </w:tc>
        <w:tc>
          <w:tcPr>
            <w:tcW w:w="5904" w:type="dxa"/>
            <w:gridSpan w:val="2"/>
            <w:vAlign w:val="center"/>
          </w:tcPr>
          <w:p w14:paraId="14956451" w14:textId="77777777" w:rsidR="00070F98" w:rsidRPr="006B5B43"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Second, that “common proof” modeled by Plaintiffs must indicate that </w:t>
            </w:r>
            <w:r w:rsidRPr="00137503">
              <w:rPr>
                <w:rFonts w:ascii="Calibri" w:hAnsi="Calibri"/>
                <w:b/>
                <w:bCs/>
                <w:sz w:val="22"/>
                <w:szCs w:val="22"/>
              </w:rPr>
              <w:t>substantially all class members have suffered the same injury</w:t>
            </w:r>
            <w:r>
              <w:rPr>
                <w:rFonts w:ascii="Calibri" w:hAnsi="Calibri"/>
                <w:b/>
                <w:bCs/>
                <w:sz w:val="22"/>
                <w:szCs w:val="22"/>
              </w:rPr>
              <w:t xml:space="preserve">, as explained by the DC Circuit in </w:t>
            </w:r>
            <w:r w:rsidRPr="00137503">
              <w:rPr>
                <w:rFonts w:ascii="Calibri" w:hAnsi="Calibri"/>
                <w:b/>
                <w:bCs/>
                <w:i/>
                <w:sz w:val="22"/>
                <w:szCs w:val="22"/>
              </w:rPr>
              <w:t>Rail Freight</w:t>
            </w:r>
            <w:r>
              <w:rPr>
                <w:rFonts w:ascii="Calibri" w:hAnsi="Calibri"/>
                <w:b/>
                <w:bCs/>
                <w:sz w:val="22"/>
                <w:szCs w:val="22"/>
              </w:rPr>
              <w:t xml:space="preserve"> (2013)</w:t>
            </w:r>
            <w:r w:rsidRPr="00975371">
              <w:rPr>
                <w:rFonts w:ascii="Calibri" w:hAnsi="Calibri"/>
                <w:b/>
                <w:bCs/>
                <w:sz w:val="22"/>
                <w:szCs w:val="22"/>
              </w:rPr>
              <w:t xml:space="preserve">, </w:t>
            </w:r>
            <w:r>
              <w:rPr>
                <w:rFonts w:ascii="Calibri" w:hAnsi="Calibri"/>
                <w:b/>
                <w:bCs/>
                <w:sz w:val="22"/>
                <w:szCs w:val="22"/>
              </w:rPr>
              <w:t xml:space="preserve">and the First Circuit in </w:t>
            </w:r>
            <w:proofErr w:type="gramStart"/>
            <w:r w:rsidRPr="00137503">
              <w:rPr>
                <w:rFonts w:ascii="Calibri" w:hAnsi="Calibri"/>
                <w:b/>
                <w:bCs/>
                <w:i/>
                <w:sz w:val="22"/>
                <w:szCs w:val="22"/>
              </w:rPr>
              <w:t>In</w:t>
            </w:r>
            <w:proofErr w:type="gramEnd"/>
            <w:r w:rsidRPr="00137503">
              <w:rPr>
                <w:rFonts w:ascii="Calibri" w:hAnsi="Calibri"/>
                <w:b/>
                <w:bCs/>
                <w:i/>
                <w:sz w:val="22"/>
                <w:szCs w:val="22"/>
              </w:rPr>
              <w:t xml:space="preserve"> re </w:t>
            </w:r>
            <w:proofErr w:type="spellStart"/>
            <w:r w:rsidRPr="00137503">
              <w:rPr>
                <w:rFonts w:ascii="Calibri" w:hAnsi="Calibri"/>
                <w:b/>
                <w:bCs/>
                <w:i/>
                <w:sz w:val="22"/>
                <w:szCs w:val="22"/>
              </w:rPr>
              <w:t>Asacol</w:t>
            </w:r>
            <w:proofErr w:type="spellEnd"/>
            <w:r w:rsidRPr="00137503">
              <w:rPr>
                <w:rFonts w:ascii="Calibri" w:hAnsi="Calibri"/>
                <w:b/>
                <w:bCs/>
                <w:i/>
                <w:sz w:val="22"/>
                <w:szCs w:val="22"/>
              </w:rPr>
              <w:t xml:space="preserve"> Antitrust Litig</w:t>
            </w:r>
            <w:r>
              <w:rPr>
                <w:rFonts w:ascii="Calibri" w:hAnsi="Calibri"/>
                <w:b/>
                <w:bCs/>
                <w:i/>
                <w:sz w:val="22"/>
                <w:szCs w:val="22"/>
              </w:rPr>
              <w:t>ation</w:t>
            </w:r>
            <w:r w:rsidRPr="00975371">
              <w:rPr>
                <w:rFonts w:ascii="Calibri" w:hAnsi="Calibri"/>
                <w:b/>
                <w:bCs/>
                <w:sz w:val="22"/>
                <w:szCs w:val="22"/>
              </w:rPr>
              <w:t xml:space="preserve"> (2018)</w:t>
            </w:r>
            <w:r>
              <w:rPr>
                <w:rFonts w:ascii="Calibri" w:hAnsi="Calibri"/>
                <w:b/>
                <w:bCs/>
                <w:sz w:val="22"/>
                <w:szCs w:val="22"/>
              </w:rPr>
              <w:t xml:space="preserve">.  In </w:t>
            </w:r>
            <w:r w:rsidRPr="00137503">
              <w:rPr>
                <w:rFonts w:ascii="Calibri" w:hAnsi="Calibri"/>
                <w:b/>
                <w:bCs/>
                <w:i/>
                <w:sz w:val="22"/>
                <w:szCs w:val="22"/>
              </w:rPr>
              <w:t xml:space="preserve">In re </w:t>
            </w:r>
            <w:proofErr w:type="spellStart"/>
            <w:r w:rsidRPr="00137503">
              <w:rPr>
                <w:rFonts w:ascii="Calibri" w:hAnsi="Calibri"/>
                <w:b/>
                <w:bCs/>
                <w:i/>
                <w:sz w:val="22"/>
                <w:szCs w:val="22"/>
              </w:rPr>
              <w:t>Asacol</w:t>
            </w:r>
            <w:proofErr w:type="spellEnd"/>
            <w:r w:rsidRPr="00137503">
              <w:rPr>
                <w:rFonts w:ascii="Calibri" w:hAnsi="Calibri"/>
                <w:b/>
                <w:bCs/>
                <w:i/>
                <w:sz w:val="22"/>
                <w:szCs w:val="22"/>
              </w:rPr>
              <w:t xml:space="preserve"> Antitrust Litigation</w:t>
            </w:r>
            <w:r>
              <w:rPr>
                <w:rFonts w:ascii="Calibri" w:hAnsi="Calibri"/>
                <w:b/>
                <w:bCs/>
                <w:sz w:val="22"/>
                <w:szCs w:val="22"/>
              </w:rPr>
              <w:t xml:space="preserve">, the First Circuit </w:t>
            </w:r>
            <w:r w:rsidRPr="00975371">
              <w:rPr>
                <w:rFonts w:ascii="Calibri" w:hAnsi="Calibri"/>
                <w:b/>
                <w:bCs/>
                <w:sz w:val="22"/>
                <w:szCs w:val="22"/>
              </w:rPr>
              <w:t>revers</w:t>
            </w:r>
            <w:r>
              <w:rPr>
                <w:rFonts w:ascii="Calibri" w:hAnsi="Calibri"/>
                <w:b/>
                <w:bCs/>
                <w:sz w:val="22"/>
                <w:szCs w:val="22"/>
              </w:rPr>
              <w:t>ed</w:t>
            </w:r>
            <w:r w:rsidRPr="00975371">
              <w:rPr>
                <w:rFonts w:ascii="Calibri" w:hAnsi="Calibri"/>
                <w:b/>
                <w:bCs/>
                <w:sz w:val="22"/>
                <w:szCs w:val="22"/>
              </w:rPr>
              <w:t xml:space="preserve"> class certification for lack of predominance in antitrust action where the evidence indicated that 10 percent of putative class members would not have been injured</w:t>
            </w:r>
            <w:r>
              <w:rPr>
                <w:rFonts w:ascii="Calibri" w:hAnsi="Calibri"/>
                <w:b/>
                <w:bCs/>
                <w:sz w:val="22"/>
                <w:szCs w:val="22"/>
              </w:rPr>
              <w:t>.</w:t>
            </w:r>
          </w:p>
        </w:tc>
      </w:tr>
      <w:tr w:rsidR="00070F98" w:rsidRPr="0010708E" w14:paraId="033F9F3E" w14:textId="77777777" w:rsidTr="00093B76">
        <w:trPr>
          <w:trHeight w:val="4795"/>
        </w:trPr>
        <w:tc>
          <w:tcPr>
            <w:tcW w:w="5904" w:type="dxa"/>
            <w:gridSpan w:val="2"/>
            <w:vAlign w:val="center"/>
          </w:tcPr>
          <w:p w14:paraId="3609CFB5" w14:textId="77777777" w:rsidR="00070F98" w:rsidRPr="00277B1E"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Could you explain what the First Circuit held in </w:t>
            </w:r>
            <w:proofErr w:type="gramStart"/>
            <w:r w:rsidRPr="0096390A">
              <w:rPr>
                <w:rFonts w:ascii="Calibri" w:hAnsi="Calibri"/>
                <w:b/>
                <w:bCs/>
                <w:i/>
                <w:sz w:val="28"/>
                <w:szCs w:val="28"/>
              </w:rPr>
              <w:t>In</w:t>
            </w:r>
            <w:proofErr w:type="gramEnd"/>
            <w:r w:rsidRPr="0096390A">
              <w:rPr>
                <w:rFonts w:ascii="Calibri" w:hAnsi="Calibri"/>
                <w:b/>
                <w:bCs/>
                <w:i/>
                <w:sz w:val="28"/>
                <w:szCs w:val="28"/>
              </w:rPr>
              <w:t xml:space="preserve"> re </w:t>
            </w:r>
            <w:proofErr w:type="spellStart"/>
            <w:r w:rsidRPr="0096390A">
              <w:rPr>
                <w:rFonts w:ascii="Calibri" w:hAnsi="Calibri"/>
                <w:b/>
                <w:bCs/>
                <w:i/>
                <w:sz w:val="28"/>
                <w:szCs w:val="28"/>
              </w:rPr>
              <w:t>Asacol</w:t>
            </w:r>
            <w:proofErr w:type="spellEnd"/>
            <w:r>
              <w:rPr>
                <w:rFonts w:ascii="Calibri" w:hAnsi="Calibri"/>
                <w:b/>
                <w:bCs/>
                <w:i/>
                <w:sz w:val="28"/>
                <w:szCs w:val="28"/>
              </w:rPr>
              <w:t xml:space="preserve"> </w:t>
            </w:r>
            <w:r>
              <w:rPr>
                <w:rFonts w:ascii="Calibri" w:hAnsi="Calibri"/>
                <w:b/>
                <w:bCs/>
                <w:sz w:val="28"/>
                <w:szCs w:val="28"/>
              </w:rPr>
              <w:t>(1st 2018)?</w:t>
            </w:r>
          </w:p>
        </w:tc>
        <w:tc>
          <w:tcPr>
            <w:tcW w:w="5904" w:type="dxa"/>
            <w:gridSpan w:val="2"/>
            <w:vAlign w:val="center"/>
          </w:tcPr>
          <w:p w14:paraId="3172269A" w14:textId="77777777" w:rsidR="00070F98" w:rsidRPr="00B134B1" w:rsidRDefault="00070F98" w:rsidP="00070F98">
            <w:pPr>
              <w:pStyle w:val="O-BodyText"/>
              <w:spacing w:afterLines="120" w:after="288"/>
              <w:ind w:right="162"/>
              <w:rPr>
                <w:rFonts w:ascii="Calibri" w:hAnsi="Calibri"/>
                <w:b/>
                <w:bCs/>
                <w:sz w:val="22"/>
                <w:szCs w:val="22"/>
                <w:highlight w:val="yellow"/>
              </w:rPr>
            </w:pPr>
            <w:r w:rsidRPr="00B134B1">
              <w:rPr>
                <w:rFonts w:ascii="Calibri" w:hAnsi="Calibri"/>
                <w:b/>
                <w:bCs/>
                <w:sz w:val="22"/>
                <w:szCs w:val="22"/>
                <w:highlight w:val="yellow"/>
              </w:rPr>
              <w:t>[Explain.]</w:t>
            </w:r>
          </w:p>
        </w:tc>
      </w:tr>
      <w:tr w:rsidR="00070F98" w:rsidRPr="0010708E" w14:paraId="7B38A846" w14:textId="77777777" w:rsidTr="00093B76">
        <w:trPr>
          <w:trHeight w:val="4795"/>
        </w:trPr>
        <w:tc>
          <w:tcPr>
            <w:tcW w:w="5904" w:type="dxa"/>
            <w:gridSpan w:val="2"/>
            <w:vAlign w:val="center"/>
          </w:tcPr>
          <w:p w14:paraId="3ACCB0F7" w14:textId="77777777" w:rsidR="00070F98" w:rsidRPr="00B450A6"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Why is </w:t>
            </w:r>
            <w:proofErr w:type="spellStart"/>
            <w:r>
              <w:rPr>
                <w:rFonts w:ascii="Calibri" w:hAnsi="Calibri"/>
                <w:b/>
                <w:bCs/>
                <w:i/>
                <w:sz w:val="28"/>
                <w:szCs w:val="28"/>
              </w:rPr>
              <w:t>Asacol</w:t>
            </w:r>
            <w:proofErr w:type="spellEnd"/>
            <w:r>
              <w:rPr>
                <w:rFonts w:ascii="Calibri" w:hAnsi="Calibri"/>
                <w:b/>
                <w:bCs/>
                <w:sz w:val="28"/>
                <w:szCs w:val="28"/>
              </w:rPr>
              <w:t xml:space="preserve"> (1st 2018) relevant to our analysis here?</w:t>
            </w:r>
          </w:p>
        </w:tc>
        <w:tc>
          <w:tcPr>
            <w:tcW w:w="5904" w:type="dxa"/>
            <w:gridSpan w:val="2"/>
            <w:vAlign w:val="center"/>
          </w:tcPr>
          <w:p w14:paraId="59ADCA59" w14:textId="77777777" w:rsidR="00070F98" w:rsidRPr="00B134B1" w:rsidRDefault="00070F98" w:rsidP="00070F98">
            <w:pPr>
              <w:pStyle w:val="O-BodyText"/>
              <w:spacing w:afterLines="120" w:after="288"/>
              <w:ind w:right="162"/>
              <w:rPr>
                <w:rFonts w:ascii="Calibri" w:hAnsi="Calibri"/>
                <w:b/>
                <w:bCs/>
                <w:iCs/>
                <w:sz w:val="22"/>
                <w:szCs w:val="22"/>
              </w:rPr>
            </w:pPr>
            <w:r w:rsidRPr="00B134B1">
              <w:rPr>
                <w:rFonts w:ascii="Calibri" w:hAnsi="Calibri"/>
                <w:b/>
                <w:bCs/>
                <w:iCs/>
                <w:sz w:val="22"/>
                <w:szCs w:val="22"/>
                <w:highlight w:val="yellow"/>
              </w:rPr>
              <w:t>[</w:t>
            </w:r>
            <w:r>
              <w:rPr>
                <w:rFonts w:ascii="Calibri" w:hAnsi="Calibri"/>
                <w:b/>
                <w:bCs/>
                <w:iCs/>
                <w:sz w:val="22"/>
                <w:szCs w:val="22"/>
                <w:highlight w:val="yellow"/>
              </w:rPr>
              <w:t>E</w:t>
            </w:r>
            <w:r w:rsidRPr="00B134B1">
              <w:rPr>
                <w:rFonts w:ascii="Calibri" w:hAnsi="Calibri"/>
                <w:b/>
                <w:bCs/>
                <w:iCs/>
                <w:sz w:val="22"/>
                <w:szCs w:val="22"/>
                <w:highlight w:val="yellow"/>
              </w:rPr>
              <w:t>xplain.]</w:t>
            </w:r>
          </w:p>
        </w:tc>
      </w:tr>
      <w:tr w:rsidR="00070F98" w:rsidRPr="0010708E" w14:paraId="47B1C225" w14:textId="77777777" w:rsidTr="00093B76">
        <w:trPr>
          <w:trHeight w:val="4795"/>
        </w:trPr>
        <w:tc>
          <w:tcPr>
            <w:tcW w:w="5904" w:type="dxa"/>
            <w:gridSpan w:val="2"/>
            <w:vAlign w:val="center"/>
          </w:tcPr>
          <w:p w14:paraId="479C6D81"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Why does it matter that the </w:t>
            </w:r>
            <w:proofErr w:type="spellStart"/>
            <w:r w:rsidRPr="00B450A6">
              <w:rPr>
                <w:rFonts w:ascii="Calibri" w:hAnsi="Calibri"/>
                <w:b/>
                <w:bCs/>
                <w:i/>
                <w:sz w:val="28"/>
                <w:szCs w:val="28"/>
              </w:rPr>
              <w:t>Asacol</w:t>
            </w:r>
            <w:proofErr w:type="spellEnd"/>
            <w:r>
              <w:rPr>
                <w:rFonts w:ascii="Calibri" w:hAnsi="Calibri"/>
                <w:b/>
                <w:bCs/>
                <w:sz w:val="28"/>
                <w:szCs w:val="28"/>
              </w:rPr>
              <w:t xml:space="preserve"> Plaintiffs didn’t argue a similar theory of relief as the plaintiffs here did?</w:t>
            </w:r>
          </w:p>
        </w:tc>
        <w:tc>
          <w:tcPr>
            <w:tcW w:w="5904" w:type="dxa"/>
            <w:gridSpan w:val="2"/>
            <w:vAlign w:val="center"/>
          </w:tcPr>
          <w:p w14:paraId="5721D33D" w14:textId="77777777" w:rsidR="00070F98" w:rsidRPr="00B450A6" w:rsidRDefault="00070F98" w:rsidP="00070F98">
            <w:pPr>
              <w:pStyle w:val="O-BodyText"/>
              <w:spacing w:afterLines="120" w:after="288"/>
              <w:ind w:right="162"/>
              <w:rPr>
                <w:rFonts w:ascii="Calibri" w:hAnsi="Calibri"/>
                <w:b/>
                <w:bCs/>
                <w:sz w:val="22"/>
                <w:szCs w:val="22"/>
              </w:rPr>
            </w:pPr>
            <w:r>
              <w:rPr>
                <w:rFonts w:ascii="Calibri" w:hAnsi="Calibri"/>
                <w:b/>
                <w:bCs/>
                <w:sz w:val="22"/>
                <w:szCs w:val="22"/>
                <w:highlight w:val="yellow"/>
              </w:rPr>
              <w:t>[Explain</w:t>
            </w:r>
            <w:r w:rsidRPr="00B450A6">
              <w:rPr>
                <w:rFonts w:ascii="Calibri" w:hAnsi="Calibri"/>
                <w:b/>
                <w:bCs/>
                <w:sz w:val="22"/>
                <w:szCs w:val="22"/>
                <w:highlight w:val="yellow"/>
              </w:rPr>
              <w:t>.</w:t>
            </w:r>
            <w:r>
              <w:rPr>
                <w:rFonts w:ascii="Calibri" w:hAnsi="Calibri"/>
                <w:b/>
                <w:bCs/>
                <w:sz w:val="22"/>
                <w:szCs w:val="22"/>
              </w:rPr>
              <w:t>]</w:t>
            </w:r>
          </w:p>
        </w:tc>
      </w:tr>
      <w:tr w:rsidR="00070F98" w:rsidRPr="0010708E" w14:paraId="0783537B" w14:textId="77777777" w:rsidTr="00093B76">
        <w:trPr>
          <w:trHeight w:val="4795"/>
        </w:trPr>
        <w:tc>
          <w:tcPr>
            <w:tcW w:w="5904" w:type="dxa"/>
            <w:gridSpan w:val="2"/>
            <w:vAlign w:val="center"/>
          </w:tcPr>
          <w:p w14:paraId="0971F05E"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But counsel, there will always be some degree of individual issues in class litigation, so what is the standard?</w:t>
            </w:r>
          </w:p>
        </w:tc>
        <w:tc>
          <w:tcPr>
            <w:tcW w:w="5904" w:type="dxa"/>
            <w:gridSpan w:val="2"/>
            <w:vAlign w:val="center"/>
          </w:tcPr>
          <w:p w14:paraId="731F0157" w14:textId="77777777" w:rsidR="00070F98" w:rsidRPr="00661046"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It’s clear that common issues must predominate over individual issues, and any dissimilarity among the claims of class members must be dealt with in a manner that is not inefficient or unfair. </w:t>
            </w:r>
            <w:r>
              <w:rPr>
                <w:rFonts w:ascii="Calibri" w:hAnsi="Calibri"/>
                <w:b/>
                <w:bCs/>
                <w:i/>
                <w:sz w:val="22"/>
                <w:szCs w:val="22"/>
              </w:rPr>
              <w:t>Amgen</w:t>
            </w:r>
            <w:r>
              <w:rPr>
                <w:rFonts w:ascii="Calibri" w:hAnsi="Calibri"/>
                <w:b/>
                <w:bCs/>
                <w:sz w:val="22"/>
                <w:szCs w:val="22"/>
              </w:rPr>
              <w:t xml:space="preserve"> (U.S. 2013); </w:t>
            </w:r>
            <w:proofErr w:type="spellStart"/>
            <w:r>
              <w:rPr>
                <w:rFonts w:ascii="Calibri" w:hAnsi="Calibri"/>
                <w:b/>
                <w:bCs/>
                <w:i/>
                <w:sz w:val="22"/>
                <w:szCs w:val="22"/>
              </w:rPr>
              <w:t>Asacol</w:t>
            </w:r>
            <w:proofErr w:type="spellEnd"/>
            <w:r>
              <w:rPr>
                <w:rFonts w:ascii="Calibri" w:hAnsi="Calibri"/>
                <w:b/>
                <w:bCs/>
                <w:sz w:val="22"/>
                <w:szCs w:val="22"/>
              </w:rPr>
              <w:t xml:space="preserve"> (1st 2018). To assess efficiency and fairness, courts have looked to whether the proposed class adjudication will be both “administratively feasible” and “protective of defendants’ Seventh Amendment and due process rights.” </w:t>
            </w:r>
            <w:proofErr w:type="spellStart"/>
            <w:r>
              <w:rPr>
                <w:rFonts w:ascii="Calibri" w:hAnsi="Calibri"/>
                <w:b/>
                <w:bCs/>
                <w:i/>
                <w:sz w:val="22"/>
                <w:szCs w:val="22"/>
              </w:rPr>
              <w:t>Asacol</w:t>
            </w:r>
            <w:proofErr w:type="spellEnd"/>
            <w:r>
              <w:rPr>
                <w:rFonts w:ascii="Calibri" w:hAnsi="Calibri"/>
                <w:b/>
                <w:bCs/>
                <w:sz w:val="22"/>
                <w:szCs w:val="22"/>
              </w:rPr>
              <w:t>.</w:t>
            </w:r>
          </w:p>
        </w:tc>
      </w:tr>
      <w:tr w:rsidR="00070F98" w:rsidRPr="0010708E" w14:paraId="300A8B39" w14:textId="77777777" w:rsidTr="00093B76">
        <w:trPr>
          <w:trHeight w:val="4795"/>
        </w:trPr>
        <w:tc>
          <w:tcPr>
            <w:tcW w:w="5904" w:type="dxa"/>
            <w:gridSpan w:val="2"/>
            <w:vAlign w:val="center"/>
          </w:tcPr>
          <w:p w14:paraId="54264650" w14:textId="77777777" w:rsidR="00070F98" w:rsidRDefault="00070F98" w:rsidP="00070F98">
            <w:pPr>
              <w:pStyle w:val="O-BodyText"/>
              <w:spacing w:afterLines="120" w:after="288"/>
              <w:ind w:right="108"/>
              <w:rPr>
                <w:rFonts w:ascii="Calibri" w:hAnsi="Calibri"/>
                <w:b/>
                <w:bCs/>
                <w:sz w:val="28"/>
                <w:szCs w:val="28"/>
              </w:rPr>
            </w:pPr>
            <w:r w:rsidRPr="00277B1E">
              <w:rPr>
                <w:rFonts w:ascii="Calibri" w:hAnsi="Calibri"/>
                <w:b/>
                <w:bCs/>
                <w:sz w:val="28"/>
                <w:szCs w:val="28"/>
              </w:rPr>
              <w:lastRenderedPageBreak/>
              <w:t>What does a model have to do for Plaintiffs’ class to be certified?</w:t>
            </w:r>
            <w:r>
              <w:rPr>
                <w:rFonts w:ascii="Calibri" w:hAnsi="Calibri"/>
                <w:b/>
                <w:bCs/>
                <w:sz w:val="28"/>
                <w:szCs w:val="28"/>
              </w:rPr>
              <w:t xml:space="preserve"> (Third Requirement)</w:t>
            </w:r>
          </w:p>
        </w:tc>
        <w:tc>
          <w:tcPr>
            <w:tcW w:w="5904" w:type="dxa"/>
            <w:gridSpan w:val="2"/>
            <w:vAlign w:val="center"/>
          </w:tcPr>
          <w:p w14:paraId="5B64407B" w14:textId="77777777" w:rsidR="00070F98" w:rsidRPr="00BF2274"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Third, Plaintiffs must </w:t>
            </w:r>
            <w:r w:rsidRPr="00BF2274">
              <w:rPr>
                <w:rFonts w:ascii="Calibri" w:hAnsi="Calibri"/>
                <w:b/>
                <w:bCs/>
                <w:sz w:val="22"/>
                <w:szCs w:val="22"/>
              </w:rPr>
              <w:t xml:space="preserve">show that it will be possible for defendants to defend against this aggregate proof at a class trial without losing substantive rights.  </w:t>
            </w:r>
            <w:r>
              <w:rPr>
                <w:rFonts w:ascii="Calibri" w:hAnsi="Calibri"/>
                <w:b/>
                <w:bCs/>
                <w:sz w:val="22"/>
                <w:szCs w:val="22"/>
              </w:rPr>
              <w:t xml:space="preserve">The Supreme Court made clear in </w:t>
            </w:r>
            <w:r>
              <w:rPr>
                <w:rFonts w:ascii="Calibri" w:hAnsi="Calibri"/>
                <w:b/>
                <w:bCs/>
                <w:i/>
                <w:sz w:val="22"/>
                <w:szCs w:val="22"/>
              </w:rPr>
              <w:t>Wal</w:t>
            </w:r>
            <w:r w:rsidRPr="00BF2274">
              <w:rPr>
                <w:rFonts w:ascii="Calibri" w:hAnsi="Calibri"/>
                <w:b/>
                <w:bCs/>
                <w:i/>
                <w:sz w:val="22"/>
                <w:szCs w:val="22"/>
              </w:rPr>
              <w:t>-Mart</w:t>
            </w:r>
            <w:r>
              <w:rPr>
                <w:rFonts w:ascii="Calibri" w:hAnsi="Calibri"/>
                <w:b/>
                <w:bCs/>
                <w:sz w:val="22"/>
                <w:szCs w:val="22"/>
              </w:rPr>
              <w:t>, that “a</w:t>
            </w:r>
            <w:r w:rsidRPr="00BF2274">
              <w:rPr>
                <w:rFonts w:ascii="Calibri" w:hAnsi="Calibri"/>
                <w:b/>
                <w:bCs/>
                <w:sz w:val="22"/>
                <w:szCs w:val="22"/>
              </w:rPr>
              <w:t xml:space="preserve"> class cannot be certified on the premise that [the defendant] will not be entitled to litigate its statutory defenses to individual claims</w:t>
            </w:r>
            <w:r>
              <w:rPr>
                <w:rFonts w:ascii="Calibri" w:hAnsi="Calibri"/>
                <w:b/>
                <w:bCs/>
                <w:sz w:val="22"/>
                <w:szCs w:val="22"/>
              </w:rPr>
              <w:t xml:space="preserve">,” (2011), affirming a principle outlined by this Court decades ago in </w:t>
            </w:r>
            <w:r>
              <w:rPr>
                <w:rFonts w:ascii="Calibri" w:hAnsi="Calibri"/>
                <w:b/>
                <w:bCs/>
                <w:i/>
                <w:sz w:val="22"/>
                <w:szCs w:val="22"/>
              </w:rPr>
              <w:t xml:space="preserve">In re Hotel Telephone Charges </w:t>
            </w:r>
            <w:r>
              <w:rPr>
                <w:rFonts w:ascii="Calibri" w:hAnsi="Calibri"/>
                <w:b/>
                <w:bCs/>
                <w:sz w:val="22"/>
                <w:szCs w:val="22"/>
              </w:rPr>
              <w:t>(9th 1974), where this Court found that allowing the plaintiffs there to proceed as a class would be impossible unless the Court were to disregard the substantive requirements of maintaining private antitrust class actions—which, of course, it was not willing to do.</w:t>
            </w:r>
          </w:p>
        </w:tc>
      </w:tr>
      <w:tr w:rsidR="00070F98" w:rsidRPr="0010708E" w14:paraId="4637DD84" w14:textId="77777777" w:rsidTr="00093B76">
        <w:trPr>
          <w:trHeight w:val="4795"/>
        </w:trPr>
        <w:tc>
          <w:tcPr>
            <w:tcW w:w="5904" w:type="dxa"/>
            <w:gridSpan w:val="2"/>
            <w:vAlign w:val="center"/>
          </w:tcPr>
          <w:p w14:paraId="1F8BC9B3" w14:textId="77777777" w:rsidR="00070F98" w:rsidRDefault="00070F98" w:rsidP="00070F98">
            <w:pPr>
              <w:pStyle w:val="O-BodyText"/>
              <w:spacing w:afterLines="120" w:after="288"/>
              <w:ind w:right="108"/>
              <w:rPr>
                <w:rFonts w:ascii="Calibri" w:hAnsi="Calibri"/>
                <w:b/>
                <w:bCs/>
                <w:sz w:val="28"/>
                <w:szCs w:val="28"/>
              </w:rPr>
            </w:pPr>
            <w:r w:rsidRPr="0089644E">
              <w:rPr>
                <w:rFonts w:ascii="Calibri" w:hAnsi="Calibri"/>
                <w:b/>
                <w:bCs/>
                <w:sz w:val="28"/>
                <w:szCs w:val="28"/>
              </w:rPr>
              <w:t>In what ways do Plaintiffs’ proffered models fall short?</w:t>
            </w:r>
          </w:p>
        </w:tc>
        <w:tc>
          <w:tcPr>
            <w:tcW w:w="5904" w:type="dxa"/>
            <w:gridSpan w:val="2"/>
            <w:vAlign w:val="center"/>
          </w:tcPr>
          <w:p w14:paraId="50C59026" w14:textId="77777777" w:rsidR="00070F98" w:rsidRDefault="00070F98" w:rsidP="00070F98">
            <w:pPr>
              <w:pStyle w:val="O-BodyText"/>
              <w:spacing w:afterLines="120" w:after="288"/>
              <w:ind w:right="162"/>
              <w:rPr>
                <w:rFonts w:ascii="Calibri" w:hAnsi="Calibri"/>
                <w:b/>
                <w:bCs/>
                <w:sz w:val="22"/>
                <w:szCs w:val="22"/>
              </w:rPr>
            </w:pPr>
            <w:r w:rsidRPr="0089644E">
              <w:rPr>
                <w:rFonts w:ascii="Calibri" w:hAnsi="Calibri"/>
                <w:b/>
                <w:bCs/>
                <w:sz w:val="22"/>
                <w:szCs w:val="22"/>
              </w:rPr>
              <w:t xml:space="preserve">Plaintiffs do not even advance a model—just unsubstantiated theories in a cursory 11-page </w:t>
            </w:r>
            <w:r>
              <w:rPr>
                <w:rFonts w:ascii="Calibri" w:hAnsi="Calibri"/>
                <w:b/>
                <w:bCs/>
                <w:sz w:val="22"/>
                <w:szCs w:val="22"/>
              </w:rPr>
              <w:t>declaration. As the district judge noted, Dr. Warren-Boulton’s declaration lacks “any data-driven analysis.” It refers only to “common methodology and data,” that he will supposedly use to “assess the existence and amount of damages to the Class members.” In the absence of any data-driven model that is tailored to market facts in the case, the district court came to the correct conclusion that Plaintiffs failed to meet their burden under Rule 23.</w:t>
            </w:r>
          </w:p>
        </w:tc>
      </w:tr>
      <w:tr w:rsidR="00070F98" w:rsidRPr="0010708E" w14:paraId="705042E4" w14:textId="77777777" w:rsidTr="00093B76">
        <w:trPr>
          <w:trHeight w:val="4795"/>
        </w:trPr>
        <w:tc>
          <w:tcPr>
            <w:tcW w:w="5904" w:type="dxa"/>
            <w:gridSpan w:val="2"/>
            <w:vAlign w:val="center"/>
          </w:tcPr>
          <w:p w14:paraId="6839F761" w14:textId="77777777" w:rsidR="00070F98" w:rsidRPr="0089644E"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You argue that plaintiffs should have gone beyond these models to show </w:t>
            </w:r>
            <w:proofErr w:type="spellStart"/>
            <w:r>
              <w:rPr>
                <w:rFonts w:ascii="Calibri" w:hAnsi="Calibri"/>
                <w:b/>
                <w:bCs/>
                <w:sz w:val="28"/>
                <w:szCs w:val="28"/>
              </w:rPr>
              <w:t>classwide</w:t>
            </w:r>
            <w:proofErr w:type="spellEnd"/>
            <w:r>
              <w:rPr>
                <w:rFonts w:ascii="Calibri" w:hAnsi="Calibri"/>
                <w:b/>
                <w:bCs/>
                <w:sz w:val="28"/>
                <w:szCs w:val="28"/>
              </w:rPr>
              <w:t xml:space="preserve"> impact, but why would they at this early stage?</w:t>
            </w:r>
          </w:p>
        </w:tc>
        <w:tc>
          <w:tcPr>
            <w:tcW w:w="5904" w:type="dxa"/>
            <w:gridSpan w:val="2"/>
            <w:vAlign w:val="center"/>
          </w:tcPr>
          <w:p w14:paraId="12D429B2" w14:textId="77777777" w:rsidR="00070F98" w:rsidRPr="0089644E" w:rsidRDefault="00070F98" w:rsidP="00070F98">
            <w:pPr>
              <w:pStyle w:val="O-BodyText"/>
              <w:spacing w:afterLines="120" w:after="288"/>
              <w:ind w:right="162"/>
              <w:rPr>
                <w:rFonts w:ascii="Calibri" w:hAnsi="Calibri"/>
                <w:b/>
                <w:bCs/>
                <w:sz w:val="22"/>
                <w:szCs w:val="22"/>
              </w:rPr>
            </w:pPr>
            <w:r>
              <w:rPr>
                <w:rFonts w:ascii="Calibri" w:hAnsi="Calibri"/>
                <w:b/>
                <w:bCs/>
                <w:sz w:val="22"/>
                <w:szCs w:val="22"/>
                <w:highlight w:val="yellow"/>
              </w:rPr>
              <w:t>[Explain</w:t>
            </w:r>
            <w:r w:rsidRPr="00F244D2">
              <w:rPr>
                <w:rFonts w:ascii="Calibri" w:hAnsi="Calibri"/>
                <w:b/>
                <w:bCs/>
                <w:sz w:val="22"/>
                <w:szCs w:val="22"/>
                <w:highlight w:val="yellow"/>
              </w:rPr>
              <w:t>.</w:t>
            </w:r>
            <w:r>
              <w:rPr>
                <w:rFonts w:ascii="Calibri" w:hAnsi="Calibri"/>
                <w:b/>
                <w:bCs/>
                <w:sz w:val="22"/>
                <w:szCs w:val="22"/>
              </w:rPr>
              <w:t>]</w:t>
            </w:r>
          </w:p>
        </w:tc>
      </w:tr>
      <w:tr w:rsidR="00070F98" w:rsidRPr="0010708E" w14:paraId="077D4F39" w14:textId="77777777" w:rsidTr="00093B76">
        <w:trPr>
          <w:trHeight w:val="4795"/>
        </w:trPr>
        <w:tc>
          <w:tcPr>
            <w:tcW w:w="5904" w:type="dxa"/>
            <w:gridSpan w:val="2"/>
            <w:vAlign w:val="center"/>
          </w:tcPr>
          <w:p w14:paraId="52230BA1"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Have any courts required this rigorous showing that you believe is necessary from plaintiffs’ experts to grant certification?</w:t>
            </w:r>
          </w:p>
        </w:tc>
        <w:tc>
          <w:tcPr>
            <w:tcW w:w="5904" w:type="dxa"/>
            <w:gridSpan w:val="2"/>
            <w:vAlign w:val="center"/>
          </w:tcPr>
          <w:p w14:paraId="2582016C" w14:textId="77777777" w:rsidR="00070F98" w:rsidRPr="00FF651C"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Yes. Our sister circuits have routinely refused to grant class certification in cases where the plaintiffs and their experts did far more than what occurred here. </w:t>
            </w:r>
            <w:r w:rsidRPr="000A1A21">
              <w:rPr>
                <w:rFonts w:ascii="Calibri" w:hAnsi="Calibri"/>
                <w:b/>
                <w:bCs/>
                <w:sz w:val="22"/>
                <w:szCs w:val="22"/>
              </w:rPr>
              <w:t xml:space="preserve">In </w:t>
            </w:r>
            <w:r w:rsidRPr="000A1A21">
              <w:rPr>
                <w:rFonts w:ascii="Calibri" w:hAnsi="Calibri"/>
                <w:b/>
                <w:bCs/>
                <w:i/>
                <w:sz w:val="22"/>
                <w:szCs w:val="22"/>
              </w:rPr>
              <w:t>In re Hydrogen Peroxide Antitrust Litigation</w:t>
            </w:r>
            <w:r>
              <w:rPr>
                <w:rFonts w:ascii="Calibri" w:hAnsi="Calibri"/>
                <w:b/>
                <w:bCs/>
                <w:sz w:val="22"/>
                <w:szCs w:val="22"/>
              </w:rPr>
              <w:t xml:space="preserve"> (3rd 2008),</w:t>
            </w:r>
            <w:r w:rsidRPr="000A1A21">
              <w:rPr>
                <w:rFonts w:ascii="Calibri" w:hAnsi="Calibri"/>
                <w:b/>
                <w:bCs/>
                <w:sz w:val="22"/>
                <w:szCs w:val="22"/>
              </w:rPr>
              <w:t xml:space="preserve"> the Third Circuit reversed a district court decision to grant class certification where the plaintiff’s expert had “not completed any benchmark or regression analyses” or shown that it “would work.” </w:t>
            </w:r>
            <w:r>
              <w:rPr>
                <w:rFonts w:ascii="Calibri" w:hAnsi="Calibri"/>
                <w:b/>
                <w:bCs/>
                <w:sz w:val="22"/>
                <w:szCs w:val="22"/>
              </w:rPr>
              <w:t xml:space="preserve"> </w:t>
            </w:r>
            <w:r w:rsidRPr="000A1A21">
              <w:rPr>
                <w:rFonts w:ascii="Calibri" w:hAnsi="Calibri"/>
                <w:b/>
                <w:bCs/>
                <w:sz w:val="22"/>
                <w:szCs w:val="22"/>
              </w:rPr>
              <w:t xml:space="preserve">Likewise, in </w:t>
            </w:r>
            <w:r w:rsidRPr="000A1A21">
              <w:rPr>
                <w:rFonts w:ascii="Calibri" w:hAnsi="Calibri"/>
                <w:b/>
                <w:bCs/>
                <w:i/>
                <w:sz w:val="22"/>
                <w:szCs w:val="22"/>
              </w:rPr>
              <w:t>Carrera v. Bayer Corp.</w:t>
            </w:r>
            <w:r w:rsidRPr="000A1A21">
              <w:rPr>
                <w:rFonts w:ascii="Calibri" w:hAnsi="Calibri"/>
                <w:b/>
                <w:bCs/>
                <w:sz w:val="22"/>
                <w:szCs w:val="22"/>
              </w:rPr>
              <w:t xml:space="preserve">, the Third Circuit held that a plaintiff cannot satisfy Rule 23 by proposing a method </w:t>
            </w:r>
            <w:r>
              <w:rPr>
                <w:rFonts w:ascii="Calibri" w:hAnsi="Calibri"/>
                <w:b/>
                <w:bCs/>
                <w:sz w:val="22"/>
                <w:szCs w:val="22"/>
              </w:rPr>
              <w:t xml:space="preserve">with just “plaintiff’s assurances” that it will work, </w:t>
            </w:r>
            <w:r w:rsidRPr="000A1A21">
              <w:rPr>
                <w:rFonts w:ascii="Calibri" w:hAnsi="Calibri"/>
                <w:b/>
                <w:bCs/>
                <w:sz w:val="22"/>
                <w:szCs w:val="22"/>
              </w:rPr>
              <w:t xml:space="preserve">“without any evidentiary support that the method will be successful.” (3d 2013). </w:t>
            </w:r>
            <w:r>
              <w:rPr>
                <w:rFonts w:ascii="Calibri" w:hAnsi="Calibri"/>
                <w:b/>
                <w:bCs/>
                <w:sz w:val="22"/>
                <w:szCs w:val="22"/>
              </w:rPr>
              <w:t xml:space="preserve">Like in </w:t>
            </w:r>
            <w:r>
              <w:rPr>
                <w:rFonts w:ascii="Calibri" w:hAnsi="Calibri"/>
                <w:b/>
                <w:bCs/>
                <w:i/>
                <w:sz w:val="22"/>
                <w:szCs w:val="22"/>
              </w:rPr>
              <w:t>Carrera</w:t>
            </w:r>
            <w:r>
              <w:rPr>
                <w:rFonts w:ascii="Calibri" w:hAnsi="Calibri"/>
                <w:b/>
                <w:bCs/>
                <w:sz w:val="22"/>
                <w:szCs w:val="22"/>
              </w:rPr>
              <w:t>, Plaintiffs’ expert’s assurances alone are not enough.</w:t>
            </w:r>
          </w:p>
        </w:tc>
      </w:tr>
      <w:tr w:rsidR="00070F98" w:rsidRPr="0010708E" w14:paraId="0B1C8422" w14:textId="77777777" w:rsidTr="00093B76">
        <w:trPr>
          <w:trHeight w:val="4795"/>
        </w:trPr>
        <w:tc>
          <w:tcPr>
            <w:tcW w:w="5904" w:type="dxa"/>
            <w:gridSpan w:val="2"/>
            <w:vAlign w:val="center"/>
          </w:tcPr>
          <w:p w14:paraId="6D550004" w14:textId="77777777" w:rsidR="00070F98" w:rsidRPr="0038418E"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Isn’t the Third Circuit’s </w:t>
            </w:r>
            <w:r>
              <w:rPr>
                <w:rFonts w:ascii="Calibri" w:hAnsi="Calibri"/>
                <w:b/>
                <w:bCs/>
                <w:i/>
                <w:sz w:val="28"/>
                <w:szCs w:val="28"/>
              </w:rPr>
              <w:t>Carrera</w:t>
            </w:r>
            <w:r>
              <w:rPr>
                <w:rFonts w:ascii="Calibri" w:hAnsi="Calibri"/>
                <w:b/>
                <w:bCs/>
                <w:sz w:val="28"/>
                <w:szCs w:val="28"/>
              </w:rPr>
              <w:t xml:space="preserve"> case distinguishable because the only live issue there was whether the class members are ascertainable?</w:t>
            </w:r>
          </w:p>
        </w:tc>
        <w:tc>
          <w:tcPr>
            <w:tcW w:w="5904" w:type="dxa"/>
            <w:gridSpan w:val="2"/>
            <w:vAlign w:val="center"/>
          </w:tcPr>
          <w:p w14:paraId="70EE9023" w14:textId="77777777" w:rsidR="00070F98" w:rsidRDefault="00070F98" w:rsidP="00070F98">
            <w:pPr>
              <w:pStyle w:val="O-BodyText"/>
              <w:spacing w:afterLines="120" w:after="288"/>
              <w:ind w:right="162"/>
              <w:rPr>
                <w:rFonts w:ascii="Calibri" w:hAnsi="Calibri"/>
                <w:b/>
                <w:bCs/>
                <w:sz w:val="22"/>
                <w:szCs w:val="22"/>
              </w:rPr>
            </w:pPr>
            <w:r w:rsidRPr="0038418E">
              <w:rPr>
                <w:rFonts w:ascii="Calibri" w:hAnsi="Calibri"/>
                <w:b/>
                <w:bCs/>
                <w:sz w:val="22"/>
                <w:szCs w:val="22"/>
                <w:highlight w:val="yellow"/>
              </w:rPr>
              <w:t xml:space="preserve">Yes. </w:t>
            </w:r>
            <w:r>
              <w:rPr>
                <w:rFonts w:ascii="Calibri" w:hAnsi="Calibri"/>
                <w:b/>
                <w:bCs/>
                <w:sz w:val="22"/>
                <w:szCs w:val="22"/>
                <w:highlight w:val="yellow"/>
              </w:rPr>
              <w:t xml:space="preserve"> [</w:t>
            </w:r>
            <w:r w:rsidRPr="0038418E">
              <w:rPr>
                <w:rFonts w:ascii="Calibri" w:hAnsi="Calibri"/>
                <w:b/>
                <w:bCs/>
                <w:sz w:val="22"/>
                <w:szCs w:val="22"/>
                <w:highlight w:val="yellow"/>
              </w:rPr>
              <w:t>Explain.</w:t>
            </w:r>
            <w:r>
              <w:rPr>
                <w:rFonts w:ascii="Calibri" w:hAnsi="Calibri"/>
                <w:b/>
                <w:bCs/>
                <w:sz w:val="22"/>
                <w:szCs w:val="22"/>
              </w:rPr>
              <w:t>]</w:t>
            </w:r>
          </w:p>
        </w:tc>
      </w:tr>
      <w:tr w:rsidR="00070F98" w:rsidRPr="0010708E" w14:paraId="406DEAE2" w14:textId="77777777" w:rsidTr="00093B76">
        <w:trPr>
          <w:trHeight w:val="4795"/>
        </w:trPr>
        <w:tc>
          <w:tcPr>
            <w:tcW w:w="5904" w:type="dxa"/>
            <w:gridSpan w:val="2"/>
            <w:vAlign w:val="center"/>
          </w:tcPr>
          <w:p w14:paraId="6005B1BD"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Can you give us an example of a district court case where the court refused to certify a case because the expert’s model or method was insufficiently developed?</w:t>
            </w:r>
          </w:p>
        </w:tc>
        <w:tc>
          <w:tcPr>
            <w:tcW w:w="5904" w:type="dxa"/>
            <w:gridSpan w:val="2"/>
            <w:vAlign w:val="center"/>
          </w:tcPr>
          <w:p w14:paraId="55809200"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Yes. The</w:t>
            </w:r>
            <w:r w:rsidRPr="0089644E">
              <w:rPr>
                <w:rFonts w:ascii="Calibri" w:hAnsi="Calibri"/>
                <w:b/>
                <w:bCs/>
                <w:sz w:val="22"/>
                <w:szCs w:val="22"/>
              </w:rPr>
              <w:t xml:space="preserve"> Central District of California decertified </w:t>
            </w:r>
            <w:r>
              <w:rPr>
                <w:rFonts w:ascii="Calibri" w:hAnsi="Calibri"/>
                <w:b/>
                <w:bCs/>
                <w:sz w:val="22"/>
                <w:szCs w:val="22"/>
              </w:rPr>
              <w:t xml:space="preserve">a class </w:t>
            </w:r>
            <w:r w:rsidRPr="0089644E">
              <w:rPr>
                <w:rFonts w:ascii="Calibri" w:hAnsi="Calibri"/>
                <w:b/>
                <w:bCs/>
                <w:sz w:val="22"/>
                <w:szCs w:val="22"/>
              </w:rPr>
              <w:t>in</w:t>
            </w:r>
            <w:r>
              <w:rPr>
                <w:rFonts w:ascii="Calibri" w:hAnsi="Calibri"/>
                <w:b/>
                <w:bCs/>
                <w:sz w:val="22"/>
                <w:szCs w:val="22"/>
              </w:rPr>
              <w:t xml:space="preserve"> </w:t>
            </w:r>
            <w:r w:rsidRPr="0089644E">
              <w:rPr>
                <w:rFonts w:ascii="Calibri" w:hAnsi="Calibri"/>
                <w:b/>
                <w:bCs/>
                <w:i/>
                <w:sz w:val="22"/>
                <w:szCs w:val="22"/>
              </w:rPr>
              <w:t>Saavedra v. Eli Lilly &amp; Co.</w:t>
            </w:r>
            <w:r>
              <w:rPr>
                <w:rFonts w:ascii="Calibri" w:hAnsi="Calibri"/>
                <w:b/>
                <w:bCs/>
                <w:sz w:val="22"/>
                <w:szCs w:val="22"/>
              </w:rPr>
              <w:t xml:space="preserve"> (C.D. Cal. 2014), holding</w:t>
            </w:r>
            <w:r w:rsidRPr="0089644E">
              <w:rPr>
                <w:rFonts w:ascii="Calibri" w:hAnsi="Calibri"/>
                <w:b/>
                <w:bCs/>
                <w:sz w:val="22"/>
                <w:szCs w:val="22"/>
              </w:rPr>
              <w:t xml:space="preserve"> that because plaintiffs’ expert “has yet to design the survey and method he will use[,] ... Plaintiffs have done worse than not even advancing a reliable method of calculating class-wide damages—they have advanced ‘no damages model at all.’”</w:t>
            </w:r>
            <w:r>
              <w:rPr>
                <w:rFonts w:ascii="Calibri" w:hAnsi="Calibri"/>
                <w:b/>
                <w:bCs/>
                <w:sz w:val="22"/>
                <w:szCs w:val="22"/>
              </w:rPr>
              <w:t xml:space="preserve"> This is exactly what occurred here.</w:t>
            </w:r>
          </w:p>
        </w:tc>
      </w:tr>
      <w:tr w:rsidR="00070F98" w:rsidRPr="0010708E" w14:paraId="068D19DD" w14:textId="77777777" w:rsidTr="00093B76">
        <w:trPr>
          <w:trHeight w:val="4795"/>
        </w:trPr>
        <w:tc>
          <w:tcPr>
            <w:tcW w:w="5904" w:type="dxa"/>
            <w:gridSpan w:val="2"/>
            <w:vAlign w:val="center"/>
          </w:tcPr>
          <w:p w14:paraId="53D8B49F" w14:textId="77777777" w:rsidR="00070F98" w:rsidRPr="00DB6040" w:rsidRDefault="00070F98" w:rsidP="00070F98">
            <w:pPr>
              <w:pStyle w:val="O-BodyText"/>
              <w:spacing w:afterLines="120" w:after="288"/>
              <w:ind w:right="108"/>
              <w:rPr>
                <w:rFonts w:ascii="Calibri" w:hAnsi="Calibri"/>
                <w:b/>
                <w:bCs/>
                <w:sz w:val="28"/>
                <w:szCs w:val="28"/>
              </w:rPr>
            </w:pPr>
            <w:r w:rsidRPr="00DB6040">
              <w:rPr>
                <w:rFonts w:ascii="Calibri" w:hAnsi="Calibri"/>
                <w:b/>
                <w:bCs/>
                <w:sz w:val="28"/>
                <w:szCs w:val="28"/>
              </w:rPr>
              <w:lastRenderedPageBreak/>
              <w:t xml:space="preserve">But these “but for” analyses posed by Plaintiffs’ expert </w:t>
            </w:r>
            <w:proofErr w:type="gramStart"/>
            <w:r w:rsidRPr="00DB6040">
              <w:rPr>
                <w:rFonts w:ascii="Calibri" w:hAnsi="Calibri"/>
                <w:b/>
                <w:bCs/>
                <w:sz w:val="28"/>
                <w:szCs w:val="28"/>
              </w:rPr>
              <w:t>are</w:t>
            </w:r>
            <w:proofErr w:type="gramEnd"/>
            <w:r w:rsidRPr="00DB6040">
              <w:rPr>
                <w:rFonts w:ascii="Calibri" w:hAnsi="Calibri"/>
                <w:b/>
                <w:bCs/>
                <w:sz w:val="28"/>
                <w:szCs w:val="28"/>
              </w:rPr>
              <w:t xml:space="preserve"> common in antitrust cases; isn’t that enough to show that it will work?</w:t>
            </w:r>
          </w:p>
        </w:tc>
        <w:tc>
          <w:tcPr>
            <w:tcW w:w="5904" w:type="dxa"/>
            <w:gridSpan w:val="2"/>
            <w:vAlign w:val="center"/>
          </w:tcPr>
          <w:p w14:paraId="3B960D68" w14:textId="77777777" w:rsidR="00070F98" w:rsidRPr="00DB6040" w:rsidRDefault="00070F98" w:rsidP="00070F98">
            <w:pPr>
              <w:pStyle w:val="O-BodyText"/>
              <w:spacing w:afterLines="120" w:after="288"/>
              <w:ind w:right="162"/>
              <w:rPr>
                <w:rFonts w:ascii="Calibri" w:hAnsi="Calibri"/>
                <w:b/>
                <w:bCs/>
                <w:sz w:val="22"/>
                <w:szCs w:val="22"/>
              </w:rPr>
            </w:pPr>
            <w:r w:rsidRPr="00DB6040">
              <w:rPr>
                <w:rFonts w:ascii="Calibri" w:hAnsi="Calibri"/>
                <w:b/>
                <w:bCs/>
                <w:sz w:val="22"/>
                <w:szCs w:val="22"/>
              </w:rPr>
              <w:t xml:space="preserve">No.  As the Eighth Circuit held in </w:t>
            </w:r>
            <w:r w:rsidRPr="00DB6040">
              <w:rPr>
                <w:rFonts w:ascii="Calibri" w:hAnsi="Calibri"/>
                <w:b/>
                <w:bCs/>
                <w:i/>
                <w:sz w:val="22"/>
                <w:szCs w:val="22"/>
              </w:rPr>
              <w:t>Blades v. Monsanto Co.</w:t>
            </w:r>
            <w:r w:rsidRPr="00DB6040">
              <w:rPr>
                <w:rFonts w:ascii="Calibri" w:hAnsi="Calibri"/>
                <w:b/>
                <w:bCs/>
                <w:sz w:val="22"/>
                <w:szCs w:val="22"/>
              </w:rPr>
              <w:t>, (</w:t>
            </w:r>
            <w:r>
              <w:rPr>
                <w:rFonts w:ascii="Calibri" w:hAnsi="Calibri"/>
                <w:b/>
                <w:bCs/>
                <w:sz w:val="22"/>
                <w:szCs w:val="22"/>
              </w:rPr>
              <w:t xml:space="preserve">8th </w:t>
            </w:r>
            <w:r w:rsidRPr="00DB6040">
              <w:rPr>
                <w:rFonts w:ascii="Calibri" w:hAnsi="Calibri"/>
                <w:b/>
                <w:bCs/>
                <w:sz w:val="22"/>
                <w:szCs w:val="22"/>
              </w:rPr>
              <w:t xml:space="preserve">2005), </w:t>
            </w:r>
            <w:r>
              <w:rPr>
                <w:rFonts w:ascii="Calibri" w:hAnsi="Calibri"/>
                <w:b/>
                <w:bCs/>
                <w:sz w:val="22"/>
                <w:szCs w:val="22"/>
              </w:rPr>
              <w:t xml:space="preserve">general </w:t>
            </w:r>
            <w:r w:rsidRPr="00DB6040">
              <w:rPr>
                <w:rFonts w:ascii="Calibri" w:hAnsi="Calibri"/>
                <w:b/>
                <w:bCs/>
                <w:sz w:val="22"/>
                <w:szCs w:val="22"/>
              </w:rPr>
              <w:t>“assumptions,” “presumptions,” and “conclusions” are not enough</w:t>
            </w:r>
            <w:r>
              <w:rPr>
                <w:rFonts w:ascii="Calibri" w:hAnsi="Calibri"/>
                <w:b/>
                <w:bCs/>
                <w:sz w:val="22"/>
                <w:szCs w:val="22"/>
              </w:rPr>
              <w:t>, even if they are based on common antitrust theories</w:t>
            </w:r>
            <w:r w:rsidRPr="00DB6040">
              <w:rPr>
                <w:rFonts w:ascii="Calibri" w:hAnsi="Calibri"/>
                <w:b/>
                <w:bCs/>
                <w:sz w:val="22"/>
                <w:szCs w:val="22"/>
              </w:rPr>
              <w:t xml:space="preserve">.  </w:t>
            </w:r>
          </w:p>
        </w:tc>
      </w:tr>
      <w:tr w:rsidR="00070F98" w:rsidRPr="0010708E" w14:paraId="23FE86C3" w14:textId="77777777" w:rsidTr="00093B76">
        <w:trPr>
          <w:trHeight w:val="4795"/>
        </w:trPr>
        <w:tc>
          <w:tcPr>
            <w:tcW w:w="5904" w:type="dxa"/>
            <w:gridSpan w:val="2"/>
            <w:vAlign w:val="center"/>
          </w:tcPr>
          <w:p w14:paraId="6E25E6E9" w14:textId="77777777" w:rsidR="00070F98" w:rsidRPr="00DB6040"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What is traditionally required of these expert models in class certification antitrust cases if you’re right that Plaintiffs’ expert’s models are insufficient?</w:t>
            </w:r>
          </w:p>
        </w:tc>
        <w:tc>
          <w:tcPr>
            <w:tcW w:w="5904" w:type="dxa"/>
            <w:gridSpan w:val="2"/>
            <w:vAlign w:val="center"/>
          </w:tcPr>
          <w:p w14:paraId="3F185841" w14:textId="77777777" w:rsidR="00070F98" w:rsidRPr="00DB6040" w:rsidRDefault="00070F98" w:rsidP="00070F98">
            <w:pPr>
              <w:pStyle w:val="O-BodyText"/>
              <w:spacing w:afterLines="120" w:after="288"/>
              <w:ind w:right="162"/>
              <w:rPr>
                <w:rFonts w:ascii="Calibri" w:hAnsi="Calibri"/>
                <w:b/>
                <w:bCs/>
                <w:sz w:val="22"/>
                <w:szCs w:val="22"/>
              </w:rPr>
            </w:pPr>
            <w:r w:rsidRPr="005A3C5C">
              <w:rPr>
                <w:rFonts w:ascii="Calibri" w:hAnsi="Calibri"/>
                <w:b/>
                <w:bCs/>
                <w:sz w:val="22"/>
                <w:szCs w:val="22"/>
              </w:rPr>
              <w:t xml:space="preserve">District courts in this circuit routinely require plaintiffs to come forth with working impact and damages models—as opposed to mere theory—that can then be scrutinized at the class certification stage. In </w:t>
            </w:r>
            <w:r w:rsidRPr="005A3C5C">
              <w:rPr>
                <w:rFonts w:ascii="Calibri" w:hAnsi="Calibri"/>
                <w:b/>
                <w:bCs/>
                <w:i/>
                <w:sz w:val="22"/>
                <w:szCs w:val="22"/>
              </w:rPr>
              <w:t>In re High-Tech Emp. Antitrust Litig</w:t>
            </w:r>
            <w:r>
              <w:rPr>
                <w:rFonts w:ascii="Calibri" w:hAnsi="Calibri"/>
                <w:b/>
                <w:bCs/>
                <w:i/>
                <w:sz w:val="22"/>
                <w:szCs w:val="22"/>
              </w:rPr>
              <w:t>ation</w:t>
            </w:r>
            <w:r w:rsidRPr="005A3C5C">
              <w:rPr>
                <w:rFonts w:ascii="Calibri" w:hAnsi="Calibri"/>
                <w:b/>
                <w:bCs/>
                <w:sz w:val="22"/>
                <w:szCs w:val="22"/>
              </w:rPr>
              <w:t xml:space="preserve"> (ND Cal. 2013), the Northern District of California explained that “theory is not sufficient to satisfy Rule 23(b)(3)’s requirements,” and then proceeded to analyze the documentary and statistical evidence presented in that case. Again, in </w:t>
            </w:r>
            <w:proofErr w:type="gramStart"/>
            <w:r w:rsidRPr="005A3C5C">
              <w:rPr>
                <w:rFonts w:ascii="Calibri" w:hAnsi="Calibri"/>
                <w:b/>
                <w:bCs/>
                <w:i/>
                <w:sz w:val="22"/>
                <w:szCs w:val="22"/>
              </w:rPr>
              <w:t>In</w:t>
            </w:r>
            <w:proofErr w:type="gramEnd"/>
            <w:r w:rsidRPr="005A3C5C">
              <w:rPr>
                <w:rFonts w:ascii="Calibri" w:hAnsi="Calibri"/>
                <w:b/>
                <w:bCs/>
                <w:i/>
                <w:sz w:val="22"/>
                <w:szCs w:val="22"/>
              </w:rPr>
              <w:t xml:space="preserve"> re Optical Disk Drive Antitrust Litigation</w:t>
            </w:r>
            <w:r>
              <w:rPr>
                <w:rFonts w:ascii="Calibri" w:hAnsi="Calibri"/>
                <w:b/>
                <w:bCs/>
                <w:sz w:val="22"/>
                <w:szCs w:val="22"/>
              </w:rPr>
              <w:t xml:space="preserve"> (N.D. Cal. 2014), </w:t>
            </w:r>
            <w:r w:rsidRPr="005A3C5C">
              <w:rPr>
                <w:rFonts w:ascii="Calibri" w:hAnsi="Calibri"/>
                <w:b/>
                <w:bCs/>
                <w:sz w:val="22"/>
                <w:szCs w:val="22"/>
              </w:rPr>
              <w:t xml:space="preserve">the Northern District determined that the predominance inquiry requires the plaintiffs to show that the “proffered expert testimony has the requisite </w:t>
            </w:r>
            <w:r w:rsidRPr="00F44738">
              <w:rPr>
                <w:rFonts w:ascii="Calibri" w:hAnsi="Calibri"/>
                <w:b/>
                <w:bCs/>
                <w:i/>
                <w:sz w:val="22"/>
                <w:szCs w:val="22"/>
              </w:rPr>
              <w:t>integrity</w:t>
            </w:r>
            <w:r w:rsidRPr="005A3C5C">
              <w:rPr>
                <w:rFonts w:ascii="Calibri" w:hAnsi="Calibri"/>
                <w:b/>
                <w:bCs/>
                <w:sz w:val="22"/>
                <w:szCs w:val="22"/>
              </w:rPr>
              <w:t xml:space="preserve"> to demonstrate class-wide impact.”</w:t>
            </w:r>
            <w:r>
              <w:rPr>
                <w:rFonts w:ascii="Calibri" w:hAnsi="Calibri"/>
                <w:b/>
                <w:bCs/>
                <w:sz w:val="22"/>
                <w:szCs w:val="22"/>
              </w:rPr>
              <w:t xml:space="preserve"> (emphasis added).</w:t>
            </w:r>
          </w:p>
        </w:tc>
      </w:tr>
      <w:tr w:rsidR="00070F98" w:rsidRPr="0010708E" w14:paraId="1840516C" w14:textId="77777777" w:rsidTr="00093B76">
        <w:trPr>
          <w:trHeight w:val="4795"/>
        </w:trPr>
        <w:tc>
          <w:tcPr>
            <w:tcW w:w="5904" w:type="dxa"/>
            <w:gridSpan w:val="2"/>
            <w:vAlign w:val="center"/>
          </w:tcPr>
          <w:p w14:paraId="7684B5D0" w14:textId="77777777" w:rsidR="00070F98" w:rsidRPr="00DB6040"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If we remand instructing Plaintiffs to add statistics and numbers to back their current expert report, will that solve your issues with the predominance question?</w:t>
            </w:r>
          </w:p>
        </w:tc>
        <w:tc>
          <w:tcPr>
            <w:tcW w:w="5904" w:type="dxa"/>
            <w:gridSpan w:val="2"/>
            <w:vAlign w:val="center"/>
          </w:tcPr>
          <w:p w14:paraId="5C3FD7A2" w14:textId="77777777" w:rsidR="00070F98" w:rsidRPr="00DB6040"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Not necessarily.  Courts have still denied certification when presented with more developed statistical models if they still can’t show that their “functioning model is tailored to market facts in the case at hand.”  In </w:t>
            </w:r>
            <w:r w:rsidRPr="00FF651C">
              <w:rPr>
                <w:rFonts w:ascii="Calibri" w:hAnsi="Calibri"/>
                <w:b/>
                <w:bCs/>
                <w:i/>
                <w:sz w:val="22"/>
                <w:szCs w:val="22"/>
              </w:rPr>
              <w:t>In re Graphics Processing Units Antitrust Litig</w:t>
            </w:r>
            <w:r>
              <w:rPr>
                <w:rFonts w:ascii="Calibri" w:hAnsi="Calibri"/>
                <w:b/>
                <w:bCs/>
                <w:i/>
                <w:sz w:val="22"/>
                <w:szCs w:val="22"/>
              </w:rPr>
              <w:t>ation</w:t>
            </w:r>
            <w:r>
              <w:rPr>
                <w:rFonts w:ascii="Calibri" w:hAnsi="Calibri"/>
                <w:b/>
                <w:bCs/>
                <w:sz w:val="22"/>
                <w:szCs w:val="22"/>
              </w:rPr>
              <w:t xml:space="preserve"> (N.D. Cal. 2008) the Northern District of California </w:t>
            </w:r>
            <w:r w:rsidRPr="00AE4BDB">
              <w:rPr>
                <w:rFonts w:ascii="Calibri" w:hAnsi="Calibri"/>
                <w:b/>
                <w:bCs/>
                <w:sz w:val="22"/>
                <w:szCs w:val="22"/>
              </w:rPr>
              <w:t>conclud</w:t>
            </w:r>
            <w:r>
              <w:rPr>
                <w:rFonts w:ascii="Calibri" w:hAnsi="Calibri"/>
                <w:b/>
                <w:bCs/>
                <w:sz w:val="22"/>
                <w:szCs w:val="22"/>
              </w:rPr>
              <w:t>ed even</w:t>
            </w:r>
            <w:r w:rsidRPr="00AE4BDB">
              <w:rPr>
                <w:rFonts w:ascii="Calibri" w:hAnsi="Calibri"/>
                <w:b/>
                <w:bCs/>
                <w:sz w:val="22"/>
                <w:szCs w:val="22"/>
              </w:rPr>
              <w:t xml:space="preserve"> after analyzing the statistical model of the plaintiff’s expert, that “plaintiffs have fundamentally failed to show that the many factors influencing pricing of GPU products were systematic and are now controllable</w:t>
            </w:r>
            <w:r>
              <w:rPr>
                <w:rFonts w:ascii="Calibri" w:hAnsi="Calibri"/>
                <w:b/>
                <w:bCs/>
                <w:sz w:val="22"/>
                <w:szCs w:val="22"/>
              </w:rPr>
              <w:t>.”</w:t>
            </w:r>
          </w:p>
        </w:tc>
      </w:tr>
      <w:tr w:rsidR="00070F98" w:rsidRPr="0010708E" w14:paraId="721568A0" w14:textId="77777777" w:rsidTr="00093B76">
        <w:trPr>
          <w:trHeight w:val="4795"/>
        </w:trPr>
        <w:tc>
          <w:tcPr>
            <w:tcW w:w="5904" w:type="dxa"/>
            <w:gridSpan w:val="2"/>
            <w:vAlign w:val="center"/>
          </w:tcPr>
          <w:p w14:paraId="76806177"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But counsel, since certification occurs at such an early stage in the litigation, why can’t we certify a class based on plaintiffs’ renowned expert’s assurances that his models will result in the necessary common proof?</w:t>
            </w:r>
          </w:p>
        </w:tc>
        <w:tc>
          <w:tcPr>
            <w:tcW w:w="5904" w:type="dxa"/>
            <w:gridSpan w:val="2"/>
            <w:vAlign w:val="center"/>
          </w:tcPr>
          <w:p w14:paraId="36280C24"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First, Supreme Court precedent—</w:t>
            </w:r>
            <w:r w:rsidRPr="009354A5">
              <w:rPr>
                <w:rFonts w:ascii="Calibri" w:hAnsi="Calibri"/>
                <w:b/>
                <w:bCs/>
                <w:i/>
                <w:sz w:val="22"/>
                <w:szCs w:val="22"/>
              </w:rPr>
              <w:t>Comcast</w:t>
            </w:r>
            <w:r w:rsidRPr="009354A5">
              <w:rPr>
                <w:rFonts w:ascii="Calibri" w:hAnsi="Calibri"/>
                <w:b/>
                <w:bCs/>
                <w:sz w:val="22"/>
                <w:szCs w:val="22"/>
              </w:rPr>
              <w:t xml:space="preserve"> (U.S. 2013)</w:t>
            </w:r>
            <w:r>
              <w:rPr>
                <w:rFonts w:ascii="Calibri" w:hAnsi="Calibri"/>
                <w:b/>
                <w:bCs/>
                <w:sz w:val="22"/>
                <w:szCs w:val="22"/>
              </w:rPr>
              <w:t xml:space="preserve"> and </w:t>
            </w:r>
            <w:r w:rsidRPr="009354A5">
              <w:rPr>
                <w:rFonts w:ascii="Calibri" w:hAnsi="Calibri"/>
                <w:b/>
                <w:bCs/>
                <w:i/>
                <w:sz w:val="22"/>
                <w:szCs w:val="22"/>
              </w:rPr>
              <w:t>Wal-Mart</w:t>
            </w:r>
            <w:r>
              <w:rPr>
                <w:rFonts w:ascii="Calibri" w:hAnsi="Calibri"/>
                <w:b/>
                <w:bCs/>
                <w:sz w:val="22"/>
                <w:szCs w:val="22"/>
              </w:rPr>
              <w:t xml:space="preserve"> (U.S. 2011)—mandates that this Court require more than just unfounded theories. But there are also practical reasons why antitrust plaintiffs must produce a working model at the class certification stage:</w:t>
            </w:r>
          </w:p>
          <w:p w14:paraId="396688EF"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(1) C</w:t>
            </w:r>
            <w:r w:rsidRPr="00F44738">
              <w:rPr>
                <w:rFonts w:ascii="Calibri" w:hAnsi="Calibri"/>
                <w:b/>
                <w:bCs/>
                <w:sz w:val="22"/>
                <w:szCs w:val="22"/>
              </w:rPr>
              <w:t xml:space="preserve">ertifying classes </w:t>
            </w:r>
            <w:proofErr w:type="gramStart"/>
            <w:r w:rsidRPr="00F44738">
              <w:rPr>
                <w:rFonts w:ascii="Calibri" w:hAnsi="Calibri"/>
                <w:b/>
                <w:bCs/>
                <w:sz w:val="22"/>
                <w:szCs w:val="22"/>
              </w:rPr>
              <w:t>on the basis of</w:t>
            </w:r>
            <w:proofErr w:type="gramEnd"/>
            <w:r w:rsidRPr="00F44738">
              <w:rPr>
                <w:rFonts w:ascii="Calibri" w:hAnsi="Calibri"/>
                <w:b/>
                <w:bCs/>
                <w:sz w:val="22"/>
                <w:szCs w:val="22"/>
              </w:rPr>
              <w:t xml:space="preserve"> promises rather than a working model </w:t>
            </w:r>
            <w:r>
              <w:rPr>
                <w:rFonts w:ascii="Calibri" w:hAnsi="Calibri"/>
                <w:b/>
                <w:bCs/>
                <w:sz w:val="22"/>
                <w:szCs w:val="22"/>
              </w:rPr>
              <w:t>impermissibly gives</w:t>
            </w:r>
            <w:r w:rsidRPr="00F44738">
              <w:rPr>
                <w:rFonts w:ascii="Calibri" w:hAnsi="Calibri"/>
                <w:b/>
                <w:bCs/>
                <w:sz w:val="22"/>
                <w:szCs w:val="22"/>
              </w:rPr>
              <w:t xml:space="preserve"> plaintiffs</w:t>
            </w:r>
            <w:r>
              <w:rPr>
                <w:rFonts w:ascii="Calibri" w:hAnsi="Calibri"/>
                <w:b/>
                <w:bCs/>
                <w:sz w:val="22"/>
                <w:szCs w:val="22"/>
              </w:rPr>
              <w:t xml:space="preserve"> a free ride to certification if they simply hire</w:t>
            </w:r>
            <w:r w:rsidRPr="00F44738">
              <w:rPr>
                <w:rFonts w:ascii="Calibri" w:hAnsi="Calibri"/>
                <w:b/>
                <w:bCs/>
                <w:sz w:val="22"/>
                <w:szCs w:val="22"/>
              </w:rPr>
              <w:t xml:space="preserve"> a competent expert.</w:t>
            </w:r>
            <w:r>
              <w:rPr>
                <w:rFonts w:ascii="Calibri" w:hAnsi="Calibri"/>
                <w:b/>
                <w:bCs/>
                <w:sz w:val="22"/>
                <w:szCs w:val="22"/>
              </w:rPr>
              <w:t xml:space="preserve"> </w:t>
            </w:r>
          </w:p>
          <w:p w14:paraId="2DA01A15" w14:textId="77777777" w:rsidR="00070F98" w:rsidRPr="001271BA"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(2) S</w:t>
            </w:r>
            <w:r w:rsidRPr="00F44738">
              <w:rPr>
                <w:rFonts w:ascii="Calibri" w:hAnsi="Calibri"/>
                <w:b/>
                <w:bCs/>
                <w:sz w:val="22"/>
                <w:szCs w:val="22"/>
              </w:rPr>
              <w:t xml:space="preserve">crutiny of actual models is critical because many such models fail when tested. </w:t>
            </w:r>
            <w:r>
              <w:rPr>
                <w:rFonts w:ascii="Calibri" w:hAnsi="Calibri"/>
                <w:b/>
                <w:bCs/>
                <w:sz w:val="22"/>
                <w:szCs w:val="22"/>
              </w:rPr>
              <w:t xml:space="preserve"> </w:t>
            </w:r>
          </w:p>
        </w:tc>
      </w:tr>
      <w:tr w:rsidR="00070F98" w:rsidRPr="0010708E" w14:paraId="71F93B04" w14:textId="77777777" w:rsidTr="00093B76">
        <w:trPr>
          <w:trHeight w:val="4795"/>
        </w:trPr>
        <w:tc>
          <w:tcPr>
            <w:tcW w:w="5904" w:type="dxa"/>
            <w:gridSpan w:val="2"/>
            <w:vAlign w:val="center"/>
          </w:tcPr>
          <w:p w14:paraId="3A5BA987"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As a policy matter, why should we require antitrust plaintiffs to produce more detailed models than those presented by plaintiffs’ expert here? (First Reason)</w:t>
            </w:r>
          </w:p>
        </w:tc>
        <w:tc>
          <w:tcPr>
            <w:tcW w:w="5904" w:type="dxa"/>
            <w:gridSpan w:val="2"/>
            <w:vAlign w:val="center"/>
          </w:tcPr>
          <w:p w14:paraId="69836CFE"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If courts certify plaintiffs </w:t>
            </w:r>
            <w:proofErr w:type="gramStart"/>
            <w:r>
              <w:rPr>
                <w:rFonts w:ascii="Calibri" w:hAnsi="Calibri"/>
                <w:b/>
                <w:bCs/>
                <w:sz w:val="22"/>
                <w:szCs w:val="22"/>
              </w:rPr>
              <w:t>on the basis of</w:t>
            </w:r>
            <w:proofErr w:type="gramEnd"/>
            <w:r>
              <w:rPr>
                <w:rFonts w:ascii="Calibri" w:hAnsi="Calibri"/>
                <w:b/>
                <w:bCs/>
                <w:sz w:val="22"/>
                <w:szCs w:val="22"/>
              </w:rPr>
              <w:t xml:space="preserve"> their expert’s promises rather than a working model, this practice would impermissibly delegate “</w:t>
            </w:r>
            <w:r w:rsidRPr="009354A5">
              <w:rPr>
                <w:rFonts w:ascii="Calibri" w:hAnsi="Calibri"/>
                <w:b/>
                <w:bCs/>
                <w:sz w:val="22"/>
                <w:szCs w:val="22"/>
              </w:rPr>
              <w:t>judicial power to the plaintiffs, who can obtain class certification just by hiring a competent expert</w:t>
            </w:r>
            <w:r>
              <w:rPr>
                <w:rFonts w:ascii="Calibri" w:hAnsi="Calibri"/>
                <w:b/>
                <w:bCs/>
                <w:sz w:val="22"/>
                <w:szCs w:val="22"/>
              </w:rPr>
              <w:t>,</w:t>
            </w:r>
            <w:r w:rsidRPr="009354A5">
              <w:rPr>
                <w:rFonts w:ascii="Calibri" w:hAnsi="Calibri"/>
                <w:b/>
                <w:bCs/>
                <w:sz w:val="22"/>
                <w:szCs w:val="22"/>
              </w:rPr>
              <w:t>”</w:t>
            </w:r>
            <w:r>
              <w:rPr>
                <w:rFonts w:ascii="Calibri" w:hAnsi="Calibri"/>
                <w:b/>
                <w:bCs/>
                <w:sz w:val="22"/>
                <w:szCs w:val="22"/>
              </w:rPr>
              <w:t xml:space="preserve"> as explained by the Seventh Circuit in</w:t>
            </w:r>
            <w:r w:rsidRPr="009354A5">
              <w:rPr>
                <w:rFonts w:ascii="Calibri" w:hAnsi="Calibri"/>
                <w:b/>
                <w:bCs/>
                <w:sz w:val="22"/>
                <w:szCs w:val="22"/>
              </w:rPr>
              <w:t xml:space="preserve"> </w:t>
            </w:r>
            <w:r w:rsidRPr="009354A5">
              <w:rPr>
                <w:rFonts w:ascii="Calibri" w:hAnsi="Calibri"/>
                <w:b/>
                <w:bCs/>
                <w:i/>
                <w:sz w:val="22"/>
                <w:szCs w:val="22"/>
              </w:rPr>
              <w:t>West v. Prudential Sec., Inc.</w:t>
            </w:r>
            <w:r>
              <w:rPr>
                <w:rFonts w:ascii="Calibri" w:hAnsi="Calibri"/>
                <w:b/>
                <w:bCs/>
                <w:i/>
                <w:sz w:val="22"/>
                <w:szCs w:val="22"/>
              </w:rPr>
              <w:t xml:space="preserve"> </w:t>
            </w:r>
            <w:r w:rsidRPr="009354A5">
              <w:rPr>
                <w:rFonts w:ascii="Calibri" w:hAnsi="Calibri"/>
                <w:b/>
                <w:bCs/>
                <w:sz w:val="22"/>
                <w:szCs w:val="22"/>
              </w:rPr>
              <w:t>(7th 2002</w:t>
            </w:r>
            <w:r>
              <w:rPr>
                <w:rFonts w:ascii="Calibri" w:hAnsi="Calibri"/>
                <w:b/>
                <w:bCs/>
                <w:sz w:val="22"/>
                <w:szCs w:val="22"/>
              </w:rPr>
              <w:t>).</w:t>
            </w:r>
          </w:p>
        </w:tc>
      </w:tr>
      <w:tr w:rsidR="00070F98" w:rsidRPr="0010708E" w14:paraId="13E6EA9D" w14:textId="77777777" w:rsidTr="00093B76">
        <w:trPr>
          <w:trHeight w:val="4795"/>
        </w:trPr>
        <w:tc>
          <w:tcPr>
            <w:tcW w:w="5904" w:type="dxa"/>
            <w:gridSpan w:val="2"/>
            <w:vAlign w:val="center"/>
          </w:tcPr>
          <w:p w14:paraId="0159F421"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And why is that bad? (Follow-up to First Pragmatic Reason)</w:t>
            </w:r>
          </w:p>
        </w:tc>
        <w:tc>
          <w:tcPr>
            <w:tcW w:w="5904" w:type="dxa"/>
            <w:gridSpan w:val="2"/>
            <w:vAlign w:val="center"/>
          </w:tcPr>
          <w:p w14:paraId="72F74A36"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Giving all power to the plaintiffs’ expert </w:t>
            </w:r>
            <w:r w:rsidRPr="009354A5">
              <w:rPr>
                <w:rFonts w:ascii="Calibri" w:hAnsi="Calibri"/>
                <w:b/>
                <w:bCs/>
                <w:sz w:val="22"/>
                <w:szCs w:val="22"/>
              </w:rPr>
              <w:t xml:space="preserve">exacerbates the circularity inherent in justifying class certification “by reference to evidence that presupposes—at least as a matter of economic or statistical methodology—the aggregate unit whose legitimacy the court is to determine.” </w:t>
            </w:r>
            <w:proofErr w:type="spellStart"/>
            <w:r w:rsidRPr="009354A5">
              <w:rPr>
                <w:rFonts w:ascii="Calibri" w:hAnsi="Calibri"/>
                <w:b/>
                <w:bCs/>
                <w:sz w:val="22"/>
                <w:szCs w:val="22"/>
              </w:rPr>
              <w:t>Nagareda</w:t>
            </w:r>
            <w:proofErr w:type="spellEnd"/>
            <w:r w:rsidRPr="009354A5">
              <w:rPr>
                <w:rFonts w:ascii="Calibri" w:hAnsi="Calibri"/>
                <w:b/>
                <w:bCs/>
                <w:sz w:val="22"/>
                <w:szCs w:val="22"/>
              </w:rPr>
              <w:t>, 84 N.Y.U. L. Rev. at 103</w:t>
            </w:r>
            <w:r>
              <w:rPr>
                <w:rFonts w:ascii="Calibri" w:hAnsi="Calibri"/>
                <w:b/>
                <w:bCs/>
                <w:sz w:val="22"/>
                <w:szCs w:val="22"/>
              </w:rPr>
              <w:t xml:space="preserve"> (2009)</w:t>
            </w:r>
            <w:r w:rsidRPr="009354A5">
              <w:rPr>
                <w:rFonts w:ascii="Calibri" w:hAnsi="Calibri"/>
                <w:b/>
                <w:bCs/>
                <w:sz w:val="22"/>
                <w:szCs w:val="22"/>
              </w:rPr>
              <w:t>.</w:t>
            </w:r>
          </w:p>
        </w:tc>
      </w:tr>
      <w:tr w:rsidR="00070F98" w:rsidRPr="0010708E" w14:paraId="25CA46B4" w14:textId="77777777" w:rsidTr="00093B76">
        <w:trPr>
          <w:trHeight w:val="4795"/>
        </w:trPr>
        <w:tc>
          <w:tcPr>
            <w:tcW w:w="5904" w:type="dxa"/>
            <w:gridSpan w:val="2"/>
            <w:vAlign w:val="center"/>
          </w:tcPr>
          <w:p w14:paraId="1CC344C1" w14:textId="77777777" w:rsidR="00070F98" w:rsidRDefault="00070F98" w:rsidP="00070F98">
            <w:pPr>
              <w:pStyle w:val="O-BodyText"/>
              <w:spacing w:afterLines="120" w:after="288"/>
              <w:ind w:right="108"/>
              <w:rPr>
                <w:rFonts w:ascii="Calibri" w:hAnsi="Calibri"/>
                <w:b/>
                <w:bCs/>
                <w:sz w:val="28"/>
                <w:szCs w:val="28"/>
              </w:rPr>
            </w:pPr>
            <w:r w:rsidRPr="009354A5">
              <w:rPr>
                <w:rFonts w:ascii="Calibri" w:hAnsi="Calibri"/>
                <w:b/>
                <w:bCs/>
                <w:sz w:val="28"/>
                <w:szCs w:val="28"/>
              </w:rPr>
              <w:lastRenderedPageBreak/>
              <w:t>As a policy matter, why should we require antitrust plaintiffs to produce more detailed models than those presented by plaintiffs’ expert here? (</w:t>
            </w:r>
            <w:r>
              <w:rPr>
                <w:rFonts w:ascii="Calibri" w:hAnsi="Calibri"/>
                <w:b/>
                <w:bCs/>
                <w:sz w:val="28"/>
                <w:szCs w:val="28"/>
              </w:rPr>
              <w:t>Second</w:t>
            </w:r>
            <w:r w:rsidRPr="009354A5">
              <w:rPr>
                <w:rFonts w:ascii="Calibri" w:hAnsi="Calibri"/>
                <w:b/>
                <w:bCs/>
                <w:sz w:val="28"/>
                <w:szCs w:val="28"/>
              </w:rPr>
              <w:t xml:space="preserve"> Reason)</w:t>
            </w:r>
          </w:p>
        </w:tc>
        <w:tc>
          <w:tcPr>
            <w:tcW w:w="5904" w:type="dxa"/>
            <w:gridSpan w:val="2"/>
            <w:vAlign w:val="center"/>
          </w:tcPr>
          <w:p w14:paraId="0A31710A"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S</w:t>
            </w:r>
            <w:r w:rsidRPr="009354A5">
              <w:rPr>
                <w:rFonts w:ascii="Calibri" w:hAnsi="Calibri"/>
                <w:b/>
                <w:bCs/>
                <w:sz w:val="22"/>
                <w:szCs w:val="22"/>
              </w:rPr>
              <w:t>crutiny of actual models is critical because many such models fail when tested.</w:t>
            </w:r>
            <w:r>
              <w:rPr>
                <w:rFonts w:ascii="Calibri" w:hAnsi="Calibri"/>
                <w:b/>
                <w:bCs/>
                <w:sz w:val="22"/>
                <w:szCs w:val="22"/>
              </w:rPr>
              <w:t xml:space="preserve">  This is precisely the problem that the D.C. Circuit noted in </w:t>
            </w:r>
            <w:proofErr w:type="gramStart"/>
            <w:r w:rsidRPr="00270627">
              <w:rPr>
                <w:rFonts w:ascii="Calibri" w:hAnsi="Calibri"/>
                <w:b/>
                <w:bCs/>
                <w:i/>
                <w:sz w:val="22"/>
                <w:szCs w:val="22"/>
              </w:rPr>
              <w:t>In</w:t>
            </w:r>
            <w:proofErr w:type="gramEnd"/>
            <w:r w:rsidRPr="00270627">
              <w:rPr>
                <w:rFonts w:ascii="Calibri" w:hAnsi="Calibri"/>
                <w:b/>
                <w:bCs/>
                <w:i/>
                <w:sz w:val="22"/>
                <w:szCs w:val="22"/>
              </w:rPr>
              <w:t xml:space="preserve"> re Rail Freight Fuel Surcharge Antitrust Litigation</w:t>
            </w:r>
            <w:r>
              <w:rPr>
                <w:rFonts w:ascii="Calibri" w:hAnsi="Calibri"/>
                <w:b/>
                <w:bCs/>
                <w:sz w:val="22"/>
                <w:szCs w:val="22"/>
              </w:rPr>
              <w:t xml:space="preserve"> (D.C. 2013) in vacating a district court’s grant of class certification in part because plaintiffs’ </w:t>
            </w:r>
            <w:r w:rsidRPr="00270627">
              <w:rPr>
                <w:rFonts w:ascii="Calibri" w:hAnsi="Calibri"/>
                <w:b/>
                <w:bCs/>
                <w:sz w:val="22"/>
                <w:szCs w:val="22"/>
              </w:rPr>
              <w:t>models in question appeared to generate “false positives</w:t>
            </w:r>
            <w:r>
              <w:rPr>
                <w:rFonts w:ascii="Calibri" w:hAnsi="Calibri"/>
                <w:b/>
                <w:bCs/>
                <w:sz w:val="22"/>
                <w:szCs w:val="22"/>
              </w:rPr>
              <w:t>,”</w:t>
            </w:r>
            <w:r w:rsidRPr="00270627">
              <w:rPr>
                <w:rFonts w:ascii="Calibri" w:hAnsi="Calibri"/>
                <w:b/>
                <w:bCs/>
                <w:sz w:val="22"/>
                <w:szCs w:val="22"/>
              </w:rPr>
              <w:t xml:space="preserve"> findings of injury where, under plaintiffs’ own theory of the case, none should exist.</w:t>
            </w:r>
            <w:r>
              <w:rPr>
                <w:rFonts w:ascii="Calibri" w:hAnsi="Calibri"/>
                <w:b/>
                <w:bCs/>
                <w:sz w:val="22"/>
                <w:szCs w:val="22"/>
              </w:rPr>
              <w:t xml:space="preserve">  </w:t>
            </w:r>
            <w:r w:rsidRPr="00270627">
              <w:rPr>
                <w:rFonts w:ascii="Calibri" w:hAnsi="Calibri"/>
                <w:b/>
                <w:bCs/>
                <w:sz w:val="22"/>
                <w:szCs w:val="22"/>
              </w:rPr>
              <w:t xml:space="preserve">On remand, and after a one-week evidentiary hearing, the district court confirmed the false positives and denied class certification. </w:t>
            </w:r>
            <w:r w:rsidRPr="00270627">
              <w:rPr>
                <w:rFonts w:ascii="Calibri" w:hAnsi="Calibri"/>
                <w:b/>
                <w:bCs/>
                <w:i/>
                <w:sz w:val="22"/>
                <w:szCs w:val="22"/>
              </w:rPr>
              <w:t>In re Rail Freight Fuel Surcharge Antitrust Litig</w:t>
            </w:r>
            <w:r>
              <w:rPr>
                <w:rFonts w:ascii="Calibri" w:hAnsi="Calibri"/>
                <w:b/>
                <w:bCs/>
                <w:i/>
                <w:sz w:val="22"/>
                <w:szCs w:val="22"/>
              </w:rPr>
              <w:t>ation</w:t>
            </w:r>
            <w:r w:rsidRPr="00270627">
              <w:rPr>
                <w:rFonts w:ascii="Calibri" w:hAnsi="Calibri"/>
                <w:b/>
                <w:bCs/>
                <w:sz w:val="22"/>
                <w:szCs w:val="22"/>
              </w:rPr>
              <w:t xml:space="preserve"> (D.D.C. 2017).</w:t>
            </w:r>
          </w:p>
        </w:tc>
      </w:tr>
      <w:tr w:rsidR="00070F98" w:rsidRPr="0010708E" w14:paraId="5E85EDFD" w14:textId="77777777" w:rsidTr="00093B76">
        <w:trPr>
          <w:trHeight w:val="4795"/>
        </w:trPr>
        <w:tc>
          <w:tcPr>
            <w:tcW w:w="5904" w:type="dxa"/>
            <w:gridSpan w:val="2"/>
            <w:vAlign w:val="center"/>
          </w:tcPr>
          <w:p w14:paraId="5C073876" w14:textId="77777777" w:rsidR="00070F98" w:rsidRPr="009354A5"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Isn’t the </w:t>
            </w:r>
            <w:r w:rsidRPr="00270627">
              <w:rPr>
                <w:rFonts w:ascii="Calibri" w:hAnsi="Calibri"/>
                <w:b/>
                <w:bCs/>
                <w:sz w:val="28"/>
                <w:szCs w:val="28"/>
              </w:rPr>
              <w:t xml:space="preserve">D.C. Circuit’s decision in </w:t>
            </w:r>
            <w:r w:rsidRPr="00270627">
              <w:rPr>
                <w:rFonts w:ascii="Calibri" w:hAnsi="Calibri"/>
                <w:b/>
                <w:bCs/>
                <w:i/>
                <w:sz w:val="28"/>
                <w:szCs w:val="28"/>
              </w:rPr>
              <w:t>Rail Freight</w:t>
            </w:r>
            <w:r>
              <w:rPr>
                <w:rFonts w:ascii="Calibri" w:hAnsi="Calibri"/>
                <w:b/>
                <w:bCs/>
                <w:sz w:val="28"/>
                <w:szCs w:val="28"/>
              </w:rPr>
              <w:t xml:space="preserve"> distinguishable?</w:t>
            </w:r>
          </w:p>
        </w:tc>
        <w:tc>
          <w:tcPr>
            <w:tcW w:w="5904" w:type="dxa"/>
            <w:gridSpan w:val="2"/>
            <w:vAlign w:val="center"/>
          </w:tcPr>
          <w:p w14:paraId="1C0DF53D" w14:textId="77777777" w:rsidR="00070F98" w:rsidRPr="00270627"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While </w:t>
            </w:r>
            <w:r>
              <w:rPr>
                <w:rFonts w:ascii="Calibri" w:hAnsi="Calibri"/>
                <w:b/>
                <w:bCs/>
                <w:i/>
                <w:sz w:val="22"/>
                <w:szCs w:val="22"/>
              </w:rPr>
              <w:t>Rail Freight</w:t>
            </w:r>
            <w:r>
              <w:rPr>
                <w:rFonts w:ascii="Calibri" w:hAnsi="Calibri"/>
                <w:b/>
                <w:bCs/>
                <w:sz w:val="22"/>
                <w:szCs w:val="22"/>
              </w:rPr>
              <w:t xml:space="preserve"> (D.C. 2013) involved different facts, its legal conclusions are particularly illustrative in this case.  </w:t>
            </w:r>
            <w:r w:rsidRPr="00270627">
              <w:rPr>
                <w:rFonts w:ascii="Calibri" w:hAnsi="Calibri"/>
                <w:b/>
                <w:bCs/>
                <w:sz w:val="22"/>
                <w:szCs w:val="22"/>
              </w:rPr>
              <w:t xml:space="preserve">That case involved allegations of a conspiracy among the major freight railroads to impose fuel surcharges, and the key issue was whether “separate trials are needed to distinguish the shippers the alleged conspiracy injured from those it did not.” </w:t>
            </w:r>
            <w:r w:rsidRPr="00270627">
              <w:rPr>
                <w:rFonts w:ascii="Calibri" w:hAnsi="Calibri"/>
                <w:b/>
                <w:bCs/>
                <w:i/>
                <w:sz w:val="22"/>
                <w:szCs w:val="22"/>
              </w:rPr>
              <w:t>Id.</w:t>
            </w:r>
            <w:r w:rsidRPr="00270627">
              <w:rPr>
                <w:rFonts w:ascii="Calibri" w:hAnsi="Calibri"/>
                <w:b/>
                <w:bCs/>
                <w:sz w:val="22"/>
                <w:szCs w:val="22"/>
              </w:rPr>
              <w:t xml:space="preserve"> The plaintiffs offered two, fully realized models with impressive damages estimates, and the district court (applying pre-</w:t>
            </w:r>
            <w:r w:rsidRPr="00270627">
              <w:rPr>
                <w:rFonts w:ascii="Calibri" w:hAnsi="Calibri"/>
                <w:b/>
                <w:bCs/>
                <w:i/>
                <w:sz w:val="22"/>
                <w:szCs w:val="22"/>
              </w:rPr>
              <w:t>Comcast</w:t>
            </w:r>
            <w:r w:rsidRPr="00270627">
              <w:rPr>
                <w:rFonts w:ascii="Calibri" w:hAnsi="Calibri"/>
                <w:b/>
                <w:bCs/>
                <w:sz w:val="22"/>
                <w:szCs w:val="22"/>
              </w:rPr>
              <w:t xml:space="preserve"> legal standards) initially certified the class. </w:t>
            </w:r>
            <w:r>
              <w:rPr>
                <w:rFonts w:ascii="Calibri" w:hAnsi="Calibri"/>
                <w:b/>
                <w:bCs/>
                <w:sz w:val="22"/>
                <w:szCs w:val="22"/>
              </w:rPr>
              <w:t>But t</w:t>
            </w:r>
            <w:r w:rsidRPr="00270627">
              <w:rPr>
                <w:rFonts w:ascii="Calibri" w:hAnsi="Calibri"/>
                <w:b/>
                <w:bCs/>
                <w:sz w:val="22"/>
                <w:szCs w:val="22"/>
              </w:rPr>
              <w:t>he D.C. Circuit vacated that decision</w:t>
            </w:r>
            <w:r>
              <w:rPr>
                <w:rFonts w:ascii="Calibri" w:hAnsi="Calibri"/>
                <w:b/>
                <w:bCs/>
                <w:sz w:val="22"/>
                <w:szCs w:val="22"/>
              </w:rPr>
              <w:t xml:space="preserve"> because Rule 23 not only authorized but clearly requires</w:t>
            </w:r>
            <w:r w:rsidRPr="00270627">
              <w:rPr>
                <w:rFonts w:ascii="Calibri" w:hAnsi="Calibri"/>
                <w:b/>
                <w:bCs/>
                <w:sz w:val="22"/>
                <w:szCs w:val="22"/>
              </w:rPr>
              <w:t xml:space="preserve"> </w:t>
            </w:r>
            <w:r>
              <w:rPr>
                <w:rFonts w:ascii="Calibri" w:hAnsi="Calibri"/>
                <w:b/>
                <w:bCs/>
                <w:sz w:val="22"/>
                <w:szCs w:val="22"/>
              </w:rPr>
              <w:t>“</w:t>
            </w:r>
            <w:r w:rsidRPr="00270627">
              <w:rPr>
                <w:rFonts w:ascii="Calibri" w:hAnsi="Calibri"/>
                <w:b/>
                <w:bCs/>
                <w:sz w:val="22"/>
                <w:szCs w:val="22"/>
              </w:rPr>
              <w:t>a hard look at the soundness of statistical models that purport to show predominance</w:t>
            </w:r>
            <w:r>
              <w:rPr>
                <w:rFonts w:ascii="Calibri" w:hAnsi="Calibri"/>
                <w:b/>
                <w:bCs/>
                <w:sz w:val="22"/>
                <w:szCs w:val="22"/>
              </w:rPr>
              <w:t>,</w:t>
            </w:r>
            <w:r w:rsidRPr="00270627">
              <w:rPr>
                <w:rFonts w:ascii="Calibri" w:hAnsi="Calibri"/>
                <w:b/>
                <w:bCs/>
                <w:sz w:val="22"/>
                <w:szCs w:val="22"/>
              </w:rPr>
              <w:t>”</w:t>
            </w:r>
            <w:r>
              <w:rPr>
                <w:rFonts w:ascii="Calibri" w:hAnsi="Calibri"/>
                <w:b/>
                <w:bCs/>
                <w:sz w:val="22"/>
                <w:szCs w:val="22"/>
              </w:rPr>
              <w:t xml:space="preserve"> which the district court failed to do, and</w:t>
            </w:r>
            <w:r w:rsidRPr="00270627">
              <w:rPr>
                <w:rFonts w:ascii="Calibri" w:hAnsi="Calibri"/>
                <w:b/>
                <w:bCs/>
                <w:sz w:val="22"/>
                <w:szCs w:val="22"/>
              </w:rPr>
              <w:t xml:space="preserve"> second because the models in question appeared to generate “false positives” findings of injury where, under plaintiffs’ own theory of the case, none should exist. </w:t>
            </w:r>
            <w:r w:rsidRPr="0038418E">
              <w:rPr>
                <w:rFonts w:ascii="Calibri" w:hAnsi="Calibri"/>
                <w:b/>
                <w:bCs/>
                <w:i/>
                <w:sz w:val="22"/>
                <w:szCs w:val="22"/>
              </w:rPr>
              <w:t>Id.</w:t>
            </w:r>
            <w:r w:rsidRPr="00270627">
              <w:rPr>
                <w:rFonts w:ascii="Calibri" w:hAnsi="Calibri"/>
                <w:b/>
                <w:bCs/>
                <w:sz w:val="22"/>
                <w:szCs w:val="22"/>
              </w:rPr>
              <w:t xml:space="preserve"> at 253.</w:t>
            </w:r>
          </w:p>
        </w:tc>
      </w:tr>
      <w:tr w:rsidR="00070F98" w:rsidRPr="0010708E" w14:paraId="1E581893" w14:textId="77777777" w:rsidTr="00093B76">
        <w:trPr>
          <w:trHeight w:val="4795"/>
        </w:trPr>
        <w:tc>
          <w:tcPr>
            <w:tcW w:w="5904" w:type="dxa"/>
            <w:gridSpan w:val="2"/>
            <w:vAlign w:val="center"/>
          </w:tcPr>
          <w:p w14:paraId="5307F207" w14:textId="77777777" w:rsidR="00070F98" w:rsidRPr="003E1E77"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Your lead case for why plaintiffs must deliver a working model at the class certification stage is </w:t>
            </w:r>
            <w:r>
              <w:rPr>
                <w:rFonts w:ascii="Calibri" w:hAnsi="Calibri"/>
                <w:b/>
                <w:bCs/>
                <w:i/>
                <w:sz w:val="28"/>
                <w:szCs w:val="28"/>
              </w:rPr>
              <w:t>Comcast</w:t>
            </w:r>
            <w:r>
              <w:rPr>
                <w:rFonts w:ascii="Calibri" w:hAnsi="Calibri"/>
                <w:b/>
                <w:bCs/>
                <w:sz w:val="28"/>
                <w:szCs w:val="28"/>
              </w:rPr>
              <w:t xml:space="preserve">, but as Justice Ginsburg noted in her dissent, that case </w:t>
            </w:r>
            <w:r w:rsidRPr="003E1E77">
              <w:rPr>
                <w:rFonts w:ascii="Calibri" w:hAnsi="Calibri"/>
                <w:b/>
                <w:bCs/>
                <w:sz w:val="28"/>
                <w:szCs w:val="28"/>
              </w:rPr>
              <w:t xml:space="preserve">did not </w:t>
            </w:r>
            <w:r>
              <w:rPr>
                <w:rFonts w:ascii="Calibri" w:hAnsi="Calibri"/>
                <w:b/>
                <w:bCs/>
                <w:sz w:val="28"/>
                <w:szCs w:val="28"/>
              </w:rPr>
              <w:t>require plaintiffs to</w:t>
            </w:r>
            <w:r w:rsidRPr="003E1E77">
              <w:rPr>
                <w:rFonts w:ascii="Calibri" w:hAnsi="Calibri"/>
                <w:b/>
                <w:bCs/>
                <w:sz w:val="28"/>
                <w:szCs w:val="28"/>
              </w:rPr>
              <w:t xml:space="preserve"> show at class certification that damages attributable to class-wide injury</w:t>
            </w:r>
            <w:r>
              <w:rPr>
                <w:rFonts w:ascii="Calibri" w:hAnsi="Calibri"/>
                <w:b/>
                <w:bCs/>
                <w:sz w:val="28"/>
                <w:szCs w:val="28"/>
              </w:rPr>
              <w:t xml:space="preserve"> are measurable on a class-wide basis. That principle was uncontested right? </w:t>
            </w:r>
          </w:p>
        </w:tc>
        <w:tc>
          <w:tcPr>
            <w:tcW w:w="5904" w:type="dxa"/>
            <w:gridSpan w:val="2"/>
            <w:vAlign w:val="center"/>
          </w:tcPr>
          <w:p w14:paraId="72DCDEB1" w14:textId="77777777" w:rsidR="00070F98" w:rsidRPr="002F722A" w:rsidRDefault="00070F98" w:rsidP="00070F98">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[Explain.]</w:t>
            </w:r>
          </w:p>
        </w:tc>
      </w:tr>
      <w:tr w:rsidR="00070F98" w:rsidRPr="0010708E" w14:paraId="0BF8F614" w14:textId="77777777" w:rsidTr="00093B76">
        <w:trPr>
          <w:trHeight w:val="4795"/>
        </w:trPr>
        <w:tc>
          <w:tcPr>
            <w:tcW w:w="5904" w:type="dxa"/>
            <w:gridSpan w:val="2"/>
            <w:vAlign w:val="center"/>
          </w:tcPr>
          <w:p w14:paraId="34B38503" w14:textId="77777777" w:rsidR="00070F98" w:rsidRPr="002F722A"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does </w:t>
            </w:r>
            <w:r>
              <w:rPr>
                <w:rFonts w:ascii="Calibri" w:hAnsi="Calibri"/>
                <w:b/>
                <w:bCs/>
                <w:i/>
                <w:sz w:val="28"/>
                <w:szCs w:val="28"/>
              </w:rPr>
              <w:t xml:space="preserve">Comcast </w:t>
            </w:r>
            <w:r>
              <w:rPr>
                <w:rFonts w:ascii="Calibri" w:hAnsi="Calibri"/>
                <w:b/>
                <w:bCs/>
                <w:sz w:val="28"/>
                <w:szCs w:val="28"/>
              </w:rPr>
              <w:t>(U.S. 2013) support your argument that plaintiffs’ expert’s “but for” models were insufficient to survive class certification?</w:t>
            </w:r>
          </w:p>
        </w:tc>
        <w:tc>
          <w:tcPr>
            <w:tcW w:w="5904" w:type="dxa"/>
            <w:gridSpan w:val="2"/>
            <w:vAlign w:val="center"/>
          </w:tcPr>
          <w:p w14:paraId="6602941C" w14:textId="77777777" w:rsidR="00070F98" w:rsidRDefault="00070F98" w:rsidP="00070F98">
            <w:pPr>
              <w:pStyle w:val="O-BodyText"/>
              <w:spacing w:afterLines="120" w:after="288"/>
              <w:ind w:right="162"/>
              <w:rPr>
                <w:rFonts w:ascii="Calibri" w:hAnsi="Calibri"/>
                <w:b/>
                <w:bCs/>
                <w:sz w:val="22"/>
                <w:szCs w:val="22"/>
                <w:highlight w:val="yellow"/>
              </w:rPr>
            </w:pPr>
            <w:r w:rsidRPr="00AA69E4">
              <w:rPr>
                <w:rFonts w:ascii="Calibri" w:hAnsi="Calibri"/>
                <w:b/>
                <w:bCs/>
                <w:i/>
                <w:sz w:val="22"/>
                <w:szCs w:val="22"/>
              </w:rPr>
              <w:t>Comcast</w:t>
            </w:r>
            <w:r>
              <w:rPr>
                <w:rFonts w:ascii="Calibri" w:hAnsi="Calibri"/>
                <w:b/>
                <w:bCs/>
                <w:sz w:val="22"/>
                <w:szCs w:val="22"/>
              </w:rPr>
              <w:t xml:space="preserve"> articulates loud and clear the vital role of a plaintiffs’ developed models and the district court’s rigorous scrutiny in modern antitrust class certification cases. </w:t>
            </w:r>
          </w:p>
        </w:tc>
      </w:tr>
      <w:tr w:rsidR="00070F98" w:rsidRPr="0010708E" w14:paraId="1673CAAB" w14:textId="77777777" w:rsidTr="00093B76">
        <w:trPr>
          <w:trHeight w:val="4795"/>
        </w:trPr>
        <w:tc>
          <w:tcPr>
            <w:tcW w:w="5904" w:type="dxa"/>
            <w:gridSpan w:val="2"/>
            <w:vAlign w:val="center"/>
          </w:tcPr>
          <w:p w14:paraId="69051310" w14:textId="77777777" w:rsidR="00070F98" w:rsidRPr="00AA69E4"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Can you summarize the relevant </w:t>
            </w:r>
            <w:r>
              <w:rPr>
                <w:rFonts w:ascii="Calibri" w:hAnsi="Calibri"/>
                <w:b/>
                <w:bCs/>
                <w:i/>
                <w:sz w:val="28"/>
                <w:szCs w:val="28"/>
              </w:rPr>
              <w:t xml:space="preserve">Comcast </w:t>
            </w:r>
            <w:r>
              <w:rPr>
                <w:rFonts w:ascii="Calibri" w:hAnsi="Calibri"/>
                <w:b/>
                <w:bCs/>
                <w:sz w:val="28"/>
                <w:szCs w:val="28"/>
              </w:rPr>
              <w:t>facts for the Court?</w:t>
            </w:r>
          </w:p>
        </w:tc>
        <w:tc>
          <w:tcPr>
            <w:tcW w:w="5904" w:type="dxa"/>
            <w:gridSpan w:val="2"/>
            <w:vAlign w:val="center"/>
          </w:tcPr>
          <w:p w14:paraId="02B936B1" w14:textId="77777777" w:rsidR="00070F98" w:rsidRDefault="00070F98" w:rsidP="00070F98">
            <w:pPr>
              <w:pStyle w:val="O-BodyText"/>
              <w:spacing w:afterLines="120" w:after="288"/>
              <w:ind w:right="162"/>
              <w:rPr>
                <w:rFonts w:ascii="Calibri" w:hAnsi="Calibri"/>
                <w:b/>
                <w:bCs/>
                <w:sz w:val="22"/>
                <w:szCs w:val="22"/>
                <w:highlight w:val="yellow"/>
              </w:rPr>
            </w:pPr>
            <w:r w:rsidRPr="00AA69E4">
              <w:rPr>
                <w:rFonts w:ascii="Calibri" w:hAnsi="Calibri"/>
                <w:b/>
                <w:bCs/>
                <w:sz w:val="22"/>
                <w:szCs w:val="22"/>
              </w:rPr>
              <w:t xml:space="preserve">In </w:t>
            </w:r>
            <w:r w:rsidRPr="00AA69E4">
              <w:rPr>
                <w:rFonts w:ascii="Calibri" w:hAnsi="Calibri"/>
                <w:b/>
                <w:bCs/>
                <w:i/>
                <w:sz w:val="22"/>
                <w:szCs w:val="22"/>
              </w:rPr>
              <w:t>Comcast</w:t>
            </w:r>
            <w:r w:rsidRPr="00AA69E4">
              <w:rPr>
                <w:rFonts w:ascii="Calibri" w:hAnsi="Calibri"/>
                <w:b/>
                <w:bCs/>
                <w:sz w:val="22"/>
                <w:szCs w:val="22"/>
              </w:rPr>
              <w:t xml:space="preserve"> (U.S. 2013) the plaintiffs moved for class certification with a fully realized </w:t>
            </w:r>
            <w:proofErr w:type="spellStart"/>
            <w:r w:rsidRPr="00AA69E4">
              <w:rPr>
                <w:rFonts w:ascii="Calibri" w:hAnsi="Calibri"/>
                <w:b/>
                <w:bCs/>
                <w:sz w:val="22"/>
                <w:szCs w:val="22"/>
              </w:rPr>
              <w:t>classwide</w:t>
            </w:r>
            <w:proofErr w:type="spellEnd"/>
            <w:r w:rsidRPr="00AA69E4">
              <w:rPr>
                <w:rFonts w:ascii="Calibri" w:hAnsi="Calibri"/>
                <w:b/>
                <w:bCs/>
                <w:sz w:val="22"/>
                <w:szCs w:val="22"/>
              </w:rPr>
              <w:t xml:space="preserve"> damages model: “a regression model comparing actual cable prices in the Philadelphia DMA with hypothetical prices that would have prevailed but for petitioners’ allegedly anticompetitive activities. The model calculated damages of $875,576,662 for the entire class.” </w:t>
            </w:r>
            <w:r w:rsidRPr="00AA69E4">
              <w:rPr>
                <w:rFonts w:ascii="Calibri" w:hAnsi="Calibri"/>
                <w:b/>
                <w:bCs/>
                <w:i/>
                <w:sz w:val="22"/>
                <w:szCs w:val="22"/>
              </w:rPr>
              <w:t>Id.</w:t>
            </w:r>
            <w:r w:rsidRPr="00AA69E4">
              <w:rPr>
                <w:rFonts w:ascii="Calibri" w:hAnsi="Calibri"/>
                <w:b/>
                <w:bCs/>
                <w:sz w:val="22"/>
                <w:szCs w:val="22"/>
              </w:rPr>
              <w:t xml:space="preserve">  The lower courts accepted the model uncritically</w:t>
            </w:r>
            <w:r>
              <w:rPr>
                <w:rFonts w:ascii="Calibri" w:hAnsi="Calibri"/>
                <w:b/>
                <w:bCs/>
                <w:sz w:val="22"/>
                <w:szCs w:val="22"/>
              </w:rPr>
              <w:t>—</w:t>
            </w:r>
            <w:r w:rsidRPr="00AA69E4">
              <w:rPr>
                <w:rFonts w:ascii="Calibri" w:hAnsi="Calibri"/>
                <w:b/>
                <w:bCs/>
                <w:sz w:val="22"/>
                <w:szCs w:val="22"/>
              </w:rPr>
              <w:t xml:space="preserve">which the Supreme Court </w:t>
            </w:r>
            <w:r>
              <w:rPr>
                <w:rFonts w:ascii="Calibri" w:hAnsi="Calibri"/>
                <w:b/>
                <w:bCs/>
                <w:sz w:val="22"/>
                <w:szCs w:val="22"/>
              </w:rPr>
              <w:t xml:space="preserve">ultimately </w:t>
            </w:r>
            <w:r w:rsidRPr="00AA69E4">
              <w:rPr>
                <w:rFonts w:ascii="Calibri" w:hAnsi="Calibri"/>
                <w:b/>
                <w:bCs/>
                <w:sz w:val="22"/>
                <w:szCs w:val="22"/>
              </w:rPr>
              <w:t>held was legal error</w:t>
            </w:r>
            <w:r>
              <w:rPr>
                <w:rFonts w:ascii="Calibri" w:hAnsi="Calibri"/>
                <w:b/>
                <w:bCs/>
                <w:sz w:val="22"/>
                <w:szCs w:val="22"/>
              </w:rPr>
              <w:t>—but also partially granted summary judgment for the defendants, allowing plaintiffs to proceed on just one of the four theories of antitrust liability that they had proposed</w:t>
            </w:r>
            <w:r w:rsidRPr="00AA69E4">
              <w:rPr>
                <w:rFonts w:ascii="Calibri" w:hAnsi="Calibri"/>
                <w:b/>
                <w:bCs/>
                <w:sz w:val="22"/>
                <w:szCs w:val="22"/>
              </w:rPr>
              <w:t xml:space="preserve">. </w:t>
            </w:r>
            <w:r w:rsidRPr="00AA69E4">
              <w:rPr>
                <w:rFonts w:ascii="Calibri" w:hAnsi="Calibri"/>
                <w:b/>
                <w:bCs/>
                <w:i/>
                <w:sz w:val="22"/>
                <w:szCs w:val="22"/>
              </w:rPr>
              <w:t>Id.</w:t>
            </w:r>
            <w:r w:rsidRPr="00AA69E4">
              <w:rPr>
                <w:rFonts w:ascii="Calibri" w:hAnsi="Calibri"/>
                <w:b/>
                <w:bCs/>
                <w:sz w:val="22"/>
                <w:szCs w:val="22"/>
              </w:rPr>
              <w:t xml:space="preserve"> </w:t>
            </w:r>
          </w:p>
        </w:tc>
      </w:tr>
      <w:tr w:rsidR="00070F98" w:rsidRPr="0010708E" w14:paraId="36508F60" w14:textId="77777777" w:rsidTr="00093B76">
        <w:trPr>
          <w:trHeight w:val="4795"/>
        </w:trPr>
        <w:tc>
          <w:tcPr>
            <w:tcW w:w="5904" w:type="dxa"/>
            <w:gridSpan w:val="2"/>
            <w:vAlign w:val="center"/>
          </w:tcPr>
          <w:p w14:paraId="7332B599" w14:textId="77777777" w:rsidR="00070F98" w:rsidRPr="00AA69E4"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What did </w:t>
            </w:r>
            <w:r>
              <w:rPr>
                <w:rFonts w:ascii="Calibri" w:hAnsi="Calibri"/>
                <w:b/>
                <w:bCs/>
                <w:i/>
                <w:sz w:val="28"/>
                <w:szCs w:val="28"/>
              </w:rPr>
              <w:t>Comcast</w:t>
            </w:r>
            <w:r>
              <w:rPr>
                <w:rFonts w:ascii="Calibri" w:hAnsi="Calibri"/>
                <w:b/>
                <w:bCs/>
                <w:sz w:val="28"/>
                <w:szCs w:val="28"/>
              </w:rPr>
              <w:t xml:space="preserve"> hold?</w:t>
            </w:r>
          </w:p>
        </w:tc>
        <w:tc>
          <w:tcPr>
            <w:tcW w:w="5904" w:type="dxa"/>
            <w:gridSpan w:val="2"/>
            <w:vAlign w:val="center"/>
          </w:tcPr>
          <w:p w14:paraId="7B6D9741" w14:textId="77777777" w:rsidR="00070F98" w:rsidRPr="00DB1723" w:rsidRDefault="00070F98" w:rsidP="00070F98">
            <w:pPr>
              <w:pStyle w:val="O-BodyText"/>
              <w:spacing w:afterLines="120" w:after="288"/>
              <w:ind w:right="162"/>
              <w:rPr>
                <w:rFonts w:ascii="Calibri" w:hAnsi="Calibri"/>
                <w:b/>
                <w:bCs/>
                <w:sz w:val="22"/>
                <w:szCs w:val="22"/>
                <w:highlight w:val="yellow"/>
              </w:rPr>
            </w:pPr>
            <w:r w:rsidRPr="00AA69E4">
              <w:rPr>
                <w:rFonts w:ascii="Calibri" w:hAnsi="Calibri"/>
                <w:b/>
                <w:bCs/>
                <w:sz w:val="22"/>
                <w:szCs w:val="22"/>
              </w:rPr>
              <w:t xml:space="preserve">Because </w:t>
            </w:r>
            <w:r>
              <w:rPr>
                <w:rFonts w:ascii="Calibri" w:hAnsi="Calibri"/>
                <w:b/>
                <w:bCs/>
                <w:sz w:val="22"/>
                <w:szCs w:val="22"/>
              </w:rPr>
              <w:t>plaintiffs</w:t>
            </w:r>
            <w:r w:rsidRPr="00AA69E4">
              <w:rPr>
                <w:rFonts w:ascii="Calibri" w:hAnsi="Calibri"/>
                <w:b/>
                <w:bCs/>
                <w:sz w:val="22"/>
                <w:szCs w:val="22"/>
              </w:rPr>
              <w:t xml:space="preserve"> model failed to isolate the damages from the single liability theory that had survived summary judgment, the model offered fell “far short of establishing that damages are capable of measurement on a </w:t>
            </w:r>
            <w:proofErr w:type="spellStart"/>
            <w:r w:rsidRPr="00AA69E4">
              <w:rPr>
                <w:rFonts w:ascii="Calibri" w:hAnsi="Calibri"/>
                <w:b/>
                <w:bCs/>
                <w:sz w:val="22"/>
                <w:szCs w:val="22"/>
              </w:rPr>
              <w:t>classwide</w:t>
            </w:r>
            <w:proofErr w:type="spellEnd"/>
            <w:r w:rsidRPr="00AA69E4">
              <w:rPr>
                <w:rFonts w:ascii="Calibri" w:hAnsi="Calibri"/>
                <w:b/>
                <w:bCs/>
                <w:sz w:val="22"/>
                <w:szCs w:val="22"/>
              </w:rPr>
              <w:t xml:space="preserve"> basis.” </w:t>
            </w:r>
            <w:r w:rsidRPr="00D35D89">
              <w:rPr>
                <w:rFonts w:ascii="Calibri" w:hAnsi="Calibri"/>
                <w:b/>
                <w:bCs/>
                <w:i/>
                <w:sz w:val="22"/>
                <w:szCs w:val="22"/>
              </w:rPr>
              <w:t>Id.</w:t>
            </w:r>
            <w:r w:rsidRPr="00AA69E4">
              <w:rPr>
                <w:rFonts w:ascii="Calibri" w:hAnsi="Calibri"/>
                <w:b/>
                <w:bCs/>
                <w:sz w:val="22"/>
                <w:szCs w:val="22"/>
              </w:rPr>
              <w:t xml:space="preserve"> “In light of the model’s inability to bridge the differences between supra-competitive prices in general and supra-competitive prices attributable to the deterrence of overbuilding, Rule 23(b)(3) cannot authorize treating subscribers within the Philadelphia cluster as members of a single class.” </w:t>
            </w:r>
            <w:r w:rsidRPr="00DB1723">
              <w:rPr>
                <w:rFonts w:ascii="Calibri" w:hAnsi="Calibri"/>
                <w:b/>
                <w:bCs/>
                <w:i/>
                <w:sz w:val="22"/>
                <w:szCs w:val="22"/>
              </w:rPr>
              <w:t>Id</w:t>
            </w:r>
            <w:r>
              <w:rPr>
                <w:rFonts w:ascii="Calibri" w:hAnsi="Calibri"/>
                <w:b/>
                <w:bCs/>
                <w:i/>
                <w:sz w:val="22"/>
                <w:szCs w:val="22"/>
              </w:rPr>
              <w:t>.</w:t>
            </w:r>
            <w:r>
              <w:rPr>
                <w:rFonts w:ascii="Calibri" w:hAnsi="Calibri"/>
                <w:b/>
                <w:bCs/>
                <w:sz w:val="22"/>
                <w:szCs w:val="22"/>
              </w:rPr>
              <w:t xml:space="preserve"> </w:t>
            </w:r>
          </w:p>
        </w:tc>
      </w:tr>
      <w:tr w:rsidR="00070F98" w:rsidRPr="0010708E" w14:paraId="6C1D7006" w14:textId="77777777" w:rsidTr="00093B76">
        <w:trPr>
          <w:trHeight w:val="4795"/>
        </w:trPr>
        <w:tc>
          <w:tcPr>
            <w:tcW w:w="5904" w:type="dxa"/>
            <w:gridSpan w:val="2"/>
            <w:vAlign w:val="center"/>
          </w:tcPr>
          <w:p w14:paraId="4B992BF8"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Can you explain how the district court’s decision was in line with </w:t>
            </w:r>
            <w:r w:rsidRPr="00DB1723">
              <w:rPr>
                <w:rFonts w:ascii="Calibri" w:hAnsi="Calibri"/>
                <w:b/>
                <w:bCs/>
                <w:i/>
                <w:sz w:val="28"/>
                <w:szCs w:val="28"/>
              </w:rPr>
              <w:t>Comcast</w:t>
            </w:r>
            <w:r>
              <w:rPr>
                <w:rFonts w:ascii="Calibri" w:hAnsi="Calibri"/>
                <w:b/>
                <w:bCs/>
                <w:sz w:val="28"/>
                <w:szCs w:val="28"/>
              </w:rPr>
              <w:t xml:space="preserve"> and other Supreme Court antitrust cases?</w:t>
            </w:r>
          </w:p>
        </w:tc>
        <w:tc>
          <w:tcPr>
            <w:tcW w:w="5904" w:type="dxa"/>
            <w:gridSpan w:val="2"/>
            <w:vAlign w:val="center"/>
          </w:tcPr>
          <w:p w14:paraId="4E38979E" w14:textId="77777777" w:rsidR="00070F98" w:rsidRPr="00AA69E4"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T</w:t>
            </w:r>
            <w:r w:rsidRPr="00DB1723">
              <w:rPr>
                <w:rFonts w:ascii="Calibri" w:hAnsi="Calibri"/>
                <w:b/>
                <w:bCs/>
                <w:sz w:val="22"/>
                <w:szCs w:val="22"/>
              </w:rPr>
              <w:t>he district court did exactly what these clear and binding recent Supreme Court precedents required. It demanded a model that was sufficiently developed to permit rigorous scrutiny.</w:t>
            </w:r>
            <w:r>
              <w:rPr>
                <w:rFonts w:ascii="Calibri" w:hAnsi="Calibri"/>
                <w:b/>
                <w:bCs/>
                <w:sz w:val="22"/>
                <w:szCs w:val="22"/>
              </w:rPr>
              <w:t xml:space="preserve"> </w:t>
            </w:r>
            <w:r w:rsidRPr="00D76A7A">
              <w:rPr>
                <w:rFonts w:ascii="Calibri" w:hAnsi="Calibri"/>
                <w:b/>
                <w:bCs/>
                <w:sz w:val="22"/>
                <w:szCs w:val="22"/>
              </w:rPr>
              <w:t xml:space="preserve">The district court rightly refused to do what the district judge in </w:t>
            </w:r>
            <w:proofErr w:type="gramStart"/>
            <w:r w:rsidRPr="00D76A7A">
              <w:rPr>
                <w:rFonts w:ascii="Calibri" w:hAnsi="Calibri"/>
                <w:b/>
                <w:bCs/>
                <w:i/>
                <w:sz w:val="22"/>
                <w:szCs w:val="22"/>
              </w:rPr>
              <w:t>In</w:t>
            </w:r>
            <w:proofErr w:type="gramEnd"/>
            <w:r w:rsidRPr="00D76A7A">
              <w:rPr>
                <w:rFonts w:ascii="Calibri" w:hAnsi="Calibri"/>
                <w:b/>
                <w:bCs/>
                <w:i/>
                <w:sz w:val="22"/>
                <w:szCs w:val="22"/>
              </w:rPr>
              <w:t xml:space="preserve"> re Hotel Charges</w:t>
            </w:r>
            <w:r w:rsidRPr="00D76A7A">
              <w:rPr>
                <w:rFonts w:ascii="Calibri" w:hAnsi="Calibri"/>
                <w:b/>
                <w:bCs/>
                <w:sz w:val="22"/>
                <w:szCs w:val="22"/>
              </w:rPr>
              <w:t xml:space="preserve"> </w:t>
            </w:r>
            <w:r>
              <w:rPr>
                <w:rFonts w:ascii="Calibri" w:hAnsi="Calibri"/>
                <w:b/>
                <w:bCs/>
                <w:sz w:val="22"/>
                <w:szCs w:val="22"/>
              </w:rPr>
              <w:t xml:space="preserve">(9th 1974) </w:t>
            </w:r>
            <w:r w:rsidRPr="00D76A7A">
              <w:rPr>
                <w:rFonts w:ascii="Calibri" w:hAnsi="Calibri"/>
                <w:b/>
                <w:bCs/>
                <w:sz w:val="22"/>
                <w:szCs w:val="22"/>
              </w:rPr>
              <w:t xml:space="preserve">did. In that case, this Court reversed a district court’s certification grant where that court relied on the </w:t>
            </w:r>
            <w:r>
              <w:rPr>
                <w:rFonts w:ascii="Calibri" w:hAnsi="Calibri"/>
                <w:b/>
                <w:bCs/>
                <w:sz w:val="22"/>
                <w:szCs w:val="22"/>
              </w:rPr>
              <w:t>“</w:t>
            </w:r>
            <w:r w:rsidRPr="00D76A7A">
              <w:rPr>
                <w:rFonts w:ascii="Calibri" w:hAnsi="Calibri"/>
                <w:b/>
                <w:bCs/>
                <w:sz w:val="22"/>
                <w:szCs w:val="22"/>
              </w:rPr>
              <w:t>‘imagination’ of [plaintiffs’] counsel to provide solutions that will, at some point in the future,</w:t>
            </w:r>
            <w:r>
              <w:rPr>
                <w:rFonts w:ascii="Calibri" w:hAnsi="Calibri"/>
                <w:b/>
                <w:bCs/>
                <w:sz w:val="22"/>
                <w:szCs w:val="22"/>
              </w:rPr>
              <w:t xml:space="preserve">” become evident. To certify a class on that basis would fly in the face of the “rigorous analysis” required by </w:t>
            </w:r>
            <w:r w:rsidRPr="00D76A7A">
              <w:rPr>
                <w:rFonts w:ascii="Calibri" w:hAnsi="Calibri"/>
                <w:b/>
                <w:bCs/>
                <w:i/>
                <w:sz w:val="22"/>
                <w:szCs w:val="22"/>
              </w:rPr>
              <w:t>Wal-Mart</w:t>
            </w:r>
            <w:r>
              <w:rPr>
                <w:rFonts w:ascii="Calibri" w:hAnsi="Calibri"/>
                <w:b/>
                <w:bCs/>
                <w:sz w:val="22"/>
                <w:szCs w:val="22"/>
              </w:rPr>
              <w:t xml:space="preserve"> (U.S. 2011) and </w:t>
            </w:r>
            <w:r w:rsidRPr="00D76A7A">
              <w:rPr>
                <w:rFonts w:ascii="Calibri" w:hAnsi="Calibri"/>
                <w:b/>
                <w:bCs/>
                <w:i/>
                <w:sz w:val="22"/>
                <w:szCs w:val="22"/>
              </w:rPr>
              <w:t>Comcast</w:t>
            </w:r>
            <w:r>
              <w:rPr>
                <w:rFonts w:ascii="Calibri" w:hAnsi="Calibri"/>
                <w:b/>
                <w:bCs/>
                <w:sz w:val="22"/>
                <w:szCs w:val="22"/>
              </w:rPr>
              <w:t xml:space="preserve"> (U.S. 2013) at the time of certification.</w:t>
            </w:r>
          </w:p>
        </w:tc>
      </w:tr>
      <w:tr w:rsidR="00070F98" w:rsidRPr="0010708E" w14:paraId="1AA633D8" w14:textId="77777777" w:rsidTr="00093B76">
        <w:trPr>
          <w:trHeight w:val="4795"/>
        </w:trPr>
        <w:tc>
          <w:tcPr>
            <w:tcW w:w="5904" w:type="dxa"/>
            <w:gridSpan w:val="2"/>
            <w:vAlign w:val="center"/>
          </w:tcPr>
          <w:p w14:paraId="405F7809"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The district court said plaintiffs failed to present a “data-driven model” but this type of model is not specifically required by the rules or caselaw, right?</w:t>
            </w:r>
          </w:p>
        </w:tc>
        <w:tc>
          <w:tcPr>
            <w:tcW w:w="5904" w:type="dxa"/>
            <w:gridSpan w:val="2"/>
            <w:vAlign w:val="center"/>
          </w:tcPr>
          <w:p w14:paraId="298CD3CD"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No, these exact words are not mandated in the rule or Supreme Court cases, but practically speaking, </w:t>
            </w:r>
            <w:r w:rsidRPr="00DB1723">
              <w:rPr>
                <w:rFonts w:ascii="Calibri" w:hAnsi="Calibri"/>
                <w:b/>
                <w:bCs/>
                <w:sz w:val="22"/>
                <w:szCs w:val="22"/>
              </w:rPr>
              <w:t>there is no such thing as an injury and damages model that is not “data-driven.”</w:t>
            </w:r>
            <w:r>
              <w:rPr>
                <w:rFonts w:ascii="Calibri" w:hAnsi="Calibri"/>
                <w:b/>
                <w:bCs/>
                <w:sz w:val="22"/>
                <w:szCs w:val="22"/>
              </w:rPr>
              <w:t xml:space="preserve"> </w:t>
            </w:r>
          </w:p>
        </w:tc>
      </w:tr>
      <w:tr w:rsidR="00070F98" w:rsidRPr="0010708E" w14:paraId="445FFB5C" w14:textId="77777777" w:rsidTr="00093B76">
        <w:trPr>
          <w:trHeight w:val="4795"/>
        </w:trPr>
        <w:tc>
          <w:tcPr>
            <w:tcW w:w="5904" w:type="dxa"/>
            <w:gridSpan w:val="2"/>
            <w:vAlign w:val="center"/>
          </w:tcPr>
          <w:p w14:paraId="751FAD2C"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Could you elaborate on what you meant in your brief that there is no such thing as an injury and damages model that is not data-driven?</w:t>
            </w:r>
          </w:p>
        </w:tc>
        <w:tc>
          <w:tcPr>
            <w:tcW w:w="5904" w:type="dxa"/>
            <w:gridSpan w:val="2"/>
            <w:vAlign w:val="center"/>
          </w:tcPr>
          <w:p w14:paraId="5B436AAB"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highlight w:val="yellow"/>
              </w:rPr>
              <w:t>[</w:t>
            </w:r>
            <w:r w:rsidRPr="00F43A76">
              <w:rPr>
                <w:rFonts w:ascii="Calibri" w:hAnsi="Calibri"/>
                <w:b/>
                <w:bCs/>
                <w:sz w:val="22"/>
                <w:szCs w:val="22"/>
                <w:highlight w:val="yellow"/>
              </w:rPr>
              <w:t>Explain.</w:t>
            </w:r>
            <w:r>
              <w:rPr>
                <w:rFonts w:ascii="Calibri" w:hAnsi="Calibri"/>
                <w:b/>
                <w:bCs/>
                <w:sz w:val="22"/>
                <w:szCs w:val="22"/>
              </w:rPr>
              <w:t xml:space="preserve">] </w:t>
            </w:r>
          </w:p>
        </w:tc>
      </w:tr>
      <w:tr w:rsidR="00070F98" w:rsidRPr="0010708E" w14:paraId="4244D5C8" w14:textId="77777777" w:rsidTr="00093B76">
        <w:trPr>
          <w:trHeight w:val="4795"/>
        </w:trPr>
        <w:tc>
          <w:tcPr>
            <w:tcW w:w="5904" w:type="dxa"/>
            <w:gridSpan w:val="2"/>
            <w:vAlign w:val="center"/>
          </w:tcPr>
          <w:p w14:paraId="313ADF13"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Shouldn’t we find that plaintiffs met their predominance burden </w:t>
            </w:r>
            <w:proofErr w:type="gramStart"/>
            <w:r>
              <w:rPr>
                <w:rFonts w:ascii="Calibri" w:hAnsi="Calibri"/>
                <w:b/>
                <w:bCs/>
                <w:sz w:val="28"/>
                <w:szCs w:val="28"/>
              </w:rPr>
              <w:t>in light of</w:t>
            </w:r>
            <w:proofErr w:type="gramEnd"/>
            <w:r>
              <w:rPr>
                <w:rFonts w:ascii="Calibri" w:hAnsi="Calibri"/>
                <w:b/>
                <w:bCs/>
                <w:sz w:val="28"/>
                <w:szCs w:val="28"/>
              </w:rPr>
              <w:t xml:space="preserve"> the Supreme Court’s decision in </w:t>
            </w:r>
            <w:r w:rsidRPr="00D35D89">
              <w:rPr>
                <w:rFonts w:ascii="Calibri" w:hAnsi="Calibri"/>
                <w:b/>
                <w:bCs/>
                <w:i/>
                <w:sz w:val="28"/>
                <w:szCs w:val="28"/>
              </w:rPr>
              <w:t>Tyson Foods</w:t>
            </w:r>
            <w:r>
              <w:rPr>
                <w:rFonts w:ascii="Calibri" w:hAnsi="Calibri"/>
                <w:b/>
                <w:bCs/>
                <w:sz w:val="28"/>
                <w:szCs w:val="28"/>
              </w:rPr>
              <w:t>?</w:t>
            </w:r>
          </w:p>
        </w:tc>
        <w:tc>
          <w:tcPr>
            <w:tcW w:w="5904" w:type="dxa"/>
            <w:gridSpan w:val="2"/>
            <w:vAlign w:val="center"/>
          </w:tcPr>
          <w:p w14:paraId="3A8CAFE6" w14:textId="77777777" w:rsidR="00070F98" w:rsidRPr="00D35D89" w:rsidRDefault="00070F98" w:rsidP="00070F98">
            <w:pPr>
              <w:pStyle w:val="O-BodyText"/>
              <w:spacing w:afterLines="120" w:after="288"/>
              <w:ind w:right="162"/>
              <w:rPr>
                <w:rFonts w:ascii="Calibri" w:hAnsi="Calibri"/>
                <w:b/>
                <w:bCs/>
                <w:sz w:val="22"/>
                <w:szCs w:val="22"/>
                <w:highlight w:val="yellow"/>
              </w:rPr>
            </w:pPr>
            <w:r w:rsidRPr="00D35D89">
              <w:rPr>
                <w:rFonts w:ascii="Calibri" w:hAnsi="Calibri"/>
                <w:b/>
                <w:bCs/>
                <w:sz w:val="22"/>
                <w:szCs w:val="22"/>
                <w:highlight w:val="yellow"/>
              </w:rPr>
              <w:t xml:space="preserve">No. In </w:t>
            </w:r>
            <w:r w:rsidRPr="00D35D89">
              <w:rPr>
                <w:rFonts w:ascii="Calibri" w:hAnsi="Calibri"/>
                <w:b/>
                <w:bCs/>
                <w:i/>
                <w:sz w:val="22"/>
                <w:szCs w:val="22"/>
                <w:highlight w:val="yellow"/>
              </w:rPr>
              <w:t>Tyson Foods</w:t>
            </w:r>
            <w:r w:rsidRPr="00D35D89">
              <w:rPr>
                <w:rFonts w:ascii="Calibri" w:hAnsi="Calibri"/>
                <w:b/>
                <w:bCs/>
                <w:sz w:val="22"/>
                <w:szCs w:val="22"/>
                <w:highlight w:val="yellow"/>
              </w:rPr>
              <w:t xml:space="preserve">, the Court rejected the defendant’s argument that individual damages questions predominated where the plaintiffs failed to provide a mechanism to ensure that uninjured class members did not contribute to the size of any damage award and would not recover damages. The Court upheld certification of a class of workers claiming entitlement to overtime pay for time spent donning and doffing protective gear despite individual differences and a lack of records as to overtime spent because </w:t>
            </w:r>
            <w:r w:rsidRPr="00D35D89">
              <w:rPr>
                <w:rFonts w:ascii="Calibri" w:hAnsi="Calibri"/>
                <w:b/>
                <w:bCs/>
                <w:i/>
                <w:sz w:val="22"/>
                <w:szCs w:val="22"/>
                <w:highlight w:val="yellow"/>
              </w:rPr>
              <w:t>“[w]hen ‘one or more of the central issues in the action are common to the class and can be said to predominate</w:t>
            </w:r>
            <w:r w:rsidRPr="00D35D89">
              <w:rPr>
                <w:rFonts w:ascii="Calibri" w:hAnsi="Calibri"/>
                <w:b/>
                <w:bCs/>
                <w:sz w:val="22"/>
                <w:szCs w:val="22"/>
                <w:highlight w:val="yellow"/>
              </w:rPr>
              <w:t xml:space="preserve">, the action may be considered proper under Rule 23(b)(3) even though other important matters will have to be tried separately, such as damages or some affirmative defenses peculiar to some individual class members.’” </w:t>
            </w:r>
            <w:r w:rsidRPr="00D35D89">
              <w:rPr>
                <w:rFonts w:ascii="Calibri" w:hAnsi="Calibri"/>
                <w:b/>
                <w:bCs/>
                <w:i/>
                <w:sz w:val="22"/>
                <w:szCs w:val="22"/>
                <w:highlight w:val="yellow"/>
              </w:rPr>
              <w:t>Id.</w:t>
            </w:r>
            <w:r w:rsidRPr="00D35D89">
              <w:rPr>
                <w:rFonts w:ascii="Calibri" w:hAnsi="Calibri"/>
                <w:b/>
                <w:bCs/>
                <w:sz w:val="22"/>
                <w:szCs w:val="22"/>
                <w:highlight w:val="yellow"/>
              </w:rPr>
              <w:t xml:space="preserve"> </w:t>
            </w:r>
            <w:r>
              <w:rPr>
                <w:rFonts w:ascii="Calibri" w:hAnsi="Calibri"/>
                <w:b/>
                <w:bCs/>
                <w:sz w:val="22"/>
                <w:szCs w:val="22"/>
                <w:highlight w:val="yellow"/>
              </w:rPr>
              <w:t>Ward Br. 37-38.</w:t>
            </w:r>
          </w:p>
        </w:tc>
      </w:tr>
      <w:tr w:rsidR="00070F98" w:rsidRPr="0010708E" w14:paraId="6C128208" w14:textId="77777777" w:rsidTr="00093B76">
        <w:trPr>
          <w:trHeight w:val="4795"/>
        </w:trPr>
        <w:tc>
          <w:tcPr>
            <w:tcW w:w="5904" w:type="dxa"/>
            <w:gridSpan w:val="2"/>
            <w:vAlign w:val="center"/>
          </w:tcPr>
          <w:p w14:paraId="65CA4194"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How is your case distinguishable from our holding in </w:t>
            </w:r>
            <w:r w:rsidRPr="00D35D89">
              <w:rPr>
                <w:rFonts w:ascii="Calibri" w:hAnsi="Calibri"/>
                <w:b/>
                <w:bCs/>
                <w:i/>
                <w:sz w:val="28"/>
                <w:szCs w:val="28"/>
              </w:rPr>
              <w:t>Just Film</w:t>
            </w:r>
            <w:r>
              <w:rPr>
                <w:rFonts w:ascii="Calibri" w:hAnsi="Calibri"/>
                <w:b/>
                <w:bCs/>
                <w:sz w:val="28"/>
                <w:szCs w:val="28"/>
              </w:rPr>
              <w:t xml:space="preserve">, which held that plaintiffs need only show that damages are capable of measurement on a </w:t>
            </w:r>
            <w:proofErr w:type="spellStart"/>
            <w:r>
              <w:rPr>
                <w:rFonts w:ascii="Calibri" w:hAnsi="Calibri"/>
                <w:b/>
                <w:bCs/>
                <w:sz w:val="28"/>
                <w:szCs w:val="28"/>
              </w:rPr>
              <w:t>classwide</w:t>
            </w:r>
            <w:proofErr w:type="spellEnd"/>
            <w:r>
              <w:rPr>
                <w:rFonts w:ascii="Calibri" w:hAnsi="Calibri"/>
                <w:b/>
                <w:bCs/>
                <w:sz w:val="28"/>
                <w:szCs w:val="28"/>
              </w:rPr>
              <w:t xml:space="preserve"> basis?</w:t>
            </w:r>
          </w:p>
        </w:tc>
        <w:tc>
          <w:tcPr>
            <w:tcW w:w="5904" w:type="dxa"/>
            <w:gridSpan w:val="2"/>
            <w:vAlign w:val="center"/>
          </w:tcPr>
          <w:p w14:paraId="1B42C87F" w14:textId="77777777" w:rsidR="00070F98" w:rsidRPr="00DB1723" w:rsidRDefault="00070F98" w:rsidP="00070F98">
            <w:pPr>
              <w:pStyle w:val="O-BodyText"/>
              <w:spacing w:afterLines="120" w:after="288"/>
              <w:ind w:right="162"/>
              <w:rPr>
                <w:rFonts w:ascii="Calibri" w:hAnsi="Calibri"/>
                <w:b/>
                <w:bCs/>
                <w:sz w:val="22"/>
                <w:szCs w:val="22"/>
                <w:highlight w:val="yellow"/>
              </w:rPr>
            </w:pPr>
            <w:r w:rsidRPr="00DB1723">
              <w:rPr>
                <w:rFonts w:ascii="Calibri" w:hAnsi="Calibri"/>
                <w:b/>
                <w:bCs/>
                <w:i/>
                <w:sz w:val="22"/>
                <w:szCs w:val="22"/>
                <w:highlight w:val="yellow"/>
              </w:rPr>
              <w:t>Just Film</w:t>
            </w:r>
            <w:r w:rsidRPr="00DB1723">
              <w:rPr>
                <w:rFonts w:ascii="Calibri" w:hAnsi="Calibri"/>
                <w:b/>
                <w:bCs/>
                <w:sz w:val="22"/>
                <w:szCs w:val="22"/>
                <w:highlight w:val="yellow"/>
              </w:rPr>
              <w:t xml:space="preserve"> (9th 2017) interpreted </w:t>
            </w:r>
            <w:r w:rsidRPr="00DB1723">
              <w:rPr>
                <w:rFonts w:ascii="Calibri" w:hAnsi="Calibri"/>
                <w:b/>
                <w:bCs/>
                <w:i/>
                <w:sz w:val="22"/>
                <w:szCs w:val="22"/>
                <w:highlight w:val="yellow"/>
              </w:rPr>
              <w:t>Comcast</w:t>
            </w:r>
            <w:r w:rsidRPr="00DB1723">
              <w:rPr>
                <w:rFonts w:ascii="Calibri" w:hAnsi="Calibri"/>
                <w:b/>
                <w:bCs/>
                <w:sz w:val="22"/>
                <w:szCs w:val="22"/>
                <w:highlight w:val="yellow"/>
              </w:rPr>
              <w:t xml:space="preserve"> to require that ‘“damages are capable of measurement on a </w:t>
            </w:r>
            <w:proofErr w:type="spellStart"/>
            <w:r w:rsidRPr="00DB1723">
              <w:rPr>
                <w:rFonts w:ascii="Calibri" w:hAnsi="Calibri"/>
                <w:b/>
                <w:bCs/>
                <w:sz w:val="22"/>
                <w:szCs w:val="22"/>
                <w:highlight w:val="yellow"/>
              </w:rPr>
              <w:t>classwide</w:t>
            </w:r>
            <w:proofErr w:type="spellEnd"/>
            <w:r w:rsidRPr="00DB1723">
              <w:rPr>
                <w:rFonts w:ascii="Calibri" w:hAnsi="Calibri"/>
                <w:b/>
                <w:bCs/>
                <w:sz w:val="22"/>
                <w:szCs w:val="22"/>
                <w:highlight w:val="yellow"/>
              </w:rPr>
              <w:t xml:space="preserve"> basis’ . . . in the sense that the whole class suffered damages traceable to the same injurious course of conduct underlying the plaintiffs’ legal theory.” Ward Br. 34-35.</w:t>
            </w:r>
            <w:r>
              <w:rPr>
                <w:rFonts w:ascii="Calibri" w:hAnsi="Calibri"/>
                <w:b/>
                <w:bCs/>
                <w:sz w:val="22"/>
                <w:szCs w:val="22"/>
              </w:rPr>
              <w:t xml:space="preserve"> </w:t>
            </w:r>
          </w:p>
        </w:tc>
      </w:tr>
      <w:tr w:rsidR="00070F98" w:rsidRPr="0010708E" w14:paraId="01CA07FE" w14:textId="77777777" w:rsidTr="00093B76">
        <w:trPr>
          <w:trHeight w:val="4795"/>
        </w:trPr>
        <w:tc>
          <w:tcPr>
            <w:tcW w:w="5904" w:type="dxa"/>
            <w:gridSpan w:val="2"/>
            <w:vAlign w:val="center"/>
          </w:tcPr>
          <w:p w14:paraId="1D135B34"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Is class certification presumed in antitrust cases?</w:t>
            </w:r>
          </w:p>
        </w:tc>
        <w:tc>
          <w:tcPr>
            <w:tcW w:w="5904" w:type="dxa"/>
            <w:gridSpan w:val="2"/>
            <w:vAlign w:val="center"/>
          </w:tcPr>
          <w:p w14:paraId="0A9E9BC2" w14:textId="77777777" w:rsidR="00070F98" w:rsidRPr="001A0A55" w:rsidRDefault="00070F98" w:rsidP="00070F98">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 xml:space="preserve">No. Plaintiffs’ cases that seem to imply a looser standard for class </w:t>
            </w:r>
            <w:r w:rsidRPr="00AA2A01">
              <w:rPr>
                <w:rFonts w:ascii="Calibri" w:hAnsi="Calibri"/>
                <w:b/>
                <w:bCs/>
                <w:sz w:val="22"/>
                <w:szCs w:val="22"/>
                <w:highlight w:val="yellow"/>
              </w:rPr>
              <w:t>certification in antitrust cases (</w:t>
            </w:r>
            <w:proofErr w:type="spellStart"/>
            <w:r w:rsidRPr="00AA2A01">
              <w:rPr>
                <w:rFonts w:ascii="Calibri" w:hAnsi="Calibri"/>
                <w:b/>
                <w:bCs/>
                <w:i/>
                <w:sz w:val="22"/>
                <w:szCs w:val="22"/>
                <w:highlight w:val="yellow"/>
              </w:rPr>
              <w:t>Amchem</w:t>
            </w:r>
            <w:proofErr w:type="spellEnd"/>
            <w:r w:rsidRPr="00AA2A01">
              <w:rPr>
                <w:rFonts w:ascii="Calibri" w:hAnsi="Calibri"/>
                <w:b/>
                <w:bCs/>
                <w:i/>
                <w:sz w:val="22"/>
                <w:szCs w:val="22"/>
                <w:highlight w:val="yellow"/>
              </w:rPr>
              <w:t xml:space="preserve"> Prods. v. Windsor</w:t>
            </w:r>
            <w:r w:rsidRPr="00AA2A01">
              <w:rPr>
                <w:rFonts w:ascii="Calibri" w:hAnsi="Calibri"/>
                <w:b/>
                <w:bCs/>
                <w:sz w:val="22"/>
                <w:szCs w:val="22"/>
                <w:highlight w:val="yellow"/>
              </w:rPr>
              <w:t xml:space="preserve"> (U.S. 1997); </w:t>
            </w:r>
            <w:r w:rsidRPr="00AA2A01">
              <w:rPr>
                <w:rFonts w:ascii="Calibri" w:hAnsi="Calibri"/>
                <w:b/>
                <w:bCs/>
                <w:i/>
                <w:sz w:val="22"/>
                <w:szCs w:val="22"/>
                <w:highlight w:val="yellow"/>
              </w:rPr>
              <w:t>In re Scrap Metal Antitrust Litig.</w:t>
            </w:r>
            <w:r w:rsidRPr="00AA2A01">
              <w:rPr>
                <w:rFonts w:ascii="Calibri" w:hAnsi="Calibri"/>
                <w:b/>
                <w:bCs/>
                <w:sz w:val="22"/>
                <w:szCs w:val="22"/>
                <w:highlight w:val="yellow"/>
              </w:rPr>
              <w:t xml:space="preserve"> (6th 2008); </w:t>
            </w:r>
            <w:r w:rsidRPr="00AA2A01">
              <w:rPr>
                <w:rFonts w:ascii="Calibri" w:hAnsi="Calibri"/>
                <w:b/>
                <w:bCs/>
                <w:i/>
                <w:sz w:val="22"/>
                <w:szCs w:val="22"/>
                <w:highlight w:val="yellow"/>
              </w:rPr>
              <w:t>In re Tableware Antitrust Litig.</w:t>
            </w:r>
            <w:r w:rsidRPr="00AA2A01">
              <w:rPr>
                <w:rFonts w:ascii="Calibri" w:hAnsi="Calibri"/>
                <w:b/>
                <w:bCs/>
                <w:sz w:val="22"/>
                <w:szCs w:val="22"/>
                <w:highlight w:val="yellow"/>
              </w:rPr>
              <w:t xml:space="preserve"> (N.D. Cal. 2007)) all occurred before </w:t>
            </w:r>
            <w:r>
              <w:rPr>
                <w:rFonts w:ascii="Calibri" w:hAnsi="Calibri"/>
                <w:b/>
                <w:bCs/>
                <w:sz w:val="22"/>
                <w:szCs w:val="22"/>
                <w:highlight w:val="yellow"/>
              </w:rPr>
              <w:t xml:space="preserve">the Court decided </w:t>
            </w:r>
            <w:r w:rsidRPr="00AA2A01">
              <w:rPr>
                <w:rFonts w:ascii="Calibri" w:hAnsi="Calibri"/>
                <w:b/>
                <w:bCs/>
                <w:i/>
                <w:sz w:val="22"/>
                <w:szCs w:val="22"/>
                <w:highlight w:val="yellow"/>
              </w:rPr>
              <w:t>Wal-Mart</w:t>
            </w:r>
            <w:r>
              <w:rPr>
                <w:rFonts w:ascii="Calibri" w:hAnsi="Calibri"/>
                <w:b/>
                <w:bCs/>
                <w:sz w:val="22"/>
                <w:szCs w:val="22"/>
                <w:highlight w:val="yellow"/>
              </w:rPr>
              <w:t xml:space="preserve"> (U.S. 2011) and </w:t>
            </w:r>
            <w:r w:rsidRPr="00AA2A01">
              <w:rPr>
                <w:rFonts w:ascii="Calibri" w:hAnsi="Calibri"/>
                <w:b/>
                <w:bCs/>
                <w:i/>
                <w:sz w:val="22"/>
                <w:szCs w:val="22"/>
                <w:highlight w:val="yellow"/>
              </w:rPr>
              <w:t>Comcast</w:t>
            </w:r>
            <w:r>
              <w:rPr>
                <w:rFonts w:ascii="Calibri" w:hAnsi="Calibri"/>
                <w:b/>
                <w:bCs/>
                <w:sz w:val="22"/>
                <w:szCs w:val="22"/>
                <w:highlight w:val="yellow"/>
              </w:rPr>
              <w:t xml:space="preserve"> (U.S. 2013).  The on</w:t>
            </w:r>
            <w:r w:rsidRPr="00907517">
              <w:rPr>
                <w:rFonts w:ascii="Calibri" w:hAnsi="Calibri"/>
                <w:b/>
                <w:bCs/>
                <w:sz w:val="22"/>
                <w:szCs w:val="22"/>
                <w:highlight w:val="yellow"/>
              </w:rPr>
              <w:t xml:space="preserve">ly exception is </w:t>
            </w:r>
            <w:proofErr w:type="gramStart"/>
            <w:r w:rsidRPr="00907517">
              <w:rPr>
                <w:rFonts w:ascii="Calibri" w:hAnsi="Calibri"/>
                <w:b/>
                <w:bCs/>
                <w:i/>
                <w:sz w:val="22"/>
                <w:szCs w:val="22"/>
                <w:highlight w:val="yellow"/>
              </w:rPr>
              <w:t>In</w:t>
            </w:r>
            <w:proofErr w:type="gramEnd"/>
            <w:r w:rsidRPr="00907517">
              <w:rPr>
                <w:rFonts w:ascii="Calibri" w:hAnsi="Calibri"/>
                <w:b/>
                <w:bCs/>
                <w:i/>
                <w:sz w:val="22"/>
                <w:szCs w:val="22"/>
                <w:highlight w:val="yellow"/>
              </w:rPr>
              <w:t xml:space="preserve"> re Cathode Ray Tube (CRT) Antitrust Litigation</w:t>
            </w:r>
            <w:r>
              <w:rPr>
                <w:rFonts w:ascii="Calibri" w:hAnsi="Calibri"/>
                <w:b/>
                <w:bCs/>
                <w:i/>
                <w:sz w:val="22"/>
                <w:szCs w:val="22"/>
                <w:highlight w:val="yellow"/>
              </w:rPr>
              <w:t xml:space="preserve"> </w:t>
            </w:r>
            <w:r>
              <w:rPr>
                <w:rFonts w:ascii="Calibri" w:hAnsi="Calibri"/>
                <w:b/>
                <w:bCs/>
                <w:sz w:val="22"/>
                <w:szCs w:val="22"/>
                <w:highlight w:val="yellow"/>
              </w:rPr>
              <w:t>(N.D. Cal. 2015)</w:t>
            </w:r>
            <w:r w:rsidRPr="00907517">
              <w:rPr>
                <w:rFonts w:ascii="Calibri" w:hAnsi="Calibri"/>
                <w:b/>
                <w:bCs/>
                <w:sz w:val="22"/>
                <w:szCs w:val="22"/>
                <w:highlight w:val="yellow"/>
              </w:rPr>
              <w:t>, but this case relied on pre-Comcast decisions.</w:t>
            </w:r>
            <w:r>
              <w:rPr>
                <w:rFonts w:ascii="Calibri" w:hAnsi="Calibri"/>
                <w:b/>
                <w:bCs/>
                <w:sz w:val="22"/>
                <w:szCs w:val="22"/>
                <w:highlight w:val="yellow"/>
              </w:rPr>
              <w:t xml:space="preserve"> Ward Br. 23-24.</w:t>
            </w:r>
          </w:p>
        </w:tc>
      </w:tr>
      <w:tr w:rsidR="00070F98" w:rsidRPr="0010708E" w14:paraId="3A08284A" w14:textId="77777777" w:rsidTr="00093B76">
        <w:trPr>
          <w:trHeight w:val="4795"/>
        </w:trPr>
        <w:tc>
          <w:tcPr>
            <w:tcW w:w="5904" w:type="dxa"/>
            <w:gridSpan w:val="2"/>
            <w:vAlign w:val="center"/>
          </w:tcPr>
          <w:p w14:paraId="3EA15CB0"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Plaintiffs cite numerous cases showing that antitrust impact should be presumed—how do you distinguish those?</w:t>
            </w:r>
          </w:p>
        </w:tc>
        <w:tc>
          <w:tcPr>
            <w:tcW w:w="5904" w:type="dxa"/>
            <w:gridSpan w:val="2"/>
            <w:vAlign w:val="center"/>
          </w:tcPr>
          <w:p w14:paraId="4F6D955E" w14:textId="77777777" w:rsidR="00070F98" w:rsidRDefault="00070F98" w:rsidP="00070F98">
            <w:pPr>
              <w:pStyle w:val="O-BodyText"/>
              <w:spacing w:afterLines="120" w:after="288"/>
              <w:ind w:right="162"/>
              <w:rPr>
                <w:rFonts w:ascii="Calibri" w:hAnsi="Calibri"/>
                <w:b/>
                <w:bCs/>
                <w:sz w:val="22"/>
                <w:szCs w:val="22"/>
                <w:highlight w:val="yellow"/>
              </w:rPr>
            </w:pPr>
            <w:r w:rsidRPr="00A878AC">
              <w:rPr>
                <w:rFonts w:ascii="Calibri" w:hAnsi="Calibri"/>
                <w:b/>
                <w:bCs/>
                <w:sz w:val="22"/>
                <w:szCs w:val="22"/>
              </w:rPr>
              <w:t xml:space="preserve">Most of the cases Plaintiffs cite are simple price-fixing cases where, on account of the </w:t>
            </w:r>
            <w:r w:rsidRPr="0057519D">
              <w:rPr>
                <w:rFonts w:ascii="Calibri" w:hAnsi="Calibri"/>
                <w:b/>
                <w:bCs/>
                <w:i/>
                <w:sz w:val="22"/>
                <w:szCs w:val="22"/>
              </w:rPr>
              <w:t>per se</w:t>
            </w:r>
            <w:r w:rsidRPr="00A878AC">
              <w:rPr>
                <w:rFonts w:ascii="Calibri" w:hAnsi="Calibri"/>
                <w:b/>
                <w:bCs/>
                <w:sz w:val="22"/>
                <w:szCs w:val="22"/>
              </w:rPr>
              <w:t xml:space="preserve"> rule, the element of conspiracy dominates. </w:t>
            </w:r>
            <w:r>
              <w:rPr>
                <w:rFonts w:ascii="Calibri" w:hAnsi="Calibri"/>
                <w:b/>
                <w:bCs/>
                <w:sz w:val="22"/>
                <w:szCs w:val="22"/>
              </w:rPr>
              <w:t>This early and now-discredited</w:t>
            </w:r>
            <w:r w:rsidRPr="00A878AC">
              <w:rPr>
                <w:rFonts w:ascii="Calibri" w:hAnsi="Calibri"/>
                <w:b/>
                <w:bCs/>
                <w:sz w:val="22"/>
                <w:szCs w:val="22"/>
              </w:rPr>
              <w:t xml:space="preserve"> case law suggested that antitrust impact could be presumed in some price-fixing cases.</w:t>
            </w:r>
          </w:p>
        </w:tc>
      </w:tr>
      <w:tr w:rsidR="00070F98" w:rsidRPr="0010708E" w14:paraId="23D7A79B" w14:textId="77777777" w:rsidTr="00093B76">
        <w:trPr>
          <w:trHeight w:val="4795"/>
        </w:trPr>
        <w:tc>
          <w:tcPr>
            <w:tcW w:w="5904" w:type="dxa"/>
            <w:gridSpan w:val="2"/>
            <w:vAlign w:val="center"/>
          </w:tcPr>
          <w:p w14:paraId="65FE835C"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Has the presumption present in price-fixing cases ever carried over to monopolization cases like this one?</w:t>
            </w:r>
          </w:p>
        </w:tc>
        <w:tc>
          <w:tcPr>
            <w:tcW w:w="5904" w:type="dxa"/>
            <w:gridSpan w:val="2"/>
            <w:vAlign w:val="center"/>
          </w:tcPr>
          <w:p w14:paraId="70025083" w14:textId="77777777" w:rsidR="00070F98" w:rsidRPr="00A878AC"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No, </w:t>
            </w:r>
            <w:r w:rsidRPr="0057519D">
              <w:rPr>
                <w:rFonts w:ascii="Calibri" w:hAnsi="Calibri"/>
                <w:b/>
                <w:bCs/>
                <w:sz w:val="22"/>
                <w:szCs w:val="22"/>
              </w:rPr>
              <w:t xml:space="preserve">there has never been a presumption in favor of class certification in monopolization actions such as this case. And even with regard to simple conspiracy cases, </w:t>
            </w:r>
            <w:r>
              <w:rPr>
                <w:rFonts w:ascii="Calibri" w:hAnsi="Calibri"/>
                <w:b/>
                <w:bCs/>
                <w:sz w:val="22"/>
                <w:szCs w:val="22"/>
              </w:rPr>
              <w:t xml:space="preserve">this Court held in </w:t>
            </w:r>
            <w:proofErr w:type="gramStart"/>
            <w:r w:rsidRPr="00B568AF">
              <w:rPr>
                <w:rFonts w:ascii="Calibri" w:hAnsi="Calibri"/>
                <w:b/>
                <w:bCs/>
                <w:i/>
                <w:sz w:val="22"/>
                <w:szCs w:val="22"/>
              </w:rPr>
              <w:t>In</w:t>
            </w:r>
            <w:proofErr w:type="gramEnd"/>
            <w:r w:rsidRPr="00B568AF">
              <w:rPr>
                <w:rFonts w:ascii="Calibri" w:hAnsi="Calibri"/>
                <w:b/>
                <w:bCs/>
                <w:i/>
                <w:sz w:val="22"/>
                <w:szCs w:val="22"/>
              </w:rPr>
              <w:t xml:space="preserve"> re Hotel Telephone Charges</w:t>
            </w:r>
            <w:r w:rsidRPr="00491B42">
              <w:rPr>
                <w:rFonts w:ascii="Calibri" w:hAnsi="Calibri"/>
                <w:b/>
                <w:bCs/>
                <w:sz w:val="22"/>
                <w:szCs w:val="22"/>
              </w:rPr>
              <w:t xml:space="preserve"> (1974),</w:t>
            </w:r>
            <w:r w:rsidRPr="0057519D">
              <w:rPr>
                <w:rFonts w:ascii="Calibri" w:hAnsi="Calibri"/>
                <w:b/>
                <w:bCs/>
                <w:sz w:val="22"/>
                <w:szCs w:val="22"/>
              </w:rPr>
              <w:t xml:space="preserve"> that the presence of “allegation[s] that a conspiracy existed to violate the antitrust laws does not insure that common questions will predominate.” </w:t>
            </w:r>
            <w:r>
              <w:rPr>
                <w:rFonts w:ascii="Calibri" w:hAnsi="Calibri"/>
                <w:b/>
                <w:bCs/>
                <w:sz w:val="22"/>
                <w:szCs w:val="22"/>
              </w:rPr>
              <w:t xml:space="preserve">The DC Circuit elaborated further in </w:t>
            </w:r>
            <w:proofErr w:type="gramStart"/>
            <w:r w:rsidRPr="00B568AF">
              <w:rPr>
                <w:rFonts w:ascii="Calibri" w:hAnsi="Calibri"/>
                <w:b/>
                <w:bCs/>
                <w:i/>
                <w:sz w:val="22"/>
                <w:szCs w:val="22"/>
              </w:rPr>
              <w:t>In</w:t>
            </w:r>
            <w:proofErr w:type="gramEnd"/>
            <w:r w:rsidRPr="00B568AF">
              <w:rPr>
                <w:rFonts w:ascii="Calibri" w:hAnsi="Calibri"/>
                <w:b/>
                <w:bCs/>
                <w:i/>
                <w:sz w:val="22"/>
                <w:szCs w:val="22"/>
              </w:rPr>
              <w:t xml:space="preserve"> re Rail Freight Fuel Surcharge Antitrust Litig</w:t>
            </w:r>
            <w:r>
              <w:rPr>
                <w:rFonts w:ascii="Calibri" w:hAnsi="Calibri"/>
                <w:b/>
                <w:bCs/>
                <w:i/>
                <w:sz w:val="22"/>
                <w:szCs w:val="22"/>
              </w:rPr>
              <w:t>ation</w:t>
            </w:r>
            <w:r w:rsidRPr="00B568AF">
              <w:rPr>
                <w:rFonts w:ascii="Calibri" w:hAnsi="Calibri"/>
                <w:b/>
                <w:bCs/>
                <w:sz w:val="22"/>
                <w:szCs w:val="22"/>
              </w:rPr>
              <w:t xml:space="preserve"> (D.C. 2013),</w:t>
            </w:r>
            <w:r>
              <w:rPr>
                <w:rFonts w:ascii="Calibri" w:hAnsi="Calibri"/>
                <w:b/>
                <w:bCs/>
                <w:sz w:val="22"/>
                <w:szCs w:val="22"/>
              </w:rPr>
              <w:t xml:space="preserve"> clarifying that “m</w:t>
            </w:r>
            <w:r w:rsidRPr="00C94229">
              <w:rPr>
                <w:rFonts w:ascii="Calibri" w:hAnsi="Calibri"/>
                <w:b/>
                <w:bCs/>
                <w:sz w:val="22"/>
                <w:szCs w:val="22"/>
              </w:rPr>
              <w:t>eeting the predominance requirement demands</w:t>
            </w:r>
            <w:r>
              <w:t xml:space="preserve"> </w:t>
            </w:r>
            <w:r w:rsidRPr="00C94229">
              <w:rPr>
                <w:rFonts w:ascii="Calibri" w:hAnsi="Calibri"/>
                <w:b/>
                <w:bCs/>
                <w:sz w:val="22"/>
                <w:szCs w:val="22"/>
              </w:rPr>
              <w:t>more than common evidence the defendants colluded to raise fuel surcharge rates.”</w:t>
            </w:r>
          </w:p>
        </w:tc>
      </w:tr>
      <w:tr w:rsidR="00070F98" w:rsidRPr="0010708E" w14:paraId="48571AE1" w14:textId="77777777" w:rsidTr="00093B76">
        <w:trPr>
          <w:trHeight w:val="4795"/>
        </w:trPr>
        <w:tc>
          <w:tcPr>
            <w:tcW w:w="5904" w:type="dxa"/>
            <w:gridSpan w:val="2"/>
            <w:vAlign w:val="center"/>
          </w:tcPr>
          <w:p w14:paraId="23459C15" w14:textId="77777777" w:rsidR="00070F98" w:rsidRPr="00AA2A01"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What about </w:t>
            </w:r>
            <w:proofErr w:type="gramStart"/>
            <w:r>
              <w:rPr>
                <w:rFonts w:ascii="Calibri" w:hAnsi="Calibri"/>
                <w:b/>
                <w:bCs/>
                <w:i/>
                <w:sz w:val="28"/>
                <w:szCs w:val="28"/>
              </w:rPr>
              <w:t>In</w:t>
            </w:r>
            <w:proofErr w:type="gramEnd"/>
            <w:r>
              <w:rPr>
                <w:rFonts w:ascii="Calibri" w:hAnsi="Calibri"/>
                <w:b/>
                <w:bCs/>
                <w:i/>
                <w:sz w:val="28"/>
                <w:szCs w:val="28"/>
              </w:rPr>
              <w:t xml:space="preserve"> re Cathode Ray Tube (CRT) Antitrust Litigation</w:t>
            </w:r>
            <w:r>
              <w:rPr>
                <w:rFonts w:ascii="Calibri" w:hAnsi="Calibri"/>
                <w:b/>
                <w:bCs/>
                <w:sz w:val="28"/>
                <w:szCs w:val="28"/>
              </w:rPr>
              <w:t xml:space="preserve"> decided by the Northern District of California in 2015?</w:t>
            </w:r>
          </w:p>
        </w:tc>
        <w:tc>
          <w:tcPr>
            <w:tcW w:w="5904" w:type="dxa"/>
            <w:gridSpan w:val="2"/>
            <w:vAlign w:val="center"/>
          </w:tcPr>
          <w:p w14:paraId="4081A300" w14:textId="77777777" w:rsidR="00070F98" w:rsidRPr="00C6256A" w:rsidRDefault="00070F98" w:rsidP="00070F98">
            <w:pPr>
              <w:pStyle w:val="O-BodyText"/>
              <w:spacing w:afterLines="120" w:after="288"/>
              <w:ind w:right="162"/>
              <w:rPr>
                <w:rFonts w:ascii="Calibri" w:hAnsi="Calibri"/>
                <w:b/>
                <w:bCs/>
                <w:sz w:val="22"/>
                <w:szCs w:val="22"/>
              </w:rPr>
            </w:pPr>
            <w:r w:rsidRPr="00A878AC">
              <w:rPr>
                <w:rFonts w:ascii="Calibri" w:hAnsi="Calibri"/>
                <w:b/>
                <w:bCs/>
                <w:sz w:val="22"/>
                <w:szCs w:val="22"/>
                <w:highlight w:val="yellow"/>
              </w:rPr>
              <w:t xml:space="preserve">In </w:t>
            </w:r>
            <w:r w:rsidRPr="00A878AC">
              <w:rPr>
                <w:rFonts w:ascii="Calibri" w:hAnsi="Calibri"/>
                <w:b/>
                <w:bCs/>
                <w:i/>
                <w:sz w:val="22"/>
                <w:szCs w:val="22"/>
                <w:highlight w:val="yellow"/>
              </w:rPr>
              <w:t>In re Cathode Ray Tube (CRT) Antitrust Litigation</w:t>
            </w:r>
            <w:r w:rsidRPr="00A878AC">
              <w:rPr>
                <w:rFonts w:ascii="Calibri" w:hAnsi="Calibri"/>
                <w:b/>
                <w:bCs/>
                <w:sz w:val="22"/>
                <w:szCs w:val="22"/>
                <w:highlight w:val="yellow"/>
              </w:rPr>
              <w:t xml:space="preserve"> (N.D. Cal. 2015) the Northern District relied on a 2005 case in observing that courts “resolve doubts in these actions in favor of certifying the class.” </w:t>
            </w:r>
            <w:r w:rsidRPr="00A878AC">
              <w:rPr>
                <w:rFonts w:ascii="Calibri" w:hAnsi="Calibri"/>
                <w:b/>
                <w:bCs/>
                <w:i/>
                <w:sz w:val="22"/>
                <w:szCs w:val="22"/>
                <w:highlight w:val="yellow"/>
              </w:rPr>
              <w:t>In re Rubber Chemicals Antitrust Litigation</w:t>
            </w:r>
            <w:r w:rsidRPr="00A878AC">
              <w:rPr>
                <w:rFonts w:ascii="Calibri" w:hAnsi="Calibri"/>
                <w:b/>
                <w:bCs/>
                <w:sz w:val="22"/>
                <w:szCs w:val="22"/>
                <w:highlight w:val="yellow"/>
              </w:rPr>
              <w:t>, 232 F.R.D. 346, 350 (N.D.Cal.2005). And it relied on a 2010 case in noting that “[c]</w:t>
            </w:r>
            <w:proofErr w:type="spellStart"/>
            <w:r w:rsidRPr="00A878AC">
              <w:rPr>
                <w:rFonts w:ascii="Calibri" w:hAnsi="Calibri"/>
                <w:b/>
                <w:bCs/>
                <w:sz w:val="22"/>
                <w:szCs w:val="22"/>
                <w:highlight w:val="yellow"/>
              </w:rPr>
              <w:t>ourts</w:t>
            </w:r>
            <w:proofErr w:type="spellEnd"/>
            <w:r w:rsidRPr="00A878AC">
              <w:rPr>
                <w:rFonts w:ascii="Calibri" w:hAnsi="Calibri"/>
                <w:b/>
                <w:bCs/>
                <w:sz w:val="22"/>
                <w:szCs w:val="22"/>
                <w:highlight w:val="yellow"/>
              </w:rPr>
              <w:t xml:space="preserve"> have stressed that price-fixing cases are appropriate for class certification because a class-action lawsuit is the most fair and efficient means of enforcing the law where antitrust violations have been continuous, widespread, and detrimental to as yet unidentified consumers.” </w:t>
            </w:r>
            <w:r w:rsidRPr="00A878AC">
              <w:rPr>
                <w:rFonts w:ascii="Calibri" w:hAnsi="Calibri"/>
                <w:b/>
                <w:bCs/>
                <w:i/>
                <w:sz w:val="22"/>
                <w:szCs w:val="22"/>
                <w:highlight w:val="yellow"/>
              </w:rPr>
              <w:t>In re TFT–LCD (Flat Panel) Antitrust Litigation (“LCDs”)</w:t>
            </w:r>
            <w:r w:rsidRPr="00A878AC">
              <w:rPr>
                <w:rFonts w:ascii="Calibri" w:hAnsi="Calibri"/>
                <w:b/>
                <w:bCs/>
                <w:sz w:val="22"/>
                <w:szCs w:val="22"/>
                <w:highlight w:val="yellow"/>
              </w:rPr>
              <w:t xml:space="preserve">, 267 F.R.D. 583, 592 (N.D.Cal.2010), </w:t>
            </w:r>
            <w:r w:rsidRPr="00A878AC">
              <w:rPr>
                <w:rFonts w:ascii="Calibri" w:hAnsi="Calibri"/>
                <w:b/>
                <w:bCs/>
                <w:i/>
                <w:sz w:val="22"/>
                <w:szCs w:val="22"/>
                <w:highlight w:val="yellow"/>
              </w:rPr>
              <w:t>amended in part</w:t>
            </w:r>
            <w:r w:rsidRPr="00A878AC">
              <w:rPr>
                <w:rFonts w:ascii="Calibri" w:hAnsi="Calibri"/>
                <w:b/>
                <w:bCs/>
                <w:sz w:val="22"/>
                <w:szCs w:val="22"/>
                <w:highlight w:val="yellow"/>
              </w:rPr>
              <w:t>, 2011 U.S. Dist. LEXIS 84476, 2011 WL 3268649 (</w:t>
            </w:r>
            <w:proofErr w:type="spellStart"/>
            <w:r w:rsidRPr="00A878AC">
              <w:rPr>
                <w:rFonts w:ascii="Calibri" w:hAnsi="Calibri"/>
                <w:b/>
                <w:bCs/>
                <w:sz w:val="22"/>
                <w:szCs w:val="22"/>
                <w:highlight w:val="yellow"/>
              </w:rPr>
              <w:t>N.D.Cal</w:t>
            </w:r>
            <w:proofErr w:type="spellEnd"/>
            <w:r w:rsidRPr="00A878AC">
              <w:rPr>
                <w:rFonts w:ascii="Calibri" w:hAnsi="Calibri"/>
                <w:b/>
                <w:bCs/>
                <w:sz w:val="22"/>
                <w:szCs w:val="22"/>
                <w:highlight w:val="yellow"/>
              </w:rPr>
              <w:t xml:space="preserve">. July 28, 2011). </w:t>
            </w:r>
            <w:r w:rsidRPr="00A878AC">
              <w:rPr>
                <w:rFonts w:ascii="Calibri" w:hAnsi="Calibri"/>
                <w:b/>
                <w:bCs/>
                <w:i/>
                <w:sz w:val="22"/>
                <w:szCs w:val="22"/>
                <w:highlight w:val="yellow"/>
              </w:rPr>
              <w:t>Wal-Mart</w:t>
            </w:r>
            <w:r w:rsidRPr="00A878AC">
              <w:rPr>
                <w:rFonts w:ascii="Calibri" w:hAnsi="Calibri"/>
                <w:b/>
                <w:bCs/>
                <w:sz w:val="22"/>
                <w:szCs w:val="22"/>
                <w:highlight w:val="yellow"/>
              </w:rPr>
              <w:t xml:space="preserve"> (U.S. 2011) and </w:t>
            </w:r>
            <w:r w:rsidRPr="00A878AC">
              <w:rPr>
                <w:rFonts w:ascii="Calibri" w:hAnsi="Calibri"/>
                <w:b/>
                <w:bCs/>
                <w:i/>
                <w:sz w:val="22"/>
                <w:szCs w:val="22"/>
                <w:highlight w:val="yellow"/>
              </w:rPr>
              <w:t>Comcast</w:t>
            </w:r>
            <w:r w:rsidRPr="00A878AC">
              <w:rPr>
                <w:rFonts w:ascii="Calibri" w:hAnsi="Calibri"/>
                <w:b/>
                <w:bCs/>
                <w:sz w:val="22"/>
                <w:szCs w:val="22"/>
                <w:highlight w:val="yellow"/>
              </w:rPr>
              <w:t xml:space="preserve"> (U.S. 2013) clearly changed the scene here, especially </w:t>
            </w:r>
            <w:r w:rsidRPr="00A878AC">
              <w:rPr>
                <w:rFonts w:ascii="Calibri" w:hAnsi="Calibri"/>
                <w:b/>
                <w:bCs/>
                <w:i/>
                <w:sz w:val="22"/>
                <w:szCs w:val="22"/>
                <w:highlight w:val="yellow"/>
              </w:rPr>
              <w:t>Comcast</w:t>
            </w:r>
            <w:r w:rsidRPr="00A878AC">
              <w:rPr>
                <w:rFonts w:ascii="Calibri" w:hAnsi="Calibri"/>
                <w:b/>
                <w:bCs/>
                <w:sz w:val="22"/>
                <w:szCs w:val="22"/>
                <w:highlight w:val="yellow"/>
              </w:rPr>
              <w:t>.</w:t>
            </w:r>
            <w:r>
              <w:rPr>
                <w:rFonts w:ascii="Calibri" w:hAnsi="Calibri"/>
                <w:b/>
                <w:bCs/>
                <w:sz w:val="22"/>
                <w:szCs w:val="22"/>
                <w:highlight w:val="yellow"/>
              </w:rPr>
              <w:t xml:space="preserve">  Ward Br. 23-24.</w:t>
            </w:r>
          </w:p>
        </w:tc>
      </w:tr>
      <w:tr w:rsidR="00070F98" w:rsidRPr="0010708E" w14:paraId="742F82F8" w14:textId="77777777" w:rsidTr="00093B76">
        <w:trPr>
          <w:trHeight w:val="4795"/>
        </w:trPr>
        <w:tc>
          <w:tcPr>
            <w:tcW w:w="5904" w:type="dxa"/>
            <w:gridSpan w:val="2"/>
            <w:vAlign w:val="center"/>
          </w:tcPr>
          <w:p w14:paraId="50AF0872" w14:textId="77777777" w:rsidR="00070F98" w:rsidRPr="001D44F7" w:rsidRDefault="00070F98" w:rsidP="00070F9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about Plaintiffs’ reliance on the Supreme Court’s language </w:t>
            </w:r>
            <w:r w:rsidRPr="00C94229">
              <w:rPr>
                <w:rFonts w:ascii="Calibri" w:hAnsi="Calibri"/>
                <w:b/>
                <w:bCs/>
                <w:i/>
                <w:sz w:val="28"/>
                <w:szCs w:val="28"/>
              </w:rPr>
              <w:t xml:space="preserve">in </w:t>
            </w:r>
            <w:proofErr w:type="spellStart"/>
            <w:r w:rsidRPr="00C94229">
              <w:rPr>
                <w:rFonts w:ascii="Calibri" w:hAnsi="Calibri"/>
                <w:b/>
                <w:bCs/>
                <w:i/>
                <w:sz w:val="28"/>
                <w:szCs w:val="28"/>
              </w:rPr>
              <w:t>Amchem</w:t>
            </w:r>
            <w:proofErr w:type="spellEnd"/>
            <w:r w:rsidRPr="00C94229">
              <w:rPr>
                <w:rFonts w:ascii="Calibri" w:hAnsi="Calibri"/>
                <w:b/>
                <w:bCs/>
                <w:i/>
                <w:sz w:val="28"/>
                <w:szCs w:val="28"/>
              </w:rPr>
              <w:t xml:space="preserve"> Prods., Inc. v. Windsor</w:t>
            </w:r>
            <w:r>
              <w:rPr>
                <w:rFonts w:ascii="Calibri" w:hAnsi="Calibri"/>
                <w:b/>
                <w:bCs/>
                <w:sz w:val="28"/>
                <w:szCs w:val="28"/>
              </w:rPr>
              <w:t xml:space="preserve"> </w:t>
            </w:r>
            <w:r w:rsidRPr="00C94229">
              <w:rPr>
                <w:rFonts w:ascii="Calibri" w:hAnsi="Calibri"/>
                <w:b/>
                <w:bCs/>
                <w:sz w:val="28"/>
                <w:szCs w:val="28"/>
              </w:rPr>
              <w:t>(</w:t>
            </w:r>
            <w:r>
              <w:rPr>
                <w:rFonts w:ascii="Calibri" w:hAnsi="Calibri"/>
                <w:b/>
                <w:bCs/>
                <w:sz w:val="28"/>
                <w:szCs w:val="28"/>
              </w:rPr>
              <w:t xml:space="preserve">U.S. </w:t>
            </w:r>
            <w:r w:rsidRPr="00C94229">
              <w:rPr>
                <w:rFonts w:ascii="Calibri" w:hAnsi="Calibri"/>
                <w:b/>
                <w:bCs/>
                <w:sz w:val="28"/>
                <w:szCs w:val="28"/>
              </w:rPr>
              <w:t>1997)</w:t>
            </w:r>
            <w:r>
              <w:rPr>
                <w:rFonts w:ascii="Calibri" w:hAnsi="Calibri"/>
                <w:b/>
                <w:bCs/>
                <w:sz w:val="28"/>
                <w:szCs w:val="28"/>
              </w:rPr>
              <w:t xml:space="preserve"> that “[p]</w:t>
            </w:r>
            <w:proofErr w:type="spellStart"/>
            <w:r>
              <w:rPr>
                <w:rFonts w:ascii="Calibri" w:hAnsi="Calibri"/>
                <w:b/>
                <w:bCs/>
                <w:sz w:val="28"/>
                <w:szCs w:val="28"/>
              </w:rPr>
              <w:t>redominance</w:t>
            </w:r>
            <w:proofErr w:type="spellEnd"/>
            <w:r>
              <w:rPr>
                <w:rFonts w:ascii="Calibri" w:hAnsi="Calibri"/>
                <w:b/>
                <w:bCs/>
                <w:sz w:val="28"/>
                <w:szCs w:val="28"/>
              </w:rPr>
              <w:t xml:space="preserve"> is a test readily met”? </w:t>
            </w:r>
          </w:p>
        </w:tc>
        <w:tc>
          <w:tcPr>
            <w:tcW w:w="5904" w:type="dxa"/>
            <w:gridSpan w:val="2"/>
            <w:vAlign w:val="center"/>
          </w:tcPr>
          <w:p w14:paraId="65E3EE07" w14:textId="77777777" w:rsidR="00070F98" w:rsidRPr="00C94229" w:rsidRDefault="00070F98" w:rsidP="00070F98">
            <w:pPr>
              <w:pStyle w:val="O-BodyText"/>
              <w:spacing w:afterLines="120" w:after="288"/>
              <w:ind w:right="162"/>
              <w:rPr>
                <w:rFonts w:ascii="Calibri" w:hAnsi="Calibri"/>
                <w:b/>
                <w:bCs/>
                <w:sz w:val="22"/>
                <w:szCs w:val="22"/>
                <w:highlight w:val="yellow"/>
              </w:rPr>
            </w:pPr>
            <w:r>
              <w:rPr>
                <w:rFonts w:ascii="Calibri" w:hAnsi="Calibri"/>
                <w:b/>
                <w:bCs/>
                <w:sz w:val="22"/>
                <w:szCs w:val="22"/>
              </w:rPr>
              <w:t xml:space="preserve">The Court itself certainly doesn’t subscribe to that. In </w:t>
            </w:r>
            <w:r w:rsidRPr="00C94229">
              <w:rPr>
                <w:rFonts w:ascii="Calibri" w:hAnsi="Calibri"/>
                <w:b/>
                <w:bCs/>
                <w:i/>
                <w:sz w:val="22"/>
                <w:szCs w:val="22"/>
              </w:rPr>
              <w:t>Comcast</w:t>
            </w:r>
            <w:r>
              <w:rPr>
                <w:rFonts w:ascii="Calibri" w:hAnsi="Calibri"/>
                <w:b/>
                <w:bCs/>
                <w:i/>
                <w:sz w:val="22"/>
                <w:szCs w:val="22"/>
              </w:rPr>
              <w:t xml:space="preserve"> </w:t>
            </w:r>
            <w:r>
              <w:rPr>
                <w:rFonts w:ascii="Calibri" w:hAnsi="Calibri"/>
                <w:b/>
                <w:bCs/>
                <w:sz w:val="22"/>
                <w:szCs w:val="22"/>
              </w:rPr>
              <w:t>(U.S. 2013)</w:t>
            </w:r>
            <w:r w:rsidRPr="00C94229">
              <w:rPr>
                <w:rFonts w:ascii="Calibri" w:hAnsi="Calibri"/>
                <w:b/>
                <w:bCs/>
                <w:sz w:val="22"/>
                <w:szCs w:val="22"/>
              </w:rPr>
              <w:t xml:space="preserve">, </w:t>
            </w:r>
            <w:r>
              <w:rPr>
                <w:rFonts w:ascii="Calibri" w:hAnsi="Calibri"/>
                <w:b/>
                <w:bCs/>
                <w:sz w:val="22"/>
                <w:szCs w:val="22"/>
              </w:rPr>
              <w:t xml:space="preserve">an antitrust case </w:t>
            </w:r>
            <w:r w:rsidRPr="00C94229">
              <w:rPr>
                <w:rFonts w:ascii="Calibri" w:hAnsi="Calibri"/>
                <w:b/>
                <w:bCs/>
                <w:sz w:val="22"/>
                <w:szCs w:val="22"/>
              </w:rPr>
              <w:t xml:space="preserve">decided 16 years after </w:t>
            </w:r>
            <w:proofErr w:type="spellStart"/>
            <w:r w:rsidRPr="00C94229">
              <w:rPr>
                <w:rFonts w:ascii="Calibri" w:hAnsi="Calibri"/>
                <w:b/>
                <w:bCs/>
                <w:i/>
                <w:sz w:val="22"/>
                <w:szCs w:val="22"/>
              </w:rPr>
              <w:t>Amchem</w:t>
            </w:r>
            <w:proofErr w:type="spellEnd"/>
            <w:r w:rsidRPr="00C94229">
              <w:rPr>
                <w:rFonts w:ascii="Calibri" w:hAnsi="Calibri"/>
                <w:b/>
                <w:bCs/>
                <w:sz w:val="22"/>
                <w:szCs w:val="22"/>
              </w:rPr>
              <w:t xml:space="preserve">, </w:t>
            </w:r>
            <w:r>
              <w:rPr>
                <w:rFonts w:ascii="Calibri" w:hAnsi="Calibri"/>
                <w:b/>
                <w:bCs/>
                <w:sz w:val="22"/>
                <w:szCs w:val="22"/>
              </w:rPr>
              <w:t>the</w:t>
            </w:r>
            <w:r w:rsidRPr="00C94229">
              <w:rPr>
                <w:rFonts w:ascii="Calibri" w:hAnsi="Calibri"/>
                <w:b/>
                <w:bCs/>
                <w:sz w:val="22"/>
                <w:szCs w:val="22"/>
              </w:rPr>
              <w:t xml:space="preserve"> Supreme Court did not apply a relaxed certification standard. Instead, the Court took that occasion to state that “[t]he class action is an exception to the usual rule that litigation is conducted by and on behalf of the individual named parties only.” Even if </w:t>
            </w:r>
            <w:proofErr w:type="spellStart"/>
            <w:r w:rsidRPr="00C94229">
              <w:rPr>
                <w:rFonts w:ascii="Calibri" w:hAnsi="Calibri"/>
                <w:b/>
                <w:bCs/>
                <w:sz w:val="22"/>
                <w:szCs w:val="22"/>
              </w:rPr>
              <w:t>Amchem</w:t>
            </w:r>
            <w:proofErr w:type="spellEnd"/>
            <w:r w:rsidRPr="00C94229">
              <w:rPr>
                <w:rFonts w:ascii="Calibri" w:hAnsi="Calibri"/>
                <w:b/>
                <w:bCs/>
                <w:sz w:val="22"/>
                <w:szCs w:val="22"/>
              </w:rPr>
              <w:t xml:space="preserve"> was still the reigning authority here, as the Third Circuit explained in </w:t>
            </w:r>
            <w:proofErr w:type="gramStart"/>
            <w:r w:rsidRPr="00C94229">
              <w:rPr>
                <w:rFonts w:ascii="Calibri" w:hAnsi="Calibri"/>
                <w:b/>
                <w:bCs/>
                <w:i/>
                <w:sz w:val="22"/>
                <w:szCs w:val="22"/>
              </w:rPr>
              <w:t>In</w:t>
            </w:r>
            <w:proofErr w:type="gramEnd"/>
            <w:r w:rsidRPr="00C94229">
              <w:rPr>
                <w:rFonts w:ascii="Calibri" w:hAnsi="Calibri"/>
                <w:b/>
                <w:bCs/>
                <w:i/>
                <w:sz w:val="22"/>
                <w:szCs w:val="22"/>
              </w:rPr>
              <w:t xml:space="preserve"> re Hydrogen Peroxide Antitrust Litig.</w:t>
            </w:r>
            <w:r w:rsidRPr="00C94229">
              <w:rPr>
                <w:rFonts w:ascii="Calibri" w:hAnsi="Calibri"/>
                <w:b/>
                <w:bCs/>
                <w:sz w:val="22"/>
                <w:szCs w:val="22"/>
              </w:rPr>
              <w:t xml:space="preserve"> (3rd 2008), “it does not follow” from </w:t>
            </w:r>
            <w:proofErr w:type="spellStart"/>
            <w:r w:rsidRPr="00C94229">
              <w:rPr>
                <w:rFonts w:ascii="Calibri" w:hAnsi="Calibri"/>
                <w:b/>
                <w:bCs/>
                <w:i/>
                <w:sz w:val="22"/>
                <w:szCs w:val="22"/>
              </w:rPr>
              <w:t>Amchem</w:t>
            </w:r>
            <w:proofErr w:type="spellEnd"/>
            <w:r w:rsidRPr="00C94229">
              <w:rPr>
                <w:rFonts w:ascii="Calibri" w:hAnsi="Calibri"/>
                <w:b/>
                <w:bCs/>
                <w:sz w:val="22"/>
                <w:szCs w:val="22"/>
              </w:rPr>
              <w:t xml:space="preserve"> “that a court should relax its certification analysis, or presume a requirement for certification is met,” in every antitrust case</w:t>
            </w:r>
            <w:r>
              <w:rPr>
                <w:rFonts w:ascii="Calibri" w:hAnsi="Calibri"/>
                <w:b/>
                <w:bCs/>
                <w:sz w:val="22"/>
                <w:szCs w:val="22"/>
              </w:rPr>
              <w:t>.</w:t>
            </w:r>
          </w:p>
        </w:tc>
      </w:tr>
      <w:tr w:rsidR="00070F98" w:rsidRPr="0010708E" w14:paraId="7A94D1CE" w14:textId="77777777" w:rsidTr="00093B76">
        <w:trPr>
          <w:trHeight w:val="4795"/>
        </w:trPr>
        <w:tc>
          <w:tcPr>
            <w:tcW w:w="5904" w:type="dxa"/>
            <w:gridSpan w:val="2"/>
            <w:vAlign w:val="center"/>
          </w:tcPr>
          <w:p w14:paraId="5DC04AAB" w14:textId="77777777" w:rsidR="00070F98" w:rsidRPr="0044551B"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 xml:space="preserve">Has the Court reinforced the </w:t>
            </w:r>
            <w:proofErr w:type="spellStart"/>
            <w:r>
              <w:rPr>
                <w:rFonts w:ascii="Calibri" w:hAnsi="Calibri"/>
                <w:b/>
                <w:bCs/>
                <w:i/>
                <w:sz w:val="28"/>
                <w:szCs w:val="28"/>
              </w:rPr>
              <w:t>Amchem</w:t>
            </w:r>
            <w:proofErr w:type="spellEnd"/>
            <w:r>
              <w:rPr>
                <w:rFonts w:ascii="Calibri" w:hAnsi="Calibri"/>
                <w:b/>
                <w:bCs/>
                <w:sz w:val="28"/>
                <w:szCs w:val="28"/>
              </w:rPr>
              <w:t xml:space="preserve"> (U.S. 1997) view asserted by Plaintiffs that certification is to be presumed or readily accepted in antitrust cases?</w:t>
            </w:r>
          </w:p>
        </w:tc>
        <w:tc>
          <w:tcPr>
            <w:tcW w:w="5904" w:type="dxa"/>
            <w:gridSpan w:val="2"/>
            <w:vAlign w:val="center"/>
          </w:tcPr>
          <w:p w14:paraId="34FD7596" w14:textId="77777777" w:rsidR="00070F98" w:rsidRPr="00003845"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No, in fact the opposite is true. In a 2013 antitrust case, </w:t>
            </w:r>
            <w:r w:rsidRPr="0044551B">
              <w:rPr>
                <w:rFonts w:ascii="Calibri" w:hAnsi="Calibri"/>
                <w:b/>
                <w:bCs/>
                <w:i/>
                <w:sz w:val="22"/>
                <w:szCs w:val="22"/>
              </w:rPr>
              <w:t>American Express Co. v. Italian Colors Restaurant</w:t>
            </w:r>
            <w:r>
              <w:rPr>
                <w:rFonts w:ascii="Calibri" w:hAnsi="Calibri"/>
                <w:b/>
                <w:bCs/>
                <w:sz w:val="22"/>
                <w:szCs w:val="22"/>
              </w:rPr>
              <w:t xml:space="preserve"> (U.S. 2013) the Court stated that Rule 23 </w:t>
            </w:r>
            <w:r w:rsidRPr="0044551B">
              <w:rPr>
                <w:rFonts w:ascii="Calibri" w:hAnsi="Calibri"/>
                <w:b/>
                <w:bCs/>
                <w:sz w:val="22"/>
                <w:szCs w:val="22"/>
              </w:rPr>
              <w:t>“imposes stringent requirements for certification that in practice exclude most claims</w:t>
            </w:r>
            <w:r>
              <w:rPr>
                <w:rFonts w:ascii="Calibri" w:hAnsi="Calibri"/>
                <w:b/>
                <w:bCs/>
                <w:sz w:val="22"/>
                <w:szCs w:val="22"/>
              </w:rPr>
              <w:t>.”</w:t>
            </w:r>
          </w:p>
        </w:tc>
      </w:tr>
      <w:tr w:rsidR="00070F98" w:rsidRPr="0010708E" w14:paraId="37CEF49A" w14:textId="77777777" w:rsidTr="00093B76">
        <w:trPr>
          <w:trHeight w:val="4795"/>
        </w:trPr>
        <w:tc>
          <w:tcPr>
            <w:tcW w:w="5904" w:type="dxa"/>
            <w:gridSpan w:val="2"/>
            <w:vAlign w:val="center"/>
          </w:tcPr>
          <w:p w14:paraId="3A41D5A1" w14:textId="77777777" w:rsidR="00070F98" w:rsidRDefault="00070F98" w:rsidP="00070F98">
            <w:pPr>
              <w:pStyle w:val="O-BodyText"/>
              <w:spacing w:afterLines="120" w:after="288"/>
              <w:ind w:right="108"/>
              <w:rPr>
                <w:rFonts w:ascii="Calibri" w:hAnsi="Calibri"/>
                <w:b/>
                <w:bCs/>
                <w:sz w:val="28"/>
                <w:szCs w:val="28"/>
              </w:rPr>
            </w:pPr>
            <w:r>
              <w:rPr>
                <w:rFonts w:ascii="Calibri" w:hAnsi="Calibri"/>
                <w:b/>
                <w:bCs/>
                <w:sz w:val="28"/>
                <w:szCs w:val="28"/>
              </w:rPr>
              <w:t>Isn’t predominance in this case easy to establish because this is an antitrust involving a single monopolized service, priced uniformly, as Plaintiffs claim?</w:t>
            </w:r>
          </w:p>
        </w:tc>
        <w:tc>
          <w:tcPr>
            <w:tcW w:w="5904" w:type="dxa"/>
            <w:gridSpan w:val="2"/>
            <w:vAlign w:val="center"/>
          </w:tcPr>
          <w:p w14:paraId="0AAD5CD4" w14:textId="77777777" w:rsidR="00070F98" w:rsidRDefault="00070F98" w:rsidP="00070F98">
            <w:pPr>
              <w:pStyle w:val="O-BodyText"/>
              <w:spacing w:afterLines="120" w:after="288"/>
              <w:ind w:right="162"/>
              <w:rPr>
                <w:rFonts w:ascii="Calibri" w:hAnsi="Calibri"/>
                <w:b/>
                <w:bCs/>
                <w:sz w:val="22"/>
                <w:szCs w:val="22"/>
              </w:rPr>
            </w:pPr>
            <w:r>
              <w:rPr>
                <w:rFonts w:ascii="Calibri" w:hAnsi="Calibri"/>
                <w:b/>
                <w:bCs/>
                <w:sz w:val="22"/>
                <w:szCs w:val="22"/>
              </w:rPr>
              <w:t xml:space="preserve">No. </w:t>
            </w:r>
            <w:r w:rsidRPr="0044551B">
              <w:rPr>
                <w:rFonts w:ascii="Calibri" w:hAnsi="Calibri"/>
                <w:b/>
                <w:bCs/>
                <w:i/>
                <w:sz w:val="22"/>
                <w:szCs w:val="22"/>
              </w:rPr>
              <w:t>Comcast</w:t>
            </w:r>
            <w:r>
              <w:rPr>
                <w:rFonts w:ascii="Calibri" w:hAnsi="Calibri"/>
                <w:b/>
                <w:bCs/>
                <w:sz w:val="22"/>
                <w:szCs w:val="22"/>
              </w:rPr>
              <w:t xml:space="preserve"> (U.S. 2013) considered the same scenario involving a cable TV service. The Supreme Court nevertheless identified</w:t>
            </w:r>
            <w:r>
              <w:t xml:space="preserve"> </w:t>
            </w:r>
            <w:r w:rsidRPr="0044551B">
              <w:rPr>
                <w:rFonts w:ascii="Calibri" w:hAnsi="Calibri"/>
                <w:b/>
                <w:bCs/>
                <w:sz w:val="22"/>
                <w:szCs w:val="22"/>
              </w:rPr>
              <w:t>one fatal error in the proposed common proof</w:t>
            </w:r>
            <w:r>
              <w:rPr>
                <w:rFonts w:ascii="Calibri" w:hAnsi="Calibri"/>
                <w:b/>
                <w:bCs/>
                <w:sz w:val="22"/>
                <w:szCs w:val="22"/>
              </w:rPr>
              <w:t xml:space="preserve"> </w:t>
            </w:r>
            <w:r w:rsidRPr="0044551B">
              <w:rPr>
                <w:rFonts w:ascii="Calibri" w:hAnsi="Calibri"/>
                <w:b/>
                <w:bCs/>
                <w:sz w:val="22"/>
                <w:szCs w:val="22"/>
              </w:rPr>
              <w:t>and hinted at more</w:t>
            </w:r>
            <w:r>
              <w:rPr>
                <w:rFonts w:ascii="Calibri" w:hAnsi="Calibri"/>
                <w:b/>
                <w:bCs/>
                <w:sz w:val="22"/>
                <w:szCs w:val="22"/>
              </w:rPr>
              <w:t xml:space="preserve">—suggesting that damages may have varied by geography.  Further, </w:t>
            </w:r>
            <w:r w:rsidRPr="0044551B">
              <w:rPr>
                <w:rFonts w:ascii="Calibri" w:hAnsi="Calibri"/>
                <w:b/>
                <w:bCs/>
                <w:sz w:val="22"/>
                <w:szCs w:val="22"/>
              </w:rPr>
              <w:t>class certification has often been denied in comparable monopolization cases</w:t>
            </w:r>
            <w:r>
              <w:rPr>
                <w:rFonts w:ascii="Calibri" w:hAnsi="Calibri"/>
                <w:b/>
                <w:bCs/>
                <w:sz w:val="22"/>
                <w:szCs w:val="22"/>
              </w:rPr>
              <w:t>.</w:t>
            </w:r>
          </w:p>
        </w:tc>
      </w:tr>
      <w:tr w:rsidR="00070F98" w:rsidRPr="00907D75" w14:paraId="10AB7DA9" w14:textId="77777777" w:rsidTr="00093B76">
        <w:trPr>
          <w:gridAfter w:val="1"/>
          <w:wAfter w:w="198" w:type="dxa"/>
          <w:trHeight w:val="4795"/>
        </w:trPr>
        <w:tc>
          <w:tcPr>
            <w:tcW w:w="5805" w:type="dxa"/>
            <w:vAlign w:val="center"/>
          </w:tcPr>
          <w:p w14:paraId="198A8BA5" w14:textId="77777777" w:rsidR="00070F98" w:rsidRPr="00144D63"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Isn’t this case factually distinguishable from the Second Circuit’s decision in </w:t>
            </w:r>
            <w:proofErr w:type="spellStart"/>
            <w:r>
              <w:rPr>
                <w:rFonts w:ascii="Calibri" w:hAnsi="Calibri" w:cs="Calibri"/>
                <w:b/>
                <w:i/>
                <w:sz w:val="28"/>
                <w:szCs w:val="28"/>
              </w:rPr>
              <w:t>Heerwagen</w:t>
            </w:r>
            <w:proofErr w:type="spellEnd"/>
            <w:r>
              <w:rPr>
                <w:rFonts w:ascii="Calibri" w:hAnsi="Calibri" w:cs="Calibri"/>
                <w:b/>
                <w:i/>
                <w:sz w:val="28"/>
                <w:szCs w:val="28"/>
              </w:rPr>
              <w:t xml:space="preserve"> v. Clear Channel Communications</w:t>
            </w:r>
            <w:r>
              <w:rPr>
                <w:rFonts w:ascii="Calibri" w:hAnsi="Calibri" w:cs="Calibri"/>
                <w:b/>
                <w:sz w:val="28"/>
                <w:szCs w:val="28"/>
              </w:rPr>
              <w:t xml:space="preserve"> (2d. 2006)?</w:t>
            </w:r>
          </w:p>
        </w:tc>
        <w:tc>
          <w:tcPr>
            <w:tcW w:w="5805" w:type="dxa"/>
            <w:gridSpan w:val="2"/>
            <w:vAlign w:val="center"/>
          </w:tcPr>
          <w:p w14:paraId="731BE84B" w14:textId="77777777" w:rsidR="00070F98" w:rsidRDefault="00070F98" w:rsidP="00070F98">
            <w:pPr>
              <w:pStyle w:val="O-BodyText"/>
              <w:spacing w:after="120"/>
              <w:ind w:left="290" w:right="65"/>
              <w:jc w:val="both"/>
              <w:rPr>
                <w:rFonts w:ascii="Calibri" w:hAnsi="Calibri" w:cs="Calibri"/>
                <w:b/>
                <w:sz w:val="22"/>
                <w:szCs w:val="22"/>
              </w:rPr>
            </w:pPr>
            <w:r w:rsidRPr="00682BB3">
              <w:rPr>
                <w:rFonts w:ascii="Calibri" w:hAnsi="Calibri" w:cs="Calibri"/>
                <w:b/>
                <w:sz w:val="22"/>
                <w:szCs w:val="22"/>
                <w:highlight w:val="yellow"/>
              </w:rPr>
              <w:t>[Explain.]</w:t>
            </w:r>
          </w:p>
        </w:tc>
      </w:tr>
      <w:tr w:rsidR="00070F98" w:rsidRPr="00907D75" w14:paraId="22D783A7" w14:textId="77777777" w:rsidTr="00093B76">
        <w:trPr>
          <w:gridAfter w:val="1"/>
          <w:wAfter w:w="198" w:type="dxa"/>
          <w:trHeight w:val="4795"/>
        </w:trPr>
        <w:tc>
          <w:tcPr>
            <w:tcW w:w="5805" w:type="dxa"/>
            <w:vAlign w:val="center"/>
          </w:tcPr>
          <w:p w14:paraId="1E006BFA" w14:textId="77777777" w:rsidR="00070F98" w:rsidRDefault="00070F98" w:rsidP="00070F98">
            <w:pPr>
              <w:pStyle w:val="O-BodyText"/>
              <w:spacing w:after="120"/>
              <w:ind w:right="200"/>
              <w:jc w:val="both"/>
              <w:rPr>
                <w:rFonts w:ascii="Calibri" w:hAnsi="Calibri" w:cs="Calibri"/>
                <w:b/>
                <w:sz w:val="28"/>
                <w:szCs w:val="28"/>
              </w:rPr>
            </w:pPr>
            <w:r w:rsidRPr="00144D63">
              <w:rPr>
                <w:rFonts w:ascii="Calibri" w:hAnsi="Calibri" w:cs="Calibri"/>
                <w:b/>
                <w:sz w:val="28"/>
                <w:szCs w:val="28"/>
              </w:rPr>
              <w:t xml:space="preserve">Isn’t this case factually distinguishable from the </w:t>
            </w:r>
            <w:r>
              <w:rPr>
                <w:rFonts w:ascii="Calibri" w:hAnsi="Calibri" w:cs="Calibri"/>
                <w:b/>
                <w:sz w:val="28"/>
                <w:szCs w:val="28"/>
              </w:rPr>
              <w:t>Fifth</w:t>
            </w:r>
            <w:r w:rsidRPr="00144D63">
              <w:rPr>
                <w:rFonts w:ascii="Calibri" w:hAnsi="Calibri" w:cs="Calibri"/>
                <w:b/>
                <w:sz w:val="28"/>
                <w:szCs w:val="28"/>
              </w:rPr>
              <w:t xml:space="preserve"> Circuit’s decision in </w:t>
            </w:r>
            <w:r w:rsidRPr="00144D63">
              <w:rPr>
                <w:rFonts w:ascii="Calibri" w:hAnsi="Calibri" w:cs="Calibri"/>
                <w:b/>
                <w:i/>
                <w:sz w:val="28"/>
                <w:szCs w:val="28"/>
              </w:rPr>
              <w:t>Bell Atlantic Corporation v. AT&amp;T Corp.</w:t>
            </w:r>
            <w:r>
              <w:rPr>
                <w:rFonts w:ascii="Calibri" w:hAnsi="Calibri" w:cs="Calibri"/>
                <w:b/>
                <w:sz w:val="28"/>
                <w:szCs w:val="28"/>
              </w:rPr>
              <w:t xml:space="preserve"> (5th</w:t>
            </w:r>
            <w:r w:rsidRPr="00144D63">
              <w:rPr>
                <w:rFonts w:ascii="Calibri" w:hAnsi="Calibri" w:cs="Calibri"/>
                <w:b/>
                <w:sz w:val="28"/>
                <w:szCs w:val="28"/>
              </w:rPr>
              <w:t xml:space="preserve"> 200</w:t>
            </w:r>
            <w:r>
              <w:rPr>
                <w:rFonts w:ascii="Calibri" w:hAnsi="Calibri" w:cs="Calibri"/>
                <w:b/>
                <w:sz w:val="28"/>
                <w:szCs w:val="28"/>
              </w:rPr>
              <w:t>3</w:t>
            </w:r>
            <w:r w:rsidRPr="00144D63">
              <w:rPr>
                <w:rFonts w:ascii="Calibri" w:hAnsi="Calibri" w:cs="Calibri"/>
                <w:b/>
                <w:sz w:val="28"/>
                <w:szCs w:val="28"/>
              </w:rPr>
              <w:t>)?</w:t>
            </w:r>
          </w:p>
        </w:tc>
        <w:tc>
          <w:tcPr>
            <w:tcW w:w="5805" w:type="dxa"/>
            <w:gridSpan w:val="2"/>
            <w:vAlign w:val="center"/>
          </w:tcPr>
          <w:p w14:paraId="113B1669" w14:textId="77777777" w:rsidR="00070F98" w:rsidRPr="00453C7B" w:rsidRDefault="00070F98" w:rsidP="00070F98">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[Explain</w:t>
            </w:r>
            <w:r w:rsidRPr="00453C7B">
              <w:rPr>
                <w:rFonts w:ascii="Calibri" w:hAnsi="Calibri" w:cs="Calibri"/>
                <w:b/>
                <w:sz w:val="22"/>
                <w:szCs w:val="22"/>
                <w:highlight w:val="yellow"/>
              </w:rPr>
              <w:t>.</w:t>
            </w:r>
            <w:r>
              <w:rPr>
                <w:rFonts w:ascii="Calibri" w:hAnsi="Calibri" w:cs="Calibri"/>
                <w:b/>
                <w:sz w:val="22"/>
                <w:szCs w:val="22"/>
                <w:highlight w:val="yellow"/>
              </w:rPr>
              <w:t>]</w:t>
            </w:r>
          </w:p>
        </w:tc>
      </w:tr>
      <w:tr w:rsidR="00070F98" w:rsidRPr="00907D75" w14:paraId="69B7B351" w14:textId="77777777" w:rsidTr="00093B76">
        <w:trPr>
          <w:gridAfter w:val="1"/>
          <w:wAfter w:w="198" w:type="dxa"/>
          <w:trHeight w:val="4795"/>
        </w:trPr>
        <w:tc>
          <w:tcPr>
            <w:tcW w:w="5805" w:type="dxa"/>
            <w:vAlign w:val="center"/>
          </w:tcPr>
          <w:p w14:paraId="40E25869" w14:textId="77777777" w:rsidR="00070F98" w:rsidRPr="00661046"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key takeaway from </w:t>
            </w:r>
            <w:r>
              <w:rPr>
                <w:rFonts w:ascii="Calibri" w:hAnsi="Calibri" w:cs="Calibri"/>
                <w:b/>
                <w:i/>
                <w:sz w:val="28"/>
                <w:szCs w:val="28"/>
              </w:rPr>
              <w:t>Bell Atlantic Corp. v. AT&amp;T Corp.</w:t>
            </w:r>
            <w:r>
              <w:rPr>
                <w:rFonts w:ascii="Calibri" w:hAnsi="Calibri" w:cs="Calibri"/>
                <w:b/>
                <w:sz w:val="28"/>
                <w:szCs w:val="28"/>
              </w:rPr>
              <w:t xml:space="preserve"> (5th 2003)?</w:t>
            </w:r>
          </w:p>
        </w:tc>
        <w:tc>
          <w:tcPr>
            <w:tcW w:w="5805" w:type="dxa"/>
            <w:gridSpan w:val="2"/>
            <w:vAlign w:val="center"/>
          </w:tcPr>
          <w:p w14:paraId="46669D92" w14:textId="77777777" w:rsidR="00070F98" w:rsidRPr="00453C7B" w:rsidRDefault="00070F98" w:rsidP="00070F98">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 xml:space="preserve">In </w:t>
            </w:r>
            <w:r w:rsidRPr="00241605">
              <w:rPr>
                <w:rFonts w:ascii="Calibri" w:hAnsi="Calibri" w:cs="Calibri"/>
                <w:b/>
                <w:i/>
                <w:sz w:val="22"/>
                <w:szCs w:val="22"/>
              </w:rPr>
              <w:t>Bell Atlantic</w:t>
            </w:r>
            <w:r>
              <w:rPr>
                <w:rFonts w:ascii="Calibri" w:hAnsi="Calibri" w:cs="Calibri"/>
                <w:b/>
                <w:sz w:val="22"/>
                <w:szCs w:val="22"/>
              </w:rPr>
              <w:t xml:space="preserve"> (5th 2003), t</w:t>
            </w:r>
            <w:r w:rsidRPr="00241605">
              <w:rPr>
                <w:rFonts w:ascii="Calibri" w:hAnsi="Calibri" w:cs="Calibri"/>
                <w:b/>
                <w:sz w:val="22"/>
                <w:szCs w:val="22"/>
              </w:rPr>
              <w:t>he Fifth Circuit held that “where fact of damage cannot be established for every class member through proof common to the class, the need to establish antitrust liability for individual class members defeats Rule 23(b)(3) predominance.”</w:t>
            </w:r>
          </w:p>
        </w:tc>
      </w:tr>
      <w:tr w:rsidR="00070F98" w:rsidRPr="00907D75" w14:paraId="1D5D9A30" w14:textId="77777777" w:rsidTr="00093B76">
        <w:trPr>
          <w:gridAfter w:val="1"/>
          <w:wAfter w:w="198" w:type="dxa"/>
          <w:trHeight w:val="4795"/>
        </w:trPr>
        <w:tc>
          <w:tcPr>
            <w:tcW w:w="5805" w:type="dxa"/>
            <w:vAlign w:val="center"/>
          </w:tcPr>
          <w:p w14:paraId="47671CFE" w14:textId="77777777" w:rsidR="00070F98" w:rsidRPr="00F43A76" w:rsidRDefault="00070F98" w:rsidP="00070F98">
            <w:pPr>
              <w:pStyle w:val="O-BodyText"/>
              <w:spacing w:after="120"/>
              <w:ind w:right="200"/>
              <w:jc w:val="both"/>
              <w:rPr>
                <w:rFonts w:ascii="Calibri" w:hAnsi="Calibri" w:cs="Calibri"/>
                <w:b/>
                <w:sz w:val="28"/>
                <w:szCs w:val="28"/>
                <w:highlight w:val="yellow"/>
              </w:rPr>
            </w:pPr>
            <w:r w:rsidRPr="00682BB3">
              <w:rPr>
                <w:rFonts w:ascii="Calibri" w:hAnsi="Calibri" w:cs="Calibri"/>
                <w:b/>
                <w:sz w:val="28"/>
                <w:szCs w:val="28"/>
              </w:rPr>
              <w:lastRenderedPageBreak/>
              <w:t xml:space="preserve">Aren’t Plaintiffs’ expert’s methods enough to satisfy the Seventh Circuit’s standard in </w:t>
            </w:r>
            <w:r w:rsidRPr="00682BB3">
              <w:rPr>
                <w:rFonts w:ascii="Calibri" w:hAnsi="Calibri" w:cs="Calibri"/>
                <w:b/>
                <w:i/>
                <w:sz w:val="28"/>
                <w:szCs w:val="28"/>
              </w:rPr>
              <w:t xml:space="preserve">Messner v. Northshore Univ. </w:t>
            </w:r>
            <w:proofErr w:type="spellStart"/>
            <w:r w:rsidRPr="00682BB3">
              <w:rPr>
                <w:rFonts w:ascii="Calibri" w:hAnsi="Calibri" w:cs="Calibri"/>
                <w:b/>
                <w:i/>
                <w:sz w:val="28"/>
                <w:szCs w:val="28"/>
              </w:rPr>
              <w:t>HealthSystem</w:t>
            </w:r>
            <w:proofErr w:type="spellEnd"/>
            <w:r w:rsidRPr="00682BB3">
              <w:rPr>
                <w:rFonts w:ascii="Calibri" w:hAnsi="Calibri" w:cs="Calibri"/>
                <w:b/>
                <w:sz w:val="28"/>
                <w:szCs w:val="28"/>
              </w:rPr>
              <w:t xml:space="preserve"> (7th 2012)?</w:t>
            </w:r>
          </w:p>
        </w:tc>
        <w:tc>
          <w:tcPr>
            <w:tcW w:w="5805" w:type="dxa"/>
            <w:gridSpan w:val="2"/>
            <w:vAlign w:val="center"/>
          </w:tcPr>
          <w:p w14:paraId="59D00BB2" w14:textId="77777777" w:rsidR="00070F98" w:rsidRPr="00F43A76" w:rsidRDefault="00070F98" w:rsidP="00070F98">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[Explain</w:t>
            </w:r>
            <w:r w:rsidRPr="00F43A76">
              <w:rPr>
                <w:rFonts w:ascii="Calibri" w:hAnsi="Calibri" w:cs="Calibri"/>
                <w:b/>
                <w:sz w:val="22"/>
                <w:szCs w:val="22"/>
                <w:highlight w:val="yellow"/>
              </w:rPr>
              <w:t>.</w:t>
            </w:r>
            <w:r>
              <w:rPr>
                <w:rFonts w:ascii="Calibri" w:hAnsi="Calibri" w:cs="Calibri"/>
                <w:b/>
                <w:sz w:val="22"/>
                <w:szCs w:val="22"/>
                <w:highlight w:val="yellow"/>
              </w:rPr>
              <w:t>]</w:t>
            </w:r>
            <w:r w:rsidRPr="00F43A76">
              <w:rPr>
                <w:rFonts w:ascii="Calibri" w:hAnsi="Calibri" w:cs="Calibri"/>
                <w:b/>
                <w:sz w:val="22"/>
                <w:szCs w:val="22"/>
                <w:highlight w:val="yellow"/>
              </w:rPr>
              <w:t xml:space="preserve"> </w:t>
            </w:r>
          </w:p>
        </w:tc>
      </w:tr>
      <w:tr w:rsidR="00070F98" w:rsidRPr="00907D75" w14:paraId="1CE71716" w14:textId="77777777" w:rsidTr="00093B76">
        <w:trPr>
          <w:gridAfter w:val="1"/>
          <w:wAfter w:w="198" w:type="dxa"/>
          <w:trHeight w:val="4795"/>
        </w:trPr>
        <w:tc>
          <w:tcPr>
            <w:tcW w:w="5805" w:type="dxa"/>
            <w:vAlign w:val="center"/>
          </w:tcPr>
          <w:p w14:paraId="2AF0D3D8" w14:textId="77777777" w:rsidR="00070F98" w:rsidRPr="00144D63" w:rsidRDefault="00070F98" w:rsidP="00070F98">
            <w:pPr>
              <w:pStyle w:val="O-BodyText"/>
              <w:spacing w:after="120"/>
              <w:ind w:right="200"/>
              <w:jc w:val="both"/>
              <w:rPr>
                <w:rFonts w:ascii="Calibri" w:hAnsi="Calibri" w:cs="Calibri"/>
                <w:b/>
                <w:sz w:val="28"/>
                <w:szCs w:val="28"/>
              </w:rPr>
            </w:pPr>
            <w:r w:rsidRPr="00453C7B">
              <w:rPr>
                <w:rFonts w:ascii="Calibri" w:hAnsi="Calibri" w:cs="Calibri"/>
                <w:b/>
                <w:sz w:val="28"/>
                <w:szCs w:val="28"/>
              </w:rPr>
              <w:t xml:space="preserve">Isn’t this case factually distinguishable from the </w:t>
            </w:r>
            <w:r>
              <w:rPr>
                <w:rFonts w:ascii="Calibri" w:hAnsi="Calibri" w:cs="Calibri"/>
                <w:b/>
                <w:sz w:val="28"/>
                <w:szCs w:val="28"/>
              </w:rPr>
              <w:t>New Jersey district court’s</w:t>
            </w:r>
            <w:r w:rsidRPr="00453C7B">
              <w:rPr>
                <w:rFonts w:ascii="Calibri" w:hAnsi="Calibri" w:cs="Calibri"/>
                <w:b/>
                <w:sz w:val="28"/>
                <w:szCs w:val="28"/>
              </w:rPr>
              <w:t xml:space="preserve"> decision in </w:t>
            </w:r>
            <w:proofErr w:type="gramStart"/>
            <w:r w:rsidRPr="00453C7B">
              <w:rPr>
                <w:rFonts w:ascii="Calibri" w:hAnsi="Calibri" w:cs="Calibri"/>
                <w:b/>
                <w:i/>
                <w:sz w:val="28"/>
                <w:szCs w:val="28"/>
              </w:rPr>
              <w:t>In</w:t>
            </w:r>
            <w:proofErr w:type="gramEnd"/>
            <w:r w:rsidRPr="00453C7B">
              <w:rPr>
                <w:rFonts w:ascii="Calibri" w:hAnsi="Calibri" w:cs="Calibri"/>
                <w:b/>
                <w:i/>
                <w:sz w:val="28"/>
                <w:szCs w:val="28"/>
              </w:rPr>
              <w:t xml:space="preserve"> re </w:t>
            </w:r>
            <w:proofErr w:type="spellStart"/>
            <w:r w:rsidRPr="00453C7B">
              <w:rPr>
                <w:rFonts w:ascii="Calibri" w:hAnsi="Calibri" w:cs="Calibri"/>
                <w:b/>
                <w:i/>
                <w:sz w:val="28"/>
                <w:szCs w:val="28"/>
              </w:rPr>
              <w:t>Thalomid</w:t>
            </w:r>
            <w:proofErr w:type="spellEnd"/>
            <w:r w:rsidRPr="00453C7B">
              <w:rPr>
                <w:rFonts w:ascii="Calibri" w:hAnsi="Calibri" w:cs="Calibri"/>
                <w:b/>
                <w:i/>
                <w:sz w:val="28"/>
                <w:szCs w:val="28"/>
              </w:rPr>
              <w:t xml:space="preserve"> &amp; </w:t>
            </w:r>
            <w:proofErr w:type="spellStart"/>
            <w:r w:rsidRPr="00453C7B">
              <w:rPr>
                <w:rFonts w:ascii="Calibri" w:hAnsi="Calibri" w:cs="Calibri"/>
                <w:b/>
                <w:i/>
                <w:sz w:val="28"/>
                <w:szCs w:val="28"/>
              </w:rPr>
              <w:t>Revlimid</w:t>
            </w:r>
            <w:proofErr w:type="spellEnd"/>
            <w:r w:rsidRPr="00453C7B">
              <w:rPr>
                <w:rFonts w:ascii="Calibri" w:hAnsi="Calibri" w:cs="Calibri"/>
                <w:b/>
                <w:i/>
                <w:sz w:val="28"/>
                <w:szCs w:val="28"/>
              </w:rPr>
              <w:t xml:space="preserve"> Antitrust Litigation</w:t>
            </w:r>
            <w:r w:rsidRPr="00453C7B">
              <w:rPr>
                <w:rFonts w:ascii="Calibri" w:hAnsi="Calibri" w:cs="Calibri"/>
                <w:b/>
                <w:sz w:val="28"/>
                <w:szCs w:val="28"/>
              </w:rPr>
              <w:t xml:space="preserve"> (</w:t>
            </w:r>
            <w:r>
              <w:rPr>
                <w:rFonts w:ascii="Calibri" w:hAnsi="Calibri" w:cs="Calibri"/>
                <w:b/>
                <w:sz w:val="28"/>
                <w:szCs w:val="28"/>
              </w:rPr>
              <w:t>D.N.J.</w:t>
            </w:r>
            <w:r w:rsidRPr="00453C7B">
              <w:rPr>
                <w:rFonts w:ascii="Calibri" w:hAnsi="Calibri" w:cs="Calibri"/>
                <w:b/>
                <w:sz w:val="28"/>
                <w:szCs w:val="28"/>
              </w:rPr>
              <w:t xml:space="preserve"> 20</w:t>
            </w:r>
            <w:r>
              <w:rPr>
                <w:rFonts w:ascii="Calibri" w:hAnsi="Calibri" w:cs="Calibri"/>
                <w:b/>
                <w:sz w:val="28"/>
                <w:szCs w:val="28"/>
              </w:rPr>
              <w:t>18</w:t>
            </w:r>
            <w:r w:rsidRPr="00453C7B">
              <w:rPr>
                <w:rFonts w:ascii="Calibri" w:hAnsi="Calibri" w:cs="Calibri"/>
                <w:b/>
                <w:sz w:val="28"/>
                <w:szCs w:val="28"/>
              </w:rPr>
              <w:t>)?</w:t>
            </w:r>
          </w:p>
        </w:tc>
        <w:tc>
          <w:tcPr>
            <w:tcW w:w="5805" w:type="dxa"/>
            <w:gridSpan w:val="2"/>
            <w:vAlign w:val="center"/>
          </w:tcPr>
          <w:p w14:paraId="73FBC5FB" w14:textId="77777777" w:rsidR="00070F98" w:rsidRPr="00144D63"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highlight w:val="yellow"/>
              </w:rPr>
              <w:t xml:space="preserve">[Explain.] </w:t>
            </w:r>
          </w:p>
        </w:tc>
      </w:tr>
      <w:tr w:rsidR="00070F98" w:rsidRPr="00907D75" w14:paraId="60D20C79" w14:textId="77777777" w:rsidTr="00093B76">
        <w:trPr>
          <w:gridAfter w:val="1"/>
          <w:wAfter w:w="198" w:type="dxa"/>
          <w:trHeight w:val="4795"/>
        </w:trPr>
        <w:tc>
          <w:tcPr>
            <w:tcW w:w="5805" w:type="dxa"/>
            <w:vAlign w:val="center"/>
          </w:tcPr>
          <w:p w14:paraId="686D65DB" w14:textId="77777777" w:rsidR="00070F98" w:rsidRPr="00453C7B" w:rsidRDefault="00070F98" w:rsidP="00070F98">
            <w:pPr>
              <w:pStyle w:val="O-BodyText"/>
              <w:spacing w:after="120"/>
              <w:ind w:right="200"/>
              <w:jc w:val="both"/>
              <w:rPr>
                <w:rFonts w:ascii="Calibri" w:hAnsi="Calibri" w:cs="Calibri"/>
                <w:b/>
                <w:sz w:val="28"/>
                <w:szCs w:val="28"/>
              </w:rPr>
            </w:pPr>
            <w:r w:rsidRPr="00BC65D7">
              <w:rPr>
                <w:rFonts w:ascii="Calibri" w:hAnsi="Calibri" w:cs="Calibri"/>
                <w:b/>
                <w:sz w:val="28"/>
                <w:szCs w:val="28"/>
              </w:rPr>
              <w:t xml:space="preserve">Isn’t this case factually distinguishable from the </w:t>
            </w:r>
            <w:r>
              <w:rPr>
                <w:rFonts w:ascii="Calibri" w:hAnsi="Calibri" w:cs="Calibri"/>
                <w:b/>
                <w:sz w:val="28"/>
                <w:szCs w:val="28"/>
              </w:rPr>
              <w:t>Middle</w:t>
            </w:r>
            <w:r w:rsidRPr="00BC65D7">
              <w:rPr>
                <w:rFonts w:ascii="Calibri" w:hAnsi="Calibri" w:cs="Calibri"/>
                <w:b/>
                <w:sz w:val="28"/>
                <w:szCs w:val="28"/>
              </w:rPr>
              <w:t xml:space="preserve"> </w:t>
            </w:r>
            <w:r>
              <w:rPr>
                <w:rFonts w:ascii="Calibri" w:hAnsi="Calibri" w:cs="Calibri"/>
                <w:b/>
                <w:sz w:val="28"/>
                <w:szCs w:val="28"/>
              </w:rPr>
              <w:t>D</w:t>
            </w:r>
            <w:r w:rsidRPr="00BC65D7">
              <w:rPr>
                <w:rFonts w:ascii="Calibri" w:hAnsi="Calibri" w:cs="Calibri"/>
                <w:b/>
                <w:sz w:val="28"/>
                <w:szCs w:val="28"/>
              </w:rPr>
              <w:t>istrict</w:t>
            </w:r>
            <w:r>
              <w:rPr>
                <w:rFonts w:ascii="Calibri" w:hAnsi="Calibri" w:cs="Calibri"/>
                <w:b/>
                <w:sz w:val="28"/>
                <w:szCs w:val="28"/>
              </w:rPr>
              <w:t xml:space="preserve"> of Florida</w:t>
            </w:r>
            <w:r w:rsidRPr="00BC65D7">
              <w:rPr>
                <w:rFonts w:ascii="Calibri" w:hAnsi="Calibri" w:cs="Calibri"/>
                <w:b/>
                <w:sz w:val="28"/>
                <w:szCs w:val="28"/>
              </w:rPr>
              <w:t xml:space="preserve"> court’s decision in </w:t>
            </w:r>
            <w:proofErr w:type="gramStart"/>
            <w:r w:rsidRPr="00EE6E85">
              <w:rPr>
                <w:rFonts w:ascii="Calibri" w:hAnsi="Calibri" w:cs="Calibri"/>
                <w:b/>
                <w:i/>
                <w:sz w:val="28"/>
                <w:szCs w:val="28"/>
              </w:rPr>
              <w:t>In</w:t>
            </w:r>
            <w:proofErr w:type="gramEnd"/>
            <w:r w:rsidRPr="00EE6E85">
              <w:rPr>
                <w:rFonts w:ascii="Calibri" w:hAnsi="Calibri" w:cs="Calibri"/>
                <w:b/>
                <w:i/>
                <w:sz w:val="28"/>
                <w:szCs w:val="28"/>
              </w:rPr>
              <w:t xml:space="preserve"> re Photochromic Lens Antitrust Litigation</w:t>
            </w:r>
            <w:r w:rsidRPr="00BC65D7">
              <w:rPr>
                <w:rFonts w:ascii="Calibri" w:hAnsi="Calibri" w:cs="Calibri"/>
                <w:b/>
                <w:sz w:val="28"/>
                <w:szCs w:val="28"/>
              </w:rPr>
              <w:t xml:space="preserve"> (</w:t>
            </w:r>
            <w:r>
              <w:rPr>
                <w:rFonts w:ascii="Calibri" w:hAnsi="Calibri" w:cs="Calibri"/>
                <w:b/>
                <w:sz w:val="28"/>
                <w:szCs w:val="28"/>
              </w:rPr>
              <w:t>M.D. Fla.</w:t>
            </w:r>
            <w:r w:rsidRPr="00BC65D7">
              <w:rPr>
                <w:rFonts w:ascii="Calibri" w:hAnsi="Calibri" w:cs="Calibri"/>
                <w:b/>
                <w:sz w:val="28"/>
                <w:szCs w:val="28"/>
              </w:rPr>
              <w:t xml:space="preserve"> 201</w:t>
            </w:r>
            <w:r>
              <w:rPr>
                <w:rFonts w:ascii="Calibri" w:hAnsi="Calibri" w:cs="Calibri"/>
                <w:b/>
                <w:sz w:val="28"/>
                <w:szCs w:val="28"/>
              </w:rPr>
              <w:t>4</w:t>
            </w:r>
            <w:r w:rsidRPr="00BC65D7">
              <w:rPr>
                <w:rFonts w:ascii="Calibri" w:hAnsi="Calibri" w:cs="Calibri"/>
                <w:b/>
                <w:sz w:val="28"/>
                <w:szCs w:val="28"/>
              </w:rPr>
              <w:t>)?</w:t>
            </w:r>
          </w:p>
        </w:tc>
        <w:tc>
          <w:tcPr>
            <w:tcW w:w="5805" w:type="dxa"/>
            <w:gridSpan w:val="2"/>
            <w:vAlign w:val="center"/>
          </w:tcPr>
          <w:p w14:paraId="47E96B9C" w14:textId="77777777" w:rsidR="00070F98" w:rsidRPr="00EE6E85" w:rsidRDefault="00070F98" w:rsidP="00070F98">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[Explain</w:t>
            </w:r>
            <w:r w:rsidRPr="00155A72">
              <w:rPr>
                <w:rFonts w:ascii="Calibri" w:hAnsi="Calibri" w:cs="Calibri"/>
                <w:b/>
                <w:sz w:val="22"/>
                <w:szCs w:val="22"/>
                <w:highlight w:val="yellow"/>
              </w:rPr>
              <w:t>.</w:t>
            </w:r>
            <w:r>
              <w:rPr>
                <w:rFonts w:ascii="Calibri" w:hAnsi="Calibri" w:cs="Calibri"/>
                <w:b/>
                <w:sz w:val="22"/>
                <w:szCs w:val="22"/>
                <w:highlight w:val="yellow"/>
              </w:rPr>
              <w:t>]</w:t>
            </w:r>
          </w:p>
        </w:tc>
      </w:tr>
      <w:tr w:rsidR="00070F98" w:rsidRPr="00907D75" w14:paraId="4B508FF4" w14:textId="77777777" w:rsidTr="00093B76">
        <w:trPr>
          <w:gridAfter w:val="1"/>
          <w:wAfter w:w="198" w:type="dxa"/>
          <w:trHeight w:val="4795"/>
        </w:trPr>
        <w:tc>
          <w:tcPr>
            <w:tcW w:w="5805" w:type="dxa"/>
            <w:vAlign w:val="center"/>
          </w:tcPr>
          <w:p w14:paraId="75355EC3" w14:textId="77777777" w:rsidR="00070F98" w:rsidRPr="00BC65D7" w:rsidRDefault="00070F98" w:rsidP="00070F98">
            <w:pPr>
              <w:pStyle w:val="O-BodyText"/>
              <w:spacing w:after="120"/>
              <w:ind w:right="200"/>
              <w:jc w:val="both"/>
              <w:rPr>
                <w:rFonts w:ascii="Calibri" w:hAnsi="Calibri" w:cs="Calibri"/>
                <w:b/>
                <w:sz w:val="28"/>
                <w:szCs w:val="28"/>
              </w:rPr>
            </w:pPr>
            <w:r w:rsidRPr="0040244C">
              <w:rPr>
                <w:rFonts w:ascii="Calibri" w:hAnsi="Calibri" w:cs="Calibri"/>
                <w:b/>
                <w:sz w:val="28"/>
                <w:szCs w:val="28"/>
              </w:rPr>
              <w:lastRenderedPageBreak/>
              <w:t xml:space="preserve">Isn’t this case factually distinguishable from the </w:t>
            </w:r>
            <w:r>
              <w:rPr>
                <w:rFonts w:ascii="Calibri" w:hAnsi="Calibri" w:cs="Calibri"/>
                <w:b/>
                <w:sz w:val="28"/>
                <w:szCs w:val="28"/>
              </w:rPr>
              <w:t>Eastern District of Montana</w:t>
            </w:r>
            <w:r w:rsidRPr="0040244C">
              <w:rPr>
                <w:rFonts w:ascii="Calibri" w:hAnsi="Calibri" w:cs="Calibri"/>
                <w:b/>
                <w:sz w:val="28"/>
                <w:szCs w:val="28"/>
              </w:rPr>
              <w:t xml:space="preserve"> court’s decision in </w:t>
            </w:r>
            <w:r w:rsidRPr="0040244C">
              <w:rPr>
                <w:rFonts w:ascii="Calibri" w:hAnsi="Calibri" w:cs="Calibri"/>
                <w:b/>
                <w:i/>
                <w:sz w:val="28"/>
                <w:szCs w:val="28"/>
              </w:rPr>
              <w:t>Sample v. Monsanto Co.</w:t>
            </w:r>
            <w:r w:rsidRPr="0040244C">
              <w:rPr>
                <w:rFonts w:ascii="Calibri" w:hAnsi="Calibri" w:cs="Calibri"/>
                <w:b/>
                <w:sz w:val="28"/>
                <w:szCs w:val="28"/>
              </w:rPr>
              <w:t xml:space="preserve"> (E.D. Mo. 2003)?</w:t>
            </w:r>
          </w:p>
        </w:tc>
        <w:tc>
          <w:tcPr>
            <w:tcW w:w="5805" w:type="dxa"/>
            <w:gridSpan w:val="2"/>
            <w:vAlign w:val="center"/>
          </w:tcPr>
          <w:p w14:paraId="1B8152C2" w14:textId="77777777" w:rsidR="00070F98" w:rsidRPr="00155A72" w:rsidRDefault="00070F98" w:rsidP="00070F98">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[Explain.]</w:t>
            </w:r>
          </w:p>
        </w:tc>
      </w:tr>
      <w:tr w:rsidR="00070F98" w:rsidRPr="00907D75" w14:paraId="5552AB71" w14:textId="77777777" w:rsidTr="00093B76">
        <w:trPr>
          <w:gridAfter w:val="1"/>
          <w:wAfter w:w="198" w:type="dxa"/>
          <w:trHeight w:val="4795"/>
        </w:trPr>
        <w:tc>
          <w:tcPr>
            <w:tcW w:w="5805" w:type="dxa"/>
            <w:vAlign w:val="center"/>
          </w:tcPr>
          <w:p w14:paraId="6CAF554F" w14:textId="77777777" w:rsidR="00070F98" w:rsidRPr="00BC65D7" w:rsidRDefault="00070F98" w:rsidP="00070F98">
            <w:pPr>
              <w:pStyle w:val="O-BodyText"/>
              <w:spacing w:after="120"/>
              <w:ind w:right="200"/>
              <w:jc w:val="both"/>
              <w:rPr>
                <w:rFonts w:ascii="Calibri" w:hAnsi="Calibri" w:cs="Calibri"/>
                <w:b/>
                <w:sz w:val="28"/>
                <w:szCs w:val="28"/>
              </w:rPr>
            </w:pPr>
            <w:r w:rsidRPr="00DC334F">
              <w:rPr>
                <w:rFonts w:ascii="Calibri" w:hAnsi="Calibri" w:cs="Calibri"/>
                <w:b/>
                <w:sz w:val="28"/>
                <w:szCs w:val="28"/>
              </w:rPr>
              <w:t xml:space="preserve">Isn’t this case factually distinguishable from the </w:t>
            </w:r>
            <w:r>
              <w:rPr>
                <w:rFonts w:ascii="Calibri" w:hAnsi="Calibri" w:cs="Calibri"/>
                <w:b/>
                <w:sz w:val="28"/>
                <w:szCs w:val="28"/>
              </w:rPr>
              <w:t>Western District of Oklahoma</w:t>
            </w:r>
            <w:r w:rsidRPr="00DC334F">
              <w:rPr>
                <w:rFonts w:ascii="Calibri" w:hAnsi="Calibri" w:cs="Calibri"/>
                <w:b/>
                <w:sz w:val="28"/>
                <w:szCs w:val="28"/>
              </w:rPr>
              <w:t xml:space="preserve"> court’s decision in </w:t>
            </w:r>
            <w:r w:rsidRPr="00DC334F">
              <w:rPr>
                <w:rFonts w:ascii="Calibri" w:hAnsi="Calibri" w:cs="Calibri"/>
                <w:b/>
                <w:i/>
                <w:sz w:val="28"/>
                <w:szCs w:val="28"/>
              </w:rPr>
              <w:t>Meyers v. Sw. Bell Tel. Co.</w:t>
            </w:r>
            <w:r>
              <w:rPr>
                <w:rFonts w:ascii="Calibri" w:hAnsi="Calibri" w:cs="Calibri"/>
                <w:b/>
                <w:sz w:val="28"/>
                <w:szCs w:val="28"/>
              </w:rPr>
              <w:t xml:space="preserve"> </w:t>
            </w:r>
            <w:r w:rsidRPr="00DC334F">
              <w:rPr>
                <w:rFonts w:ascii="Calibri" w:hAnsi="Calibri" w:cs="Calibri"/>
                <w:b/>
                <w:sz w:val="28"/>
                <w:szCs w:val="28"/>
              </w:rPr>
              <w:t>(</w:t>
            </w:r>
            <w:r>
              <w:rPr>
                <w:rFonts w:ascii="Calibri" w:hAnsi="Calibri" w:cs="Calibri"/>
                <w:b/>
                <w:sz w:val="28"/>
                <w:szCs w:val="28"/>
              </w:rPr>
              <w:t>W.D. Okla</w:t>
            </w:r>
            <w:r w:rsidRPr="00DC334F">
              <w:rPr>
                <w:rFonts w:ascii="Calibri" w:hAnsi="Calibri" w:cs="Calibri"/>
                <w:b/>
                <w:sz w:val="28"/>
                <w:szCs w:val="28"/>
              </w:rPr>
              <w:t xml:space="preserve">. </w:t>
            </w:r>
            <w:r>
              <w:rPr>
                <w:rFonts w:ascii="Calibri" w:hAnsi="Calibri" w:cs="Calibri"/>
                <w:b/>
                <w:sz w:val="28"/>
                <w:szCs w:val="28"/>
              </w:rPr>
              <w:t>1997</w:t>
            </w:r>
            <w:r w:rsidRPr="00DC334F">
              <w:rPr>
                <w:rFonts w:ascii="Calibri" w:hAnsi="Calibri" w:cs="Calibri"/>
                <w:b/>
                <w:sz w:val="28"/>
                <w:szCs w:val="28"/>
              </w:rPr>
              <w:t>)?</w:t>
            </w:r>
          </w:p>
        </w:tc>
        <w:tc>
          <w:tcPr>
            <w:tcW w:w="5805" w:type="dxa"/>
            <w:gridSpan w:val="2"/>
            <w:vAlign w:val="center"/>
          </w:tcPr>
          <w:p w14:paraId="1D68B774" w14:textId="77777777" w:rsidR="00070F98" w:rsidRPr="00155A72"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highlight w:val="yellow"/>
              </w:rPr>
              <w:t>[Explain.]</w:t>
            </w:r>
          </w:p>
        </w:tc>
      </w:tr>
      <w:tr w:rsidR="00070F98" w:rsidRPr="00907D75" w14:paraId="38B7A747" w14:textId="77777777" w:rsidTr="00093B76">
        <w:trPr>
          <w:gridAfter w:val="1"/>
          <w:wAfter w:w="198" w:type="dxa"/>
          <w:trHeight w:val="4795"/>
        </w:trPr>
        <w:tc>
          <w:tcPr>
            <w:tcW w:w="5805" w:type="dxa"/>
            <w:vAlign w:val="center"/>
          </w:tcPr>
          <w:p w14:paraId="5F87E0C5" w14:textId="77777777" w:rsidR="00070F98" w:rsidRPr="00DC334F" w:rsidRDefault="00070F98" w:rsidP="00070F98">
            <w:pPr>
              <w:pStyle w:val="O-BodyText"/>
              <w:spacing w:after="120"/>
              <w:ind w:right="200"/>
              <w:jc w:val="both"/>
              <w:rPr>
                <w:rFonts w:ascii="Calibri" w:hAnsi="Calibri" w:cs="Calibri"/>
                <w:b/>
                <w:sz w:val="28"/>
                <w:szCs w:val="28"/>
              </w:rPr>
            </w:pPr>
            <w:r w:rsidRPr="009A6D33">
              <w:rPr>
                <w:rFonts w:ascii="Calibri" w:hAnsi="Calibri" w:cs="Calibri"/>
                <w:b/>
                <w:sz w:val="28"/>
                <w:szCs w:val="28"/>
              </w:rPr>
              <w:t xml:space="preserve">Isn’t this case factually distinguishable from the </w:t>
            </w:r>
            <w:r>
              <w:rPr>
                <w:rFonts w:ascii="Calibri" w:hAnsi="Calibri" w:cs="Calibri"/>
                <w:b/>
                <w:sz w:val="28"/>
                <w:szCs w:val="28"/>
              </w:rPr>
              <w:t>Northern</w:t>
            </w:r>
            <w:r w:rsidRPr="009A6D33">
              <w:rPr>
                <w:rFonts w:ascii="Calibri" w:hAnsi="Calibri" w:cs="Calibri"/>
                <w:b/>
                <w:sz w:val="28"/>
                <w:szCs w:val="28"/>
              </w:rPr>
              <w:t xml:space="preserve"> District of </w:t>
            </w:r>
            <w:r>
              <w:rPr>
                <w:rFonts w:ascii="Calibri" w:hAnsi="Calibri" w:cs="Calibri"/>
                <w:b/>
                <w:sz w:val="28"/>
                <w:szCs w:val="28"/>
              </w:rPr>
              <w:t>California</w:t>
            </w:r>
            <w:r w:rsidRPr="009A6D33">
              <w:rPr>
                <w:rFonts w:ascii="Calibri" w:hAnsi="Calibri" w:cs="Calibri"/>
                <w:b/>
                <w:sz w:val="28"/>
                <w:szCs w:val="28"/>
              </w:rPr>
              <w:t xml:space="preserve"> court’s decision in </w:t>
            </w:r>
            <w:r w:rsidRPr="001F465A">
              <w:rPr>
                <w:rFonts w:ascii="Calibri" w:hAnsi="Calibri" w:cs="Calibri"/>
                <w:b/>
                <w:i/>
                <w:sz w:val="28"/>
                <w:szCs w:val="28"/>
              </w:rPr>
              <w:t>Somers v. Apple</w:t>
            </w:r>
            <w:r w:rsidRPr="009A6D33">
              <w:rPr>
                <w:rFonts w:ascii="Calibri" w:hAnsi="Calibri" w:cs="Calibri"/>
                <w:b/>
                <w:sz w:val="28"/>
                <w:szCs w:val="28"/>
              </w:rPr>
              <w:t xml:space="preserve"> (</w:t>
            </w:r>
            <w:r>
              <w:rPr>
                <w:rFonts w:ascii="Calibri" w:hAnsi="Calibri" w:cs="Calibri"/>
                <w:b/>
                <w:sz w:val="28"/>
                <w:szCs w:val="28"/>
              </w:rPr>
              <w:t>N.D. Cal. 2009</w:t>
            </w:r>
            <w:r w:rsidRPr="009A6D33">
              <w:rPr>
                <w:rFonts w:ascii="Calibri" w:hAnsi="Calibri" w:cs="Calibri"/>
                <w:b/>
                <w:sz w:val="28"/>
                <w:szCs w:val="28"/>
              </w:rPr>
              <w:t>)?</w:t>
            </w:r>
          </w:p>
        </w:tc>
        <w:tc>
          <w:tcPr>
            <w:tcW w:w="5805" w:type="dxa"/>
            <w:gridSpan w:val="2"/>
            <w:vAlign w:val="center"/>
          </w:tcPr>
          <w:p w14:paraId="7AC6D3C8" w14:textId="77777777" w:rsidR="00070F98" w:rsidRPr="009A6D33" w:rsidRDefault="00070F98" w:rsidP="00070F98">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[Explain</w:t>
            </w:r>
            <w:r w:rsidRPr="005256E4">
              <w:rPr>
                <w:rFonts w:ascii="Calibri" w:hAnsi="Calibri" w:cs="Calibri"/>
                <w:b/>
                <w:sz w:val="22"/>
                <w:szCs w:val="22"/>
                <w:highlight w:val="yellow"/>
              </w:rPr>
              <w:t>.</w:t>
            </w:r>
            <w:r>
              <w:rPr>
                <w:rFonts w:ascii="Calibri" w:hAnsi="Calibri" w:cs="Calibri"/>
                <w:b/>
                <w:sz w:val="22"/>
                <w:szCs w:val="22"/>
                <w:highlight w:val="yellow"/>
              </w:rPr>
              <w:t>]</w:t>
            </w:r>
          </w:p>
        </w:tc>
      </w:tr>
      <w:tr w:rsidR="00070F98" w:rsidRPr="00907D75" w14:paraId="1C0B12E8" w14:textId="77777777" w:rsidTr="00093B76">
        <w:trPr>
          <w:gridAfter w:val="1"/>
          <w:wAfter w:w="198" w:type="dxa"/>
          <w:trHeight w:val="4795"/>
        </w:trPr>
        <w:tc>
          <w:tcPr>
            <w:tcW w:w="5805" w:type="dxa"/>
            <w:vAlign w:val="center"/>
          </w:tcPr>
          <w:p w14:paraId="78991FF0" w14:textId="77777777" w:rsidR="00070F98" w:rsidRPr="00907D75"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about Plaintiffs’ argument based on our decision in</w:t>
            </w:r>
            <w:r w:rsidRPr="0044551B">
              <w:rPr>
                <w:rFonts w:ascii="Calibri" w:hAnsi="Calibri" w:cs="Calibri"/>
                <w:b/>
                <w:sz w:val="28"/>
                <w:szCs w:val="28"/>
              </w:rPr>
              <w:t xml:space="preserve"> </w:t>
            </w:r>
            <w:r w:rsidRPr="0044551B">
              <w:rPr>
                <w:rFonts w:ascii="Calibri" w:hAnsi="Calibri" w:cs="Calibri"/>
                <w:b/>
                <w:i/>
                <w:sz w:val="28"/>
                <w:szCs w:val="28"/>
              </w:rPr>
              <w:t>Torres v. Mercer Canyons Inc.</w:t>
            </w:r>
            <w:r>
              <w:rPr>
                <w:rFonts w:ascii="Calibri" w:hAnsi="Calibri" w:cs="Calibri"/>
                <w:b/>
                <w:sz w:val="28"/>
                <w:szCs w:val="28"/>
              </w:rPr>
              <w:t xml:space="preserve"> (9th 2016)</w:t>
            </w:r>
            <w:r w:rsidRPr="0044551B">
              <w:rPr>
                <w:rFonts w:ascii="Calibri" w:hAnsi="Calibri" w:cs="Calibri"/>
                <w:b/>
                <w:sz w:val="28"/>
                <w:szCs w:val="28"/>
              </w:rPr>
              <w:t xml:space="preserve"> that “[p]</w:t>
            </w:r>
            <w:proofErr w:type="spellStart"/>
            <w:r w:rsidRPr="0044551B">
              <w:rPr>
                <w:rFonts w:ascii="Calibri" w:hAnsi="Calibri" w:cs="Calibri"/>
                <w:b/>
                <w:sz w:val="28"/>
                <w:szCs w:val="28"/>
              </w:rPr>
              <w:t>redominance</w:t>
            </w:r>
            <w:proofErr w:type="spellEnd"/>
            <w:r w:rsidRPr="0044551B">
              <w:rPr>
                <w:rFonts w:ascii="Calibri" w:hAnsi="Calibri" w:cs="Calibri"/>
                <w:b/>
                <w:sz w:val="28"/>
                <w:szCs w:val="28"/>
              </w:rPr>
              <w:t xml:space="preserve"> is not ... a matter of nose- counting,” but “[r]</w:t>
            </w:r>
            <w:proofErr w:type="spellStart"/>
            <w:r w:rsidRPr="0044551B">
              <w:rPr>
                <w:rFonts w:ascii="Calibri" w:hAnsi="Calibri" w:cs="Calibri"/>
                <w:b/>
                <w:sz w:val="28"/>
                <w:szCs w:val="28"/>
              </w:rPr>
              <w:t>ather</w:t>
            </w:r>
            <w:proofErr w:type="spellEnd"/>
            <w:r w:rsidRPr="0044551B">
              <w:rPr>
                <w:rFonts w:ascii="Calibri" w:hAnsi="Calibri" w:cs="Calibri"/>
                <w:b/>
                <w:sz w:val="28"/>
                <w:szCs w:val="28"/>
              </w:rPr>
              <w:t>, more important questions apt to drive the resolution of the litigation are given more weight in the predominance analysis”</w:t>
            </w:r>
            <w:r>
              <w:rPr>
                <w:rFonts w:ascii="Calibri" w:hAnsi="Calibri" w:cs="Calibri"/>
                <w:b/>
                <w:sz w:val="28"/>
                <w:szCs w:val="28"/>
              </w:rPr>
              <w:t>?</w:t>
            </w:r>
          </w:p>
        </w:tc>
        <w:tc>
          <w:tcPr>
            <w:tcW w:w="5805" w:type="dxa"/>
            <w:gridSpan w:val="2"/>
            <w:vAlign w:val="center"/>
          </w:tcPr>
          <w:p w14:paraId="256B2F87" w14:textId="77777777" w:rsidR="00070F98" w:rsidRPr="005A6C7E"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 xml:space="preserve">We don’t disagree. </w:t>
            </w:r>
            <w:r w:rsidRPr="0044551B">
              <w:rPr>
                <w:rFonts w:ascii="Calibri" w:hAnsi="Calibri" w:cs="Calibri"/>
                <w:b/>
                <w:sz w:val="22"/>
                <w:szCs w:val="22"/>
              </w:rPr>
              <w:t xml:space="preserve">Antitrust </w:t>
            </w:r>
            <w:proofErr w:type="gramStart"/>
            <w:r w:rsidRPr="0044551B">
              <w:rPr>
                <w:rFonts w:ascii="Calibri" w:hAnsi="Calibri" w:cs="Calibri"/>
                <w:b/>
                <w:sz w:val="22"/>
                <w:szCs w:val="22"/>
              </w:rPr>
              <w:t>impact  is</w:t>
            </w:r>
            <w:proofErr w:type="gramEnd"/>
            <w:r w:rsidRPr="0044551B">
              <w:rPr>
                <w:rFonts w:ascii="Calibri" w:hAnsi="Calibri" w:cs="Calibri"/>
                <w:b/>
                <w:sz w:val="22"/>
                <w:szCs w:val="22"/>
              </w:rPr>
              <w:t xml:space="preserve">  precisely the kind of “important question[ ] apt to drive the resolution of the litigation,” and </w:t>
            </w:r>
            <w:r>
              <w:rPr>
                <w:rFonts w:ascii="Calibri" w:hAnsi="Calibri" w:cs="Calibri"/>
                <w:b/>
                <w:sz w:val="22"/>
                <w:szCs w:val="22"/>
              </w:rPr>
              <w:t xml:space="preserve">it </w:t>
            </w:r>
            <w:r w:rsidRPr="0044551B">
              <w:rPr>
                <w:rFonts w:ascii="Calibri" w:hAnsi="Calibri" w:cs="Calibri"/>
                <w:b/>
                <w:sz w:val="22"/>
                <w:szCs w:val="22"/>
              </w:rPr>
              <w:t>therefore plays a significant role in the predominance inquiry when it comes to antitrust class actions</w:t>
            </w:r>
            <w:r>
              <w:rPr>
                <w:rFonts w:ascii="Calibri" w:hAnsi="Calibri" w:cs="Calibri"/>
                <w:b/>
                <w:sz w:val="22"/>
                <w:szCs w:val="22"/>
              </w:rPr>
              <w:t>.</w:t>
            </w:r>
          </w:p>
        </w:tc>
      </w:tr>
      <w:tr w:rsidR="00070F98" w:rsidRPr="00907D75" w14:paraId="755BDA50" w14:textId="77777777" w:rsidTr="00093B76">
        <w:trPr>
          <w:gridAfter w:val="1"/>
          <w:wAfter w:w="198" w:type="dxa"/>
          <w:trHeight w:val="4795"/>
        </w:trPr>
        <w:tc>
          <w:tcPr>
            <w:tcW w:w="5805" w:type="dxa"/>
            <w:vAlign w:val="center"/>
          </w:tcPr>
          <w:p w14:paraId="6FE0FEFB" w14:textId="77777777" w:rsidR="00070F98"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Are you essentially just arguing that Plaintiffs’ expert’s model cannot sufficiently quantify the amount of damages at stake here?</w:t>
            </w:r>
          </w:p>
        </w:tc>
        <w:tc>
          <w:tcPr>
            <w:tcW w:w="5805" w:type="dxa"/>
            <w:gridSpan w:val="2"/>
            <w:vAlign w:val="center"/>
          </w:tcPr>
          <w:p w14:paraId="25A2E5EF" w14:textId="77777777" w:rsidR="00070F98" w:rsidRPr="00D1203E"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No. Plaintiffs’ briefs attempt to misdirect the Court to think that we are only arguing about the amount of damages, but this is merely a diversion. Our primary contention of why plaintiffs’ class cannot be certified is that they have not yet proposed and defended a data-driven model for proving injury-in-fact on a class-wide basis. This is precisely the reason the district court denied certification in the first place.</w:t>
            </w:r>
          </w:p>
        </w:tc>
      </w:tr>
      <w:tr w:rsidR="00070F98" w:rsidRPr="00907D75" w14:paraId="2E55B246" w14:textId="77777777" w:rsidTr="00093B76">
        <w:trPr>
          <w:gridAfter w:val="1"/>
          <w:wAfter w:w="198" w:type="dxa"/>
          <w:trHeight w:val="4795"/>
        </w:trPr>
        <w:tc>
          <w:tcPr>
            <w:tcW w:w="5805" w:type="dxa"/>
            <w:vAlign w:val="center"/>
          </w:tcPr>
          <w:p w14:paraId="5FD31CC2" w14:textId="77777777" w:rsidR="00070F98"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 xml:space="preserve">What do we do with Plaintiffs’ cases that hold that </w:t>
            </w:r>
            <w:r w:rsidRPr="00C02483">
              <w:rPr>
                <w:rFonts w:ascii="Calibri" w:hAnsi="Calibri" w:cs="Calibri"/>
                <w:b/>
                <w:sz w:val="28"/>
                <w:szCs w:val="28"/>
              </w:rPr>
              <w:t>the amount of damages does not, standing alone, preclude class certification</w:t>
            </w:r>
            <w:r>
              <w:rPr>
                <w:rFonts w:ascii="Calibri" w:hAnsi="Calibri" w:cs="Calibri"/>
                <w:b/>
                <w:sz w:val="28"/>
                <w:szCs w:val="28"/>
              </w:rPr>
              <w:t>?</w:t>
            </w:r>
          </w:p>
        </w:tc>
        <w:tc>
          <w:tcPr>
            <w:tcW w:w="5805" w:type="dxa"/>
            <w:gridSpan w:val="2"/>
            <w:vAlign w:val="center"/>
          </w:tcPr>
          <w:p w14:paraId="41031552" w14:textId="77777777" w:rsidR="00070F98"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These cases put the c</w:t>
            </w:r>
            <w:r w:rsidRPr="00C02483">
              <w:rPr>
                <w:rFonts w:ascii="Calibri" w:hAnsi="Calibri" w:cs="Calibri"/>
                <w:b/>
                <w:sz w:val="22"/>
                <w:szCs w:val="22"/>
              </w:rPr>
              <w:t>art before the horse</w:t>
            </w:r>
            <w:r>
              <w:rPr>
                <w:rFonts w:ascii="Calibri" w:hAnsi="Calibri" w:cs="Calibri"/>
                <w:b/>
                <w:sz w:val="22"/>
                <w:szCs w:val="22"/>
              </w:rPr>
              <w:t xml:space="preserve">. The district court’s decision </w:t>
            </w:r>
            <w:r w:rsidRPr="00C02483">
              <w:rPr>
                <w:rFonts w:ascii="Calibri" w:hAnsi="Calibri" w:cs="Calibri"/>
                <w:b/>
                <w:sz w:val="22"/>
                <w:szCs w:val="22"/>
              </w:rPr>
              <w:t>does not even implicate that principle, let alone violate it.</w:t>
            </w:r>
            <w:r>
              <w:rPr>
                <w:rFonts w:ascii="Calibri" w:hAnsi="Calibri" w:cs="Calibri"/>
                <w:b/>
                <w:sz w:val="22"/>
                <w:szCs w:val="22"/>
              </w:rPr>
              <w:t xml:space="preserve"> Plaintiffs have not identified any </w:t>
            </w:r>
            <w:r w:rsidRPr="001715DB">
              <w:rPr>
                <w:rFonts w:ascii="Calibri" w:hAnsi="Calibri" w:cs="Calibri"/>
                <w:b/>
                <w:sz w:val="22"/>
                <w:szCs w:val="22"/>
              </w:rPr>
              <w:t>damages estimates of any kind here. That is the core problem:</w:t>
            </w:r>
            <w:r>
              <w:rPr>
                <w:rFonts w:ascii="Calibri" w:hAnsi="Calibri" w:cs="Calibri"/>
                <w:b/>
                <w:sz w:val="22"/>
                <w:szCs w:val="22"/>
              </w:rPr>
              <w:t xml:space="preserve"> </w:t>
            </w:r>
            <w:r w:rsidRPr="001715DB">
              <w:rPr>
                <w:rFonts w:ascii="Calibri" w:hAnsi="Calibri" w:cs="Calibri"/>
                <w:b/>
                <w:sz w:val="22"/>
                <w:szCs w:val="22"/>
              </w:rPr>
              <w:t>Plaintiffs did not even evolve Dr. Warren-Boulton’s theories into a proof concept that allows us to see what his hypotheses yield. That is a total failure of proof, not a question of whether individualized damages issues defeat predominanc</w:t>
            </w:r>
            <w:r>
              <w:rPr>
                <w:rFonts w:ascii="Calibri" w:hAnsi="Calibri" w:cs="Calibri"/>
                <w:b/>
                <w:sz w:val="22"/>
                <w:szCs w:val="22"/>
              </w:rPr>
              <w:t xml:space="preserve">e. </w:t>
            </w:r>
          </w:p>
        </w:tc>
      </w:tr>
      <w:tr w:rsidR="00070F98" w:rsidRPr="00907D75" w14:paraId="34221911" w14:textId="77777777" w:rsidTr="00093B76">
        <w:trPr>
          <w:gridAfter w:val="1"/>
          <w:wAfter w:w="198" w:type="dxa"/>
          <w:trHeight w:val="4795"/>
        </w:trPr>
        <w:tc>
          <w:tcPr>
            <w:tcW w:w="5805" w:type="dxa"/>
            <w:vAlign w:val="center"/>
          </w:tcPr>
          <w:p w14:paraId="28A4E5D9" w14:textId="77777777" w:rsidR="00070F98"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lastRenderedPageBreak/>
              <w:t>Are you saying that Plaintiffs’ entire line of arguments that uncertainty as to the amount of damages does not necessarily preclude certification is nothing more than a red herring?</w:t>
            </w:r>
          </w:p>
        </w:tc>
        <w:tc>
          <w:tcPr>
            <w:tcW w:w="5805" w:type="dxa"/>
            <w:gridSpan w:val="2"/>
            <w:vAlign w:val="center"/>
          </w:tcPr>
          <w:p w14:paraId="59127512" w14:textId="77777777" w:rsidR="00070F98"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That’s right. The district court’s decision rested entirely on plaintiffs’ </w:t>
            </w:r>
            <w:r w:rsidRPr="00B14D50">
              <w:rPr>
                <w:rFonts w:ascii="Calibri" w:hAnsi="Calibri" w:cs="Calibri"/>
                <w:b/>
                <w:sz w:val="22"/>
                <w:szCs w:val="22"/>
              </w:rPr>
              <w:t>failure to carry their initial burden to demonstrate that impact common to the class could be established with common proof.</w:t>
            </w:r>
            <w:r>
              <w:rPr>
                <w:rFonts w:ascii="Calibri" w:hAnsi="Calibri" w:cs="Calibri"/>
                <w:b/>
                <w:sz w:val="22"/>
                <w:szCs w:val="22"/>
              </w:rPr>
              <w:t xml:space="preserve"> It did not even discuss the amount of damages. </w:t>
            </w:r>
            <w:r w:rsidRPr="00B14D50">
              <w:rPr>
                <w:rFonts w:ascii="Calibri" w:hAnsi="Calibri" w:cs="Calibri"/>
                <w:b/>
                <w:sz w:val="22"/>
                <w:szCs w:val="22"/>
              </w:rPr>
              <w:t xml:space="preserve">As the Third Circuit noted in </w:t>
            </w:r>
            <w:r w:rsidRPr="00B14D50">
              <w:rPr>
                <w:rFonts w:ascii="Calibri" w:hAnsi="Calibri" w:cs="Calibri"/>
                <w:b/>
                <w:i/>
                <w:sz w:val="22"/>
                <w:szCs w:val="22"/>
              </w:rPr>
              <w:t>Harnish v. Widener Univ. School of Law</w:t>
            </w:r>
            <w:r w:rsidRPr="00B14D50">
              <w:rPr>
                <w:rFonts w:ascii="Calibri" w:hAnsi="Calibri" w:cs="Calibri"/>
                <w:b/>
                <w:sz w:val="22"/>
                <w:szCs w:val="22"/>
              </w:rPr>
              <w:t xml:space="preserve"> (3d 2016), “[o]</w:t>
            </w:r>
            <w:proofErr w:type="spellStart"/>
            <w:r w:rsidRPr="00B14D50">
              <w:rPr>
                <w:rFonts w:ascii="Calibri" w:hAnsi="Calibri" w:cs="Calibri"/>
                <w:b/>
                <w:sz w:val="22"/>
                <w:szCs w:val="22"/>
              </w:rPr>
              <w:t>nly</w:t>
            </w:r>
            <w:proofErr w:type="spellEnd"/>
            <w:r w:rsidRPr="00B14D50">
              <w:rPr>
                <w:rFonts w:ascii="Calibri" w:hAnsi="Calibri" w:cs="Calibri"/>
                <w:b/>
                <w:sz w:val="22"/>
                <w:szCs w:val="22"/>
              </w:rPr>
              <w:t xml:space="preserve"> if the fact of damage is established does a court reach the question of remedy and the exact calculation of each plaintiff’s damages.”</w:t>
            </w:r>
            <w:r>
              <w:rPr>
                <w:rFonts w:ascii="Calibri" w:hAnsi="Calibri" w:cs="Calibri"/>
                <w:b/>
                <w:sz w:val="22"/>
                <w:szCs w:val="22"/>
              </w:rPr>
              <w:t xml:space="preserve"> </w:t>
            </w:r>
          </w:p>
        </w:tc>
      </w:tr>
      <w:tr w:rsidR="00070F98" w:rsidRPr="00907D75" w14:paraId="0ABF2621" w14:textId="77777777" w:rsidTr="00093B76">
        <w:trPr>
          <w:gridAfter w:val="1"/>
          <w:wAfter w:w="198" w:type="dxa"/>
          <w:trHeight w:val="4795"/>
        </w:trPr>
        <w:tc>
          <w:tcPr>
            <w:tcW w:w="5805" w:type="dxa"/>
            <w:vAlign w:val="center"/>
          </w:tcPr>
          <w:p w14:paraId="1B287FBD" w14:textId="77777777" w:rsidR="00070F98" w:rsidRPr="00907D75"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Does the Clayton Act require antitrust plaintiffs to prove impact as distinct from the quantification of damages?</w:t>
            </w:r>
          </w:p>
        </w:tc>
        <w:tc>
          <w:tcPr>
            <w:tcW w:w="5805" w:type="dxa"/>
            <w:gridSpan w:val="2"/>
            <w:vAlign w:val="center"/>
          </w:tcPr>
          <w:p w14:paraId="7BB931F9" w14:textId="77777777" w:rsidR="00070F98" w:rsidRPr="00907D75"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and Plaintiffs concede as much on pages 25-26 of their opening brief.  The Supreme Court held in </w:t>
            </w:r>
            <w:r w:rsidRPr="005256E4">
              <w:rPr>
                <w:rFonts w:ascii="Calibri" w:hAnsi="Calibri" w:cs="Calibri"/>
                <w:b/>
                <w:i/>
                <w:sz w:val="22"/>
                <w:szCs w:val="22"/>
              </w:rPr>
              <w:t>Zenith Radio Corp. v. Hazeltine Research, Inc.</w:t>
            </w:r>
            <w:r w:rsidRPr="005256E4">
              <w:rPr>
                <w:rFonts w:ascii="Calibri" w:hAnsi="Calibri" w:cs="Calibri"/>
                <w:b/>
                <w:sz w:val="22"/>
                <w:szCs w:val="22"/>
              </w:rPr>
              <w:t>, 395 U.S. 100, 114</w:t>
            </w:r>
            <w:r>
              <w:rPr>
                <w:rFonts w:ascii="Calibri" w:hAnsi="Calibri" w:cs="Calibri"/>
                <w:b/>
                <w:sz w:val="22"/>
                <w:szCs w:val="22"/>
              </w:rPr>
              <w:t xml:space="preserve"> </w:t>
            </w:r>
            <w:r w:rsidRPr="005256E4">
              <w:rPr>
                <w:rFonts w:ascii="Calibri" w:hAnsi="Calibri" w:cs="Calibri"/>
                <w:b/>
                <w:sz w:val="22"/>
                <w:szCs w:val="22"/>
              </w:rPr>
              <w:t>n.9 (1969)</w:t>
            </w:r>
            <w:r>
              <w:rPr>
                <w:rFonts w:ascii="Calibri" w:hAnsi="Calibri" w:cs="Calibri"/>
                <w:b/>
                <w:sz w:val="22"/>
                <w:szCs w:val="22"/>
              </w:rPr>
              <w:t xml:space="preserve"> that the </w:t>
            </w:r>
            <w:r w:rsidRPr="005256E4">
              <w:rPr>
                <w:rFonts w:ascii="Calibri" w:hAnsi="Calibri" w:cs="Calibri"/>
                <w:b/>
                <w:sz w:val="22"/>
                <w:szCs w:val="22"/>
              </w:rPr>
              <w:t>“burden of proving the fact of damage . . . is satisfied by . . . proof of some damage flowing from the unlawful [conduct]</w:t>
            </w:r>
            <w:r>
              <w:rPr>
                <w:rFonts w:ascii="Calibri" w:hAnsi="Calibri" w:cs="Calibri"/>
                <w:b/>
                <w:sz w:val="22"/>
                <w:szCs w:val="22"/>
              </w:rPr>
              <w:t>,” so it is key to show the fact of damage, not necessarily the precise amount.</w:t>
            </w:r>
          </w:p>
        </w:tc>
      </w:tr>
      <w:tr w:rsidR="00070F98" w:rsidRPr="00907D75" w14:paraId="2E0F3ED1" w14:textId="77777777" w:rsidTr="00093B76">
        <w:trPr>
          <w:gridAfter w:val="1"/>
          <w:wAfter w:w="198" w:type="dxa"/>
          <w:trHeight w:val="4795"/>
        </w:trPr>
        <w:tc>
          <w:tcPr>
            <w:tcW w:w="5805" w:type="dxa"/>
            <w:vAlign w:val="center"/>
          </w:tcPr>
          <w:p w14:paraId="62267F73" w14:textId="77777777" w:rsidR="00070F98" w:rsidRPr="00907D75"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 xml:space="preserve">Do antitrust cases subscribe to the common law principle </w:t>
            </w:r>
            <w:r w:rsidRPr="006745FA">
              <w:rPr>
                <w:rFonts w:ascii="Calibri" w:hAnsi="Calibri" w:cs="Calibri"/>
                <w:b/>
                <w:sz w:val="28"/>
                <w:szCs w:val="28"/>
              </w:rPr>
              <w:t>that once “the fact of damage” has been established by evidence with reasonable certainty, the amount of damages can be estimated by “just and reasonable inference</w:t>
            </w:r>
            <w:r>
              <w:rPr>
                <w:rFonts w:ascii="Calibri" w:hAnsi="Calibri" w:cs="Calibri"/>
                <w:b/>
                <w:sz w:val="28"/>
                <w:szCs w:val="28"/>
              </w:rPr>
              <w:t>”?</w:t>
            </w:r>
          </w:p>
        </w:tc>
        <w:tc>
          <w:tcPr>
            <w:tcW w:w="5805" w:type="dxa"/>
            <w:gridSpan w:val="2"/>
            <w:vAlign w:val="center"/>
          </w:tcPr>
          <w:p w14:paraId="79F45935" w14:textId="77777777" w:rsidR="00070F98" w:rsidRPr="00907D75"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this ancient rule focusing on the fact of damage rather than the precise amount of damages at the certification stage comes from the Court’s decision in </w:t>
            </w:r>
            <w:r w:rsidRPr="006745FA">
              <w:rPr>
                <w:rFonts w:ascii="Calibri" w:hAnsi="Calibri" w:cs="Calibri"/>
                <w:b/>
                <w:i/>
                <w:sz w:val="22"/>
                <w:szCs w:val="22"/>
              </w:rPr>
              <w:t>Story Parchment Co. v. Paterson Parchment Paper Co.</w:t>
            </w:r>
            <w:r>
              <w:rPr>
                <w:rFonts w:ascii="Calibri" w:hAnsi="Calibri" w:cs="Calibri"/>
                <w:b/>
                <w:sz w:val="22"/>
                <w:szCs w:val="22"/>
              </w:rPr>
              <w:t xml:space="preserve"> </w:t>
            </w:r>
            <w:r w:rsidRPr="006745FA">
              <w:rPr>
                <w:rFonts w:ascii="Calibri" w:hAnsi="Calibri" w:cs="Calibri"/>
                <w:b/>
                <w:sz w:val="22"/>
                <w:szCs w:val="22"/>
              </w:rPr>
              <w:t>(</w:t>
            </w:r>
            <w:r>
              <w:rPr>
                <w:rFonts w:ascii="Calibri" w:hAnsi="Calibri" w:cs="Calibri"/>
                <w:b/>
                <w:sz w:val="22"/>
                <w:szCs w:val="22"/>
              </w:rPr>
              <w:t xml:space="preserve">U.S. </w:t>
            </w:r>
            <w:r w:rsidRPr="006745FA">
              <w:rPr>
                <w:rFonts w:ascii="Calibri" w:hAnsi="Calibri" w:cs="Calibri"/>
                <w:b/>
                <w:sz w:val="22"/>
                <w:szCs w:val="22"/>
              </w:rPr>
              <w:t>1931).</w:t>
            </w:r>
            <w:r>
              <w:rPr>
                <w:rFonts w:ascii="Calibri" w:hAnsi="Calibri" w:cs="Calibri"/>
                <w:b/>
                <w:sz w:val="22"/>
                <w:szCs w:val="22"/>
              </w:rPr>
              <w:t xml:space="preserve"> It </w:t>
            </w:r>
            <w:r w:rsidRPr="006745FA">
              <w:rPr>
                <w:rFonts w:ascii="Calibri" w:hAnsi="Calibri" w:cs="Calibri"/>
                <w:b/>
                <w:sz w:val="22"/>
                <w:szCs w:val="22"/>
              </w:rPr>
              <w:t xml:space="preserve">rests on the insight that once wrongdoing and individual harm have been established, uncertainty about the extent of that harm should (within </w:t>
            </w:r>
            <w:r>
              <w:rPr>
                <w:rFonts w:ascii="Calibri" w:hAnsi="Calibri" w:cs="Calibri"/>
                <w:b/>
                <w:sz w:val="22"/>
                <w:szCs w:val="22"/>
              </w:rPr>
              <w:t>reason</w:t>
            </w:r>
            <w:r w:rsidRPr="006745FA">
              <w:rPr>
                <w:rFonts w:ascii="Calibri" w:hAnsi="Calibri" w:cs="Calibri"/>
                <w:b/>
                <w:sz w:val="22"/>
                <w:szCs w:val="22"/>
              </w:rPr>
              <w:t>) not benefit the defendant.</w:t>
            </w:r>
          </w:p>
        </w:tc>
      </w:tr>
      <w:tr w:rsidR="00070F98" w:rsidRPr="00907D75" w14:paraId="57D27918" w14:textId="77777777" w:rsidTr="00093B76">
        <w:trPr>
          <w:gridAfter w:val="1"/>
          <w:wAfter w:w="198" w:type="dxa"/>
          <w:trHeight w:val="4795"/>
        </w:trPr>
        <w:tc>
          <w:tcPr>
            <w:tcW w:w="5805" w:type="dxa"/>
            <w:vAlign w:val="center"/>
          </w:tcPr>
          <w:p w14:paraId="19E99572" w14:textId="77777777" w:rsidR="00070F98"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Aren’t we required to hold </w:t>
            </w:r>
            <w:r w:rsidRPr="006745FA">
              <w:rPr>
                <w:rFonts w:ascii="Calibri" w:hAnsi="Calibri" w:cs="Calibri"/>
                <w:b/>
                <w:sz w:val="28"/>
                <w:szCs w:val="28"/>
              </w:rPr>
              <w:t>that the need for individual damages calculations, need not preclude class certification</w:t>
            </w:r>
            <w:r>
              <w:rPr>
                <w:rFonts w:ascii="Calibri" w:hAnsi="Calibri" w:cs="Calibri"/>
                <w:b/>
                <w:sz w:val="28"/>
                <w:szCs w:val="28"/>
              </w:rPr>
              <w:t>?</w:t>
            </w:r>
          </w:p>
        </w:tc>
        <w:tc>
          <w:tcPr>
            <w:tcW w:w="5805" w:type="dxa"/>
            <w:gridSpan w:val="2"/>
            <w:vAlign w:val="center"/>
          </w:tcPr>
          <w:p w14:paraId="3116EEC3" w14:textId="77777777" w:rsidR="00070F98" w:rsidRPr="006745FA"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This Court has already found individual damages issues to prohibit class certification in </w:t>
            </w:r>
            <w:proofErr w:type="gramStart"/>
            <w:r w:rsidRPr="006745FA">
              <w:rPr>
                <w:rFonts w:ascii="Calibri" w:hAnsi="Calibri" w:cs="Calibri"/>
                <w:b/>
                <w:i/>
                <w:sz w:val="22"/>
                <w:szCs w:val="22"/>
              </w:rPr>
              <w:t>In</w:t>
            </w:r>
            <w:proofErr w:type="gramEnd"/>
            <w:r w:rsidRPr="006745FA">
              <w:rPr>
                <w:rFonts w:ascii="Calibri" w:hAnsi="Calibri" w:cs="Calibri"/>
                <w:b/>
                <w:i/>
                <w:sz w:val="22"/>
                <w:szCs w:val="22"/>
              </w:rPr>
              <w:t xml:space="preserve"> re Hotel Telephone Charges</w:t>
            </w:r>
            <w:r w:rsidRPr="006745FA">
              <w:rPr>
                <w:rFonts w:ascii="Calibri" w:hAnsi="Calibri" w:cs="Calibri"/>
                <w:b/>
                <w:sz w:val="22"/>
                <w:szCs w:val="22"/>
              </w:rPr>
              <w:t xml:space="preserve"> (9th 1974)</w:t>
            </w:r>
            <w:r>
              <w:rPr>
                <w:rFonts w:ascii="Calibri" w:hAnsi="Calibri" w:cs="Calibri"/>
                <w:b/>
                <w:sz w:val="22"/>
                <w:szCs w:val="22"/>
              </w:rPr>
              <w:t xml:space="preserve">. In fact, in </w:t>
            </w:r>
            <w:r w:rsidRPr="006745FA">
              <w:rPr>
                <w:rFonts w:ascii="Calibri" w:hAnsi="Calibri" w:cs="Calibri"/>
                <w:b/>
                <w:i/>
                <w:sz w:val="22"/>
                <w:szCs w:val="22"/>
              </w:rPr>
              <w:t>Comcast</w:t>
            </w:r>
            <w:r w:rsidRPr="006745FA">
              <w:rPr>
                <w:rFonts w:ascii="Calibri" w:hAnsi="Calibri" w:cs="Calibri"/>
                <w:b/>
                <w:sz w:val="22"/>
                <w:szCs w:val="22"/>
              </w:rPr>
              <w:t xml:space="preserve"> (U.S. 2013)</w:t>
            </w:r>
            <w:r>
              <w:rPr>
                <w:rFonts w:ascii="Calibri" w:hAnsi="Calibri" w:cs="Calibri"/>
                <w:b/>
                <w:sz w:val="22"/>
                <w:szCs w:val="22"/>
              </w:rPr>
              <w:t xml:space="preserve">, the Supreme Court also held that a class could not be certified </w:t>
            </w:r>
            <w:r w:rsidRPr="006745FA">
              <w:rPr>
                <w:rFonts w:ascii="Calibri" w:hAnsi="Calibri" w:cs="Calibri"/>
                <w:b/>
                <w:sz w:val="22"/>
                <w:szCs w:val="22"/>
              </w:rPr>
              <w:t>where the damages model was inconsistent with the remaining liability theory</w:t>
            </w:r>
            <w:r>
              <w:rPr>
                <w:rFonts w:ascii="Calibri" w:hAnsi="Calibri" w:cs="Calibri"/>
                <w:b/>
                <w:sz w:val="22"/>
                <w:szCs w:val="22"/>
              </w:rPr>
              <w:t>.</w:t>
            </w:r>
          </w:p>
        </w:tc>
      </w:tr>
      <w:tr w:rsidR="00070F98" w:rsidRPr="00907D75" w14:paraId="297AACD3" w14:textId="77777777" w:rsidTr="00093B76">
        <w:trPr>
          <w:gridAfter w:val="1"/>
          <w:wAfter w:w="198" w:type="dxa"/>
          <w:trHeight w:val="4795"/>
        </w:trPr>
        <w:tc>
          <w:tcPr>
            <w:tcW w:w="5805" w:type="dxa"/>
            <w:vAlign w:val="center"/>
          </w:tcPr>
          <w:p w14:paraId="407C67C8" w14:textId="77777777" w:rsidR="00070F98"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What are the overarching individualized concerns present here?</w:t>
            </w:r>
          </w:p>
        </w:tc>
        <w:tc>
          <w:tcPr>
            <w:tcW w:w="5805" w:type="dxa"/>
            <w:gridSpan w:val="2"/>
            <w:vAlign w:val="center"/>
          </w:tcPr>
          <w:p w14:paraId="7FA64A3B" w14:textId="77777777" w:rsidR="00070F98"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highlight w:val="yellow"/>
              </w:rPr>
              <w:t>[Explain</w:t>
            </w:r>
            <w:r w:rsidRPr="00C332AF">
              <w:rPr>
                <w:rFonts w:ascii="Calibri" w:hAnsi="Calibri" w:cs="Calibri"/>
                <w:b/>
                <w:sz w:val="22"/>
                <w:szCs w:val="22"/>
                <w:highlight w:val="yellow"/>
              </w:rPr>
              <w:t>.</w:t>
            </w:r>
            <w:r>
              <w:rPr>
                <w:rFonts w:ascii="Calibri" w:hAnsi="Calibri" w:cs="Calibri"/>
                <w:b/>
                <w:sz w:val="22"/>
                <w:szCs w:val="22"/>
              </w:rPr>
              <w:t>]</w:t>
            </w:r>
          </w:p>
        </w:tc>
      </w:tr>
      <w:tr w:rsidR="00070F98" w:rsidRPr="00907D75" w14:paraId="77F9A11C" w14:textId="77777777" w:rsidTr="00093B76">
        <w:trPr>
          <w:gridAfter w:val="1"/>
          <w:wAfter w:w="198" w:type="dxa"/>
          <w:trHeight w:val="4795"/>
        </w:trPr>
        <w:tc>
          <w:tcPr>
            <w:tcW w:w="5805" w:type="dxa"/>
            <w:vAlign w:val="center"/>
          </w:tcPr>
          <w:p w14:paraId="6244EA00" w14:textId="77777777" w:rsidR="00070F98" w:rsidRPr="00907D75"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t>If uncertainty about amount of damages does not necessarily preclude certification, can doubts about the fact of class-wide impact or “injury” preclude class certification?</w:t>
            </w:r>
          </w:p>
        </w:tc>
        <w:tc>
          <w:tcPr>
            <w:tcW w:w="5805" w:type="dxa"/>
            <w:gridSpan w:val="2"/>
            <w:vAlign w:val="center"/>
          </w:tcPr>
          <w:p w14:paraId="08D1E98E" w14:textId="77777777" w:rsidR="00070F98" w:rsidRPr="00C02483" w:rsidRDefault="00070F98" w:rsidP="00070F98">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The “first dollar of damages,” as the DC Circuit put it in </w:t>
            </w:r>
            <w:r>
              <w:rPr>
                <w:rFonts w:ascii="Calibri" w:hAnsi="Calibri" w:cs="Calibri"/>
                <w:b/>
                <w:i/>
                <w:sz w:val="22"/>
                <w:szCs w:val="22"/>
              </w:rPr>
              <w:t>Rail Freight</w:t>
            </w:r>
            <w:r>
              <w:rPr>
                <w:rFonts w:ascii="Calibri" w:hAnsi="Calibri" w:cs="Calibri"/>
                <w:b/>
                <w:sz w:val="22"/>
                <w:szCs w:val="22"/>
              </w:rPr>
              <w:t xml:space="preserve"> (D.C. 2013) </w:t>
            </w:r>
            <w:r w:rsidRPr="00C02483">
              <w:rPr>
                <w:rFonts w:ascii="Calibri" w:hAnsi="Calibri" w:cs="Calibri"/>
                <w:b/>
                <w:sz w:val="22"/>
                <w:szCs w:val="22"/>
              </w:rPr>
              <w:t>must be proven by or for each class member with reasonable certainty, and the antitrust case law is clear that if the fact of impact cannot be adjudicated through common proof, class certification</w:t>
            </w:r>
            <w:r>
              <w:rPr>
                <w:rFonts w:ascii="Calibri" w:hAnsi="Calibri" w:cs="Calibri"/>
                <w:b/>
                <w:sz w:val="22"/>
                <w:szCs w:val="22"/>
              </w:rPr>
              <w:t xml:space="preserve"> is inappropriate. </w:t>
            </w:r>
          </w:p>
        </w:tc>
      </w:tr>
      <w:tr w:rsidR="00070F98" w:rsidRPr="00907D75" w14:paraId="0E763EC1" w14:textId="77777777" w:rsidTr="00093B76">
        <w:trPr>
          <w:gridAfter w:val="1"/>
          <w:wAfter w:w="198" w:type="dxa"/>
          <w:trHeight w:val="4795"/>
        </w:trPr>
        <w:tc>
          <w:tcPr>
            <w:tcW w:w="5805" w:type="dxa"/>
            <w:vAlign w:val="center"/>
          </w:tcPr>
          <w:p w14:paraId="3EA695AD" w14:textId="77777777" w:rsidR="00070F98" w:rsidRPr="00907D75" w:rsidRDefault="00070F98" w:rsidP="00070F9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do we deal with Plaintiffs’ reliance on </w:t>
            </w:r>
            <w:r w:rsidRPr="00B14D50">
              <w:rPr>
                <w:rFonts w:ascii="Calibri" w:hAnsi="Calibri" w:cs="Calibri"/>
                <w:b/>
                <w:i/>
                <w:sz w:val="28"/>
                <w:szCs w:val="28"/>
              </w:rPr>
              <w:t>Lambert v. Nutraceutical Corp.</w:t>
            </w:r>
            <w:r w:rsidRPr="00B14D50">
              <w:rPr>
                <w:rFonts w:ascii="Calibri" w:hAnsi="Calibri" w:cs="Calibri"/>
                <w:b/>
                <w:sz w:val="28"/>
                <w:szCs w:val="28"/>
              </w:rPr>
              <w:t xml:space="preserve"> (9th 2017)</w:t>
            </w:r>
            <w:r>
              <w:rPr>
                <w:rFonts w:ascii="Calibri" w:hAnsi="Calibri" w:cs="Calibri"/>
                <w:b/>
                <w:sz w:val="28"/>
                <w:szCs w:val="28"/>
              </w:rPr>
              <w:t xml:space="preserve"> for the principle that whether plaintiffs can prove damages to a reasonable certainty is a question of fact that should be reserved for trial?</w:t>
            </w:r>
          </w:p>
        </w:tc>
        <w:tc>
          <w:tcPr>
            <w:tcW w:w="5805" w:type="dxa"/>
            <w:gridSpan w:val="2"/>
            <w:vAlign w:val="center"/>
          </w:tcPr>
          <w:p w14:paraId="17C8D3E9" w14:textId="77777777" w:rsidR="00070F98" w:rsidRPr="00FC43F0" w:rsidRDefault="00070F98" w:rsidP="00070F98">
            <w:pPr>
              <w:pStyle w:val="O-BodyText"/>
              <w:spacing w:after="120"/>
              <w:ind w:left="290" w:right="65"/>
              <w:jc w:val="both"/>
              <w:rPr>
                <w:rFonts w:ascii="Calibri" w:hAnsi="Calibri" w:cs="Calibri"/>
                <w:b/>
                <w:i/>
                <w:sz w:val="22"/>
                <w:szCs w:val="22"/>
              </w:rPr>
            </w:pPr>
            <w:r>
              <w:rPr>
                <w:rFonts w:ascii="Calibri" w:hAnsi="Calibri" w:cs="Calibri"/>
                <w:b/>
                <w:sz w:val="22"/>
                <w:szCs w:val="22"/>
              </w:rPr>
              <w:t>First, the fatal flaw with Dr. Warren-</w:t>
            </w:r>
            <w:proofErr w:type="spellStart"/>
            <w:r>
              <w:rPr>
                <w:rFonts w:ascii="Calibri" w:hAnsi="Calibri" w:cs="Calibri"/>
                <w:b/>
                <w:sz w:val="22"/>
                <w:szCs w:val="22"/>
              </w:rPr>
              <w:t>Boluton’s</w:t>
            </w:r>
            <w:proofErr w:type="spellEnd"/>
            <w:r>
              <w:rPr>
                <w:rFonts w:ascii="Calibri" w:hAnsi="Calibri" w:cs="Calibri"/>
                <w:b/>
                <w:sz w:val="22"/>
                <w:szCs w:val="22"/>
              </w:rPr>
              <w:t xml:space="preserve"> declaration is that he failed to submit any semblance of a functioning model tailored to market the facts in this case, not that he didn’t calculate damages with enough certainty. In other words, the issue is that he didn’t calculate damages at all, not that he didn’t do it well enough. Second, </w:t>
            </w:r>
            <w:r>
              <w:rPr>
                <w:rFonts w:ascii="Calibri" w:hAnsi="Calibri" w:cs="Calibri"/>
                <w:b/>
                <w:i/>
                <w:sz w:val="22"/>
                <w:szCs w:val="22"/>
              </w:rPr>
              <w:t>Lambert</w:t>
            </w:r>
            <w:r>
              <w:t xml:space="preserve"> </w:t>
            </w:r>
            <w:r w:rsidRPr="00FC43F0">
              <w:rPr>
                <w:rFonts w:ascii="Calibri" w:hAnsi="Calibri" w:cs="Calibri"/>
                <w:b/>
                <w:i/>
                <w:sz w:val="22"/>
                <w:szCs w:val="22"/>
              </w:rPr>
              <w:t xml:space="preserve">v. Nutraceutical Corp. </w:t>
            </w:r>
            <w:r w:rsidRPr="00FC43F0">
              <w:rPr>
                <w:rFonts w:ascii="Calibri" w:hAnsi="Calibri" w:cs="Calibri"/>
                <w:b/>
                <w:sz w:val="22"/>
                <w:szCs w:val="22"/>
              </w:rPr>
              <w:t>(9th 2017)</w:t>
            </w:r>
            <w:r>
              <w:rPr>
                <w:rFonts w:ascii="Calibri" w:hAnsi="Calibri" w:cs="Calibri"/>
                <w:b/>
                <w:sz w:val="22"/>
                <w:szCs w:val="22"/>
              </w:rPr>
              <w:t xml:space="preserve"> and the other cases plaintiffs cite for this proposition, </w:t>
            </w:r>
            <w:r w:rsidRPr="00FC43F0">
              <w:rPr>
                <w:rFonts w:ascii="Calibri" w:hAnsi="Calibri" w:cs="Calibri"/>
                <w:b/>
                <w:i/>
                <w:sz w:val="22"/>
                <w:szCs w:val="22"/>
              </w:rPr>
              <w:t xml:space="preserve">Just Film, Inc. v. </w:t>
            </w:r>
            <w:proofErr w:type="spellStart"/>
            <w:r w:rsidRPr="00FC43F0">
              <w:rPr>
                <w:rFonts w:ascii="Calibri" w:hAnsi="Calibri" w:cs="Calibri"/>
                <w:b/>
                <w:i/>
                <w:sz w:val="22"/>
                <w:szCs w:val="22"/>
              </w:rPr>
              <w:t>Buono</w:t>
            </w:r>
            <w:proofErr w:type="spellEnd"/>
            <w:r w:rsidRPr="00FC43F0">
              <w:rPr>
                <w:rFonts w:ascii="Calibri" w:hAnsi="Calibri" w:cs="Calibri"/>
                <w:b/>
                <w:sz w:val="22"/>
                <w:szCs w:val="22"/>
              </w:rPr>
              <w:t xml:space="preserve"> (9th 2017)</w:t>
            </w:r>
            <w:r>
              <w:rPr>
                <w:rFonts w:ascii="Calibri" w:hAnsi="Calibri" w:cs="Calibri"/>
                <w:b/>
                <w:sz w:val="22"/>
                <w:szCs w:val="22"/>
              </w:rPr>
              <w:t xml:space="preserve"> and </w:t>
            </w:r>
            <w:r w:rsidRPr="00FC43F0">
              <w:rPr>
                <w:rFonts w:ascii="Calibri" w:hAnsi="Calibri" w:cs="Calibri"/>
                <w:b/>
                <w:i/>
                <w:sz w:val="22"/>
                <w:szCs w:val="22"/>
              </w:rPr>
              <w:t>Pulaski &amp; Middleman, LLC v. Google, Inc.</w:t>
            </w:r>
            <w:r w:rsidRPr="00FC43F0">
              <w:rPr>
                <w:rFonts w:ascii="Calibri" w:hAnsi="Calibri" w:cs="Calibri"/>
                <w:b/>
                <w:sz w:val="22"/>
                <w:szCs w:val="22"/>
              </w:rPr>
              <w:t xml:space="preserve"> (9th 2015)</w:t>
            </w:r>
            <w:r>
              <w:rPr>
                <w:rFonts w:ascii="Calibri" w:hAnsi="Calibri" w:cs="Calibri"/>
                <w:b/>
                <w:sz w:val="22"/>
                <w:szCs w:val="22"/>
              </w:rPr>
              <w:t xml:space="preserve">, are not antitrust cases. </w:t>
            </w:r>
            <w:r w:rsidRPr="00FC43F0">
              <w:rPr>
                <w:rFonts w:ascii="Calibri" w:hAnsi="Calibri" w:cs="Calibri"/>
                <w:b/>
                <w:sz w:val="22"/>
                <w:szCs w:val="22"/>
              </w:rPr>
              <w:t>These cases therefore do not address what an antitrust plaintiff must do to prove that the Clayton Act’s requirement of individual injury can be met on a</w:t>
            </w:r>
            <w:r>
              <w:rPr>
                <w:rFonts w:ascii="Calibri" w:hAnsi="Calibri" w:cs="Calibri"/>
                <w:b/>
                <w:sz w:val="22"/>
                <w:szCs w:val="22"/>
              </w:rPr>
              <w:t xml:space="preserve"> </w:t>
            </w:r>
            <w:proofErr w:type="spellStart"/>
            <w:r w:rsidRPr="00FC43F0">
              <w:rPr>
                <w:rFonts w:ascii="Calibri" w:hAnsi="Calibri" w:cs="Calibri"/>
                <w:b/>
                <w:sz w:val="22"/>
                <w:szCs w:val="22"/>
              </w:rPr>
              <w:t>classwide</w:t>
            </w:r>
            <w:proofErr w:type="spellEnd"/>
            <w:r w:rsidRPr="00FC43F0">
              <w:rPr>
                <w:rFonts w:ascii="Calibri" w:hAnsi="Calibri" w:cs="Calibri"/>
                <w:b/>
                <w:sz w:val="22"/>
                <w:szCs w:val="22"/>
              </w:rPr>
              <w:t xml:space="preserve"> basis.</w:t>
            </w:r>
          </w:p>
        </w:tc>
      </w:tr>
    </w:tbl>
    <w:p w14:paraId="229E2549" w14:textId="58B32BF8" w:rsidR="00070F98" w:rsidRDefault="00070F98" w:rsidP="005F53E4">
      <w:pPr>
        <w:pStyle w:val="Heading1"/>
        <w:numPr>
          <w:ilvl w:val="0"/>
          <w:numId w:val="0"/>
        </w:numPr>
        <w:spacing w:after="120"/>
        <w:rPr>
          <w:rFonts w:ascii="Calibri" w:hAnsi="Calibri" w:cs="Calibri"/>
        </w:rPr>
      </w:pPr>
    </w:p>
    <w:p w14:paraId="6CAAB3A4" w14:textId="4B5B31D5" w:rsidR="00093B76" w:rsidRDefault="00093B76">
      <w:pPr>
        <w:spacing w:after="240"/>
        <w:rPr>
          <w:rFonts w:ascii="Calibri" w:eastAsiaTheme="majorEastAsia" w:hAnsi="Calibri" w:cs="Calibri"/>
          <w:b/>
          <w:bCs/>
          <w:sz w:val="72"/>
          <w:szCs w:val="28"/>
        </w:rPr>
      </w:pPr>
      <w:r>
        <w:rPr>
          <w:rFonts w:ascii="Calibri" w:hAnsi="Calibri" w:cs="Calibri"/>
        </w:rPr>
        <w:br w:type="page"/>
      </w: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5805"/>
      </w:tblGrid>
      <w:tr w:rsidR="00093B76" w:rsidRPr="00907D75" w14:paraId="1299ED62" w14:textId="77777777" w:rsidTr="00093B76">
        <w:trPr>
          <w:trHeight w:val="4795"/>
        </w:trPr>
        <w:tc>
          <w:tcPr>
            <w:tcW w:w="5805" w:type="dxa"/>
            <w:vAlign w:val="center"/>
          </w:tcPr>
          <w:p w14:paraId="2CAADC86" w14:textId="77777777" w:rsidR="00093B76" w:rsidRDefault="00093B76" w:rsidP="002A24E8">
            <w:pPr>
              <w:pStyle w:val="O-BodyText"/>
              <w:spacing w:afterLines="120" w:after="288"/>
              <w:ind w:right="108"/>
              <w:jc w:val="center"/>
              <w:rPr>
                <w:rFonts w:ascii="Calibri" w:hAnsi="Calibri"/>
                <w:b/>
                <w:bCs/>
                <w:sz w:val="52"/>
                <w:szCs w:val="52"/>
              </w:rPr>
            </w:pPr>
            <w:r>
              <w:rPr>
                <w:rFonts w:ascii="Calibri" w:hAnsi="Calibri"/>
                <w:b/>
                <w:bCs/>
                <w:sz w:val="52"/>
                <w:szCs w:val="52"/>
              </w:rPr>
              <w:lastRenderedPageBreak/>
              <w:t>Argument II:</w:t>
            </w:r>
          </w:p>
          <w:p w14:paraId="31DADDE4" w14:textId="77777777" w:rsidR="00093B76" w:rsidRDefault="00093B76" w:rsidP="002A24E8">
            <w:pPr>
              <w:pStyle w:val="O-BodyText"/>
              <w:spacing w:after="120"/>
              <w:ind w:right="200"/>
              <w:jc w:val="center"/>
              <w:rPr>
                <w:rFonts w:ascii="Calibri" w:hAnsi="Calibri" w:cs="Calibri"/>
                <w:b/>
                <w:sz w:val="28"/>
                <w:szCs w:val="28"/>
              </w:rPr>
            </w:pPr>
            <w:r>
              <w:rPr>
                <w:rFonts w:ascii="Calibri" w:hAnsi="Calibri"/>
                <w:b/>
                <w:bCs/>
                <w:sz w:val="52"/>
                <w:szCs w:val="52"/>
              </w:rPr>
              <w:t>Plaintiffs’ Injury Theories Are Inconsistent with Their Only Remaining Liability Theory</w:t>
            </w:r>
          </w:p>
        </w:tc>
        <w:tc>
          <w:tcPr>
            <w:tcW w:w="5805" w:type="dxa"/>
            <w:vAlign w:val="center"/>
          </w:tcPr>
          <w:p w14:paraId="347F4C2B" w14:textId="77777777" w:rsidR="00093B76" w:rsidRPr="0018584D" w:rsidRDefault="00093B76" w:rsidP="002A24E8">
            <w:pPr>
              <w:pStyle w:val="O-BodyText"/>
              <w:spacing w:after="120"/>
              <w:ind w:left="290" w:right="65"/>
              <w:jc w:val="center"/>
              <w:rPr>
                <w:rFonts w:ascii="Calibri" w:hAnsi="Calibri" w:cs="Calibri"/>
                <w:b/>
                <w:sz w:val="22"/>
                <w:szCs w:val="22"/>
              </w:rPr>
            </w:pPr>
            <w:r w:rsidRPr="0010708E">
              <w:rPr>
                <w:rFonts w:ascii="Calibri" w:hAnsi="Calibri"/>
                <w:b/>
                <w:bCs/>
                <w:sz w:val="52"/>
                <w:szCs w:val="52"/>
              </w:rPr>
              <w:t>Color</w:t>
            </w:r>
            <w:r>
              <w:rPr>
                <w:rFonts w:ascii="Calibri" w:hAnsi="Calibri"/>
                <w:b/>
                <w:bCs/>
                <w:sz w:val="52"/>
                <w:szCs w:val="52"/>
              </w:rPr>
              <w:t>:</w:t>
            </w:r>
          </w:p>
        </w:tc>
      </w:tr>
      <w:tr w:rsidR="00093B76" w:rsidRPr="00907D75" w14:paraId="42D1B0EC" w14:textId="77777777" w:rsidTr="00093B76">
        <w:trPr>
          <w:trHeight w:val="4795"/>
        </w:trPr>
        <w:tc>
          <w:tcPr>
            <w:tcW w:w="5805" w:type="dxa"/>
            <w:vAlign w:val="center"/>
          </w:tcPr>
          <w:p w14:paraId="36348153"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Do we even need to consider in the first instance whether </w:t>
            </w:r>
            <w:r w:rsidRPr="000662BF">
              <w:rPr>
                <w:rFonts w:ascii="Calibri" w:hAnsi="Calibri" w:cs="Calibri"/>
                <w:b/>
                <w:sz w:val="28"/>
                <w:szCs w:val="28"/>
              </w:rPr>
              <w:t>Plaintiffs’ hypothetical damages theories would support class certificatio</w:t>
            </w:r>
            <w:r>
              <w:rPr>
                <w:rFonts w:ascii="Calibri" w:hAnsi="Calibri" w:cs="Calibri"/>
                <w:b/>
                <w:sz w:val="28"/>
                <w:szCs w:val="28"/>
              </w:rPr>
              <w:t>n?</w:t>
            </w:r>
          </w:p>
        </w:tc>
        <w:tc>
          <w:tcPr>
            <w:tcW w:w="5805" w:type="dxa"/>
            <w:vAlign w:val="center"/>
          </w:tcPr>
          <w:p w14:paraId="175213E3" w14:textId="77777777" w:rsidR="00093B76" w:rsidRDefault="00093B76" w:rsidP="002A24E8">
            <w:pPr>
              <w:pStyle w:val="O-BodyText"/>
              <w:rPr>
                <w:rFonts w:ascii="Calibri" w:hAnsi="Calibri" w:cs="Calibri"/>
                <w:b/>
                <w:sz w:val="22"/>
                <w:szCs w:val="22"/>
              </w:rPr>
            </w:pPr>
            <w:r w:rsidRPr="002273D3">
              <w:rPr>
                <w:rFonts w:ascii="Calibri" w:hAnsi="Calibri" w:cs="Calibri"/>
                <w:b/>
                <w:sz w:val="22"/>
                <w:szCs w:val="22"/>
              </w:rPr>
              <w:t>No.</w:t>
            </w:r>
            <w:r>
              <w:rPr>
                <w:rFonts w:ascii="Calibri" w:hAnsi="Calibri" w:cs="Calibri"/>
                <w:b/>
                <w:sz w:val="22"/>
                <w:szCs w:val="22"/>
              </w:rPr>
              <w:t xml:space="preserve"> In fact, it would be inappropriate.</w:t>
            </w:r>
            <w:r w:rsidRPr="002273D3">
              <w:rPr>
                <w:rFonts w:ascii="Calibri" w:hAnsi="Calibri" w:cs="Calibri"/>
                <w:b/>
                <w:sz w:val="22"/>
                <w:szCs w:val="22"/>
              </w:rPr>
              <w:t xml:space="preserve"> These theories were not developed below at all, and Apple had no opportunity to test or respond to a tangible implementation of those theories</w:t>
            </w:r>
            <w:r>
              <w:rPr>
                <w:rFonts w:ascii="Calibri" w:hAnsi="Calibri" w:cs="Calibri"/>
                <w:b/>
                <w:sz w:val="22"/>
                <w:szCs w:val="22"/>
              </w:rPr>
              <w:t xml:space="preserve">. </w:t>
            </w:r>
            <w:r w:rsidRPr="002273D3">
              <w:rPr>
                <w:rFonts w:ascii="Calibri" w:hAnsi="Calibri" w:cs="Calibri"/>
                <w:b/>
                <w:sz w:val="22"/>
                <w:szCs w:val="22"/>
              </w:rPr>
              <w:t>Likewise, the district court had no opportunity to conduct the required rigorous scrutiny, or thereafter exercise its considerable discretion as to whether to certify a class.</w:t>
            </w:r>
          </w:p>
        </w:tc>
      </w:tr>
      <w:tr w:rsidR="00093B76" w:rsidRPr="00907D75" w14:paraId="4C9FCEF9" w14:textId="77777777" w:rsidTr="00093B76">
        <w:trPr>
          <w:trHeight w:val="4795"/>
        </w:trPr>
        <w:tc>
          <w:tcPr>
            <w:tcW w:w="5805" w:type="dxa"/>
            <w:vAlign w:val="center"/>
          </w:tcPr>
          <w:p w14:paraId="017D3630"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Why did you even address </w:t>
            </w:r>
            <w:r w:rsidRPr="002273D3">
              <w:rPr>
                <w:rFonts w:ascii="Calibri" w:hAnsi="Calibri" w:cs="Calibri"/>
                <w:b/>
                <w:sz w:val="28"/>
                <w:szCs w:val="28"/>
              </w:rPr>
              <w:t>Plaintiffs’ hypothetical damages theories</w:t>
            </w:r>
            <w:r>
              <w:rPr>
                <w:rFonts w:ascii="Calibri" w:hAnsi="Calibri" w:cs="Calibri"/>
                <w:b/>
                <w:sz w:val="28"/>
                <w:szCs w:val="28"/>
              </w:rPr>
              <w:t xml:space="preserve"> in your briefs?</w:t>
            </w:r>
          </w:p>
        </w:tc>
        <w:tc>
          <w:tcPr>
            <w:tcW w:w="5805" w:type="dxa"/>
            <w:vAlign w:val="center"/>
          </w:tcPr>
          <w:p w14:paraId="3B948ADB"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We did so </w:t>
            </w:r>
            <w:r w:rsidRPr="002273D3">
              <w:rPr>
                <w:rFonts w:ascii="Calibri" w:hAnsi="Calibri" w:cs="Calibri"/>
                <w:b/>
                <w:sz w:val="22"/>
                <w:szCs w:val="22"/>
              </w:rPr>
              <w:t>only out of an abundance of caution</w:t>
            </w:r>
            <w:r>
              <w:rPr>
                <w:rFonts w:ascii="Calibri" w:hAnsi="Calibri" w:cs="Calibri"/>
                <w:b/>
                <w:sz w:val="22"/>
                <w:szCs w:val="22"/>
              </w:rPr>
              <w:t>. We wanted to play out our argument that h</w:t>
            </w:r>
            <w:r w:rsidRPr="002273D3">
              <w:rPr>
                <w:rFonts w:ascii="Calibri" w:hAnsi="Calibri" w:cs="Calibri"/>
                <w:b/>
                <w:sz w:val="22"/>
                <w:szCs w:val="22"/>
              </w:rPr>
              <w:t>ad Plaintiffs attempted to implement their theories into some semblance of a model, they never would have worked</w:t>
            </w:r>
            <w:r>
              <w:rPr>
                <w:rFonts w:ascii="Calibri" w:hAnsi="Calibri" w:cs="Calibri"/>
                <w:b/>
                <w:sz w:val="22"/>
                <w:szCs w:val="22"/>
              </w:rPr>
              <w:t>.</w:t>
            </w:r>
          </w:p>
        </w:tc>
      </w:tr>
      <w:tr w:rsidR="00093B76" w:rsidRPr="00907D75" w14:paraId="6E2DCC1F" w14:textId="77777777" w:rsidTr="00093B76">
        <w:trPr>
          <w:trHeight w:val="4795"/>
        </w:trPr>
        <w:tc>
          <w:tcPr>
            <w:tcW w:w="5805" w:type="dxa"/>
            <w:vAlign w:val="center"/>
          </w:tcPr>
          <w:p w14:paraId="29D3FC7A"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In your briefs, you argue that Dr. Warren-Boulton cannot even decide on a method of calculating damages, but aren’t his two “but for” worlds just different measures of calculating damages?</w:t>
            </w:r>
          </w:p>
        </w:tc>
        <w:tc>
          <w:tcPr>
            <w:tcW w:w="5805" w:type="dxa"/>
            <w:vAlign w:val="center"/>
          </w:tcPr>
          <w:p w14:paraId="44899BE0"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No. They </w:t>
            </w:r>
            <w:r w:rsidRPr="00691E94">
              <w:rPr>
                <w:rFonts w:ascii="Calibri" w:hAnsi="Calibri" w:cs="Calibri"/>
                <w:b/>
                <w:sz w:val="22"/>
                <w:szCs w:val="22"/>
              </w:rPr>
              <w:t>are not different measures of</w:t>
            </w:r>
            <w:r>
              <w:t xml:space="preserve"> </w:t>
            </w:r>
            <w:r>
              <w:rPr>
                <w:rFonts w:ascii="Calibri" w:hAnsi="Calibri" w:cs="Calibri"/>
                <w:b/>
                <w:sz w:val="22"/>
                <w:szCs w:val="22"/>
              </w:rPr>
              <w:t>damages, but radically</w:t>
            </w:r>
            <w:r w:rsidRPr="00691E94">
              <w:rPr>
                <w:rFonts w:ascii="Calibri" w:hAnsi="Calibri" w:cs="Calibri"/>
                <w:b/>
                <w:sz w:val="22"/>
                <w:szCs w:val="22"/>
              </w:rPr>
              <w:t xml:space="preserve"> different conceptions of the harm the challenged conduct might produce.</w:t>
            </w:r>
            <w:r>
              <w:rPr>
                <w:rFonts w:ascii="Calibri" w:hAnsi="Calibri" w:cs="Calibri"/>
                <w:b/>
                <w:sz w:val="22"/>
                <w:szCs w:val="22"/>
              </w:rPr>
              <w:t xml:space="preserve"> </w:t>
            </w:r>
            <w:r w:rsidRPr="00691E94">
              <w:rPr>
                <w:rFonts w:ascii="Calibri" w:hAnsi="Calibri" w:cs="Calibri"/>
                <w:b/>
                <w:sz w:val="22"/>
                <w:szCs w:val="22"/>
              </w:rPr>
              <w:t xml:space="preserve">The first </w:t>
            </w:r>
            <w:r>
              <w:rPr>
                <w:rFonts w:ascii="Calibri" w:hAnsi="Calibri" w:cs="Calibri"/>
                <w:b/>
                <w:sz w:val="22"/>
                <w:szCs w:val="22"/>
              </w:rPr>
              <w:t>“truthfully exclusive”</w:t>
            </w:r>
            <w:r w:rsidRPr="00691E94">
              <w:rPr>
                <w:rFonts w:ascii="Calibri" w:hAnsi="Calibri" w:cs="Calibri"/>
                <w:b/>
                <w:sz w:val="22"/>
                <w:szCs w:val="22"/>
              </w:rPr>
              <w:t xml:space="preserve"> theory is not even about the alleged monopolist’s pricing (since AT&amp;T, not Apple, is </w:t>
            </w:r>
            <w:r>
              <w:rPr>
                <w:rFonts w:ascii="Calibri" w:hAnsi="Calibri" w:cs="Calibri"/>
                <w:b/>
                <w:sz w:val="22"/>
                <w:szCs w:val="22"/>
              </w:rPr>
              <w:t xml:space="preserve">the </w:t>
            </w:r>
            <w:r w:rsidRPr="00691E94">
              <w:rPr>
                <w:rFonts w:ascii="Calibri" w:hAnsi="Calibri" w:cs="Calibri"/>
                <w:b/>
                <w:sz w:val="22"/>
                <w:szCs w:val="22"/>
              </w:rPr>
              <w:t xml:space="preserve">alleged monopolist). It tries to make this case into something it has never been—one based on the price of the cellular handset rather than the cellular service. The second </w:t>
            </w:r>
            <w:r>
              <w:rPr>
                <w:rFonts w:ascii="Calibri" w:hAnsi="Calibri" w:cs="Calibri"/>
                <w:b/>
                <w:sz w:val="22"/>
                <w:szCs w:val="22"/>
              </w:rPr>
              <w:t>“truthfully non-exclusive”</w:t>
            </w:r>
            <w:r w:rsidRPr="00691E94">
              <w:rPr>
                <w:rFonts w:ascii="Calibri" w:hAnsi="Calibri" w:cs="Calibri"/>
                <w:b/>
                <w:sz w:val="22"/>
                <w:szCs w:val="22"/>
              </w:rPr>
              <w:t xml:space="preserve"> theory seems more connected to this case, but even that is not true, since Dr. Warren-Boulton also proposes to award every iPhone user—including the majority of those who never purchased renewal service from AT&amp;T—renewal service damages on a theory of lost “option value.”</w:t>
            </w:r>
          </w:p>
        </w:tc>
      </w:tr>
      <w:tr w:rsidR="00093B76" w:rsidRPr="00907D75" w14:paraId="5A239714" w14:textId="77777777" w:rsidTr="00093B76">
        <w:trPr>
          <w:trHeight w:val="4795"/>
        </w:trPr>
        <w:tc>
          <w:tcPr>
            <w:tcW w:w="5805" w:type="dxa"/>
            <w:vAlign w:val="center"/>
          </w:tcPr>
          <w:p w14:paraId="6DFCA2BE"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Can you explain what you believe is wrong with Dr. Warren-Boulton’s first theory, the truthfully exclusive but-for world?</w:t>
            </w:r>
          </w:p>
        </w:tc>
        <w:tc>
          <w:tcPr>
            <w:tcW w:w="5805" w:type="dxa"/>
            <w:vAlign w:val="center"/>
          </w:tcPr>
          <w:p w14:paraId="0FFC3901"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essentially the first model tries to contort this case into one that focuses not on the alleged monopolist, AT&amp;T’s, cellular service prices but instead on the device supplier, Apple’s, cellular handset prices. This </w:t>
            </w:r>
            <w:r w:rsidRPr="00691E94">
              <w:rPr>
                <w:rFonts w:ascii="Calibri" w:hAnsi="Calibri" w:cs="Calibri"/>
                <w:b/>
                <w:sz w:val="22"/>
                <w:szCs w:val="22"/>
              </w:rPr>
              <w:t xml:space="preserve">theory posits a “truthfully exclusive” (“TE”) but-for world under which more robust disclosures about AT&amp;T’s exclusivity </w:t>
            </w:r>
            <w:r>
              <w:rPr>
                <w:rFonts w:ascii="Calibri" w:hAnsi="Calibri" w:cs="Calibri"/>
                <w:b/>
                <w:sz w:val="22"/>
                <w:szCs w:val="22"/>
              </w:rPr>
              <w:t xml:space="preserve">at the outset </w:t>
            </w:r>
            <w:r w:rsidRPr="00691E94">
              <w:rPr>
                <w:rFonts w:ascii="Calibri" w:hAnsi="Calibri" w:cs="Calibri"/>
                <w:b/>
                <w:sz w:val="22"/>
                <w:szCs w:val="22"/>
              </w:rPr>
              <w:t xml:space="preserve">would have reduced the </w:t>
            </w:r>
            <w:r w:rsidRPr="003C549F">
              <w:rPr>
                <w:rFonts w:ascii="Calibri" w:hAnsi="Calibri" w:cs="Calibri"/>
                <w:b/>
                <w:i/>
                <w:sz w:val="22"/>
                <w:szCs w:val="22"/>
              </w:rPr>
              <w:t>initial sale price of the iPhone</w:t>
            </w:r>
            <w:r w:rsidRPr="00691E94">
              <w:rPr>
                <w:rFonts w:ascii="Calibri" w:hAnsi="Calibri" w:cs="Calibri"/>
                <w:b/>
                <w:sz w:val="22"/>
                <w:szCs w:val="22"/>
              </w:rPr>
              <w:t xml:space="preserve">, thereby making every actual iPhone price </w:t>
            </w:r>
            <w:proofErr w:type="spellStart"/>
            <w:r w:rsidRPr="00691E94">
              <w:rPr>
                <w:rFonts w:ascii="Calibri" w:hAnsi="Calibri" w:cs="Calibri"/>
                <w:b/>
                <w:sz w:val="22"/>
                <w:szCs w:val="22"/>
              </w:rPr>
              <w:t>supracompetitive</w:t>
            </w:r>
            <w:proofErr w:type="spellEnd"/>
            <w:r w:rsidRPr="00691E94">
              <w:rPr>
                <w:rFonts w:ascii="Calibri" w:hAnsi="Calibri" w:cs="Calibri"/>
                <w:b/>
                <w:sz w:val="22"/>
                <w:szCs w:val="22"/>
              </w:rPr>
              <w:t>.</w:t>
            </w:r>
            <w:r>
              <w:rPr>
                <w:rFonts w:ascii="Calibri" w:hAnsi="Calibri" w:cs="Calibri"/>
                <w:b/>
                <w:sz w:val="22"/>
                <w:szCs w:val="22"/>
              </w:rPr>
              <w:t xml:space="preserve"> </w:t>
            </w:r>
            <w:r w:rsidRPr="00D50B04">
              <w:rPr>
                <w:rFonts w:ascii="Calibri" w:hAnsi="Calibri" w:cs="Calibri"/>
                <w:b/>
                <w:sz w:val="22"/>
                <w:szCs w:val="22"/>
              </w:rPr>
              <w:t>The first TE theory is not even about the alleged monopolist’s pricing (since AT&amp;T, not Apple, is alleged monopolist). It tries to make this case into something it has never been—one based on the price of the cellular handset</w:t>
            </w:r>
            <w:r>
              <w:rPr>
                <w:rFonts w:ascii="Calibri" w:hAnsi="Calibri" w:cs="Calibri"/>
                <w:b/>
                <w:sz w:val="22"/>
                <w:szCs w:val="22"/>
              </w:rPr>
              <w:t xml:space="preserve"> from Apple</w:t>
            </w:r>
            <w:r w:rsidRPr="00D50B04">
              <w:rPr>
                <w:rFonts w:ascii="Calibri" w:hAnsi="Calibri" w:cs="Calibri"/>
                <w:b/>
                <w:sz w:val="22"/>
                <w:szCs w:val="22"/>
              </w:rPr>
              <w:t xml:space="preserve"> rather than the cellular service</w:t>
            </w:r>
            <w:r>
              <w:rPr>
                <w:rFonts w:ascii="Calibri" w:hAnsi="Calibri" w:cs="Calibri"/>
                <w:b/>
                <w:sz w:val="22"/>
                <w:szCs w:val="22"/>
              </w:rPr>
              <w:t xml:space="preserve"> from AT&amp;T</w:t>
            </w:r>
            <w:r w:rsidRPr="00D50B04">
              <w:rPr>
                <w:rFonts w:ascii="Calibri" w:hAnsi="Calibri" w:cs="Calibri"/>
                <w:b/>
                <w:sz w:val="22"/>
                <w:szCs w:val="22"/>
              </w:rPr>
              <w:t>.</w:t>
            </w:r>
          </w:p>
        </w:tc>
      </w:tr>
      <w:tr w:rsidR="00093B76" w:rsidRPr="00907D75" w14:paraId="1A76741B" w14:textId="77777777" w:rsidTr="00093B76">
        <w:trPr>
          <w:trHeight w:val="4795"/>
        </w:trPr>
        <w:tc>
          <w:tcPr>
            <w:tcW w:w="5805" w:type="dxa"/>
            <w:vAlign w:val="center"/>
          </w:tcPr>
          <w:p w14:paraId="2267D18E" w14:textId="77777777" w:rsidR="00093B76" w:rsidRDefault="00093B76" w:rsidP="002A24E8">
            <w:pPr>
              <w:pStyle w:val="O-BodyText"/>
              <w:spacing w:after="120"/>
              <w:ind w:right="200"/>
              <w:jc w:val="both"/>
              <w:rPr>
                <w:rFonts w:ascii="Calibri" w:hAnsi="Calibri" w:cs="Calibri"/>
                <w:b/>
                <w:sz w:val="28"/>
                <w:szCs w:val="28"/>
              </w:rPr>
            </w:pPr>
            <w:r w:rsidRPr="00D50B04">
              <w:rPr>
                <w:rFonts w:ascii="Calibri" w:hAnsi="Calibri" w:cs="Calibri"/>
                <w:b/>
                <w:sz w:val="28"/>
                <w:szCs w:val="28"/>
              </w:rPr>
              <w:t xml:space="preserve">Can you explain what you believe is wrong with Dr. Warren-Boulton’s </w:t>
            </w:r>
            <w:r>
              <w:rPr>
                <w:rFonts w:ascii="Calibri" w:hAnsi="Calibri" w:cs="Calibri"/>
                <w:b/>
                <w:sz w:val="28"/>
                <w:szCs w:val="28"/>
              </w:rPr>
              <w:t>second</w:t>
            </w:r>
            <w:r w:rsidRPr="00D50B04">
              <w:rPr>
                <w:rFonts w:ascii="Calibri" w:hAnsi="Calibri" w:cs="Calibri"/>
                <w:b/>
                <w:sz w:val="28"/>
                <w:szCs w:val="28"/>
              </w:rPr>
              <w:t xml:space="preserve"> theory, the truthfully </w:t>
            </w:r>
            <w:r>
              <w:rPr>
                <w:rFonts w:ascii="Calibri" w:hAnsi="Calibri" w:cs="Calibri"/>
                <w:b/>
                <w:sz w:val="28"/>
                <w:szCs w:val="28"/>
              </w:rPr>
              <w:t>non-</w:t>
            </w:r>
            <w:r w:rsidRPr="00D50B04">
              <w:rPr>
                <w:rFonts w:ascii="Calibri" w:hAnsi="Calibri" w:cs="Calibri"/>
                <w:b/>
                <w:sz w:val="28"/>
                <w:szCs w:val="28"/>
              </w:rPr>
              <w:t>exclusive but-for world?</w:t>
            </w:r>
          </w:p>
        </w:tc>
        <w:tc>
          <w:tcPr>
            <w:tcW w:w="5805" w:type="dxa"/>
            <w:vAlign w:val="center"/>
          </w:tcPr>
          <w:p w14:paraId="03DEEEA9" w14:textId="77777777" w:rsidR="00093B76" w:rsidRDefault="00093B76" w:rsidP="002A24E8">
            <w:pPr>
              <w:pStyle w:val="O-BodyText"/>
              <w:rPr>
                <w:rFonts w:ascii="Calibri" w:hAnsi="Calibri" w:cs="Calibri"/>
                <w:b/>
                <w:sz w:val="22"/>
                <w:szCs w:val="22"/>
              </w:rPr>
            </w:pPr>
            <w:r>
              <w:rPr>
                <w:rFonts w:ascii="Calibri" w:hAnsi="Calibri" w:cs="Calibri"/>
                <w:b/>
                <w:sz w:val="22"/>
                <w:szCs w:val="22"/>
              </w:rPr>
              <w:t>Dr. Warren-Boulton’s</w:t>
            </w:r>
            <w:r w:rsidRPr="003C549F">
              <w:rPr>
                <w:rFonts w:ascii="Calibri" w:hAnsi="Calibri" w:cs="Calibri"/>
                <w:b/>
                <w:sz w:val="22"/>
                <w:szCs w:val="22"/>
              </w:rPr>
              <w:t xml:space="preserve"> second theory posits a “truthfully non-exclusive” (“T</w:t>
            </w:r>
            <w:r>
              <w:rPr>
                <w:rFonts w:ascii="Calibri" w:hAnsi="Calibri" w:cs="Calibri"/>
                <w:b/>
                <w:sz w:val="22"/>
                <w:szCs w:val="22"/>
              </w:rPr>
              <w:t>N</w:t>
            </w:r>
            <w:r w:rsidRPr="003C549F">
              <w:rPr>
                <w:rFonts w:ascii="Calibri" w:hAnsi="Calibri" w:cs="Calibri"/>
                <w:b/>
                <w:sz w:val="22"/>
                <w:szCs w:val="22"/>
              </w:rPr>
              <w:t xml:space="preserve">E”) but-for world under which the ability to switch to T-Mobile at the end of the initial two-year contract period, or possibly earlier, would have driven down </w:t>
            </w:r>
            <w:r w:rsidRPr="00C67A40">
              <w:rPr>
                <w:rFonts w:ascii="Calibri" w:hAnsi="Calibri" w:cs="Calibri"/>
                <w:b/>
                <w:i/>
                <w:sz w:val="22"/>
                <w:szCs w:val="22"/>
              </w:rPr>
              <w:t>AT&amp;T’s voice and data pricing</w:t>
            </w:r>
            <w:r w:rsidRPr="003C549F">
              <w:rPr>
                <w:rFonts w:ascii="Calibri" w:hAnsi="Calibri" w:cs="Calibri"/>
                <w:b/>
                <w:sz w:val="22"/>
                <w:szCs w:val="22"/>
              </w:rPr>
              <w:t xml:space="preserve"> for renewal periods.</w:t>
            </w:r>
            <w:r>
              <w:rPr>
                <w:rFonts w:ascii="Calibri" w:hAnsi="Calibri" w:cs="Calibri"/>
                <w:b/>
                <w:sz w:val="22"/>
                <w:szCs w:val="22"/>
              </w:rPr>
              <w:t xml:space="preserve"> This theory, while somewhat</w:t>
            </w:r>
            <w:r w:rsidRPr="00C67A40">
              <w:rPr>
                <w:rFonts w:ascii="Calibri" w:hAnsi="Calibri" w:cs="Calibri"/>
                <w:b/>
                <w:sz w:val="22"/>
                <w:szCs w:val="22"/>
              </w:rPr>
              <w:t xml:space="preserve"> more connected to this case, </w:t>
            </w:r>
            <w:r>
              <w:rPr>
                <w:rFonts w:ascii="Calibri" w:hAnsi="Calibri" w:cs="Calibri"/>
                <w:b/>
                <w:sz w:val="22"/>
                <w:szCs w:val="22"/>
              </w:rPr>
              <w:t>is still not sufficiently tailored because</w:t>
            </w:r>
            <w:r w:rsidRPr="00C67A40">
              <w:rPr>
                <w:rFonts w:ascii="Calibri" w:hAnsi="Calibri" w:cs="Calibri"/>
                <w:b/>
                <w:sz w:val="22"/>
                <w:szCs w:val="22"/>
              </w:rPr>
              <w:t xml:space="preserve"> Dr. Warren-Boulton also proposes to award every iPhone user—including the majority of those who never purchased renewal service from AT&amp;T—renewal service damages on a theory of lost “option value.”</w:t>
            </w:r>
          </w:p>
        </w:tc>
      </w:tr>
      <w:tr w:rsidR="00093B76" w:rsidRPr="00907D75" w14:paraId="49F83C3B" w14:textId="77777777" w:rsidTr="00093B76">
        <w:trPr>
          <w:trHeight w:val="4795"/>
        </w:trPr>
        <w:tc>
          <w:tcPr>
            <w:tcW w:w="5805" w:type="dxa"/>
            <w:vAlign w:val="center"/>
          </w:tcPr>
          <w:p w14:paraId="4D50F7D0" w14:textId="77777777" w:rsidR="00093B76" w:rsidRPr="00D50B04"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is it troubling that plaintiffs have not chosen between their expert’s two theories?</w:t>
            </w:r>
          </w:p>
        </w:tc>
        <w:tc>
          <w:tcPr>
            <w:tcW w:w="5805" w:type="dxa"/>
            <w:vAlign w:val="center"/>
          </w:tcPr>
          <w:p w14:paraId="363FD5C2" w14:textId="77777777" w:rsidR="00093B76" w:rsidRDefault="00093B76" w:rsidP="002A24E8">
            <w:pPr>
              <w:pStyle w:val="O-BodyText"/>
              <w:rPr>
                <w:rFonts w:ascii="Calibri" w:hAnsi="Calibri" w:cs="Calibri"/>
                <w:b/>
                <w:sz w:val="22"/>
                <w:szCs w:val="22"/>
              </w:rPr>
            </w:pPr>
            <w:r w:rsidRPr="00C67A40">
              <w:rPr>
                <w:rFonts w:ascii="Calibri" w:hAnsi="Calibri" w:cs="Calibri"/>
                <w:b/>
                <w:sz w:val="22"/>
                <w:szCs w:val="22"/>
              </w:rPr>
              <w:t>Plaintiffs</w:t>
            </w:r>
            <w:r>
              <w:rPr>
                <w:rFonts w:ascii="Calibri" w:hAnsi="Calibri" w:cs="Calibri"/>
                <w:b/>
                <w:sz w:val="22"/>
                <w:szCs w:val="22"/>
              </w:rPr>
              <w:t>’</w:t>
            </w:r>
            <w:r w:rsidRPr="00C67A40">
              <w:rPr>
                <w:rFonts w:ascii="Calibri" w:hAnsi="Calibri" w:cs="Calibri"/>
                <w:b/>
                <w:sz w:val="22"/>
                <w:szCs w:val="22"/>
              </w:rPr>
              <w:t xml:space="preserve"> refus</w:t>
            </w:r>
            <w:r>
              <w:rPr>
                <w:rFonts w:ascii="Calibri" w:hAnsi="Calibri" w:cs="Calibri"/>
                <w:b/>
                <w:sz w:val="22"/>
                <w:szCs w:val="22"/>
              </w:rPr>
              <w:t>al</w:t>
            </w:r>
            <w:r w:rsidRPr="00C67A40">
              <w:rPr>
                <w:rFonts w:ascii="Calibri" w:hAnsi="Calibri" w:cs="Calibri"/>
                <w:b/>
                <w:sz w:val="22"/>
                <w:szCs w:val="22"/>
              </w:rPr>
              <w:t xml:space="preserve"> to commit to one theory</w:t>
            </w:r>
            <w:r>
              <w:rPr>
                <w:rFonts w:ascii="Calibri" w:hAnsi="Calibri" w:cs="Calibri"/>
                <w:b/>
                <w:sz w:val="22"/>
                <w:szCs w:val="22"/>
              </w:rPr>
              <w:t xml:space="preserve"> signals to the court that they have not met their burden under Rule 23(b)(3) to certify. I</w:t>
            </w:r>
            <w:r w:rsidRPr="00C67A40">
              <w:rPr>
                <w:rFonts w:ascii="Calibri" w:hAnsi="Calibri" w:cs="Calibri"/>
                <w:b/>
                <w:sz w:val="22"/>
                <w:szCs w:val="22"/>
              </w:rPr>
              <w:t xml:space="preserve">n virtually every antitrust class action today: plaintiffs offer a functioning injury and damages model, the defendants critique it, and the district court conducts a rigorous analysis focused on “the soundness of [the] statistical models that purport to show predominance.” </w:t>
            </w:r>
            <w:r w:rsidRPr="00C67A40">
              <w:rPr>
                <w:rFonts w:ascii="Calibri" w:hAnsi="Calibri" w:cs="Calibri"/>
                <w:b/>
                <w:i/>
                <w:sz w:val="22"/>
                <w:szCs w:val="22"/>
              </w:rPr>
              <w:t>In re Rail Freight Fuel Surcharge Antitrust Litig.</w:t>
            </w:r>
            <w:r>
              <w:rPr>
                <w:rFonts w:ascii="Calibri" w:hAnsi="Calibri" w:cs="Calibri"/>
                <w:b/>
                <w:sz w:val="22"/>
                <w:szCs w:val="22"/>
              </w:rPr>
              <w:t xml:space="preserve"> </w:t>
            </w:r>
            <w:r w:rsidRPr="00C67A40">
              <w:rPr>
                <w:rFonts w:ascii="Calibri" w:hAnsi="Calibri" w:cs="Calibri"/>
                <w:b/>
                <w:sz w:val="22"/>
                <w:szCs w:val="22"/>
              </w:rPr>
              <w:t>(D.C. 2013).</w:t>
            </w:r>
            <w:r>
              <w:rPr>
                <w:rFonts w:ascii="Calibri" w:hAnsi="Calibri" w:cs="Calibri"/>
                <w:b/>
                <w:sz w:val="22"/>
                <w:szCs w:val="22"/>
              </w:rPr>
              <w:t xml:space="preserve"> But that’s not what happened here. Plaintiffs presented two barely conceived ideas for </w:t>
            </w:r>
            <w:r w:rsidRPr="00C67A40">
              <w:rPr>
                <w:rFonts w:ascii="Calibri" w:hAnsi="Calibri" w:cs="Calibri"/>
                <w:b/>
                <w:sz w:val="22"/>
                <w:szCs w:val="22"/>
              </w:rPr>
              <w:t xml:space="preserve">diametrically </w:t>
            </w:r>
            <w:r w:rsidRPr="00F33E01">
              <w:rPr>
                <w:rFonts w:ascii="Calibri" w:hAnsi="Calibri" w:cs="Calibri"/>
                <w:b/>
                <w:sz w:val="22"/>
                <w:szCs w:val="22"/>
              </w:rPr>
              <w:t xml:space="preserve">opposite damages conceptions, and when confronted with criticisms from Apple’s expert (Dr. Katz) regarding their viability, Dr. Warren-Boulton merely reiterated his confidence that what he promised to do could be done: “Regardless of which but-for world is contemplated, it remains my expert opinion that Class members suffered harm, which can be measured on a class-wide basis by applying standard economic principles commonly used by economists.” </w:t>
            </w:r>
            <w:r>
              <w:rPr>
                <w:rFonts w:ascii="Calibri" w:hAnsi="Calibri" w:cs="Calibri"/>
                <w:b/>
                <w:sz w:val="22"/>
                <w:szCs w:val="22"/>
              </w:rPr>
              <w:t>This is not enough.</w:t>
            </w:r>
          </w:p>
        </w:tc>
      </w:tr>
      <w:tr w:rsidR="00093B76" w:rsidRPr="00907D75" w14:paraId="5A3997F3" w14:textId="77777777" w:rsidTr="00093B76">
        <w:trPr>
          <w:trHeight w:val="4795"/>
        </w:trPr>
        <w:tc>
          <w:tcPr>
            <w:tcW w:w="5805" w:type="dxa"/>
            <w:vAlign w:val="center"/>
          </w:tcPr>
          <w:p w14:paraId="532B8B95"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Why </w:t>
            </w:r>
            <w:r w:rsidRPr="00E76701">
              <w:rPr>
                <w:rFonts w:ascii="Calibri" w:hAnsi="Calibri" w:cs="Calibri"/>
                <w:b/>
                <w:sz w:val="28"/>
                <w:szCs w:val="28"/>
              </w:rPr>
              <w:t xml:space="preserve">can’t </w:t>
            </w:r>
            <w:r>
              <w:rPr>
                <w:rFonts w:ascii="Calibri" w:hAnsi="Calibri" w:cs="Calibri"/>
                <w:b/>
                <w:sz w:val="28"/>
                <w:szCs w:val="28"/>
              </w:rPr>
              <w:t>plaintiffs keep their two differing but-for world models at this stage a</w:t>
            </w:r>
            <w:r w:rsidRPr="00E76701">
              <w:rPr>
                <w:rFonts w:ascii="Calibri" w:hAnsi="Calibri" w:cs="Calibri"/>
                <w:b/>
                <w:sz w:val="28"/>
                <w:szCs w:val="28"/>
              </w:rPr>
              <w:t>s alternative methods to calculate damages?</w:t>
            </w:r>
          </w:p>
        </w:tc>
        <w:tc>
          <w:tcPr>
            <w:tcW w:w="5805" w:type="dxa"/>
            <w:vAlign w:val="center"/>
          </w:tcPr>
          <w:p w14:paraId="4896BF66" w14:textId="77777777" w:rsidR="00093B76" w:rsidRPr="00C67A40" w:rsidRDefault="00093B76" w:rsidP="002A24E8">
            <w:pPr>
              <w:pStyle w:val="O-BodyText"/>
              <w:rPr>
                <w:rFonts w:ascii="Calibri" w:hAnsi="Calibri" w:cs="Calibri"/>
                <w:b/>
                <w:sz w:val="22"/>
                <w:szCs w:val="22"/>
              </w:rPr>
            </w:pPr>
            <w:r w:rsidRPr="00E76701">
              <w:rPr>
                <w:rFonts w:ascii="Calibri" w:hAnsi="Calibri" w:cs="Calibri"/>
                <w:b/>
                <w:sz w:val="22"/>
                <w:szCs w:val="22"/>
              </w:rPr>
              <w:t xml:space="preserve">The inability to even take a position on what injury </w:t>
            </w:r>
            <w:proofErr w:type="gramStart"/>
            <w:r w:rsidRPr="00E76701">
              <w:rPr>
                <w:rFonts w:ascii="Calibri" w:hAnsi="Calibri" w:cs="Calibri"/>
                <w:b/>
                <w:sz w:val="22"/>
                <w:szCs w:val="22"/>
              </w:rPr>
              <w:t>actually</w:t>
            </w:r>
            <w:r>
              <w:rPr>
                <w:rFonts w:ascii="Calibri" w:hAnsi="Calibri" w:cs="Calibri"/>
                <w:b/>
                <w:sz w:val="22"/>
                <w:szCs w:val="22"/>
              </w:rPr>
              <w:t xml:space="preserve"> </w:t>
            </w:r>
            <w:r w:rsidRPr="00E76701">
              <w:rPr>
                <w:rFonts w:ascii="Calibri" w:hAnsi="Calibri" w:cs="Calibri"/>
                <w:b/>
                <w:sz w:val="22"/>
                <w:szCs w:val="22"/>
              </w:rPr>
              <w:t>results</w:t>
            </w:r>
            <w:proofErr w:type="gramEnd"/>
            <w:r w:rsidRPr="00E76701">
              <w:rPr>
                <w:rFonts w:ascii="Calibri" w:hAnsi="Calibri" w:cs="Calibri"/>
                <w:b/>
                <w:sz w:val="22"/>
                <w:szCs w:val="22"/>
              </w:rPr>
              <w:t xml:space="preserve"> from the alleged anticompetitive conduct is fatal at this stage</w:t>
            </w:r>
            <w:r>
              <w:rPr>
                <w:rFonts w:ascii="Calibri" w:hAnsi="Calibri" w:cs="Calibri"/>
                <w:b/>
                <w:sz w:val="22"/>
                <w:szCs w:val="22"/>
              </w:rPr>
              <w:t>.</w:t>
            </w:r>
          </w:p>
        </w:tc>
      </w:tr>
      <w:tr w:rsidR="00093B76" w:rsidRPr="00907D75" w14:paraId="52BA4153" w14:textId="77777777" w:rsidTr="00093B76">
        <w:trPr>
          <w:trHeight w:val="4795"/>
        </w:trPr>
        <w:tc>
          <w:tcPr>
            <w:tcW w:w="5805" w:type="dxa"/>
            <w:vAlign w:val="center"/>
          </w:tcPr>
          <w:p w14:paraId="6E8734B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should we expect more of Plaintiffs than their expert’s “but-for” models at this early class certification stage?</w:t>
            </w:r>
          </w:p>
        </w:tc>
        <w:tc>
          <w:tcPr>
            <w:tcW w:w="5805" w:type="dxa"/>
            <w:vAlign w:val="center"/>
          </w:tcPr>
          <w:p w14:paraId="53FD6E53"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Two reasons: First, because without a </w:t>
            </w:r>
            <w:r w:rsidRPr="00C67A40">
              <w:rPr>
                <w:rFonts w:ascii="Calibri" w:hAnsi="Calibri" w:cs="Calibri"/>
                <w:b/>
                <w:sz w:val="22"/>
                <w:szCs w:val="22"/>
              </w:rPr>
              <w:t>functioning injury and damages model</w:t>
            </w:r>
            <w:r>
              <w:rPr>
                <w:rFonts w:ascii="Calibri" w:hAnsi="Calibri" w:cs="Calibri"/>
                <w:b/>
                <w:sz w:val="22"/>
                <w:szCs w:val="22"/>
              </w:rPr>
              <w:t xml:space="preserve"> from plaintiffs, </w:t>
            </w:r>
            <w:r w:rsidRPr="00C67A40">
              <w:rPr>
                <w:rFonts w:ascii="Calibri" w:hAnsi="Calibri" w:cs="Calibri"/>
                <w:b/>
                <w:sz w:val="22"/>
                <w:szCs w:val="22"/>
              </w:rPr>
              <w:t xml:space="preserve">the defendants </w:t>
            </w:r>
            <w:r>
              <w:rPr>
                <w:rFonts w:ascii="Calibri" w:hAnsi="Calibri" w:cs="Calibri"/>
                <w:b/>
                <w:sz w:val="22"/>
                <w:szCs w:val="22"/>
              </w:rPr>
              <w:t xml:space="preserve">have nothing to </w:t>
            </w:r>
            <w:r w:rsidRPr="00C67A40">
              <w:rPr>
                <w:rFonts w:ascii="Calibri" w:hAnsi="Calibri" w:cs="Calibri"/>
                <w:b/>
                <w:sz w:val="22"/>
                <w:szCs w:val="22"/>
              </w:rPr>
              <w:t>critique</w:t>
            </w:r>
            <w:r>
              <w:rPr>
                <w:rFonts w:ascii="Calibri" w:hAnsi="Calibri" w:cs="Calibri"/>
                <w:b/>
                <w:sz w:val="22"/>
                <w:szCs w:val="22"/>
              </w:rPr>
              <w:t>,</w:t>
            </w:r>
            <w:r w:rsidRPr="00C67A40">
              <w:rPr>
                <w:rFonts w:ascii="Calibri" w:hAnsi="Calibri" w:cs="Calibri"/>
                <w:b/>
                <w:sz w:val="22"/>
                <w:szCs w:val="22"/>
              </w:rPr>
              <w:t xml:space="preserve"> and the district court </w:t>
            </w:r>
            <w:r>
              <w:rPr>
                <w:rFonts w:ascii="Calibri" w:hAnsi="Calibri" w:cs="Calibri"/>
                <w:b/>
                <w:sz w:val="22"/>
                <w:szCs w:val="22"/>
              </w:rPr>
              <w:t>cannot do its duty to conduct a</w:t>
            </w:r>
            <w:r w:rsidRPr="00C67A40">
              <w:rPr>
                <w:rFonts w:ascii="Calibri" w:hAnsi="Calibri" w:cs="Calibri"/>
                <w:b/>
                <w:sz w:val="22"/>
                <w:szCs w:val="22"/>
              </w:rPr>
              <w:t xml:space="preserve"> rigorous analysis</w:t>
            </w:r>
            <w:r>
              <w:rPr>
                <w:rFonts w:ascii="Calibri" w:hAnsi="Calibri" w:cs="Calibri"/>
                <w:b/>
                <w:sz w:val="22"/>
                <w:szCs w:val="22"/>
              </w:rPr>
              <w:t>.</w:t>
            </w:r>
          </w:p>
          <w:p w14:paraId="3C7E4217" w14:textId="77777777" w:rsidR="00093B76" w:rsidRPr="00C67A40" w:rsidRDefault="00093B76" w:rsidP="002A24E8">
            <w:pPr>
              <w:pStyle w:val="O-BodyText"/>
              <w:rPr>
                <w:rFonts w:ascii="Calibri" w:hAnsi="Calibri" w:cs="Calibri"/>
                <w:b/>
                <w:sz w:val="22"/>
                <w:szCs w:val="22"/>
              </w:rPr>
            </w:pPr>
            <w:r>
              <w:rPr>
                <w:rFonts w:ascii="Calibri" w:hAnsi="Calibri" w:cs="Calibri"/>
                <w:b/>
                <w:sz w:val="22"/>
                <w:szCs w:val="22"/>
              </w:rPr>
              <w:t xml:space="preserve">Second, defendants frankly find it unbelievable that we are now </w:t>
            </w:r>
            <w:r w:rsidRPr="00C67A40">
              <w:rPr>
                <w:rFonts w:ascii="Calibri" w:hAnsi="Calibri" w:cs="Calibri"/>
                <w:b/>
                <w:sz w:val="22"/>
                <w:szCs w:val="22"/>
              </w:rPr>
              <w:t xml:space="preserve">more than ten years into this multi-case litigation, </w:t>
            </w:r>
            <w:r>
              <w:rPr>
                <w:rFonts w:ascii="Calibri" w:hAnsi="Calibri" w:cs="Calibri"/>
                <w:b/>
                <w:sz w:val="22"/>
                <w:szCs w:val="22"/>
              </w:rPr>
              <w:t xml:space="preserve">and all that plaintiffs </w:t>
            </w:r>
            <w:r w:rsidRPr="00C67A40">
              <w:rPr>
                <w:rFonts w:ascii="Calibri" w:hAnsi="Calibri" w:cs="Calibri"/>
                <w:b/>
                <w:sz w:val="22"/>
                <w:szCs w:val="22"/>
              </w:rPr>
              <w:t xml:space="preserve">presented </w:t>
            </w:r>
            <w:r>
              <w:rPr>
                <w:rFonts w:ascii="Calibri" w:hAnsi="Calibri" w:cs="Calibri"/>
                <w:b/>
                <w:sz w:val="22"/>
                <w:szCs w:val="22"/>
              </w:rPr>
              <w:t xml:space="preserve">to </w:t>
            </w:r>
            <w:r w:rsidRPr="00C67A40">
              <w:rPr>
                <w:rFonts w:ascii="Calibri" w:hAnsi="Calibri" w:cs="Calibri"/>
                <w:b/>
                <w:sz w:val="22"/>
                <w:szCs w:val="22"/>
              </w:rPr>
              <w:t xml:space="preserve">the district court </w:t>
            </w:r>
            <w:r>
              <w:rPr>
                <w:rFonts w:ascii="Calibri" w:hAnsi="Calibri" w:cs="Calibri"/>
                <w:b/>
                <w:sz w:val="22"/>
                <w:szCs w:val="22"/>
              </w:rPr>
              <w:t>is</w:t>
            </w:r>
            <w:r w:rsidRPr="00C67A40">
              <w:rPr>
                <w:rFonts w:ascii="Calibri" w:hAnsi="Calibri" w:cs="Calibri"/>
                <w:b/>
                <w:sz w:val="22"/>
                <w:szCs w:val="22"/>
              </w:rPr>
              <w:t xml:space="preserve"> an 11- page expert declaration that, at best, described what the expert </w:t>
            </w:r>
            <w:r w:rsidRPr="002D3C88">
              <w:rPr>
                <w:rFonts w:ascii="Calibri" w:hAnsi="Calibri" w:cs="Calibri"/>
                <w:b/>
                <w:i/>
                <w:sz w:val="22"/>
                <w:szCs w:val="22"/>
              </w:rPr>
              <w:t>intended to do</w:t>
            </w:r>
            <w:r w:rsidRPr="002D3C88">
              <w:rPr>
                <w:i/>
              </w:rPr>
              <w:t xml:space="preserve"> </w:t>
            </w:r>
            <w:r w:rsidRPr="002D3C88">
              <w:rPr>
                <w:rFonts w:ascii="Calibri" w:hAnsi="Calibri" w:cs="Calibri"/>
                <w:b/>
                <w:i/>
                <w:sz w:val="22"/>
                <w:szCs w:val="22"/>
              </w:rPr>
              <w:t>at some later</w:t>
            </w:r>
            <w:r w:rsidRPr="002D3C88">
              <w:rPr>
                <w:rFonts w:ascii="Calibri" w:hAnsi="Calibri" w:cs="Calibri"/>
                <w:b/>
                <w:sz w:val="22"/>
                <w:szCs w:val="22"/>
              </w:rPr>
              <w:t xml:space="preserve"> date</w:t>
            </w:r>
            <w:r>
              <w:rPr>
                <w:rFonts w:ascii="Calibri" w:hAnsi="Calibri" w:cs="Calibri"/>
                <w:b/>
                <w:sz w:val="22"/>
                <w:szCs w:val="22"/>
              </w:rPr>
              <w:t xml:space="preserve"> </w:t>
            </w:r>
            <w:r w:rsidRPr="002D3C88">
              <w:rPr>
                <w:rFonts w:ascii="Calibri" w:hAnsi="Calibri" w:cs="Calibri"/>
                <w:b/>
                <w:sz w:val="22"/>
                <w:szCs w:val="22"/>
              </w:rPr>
              <w:t>to establish that antitrust impact could be adjudicated for all class members with common proof.</w:t>
            </w:r>
          </w:p>
        </w:tc>
      </w:tr>
      <w:tr w:rsidR="00093B76" w:rsidRPr="00907D75" w14:paraId="577D4D65" w14:textId="77777777" w:rsidTr="00093B76">
        <w:trPr>
          <w:trHeight w:val="4795"/>
        </w:trPr>
        <w:tc>
          <w:tcPr>
            <w:tcW w:w="5805" w:type="dxa"/>
            <w:vAlign w:val="center"/>
          </w:tcPr>
          <w:p w14:paraId="4E68E63E" w14:textId="77777777" w:rsidR="00093B76" w:rsidRPr="00D50B04"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more did you expect plaintiffs’ expert to present at the certification stage?</w:t>
            </w:r>
          </w:p>
        </w:tc>
        <w:tc>
          <w:tcPr>
            <w:tcW w:w="5805" w:type="dxa"/>
            <w:vAlign w:val="center"/>
          </w:tcPr>
          <w:p w14:paraId="2955B13E"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Dr. Warren-Boulton certainly could have implemented at least one of his </w:t>
            </w:r>
            <w:r w:rsidRPr="002D3C88">
              <w:rPr>
                <w:rFonts w:ascii="Calibri" w:hAnsi="Calibri" w:cs="Calibri"/>
                <w:b/>
                <w:sz w:val="22"/>
                <w:szCs w:val="22"/>
              </w:rPr>
              <w:t>two theories with an econometric model or undertake</w:t>
            </w:r>
            <w:r>
              <w:rPr>
                <w:rFonts w:ascii="Calibri" w:hAnsi="Calibri" w:cs="Calibri"/>
                <w:b/>
                <w:sz w:val="22"/>
                <w:szCs w:val="22"/>
              </w:rPr>
              <w:t xml:space="preserve">n some level of </w:t>
            </w:r>
            <w:r w:rsidRPr="002D3C88">
              <w:rPr>
                <w:rFonts w:ascii="Calibri" w:hAnsi="Calibri" w:cs="Calibri"/>
                <w:b/>
                <w:sz w:val="22"/>
                <w:szCs w:val="22"/>
              </w:rPr>
              <w:t xml:space="preserve">analysis to verify that one or both were </w:t>
            </w:r>
            <w:proofErr w:type="gramStart"/>
            <w:r w:rsidRPr="002D3C88">
              <w:rPr>
                <w:rFonts w:ascii="Calibri" w:hAnsi="Calibri" w:cs="Calibri"/>
                <w:b/>
                <w:sz w:val="22"/>
                <w:szCs w:val="22"/>
              </w:rPr>
              <w:t>actually viable</w:t>
            </w:r>
            <w:proofErr w:type="gramEnd"/>
            <w:r w:rsidRPr="002D3C88">
              <w:rPr>
                <w:rFonts w:ascii="Calibri" w:hAnsi="Calibri" w:cs="Calibri"/>
                <w:b/>
                <w:sz w:val="22"/>
                <w:szCs w:val="22"/>
              </w:rPr>
              <w:t>.</w:t>
            </w:r>
          </w:p>
        </w:tc>
      </w:tr>
      <w:tr w:rsidR="00093B76" w:rsidRPr="00907D75" w14:paraId="28C1B92A" w14:textId="77777777" w:rsidTr="00093B76">
        <w:trPr>
          <w:trHeight w:val="4795"/>
        </w:trPr>
        <w:tc>
          <w:tcPr>
            <w:tcW w:w="5805" w:type="dxa"/>
            <w:vAlign w:val="center"/>
          </w:tcPr>
          <w:p w14:paraId="7D0F0C8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Plaintiffs argue that a functioning econometric model is not required at the certification stage; is that true?</w:t>
            </w:r>
          </w:p>
        </w:tc>
        <w:tc>
          <w:tcPr>
            <w:tcW w:w="5805" w:type="dxa"/>
            <w:vAlign w:val="center"/>
          </w:tcPr>
          <w:p w14:paraId="4560AC60" w14:textId="77777777" w:rsidR="00093B76" w:rsidRDefault="00093B76" w:rsidP="002A24E8">
            <w:pPr>
              <w:pStyle w:val="O-BodyText"/>
              <w:rPr>
                <w:rFonts w:ascii="Calibri" w:hAnsi="Calibri" w:cs="Calibri"/>
                <w:b/>
                <w:sz w:val="22"/>
                <w:szCs w:val="22"/>
              </w:rPr>
            </w:pPr>
            <w:r>
              <w:rPr>
                <w:rFonts w:ascii="Calibri" w:hAnsi="Calibri" w:cs="Calibri"/>
                <w:b/>
                <w:sz w:val="22"/>
                <w:szCs w:val="22"/>
              </w:rPr>
              <w:t>No. Even if there may have been a day pre-</w:t>
            </w:r>
            <w:r w:rsidRPr="002D3C88">
              <w:rPr>
                <w:rFonts w:ascii="Calibri" w:hAnsi="Calibri" w:cs="Calibri"/>
                <w:b/>
                <w:i/>
                <w:sz w:val="22"/>
                <w:szCs w:val="22"/>
              </w:rPr>
              <w:t>Comcast</w:t>
            </w:r>
            <w:r>
              <w:rPr>
                <w:rFonts w:ascii="Calibri" w:hAnsi="Calibri" w:cs="Calibri"/>
                <w:b/>
                <w:sz w:val="22"/>
                <w:szCs w:val="22"/>
              </w:rPr>
              <w:t xml:space="preserve"> (U.S. 2013) when developed, functioning econometric models were not required at the certification stage of antitrust cases, they are now absolutely required. This is </w:t>
            </w:r>
            <w:r w:rsidRPr="002D3C88">
              <w:rPr>
                <w:rFonts w:ascii="Calibri" w:hAnsi="Calibri" w:cs="Calibri"/>
                <w:b/>
                <w:sz w:val="22"/>
                <w:szCs w:val="22"/>
              </w:rPr>
              <w:t>because</w:t>
            </w:r>
            <w:r>
              <w:rPr>
                <w:rFonts w:ascii="Calibri" w:hAnsi="Calibri" w:cs="Calibri"/>
                <w:b/>
                <w:sz w:val="22"/>
                <w:szCs w:val="22"/>
              </w:rPr>
              <w:t xml:space="preserve"> </w:t>
            </w:r>
            <w:r w:rsidRPr="002D3C88">
              <w:rPr>
                <w:rFonts w:ascii="Calibri" w:hAnsi="Calibri" w:cs="Calibri"/>
                <w:b/>
                <w:sz w:val="22"/>
                <w:szCs w:val="22"/>
              </w:rPr>
              <w:t xml:space="preserve">injury-in-fact is an essential element of liability in a private antitrust claim, and because of the now-universal recognition as the D.C. Circuit explained in </w:t>
            </w:r>
            <w:r w:rsidRPr="002D3C88">
              <w:rPr>
                <w:rFonts w:ascii="Calibri" w:hAnsi="Calibri" w:cs="Calibri"/>
                <w:b/>
                <w:i/>
                <w:sz w:val="22"/>
                <w:szCs w:val="22"/>
              </w:rPr>
              <w:t>Rail Freight</w:t>
            </w:r>
            <w:r w:rsidRPr="002D3C88">
              <w:rPr>
                <w:rFonts w:ascii="Calibri" w:hAnsi="Calibri" w:cs="Calibri"/>
                <w:b/>
                <w:sz w:val="22"/>
                <w:szCs w:val="22"/>
              </w:rPr>
              <w:t xml:space="preserve"> (D.C. 2013)</w:t>
            </w:r>
            <w:r>
              <w:rPr>
                <w:rFonts w:ascii="Calibri" w:hAnsi="Calibri" w:cs="Calibri"/>
                <w:b/>
                <w:sz w:val="22"/>
                <w:szCs w:val="22"/>
              </w:rPr>
              <w:t>, that</w:t>
            </w:r>
            <w:r w:rsidRPr="002D3C88">
              <w:rPr>
                <w:rFonts w:ascii="Calibri" w:hAnsi="Calibri" w:cs="Calibri"/>
                <w:b/>
                <w:sz w:val="22"/>
                <w:szCs w:val="22"/>
              </w:rPr>
              <w:t xml:space="preserve"> “[c]</w:t>
            </w:r>
            <w:proofErr w:type="spellStart"/>
            <w:r w:rsidRPr="002D3C88">
              <w:rPr>
                <w:rFonts w:ascii="Calibri" w:hAnsi="Calibri" w:cs="Calibri"/>
                <w:b/>
                <w:sz w:val="22"/>
                <w:szCs w:val="22"/>
              </w:rPr>
              <w:t>ommon</w:t>
            </w:r>
            <w:proofErr w:type="spellEnd"/>
            <w:r w:rsidRPr="002D3C88">
              <w:rPr>
                <w:rFonts w:ascii="Calibri" w:hAnsi="Calibri" w:cs="Calibri"/>
                <w:b/>
                <w:sz w:val="22"/>
                <w:szCs w:val="22"/>
              </w:rPr>
              <w:t xml:space="preserve"> questions of fact cannot predominate when there exists no reliable means of proving </w:t>
            </w:r>
            <w:proofErr w:type="spellStart"/>
            <w:r w:rsidRPr="002D3C88">
              <w:rPr>
                <w:rFonts w:ascii="Calibri" w:hAnsi="Calibri" w:cs="Calibri"/>
                <w:b/>
                <w:sz w:val="22"/>
                <w:szCs w:val="22"/>
              </w:rPr>
              <w:t>classwide</w:t>
            </w:r>
            <w:proofErr w:type="spellEnd"/>
            <w:r w:rsidRPr="002D3C88">
              <w:rPr>
                <w:rFonts w:ascii="Calibri" w:hAnsi="Calibri" w:cs="Calibri"/>
                <w:b/>
                <w:sz w:val="22"/>
                <w:szCs w:val="22"/>
              </w:rPr>
              <w:t xml:space="preserve"> injury in fact.” </w:t>
            </w:r>
          </w:p>
        </w:tc>
      </w:tr>
      <w:tr w:rsidR="00093B76" w:rsidRPr="00907D75" w14:paraId="60E3B064" w14:textId="77777777" w:rsidTr="00093B76">
        <w:trPr>
          <w:trHeight w:val="4795"/>
        </w:trPr>
        <w:tc>
          <w:tcPr>
            <w:tcW w:w="5805" w:type="dxa"/>
            <w:vAlign w:val="center"/>
          </w:tcPr>
          <w:p w14:paraId="2AE9556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Do either of Plaintiffs’ theories of harm or models match the sole surviving theory of liability?</w:t>
            </w:r>
          </w:p>
        </w:tc>
        <w:tc>
          <w:tcPr>
            <w:tcW w:w="5805" w:type="dxa"/>
            <w:vAlign w:val="center"/>
          </w:tcPr>
          <w:p w14:paraId="547D2AE7" w14:textId="77777777" w:rsidR="00093B76" w:rsidRDefault="00093B76" w:rsidP="002A24E8">
            <w:pPr>
              <w:pStyle w:val="O-BodyText"/>
              <w:rPr>
                <w:rFonts w:ascii="Calibri" w:hAnsi="Calibri" w:cs="Calibri"/>
                <w:b/>
                <w:sz w:val="22"/>
                <w:szCs w:val="22"/>
              </w:rPr>
            </w:pPr>
            <w:r>
              <w:rPr>
                <w:rFonts w:ascii="Calibri" w:hAnsi="Calibri" w:cs="Calibri"/>
                <w:b/>
                <w:sz w:val="22"/>
                <w:szCs w:val="22"/>
              </w:rPr>
              <w:t>No, neither</w:t>
            </w:r>
            <w:r w:rsidRPr="00E76701">
              <w:rPr>
                <w:rFonts w:ascii="Calibri" w:hAnsi="Calibri" w:cs="Calibri"/>
                <w:b/>
                <w:sz w:val="22"/>
                <w:szCs w:val="22"/>
              </w:rPr>
              <w:t xml:space="preserve"> of Plaintiffs’ contradictory theories of harm </w:t>
            </w:r>
            <w:proofErr w:type="gramStart"/>
            <w:r w:rsidRPr="00E76701">
              <w:rPr>
                <w:rFonts w:ascii="Calibri" w:hAnsi="Calibri" w:cs="Calibri"/>
                <w:b/>
                <w:sz w:val="22"/>
                <w:szCs w:val="22"/>
              </w:rPr>
              <w:t>actually match</w:t>
            </w:r>
            <w:proofErr w:type="gramEnd"/>
            <w:r w:rsidRPr="00E76701">
              <w:rPr>
                <w:rFonts w:ascii="Calibri" w:hAnsi="Calibri" w:cs="Calibri"/>
                <w:b/>
                <w:sz w:val="22"/>
                <w:szCs w:val="22"/>
              </w:rPr>
              <w:t xml:space="preserve"> the theory of liability that remains in the case after summary judgment</w:t>
            </w:r>
            <w:r>
              <w:rPr>
                <w:rFonts w:ascii="Calibri" w:hAnsi="Calibri" w:cs="Calibri"/>
                <w:b/>
                <w:sz w:val="22"/>
                <w:szCs w:val="22"/>
              </w:rPr>
              <w:t>. This is fatal</w:t>
            </w:r>
            <w:r w:rsidRPr="00E76701">
              <w:rPr>
                <w:rFonts w:ascii="Calibri" w:hAnsi="Calibri" w:cs="Calibri"/>
                <w:b/>
                <w:sz w:val="22"/>
                <w:szCs w:val="22"/>
              </w:rPr>
              <w:t xml:space="preserve"> under </w:t>
            </w:r>
            <w:r w:rsidRPr="002C4D93">
              <w:rPr>
                <w:rFonts w:ascii="Calibri" w:hAnsi="Calibri" w:cs="Calibri"/>
                <w:b/>
                <w:i/>
                <w:sz w:val="22"/>
                <w:szCs w:val="22"/>
              </w:rPr>
              <w:t>Comcast</w:t>
            </w:r>
            <w:r>
              <w:rPr>
                <w:rFonts w:ascii="Calibri" w:hAnsi="Calibri" w:cs="Calibri"/>
                <w:b/>
                <w:sz w:val="22"/>
                <w:szCs w:val="22"/>
              </w:rPr>
              <w:t xml:space="preserve"> (U.S. 2013) where the Supreme Court held that “a</w:t>
            </w:r>
            <w:r w:rsidRPr="00E76701">
              <w:rPr>
                <w:rFonts w:ascii="Calibri" w:hAnsi="Calibri" w:cs="Calibri"/>
                <w:b/>
                <w:sz w:val="22"/>
                <w:szCs w:val="22"/>
              </w:rPr>
              <w:t>t the class certification stage (as at trial), any model supporting a ‘plaintiff’s damages case must be consistent with its liability case, particularly with respect to the alleged anticompetitive effect of the violation.’”</w:t>
            </w:r>
          </w:p>
        </w:tc>
      </w:tr>
      <w:tr w:rsidR="00093B76" w:rsidRPr="00907D75" w14:paraId="3A62430B" w14:textId="77777777" w:rsidTr="00093B76">
        <w:trPr>
          <w:trHeight w:val="4795"/>
        </w:trPr>
        <w:tc>
          <w:tcPr>
            <w:tcW w:w="5805" w:type="dxa"/>
            <w:vAlign w:val="center"/>
          </w:tcPr>
          <w:p w14:paraId="19F2C95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Can you explain how each of Plaintiffs’ models are inconsistent with the surviving theory of liability?</w:t>
            </w:r>
          </w:p>
        </w:tc>
        <w:tc>
          <w:tcPr>
            <w:tcW w:w="5805" w:type="dxa"/>
            <w:vAlign w:val="center"/>
          </w:tcPr>
          <w:p w14:paraId="1221EBDD" w14:textId="77777777" w:rsidR="00093B76" w:rsidRDefault="00093B76" w:rsidP="002A24E8">
            <w:pPr>
              <w:pStyle w:val="O-BodyText"/>
              <w:rPr>
                <w:rFonts w:ascii="Calibri" w:hAnsi="Calibri" w:cs="Calibri"/>
                <w:b/>
                <w:sz w:val="22"/>
                <w:szCs w:val="22"/>
              </w:rPr>
            </w:pPr>
            <w:r>
              <w:rPr>
                <w:rFonts w:ascii="Calibri" w:hAnsi="Calibri" w:cs="Calibri"/>
                <w:b/>
                <w:sz w:val="22"/>
                <w:szCs w:val="22"/>
                <w:highlight w:val="yellow"/>
              </w:rPr>
              <w:t>[</w:t>
            </w:r>
            <w:r w:rsidRPr="002C4D93">
              <w:rPr>
                <w:rFonts w:ascii="Calibri" w:hAnsi="Calibri" w:cs="Calibri"/>
                <w:b/>
                <w:sz w:val="22"/>
                <w:szCs w:val="22"/>
                <w:highlight w:val="yellow"/>
              </w:rPr>
              <w:t>Explain.</w:t>
            </w:r>
            <w:r>
              <w:rPr>
                <w:rFonts w:ascii="Calibri" w:hAnsi="Calibri" w:cs="Calibri"/>
                <w:b/>
                <w:sz w:val="22"/>
                <w:szCs w:val="22"/>
              </w:rPr>
              <w:t>]</w:t>
            </w:r>
          </w:p>
        </w:tc>
      </w:tr>
      <w:tr w:rsidR="00093B76" w:rsidRPr="00907D75" w14:paraId="29A5F8E3" w14:textId="77777777" w:rsidTr="00093B76">
        <w:trPr>
          <w:trHeight w:val="4795"/>
        </w:trPr>
        <w:tc>
          <w:tcPr>
            <w:tcW w:w="5805" w:type="dxa"/>
            <w:vAlign w:val="center"/>
          </w:tcPr>
          <w:p w14:paraId="66B2DAF4"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Can you explain why you believe Plaintiffs’ expert’s but-for world theories are flawed?</w:t>
            </w:r>
          </w:p>
        </w:tc>
        <w:tc>
          <w:tcPr>
            <w:tcW w:w="5805" w:type="dxa"/>
            <w:vAlign w:val="center"/>
          </w:tcPr>
          <w:p w14:paraId="7686BA4C" w14:textId="77777777" w:rsidR="00093B76" w:rsidRPr="002C4D93" w:rsidRDefault="00093B76" w:rsidP="002A24E8">
            <w:pPr>
              <w:pStyle w:val="O-BodyText"/>
              <w:rPr>
                <w:rFonts w:ascii="Calibri" w:hAnsi="Calibri" w:cs="Calibri"/>
                <w:b/>
                <w:sz w:val="22"/>
                <w:szCs w:val="22"/>
                <w:highlight w:val="yellow"/>
              </w:rPr>
            </w:pPr>
            <w:r w:rsidRPr="003B4CFD">
              <w:rPr>
                <w:rFonts w:ascii="Calibri" w:hAnsi="Calibri" w:cs="Calibri"/>
                <w:b/>
                <w:sz w:val="22"/>
                <w:szCs w:val="22"/>
              </w:rPr>
              <w:t>A foundational flaw of both theories is the failure to account for what consumers knew about AT&amp;T’s exclusivity and iPhone unlocking policies, and what AT&amp;T might have done if “better informed” consumers pushed back. Any reliable impact and damages theory must address these questions, given that Plaintiffs’ aftermarket theory turns entirely on Apple’s alleged failure to adequately inform consumers about exclusivity and unlocking, such that consumers unknowingly gave AT&amp;T an aftermarket monopoly over iPhone voice and data services and therefore uniformly paid monopolistic service prices.</w:t>
            </w:r>
          </w:p>
        </w:tc>
      </w:tr>
      <w:tr w:rsidR="00093B76" w:rsidRPr="00907D75" w14:paraId="301E60FA" w14:textId="77777777" w:rsidTr="00093B76">
        <w:trPr>
          <w:trHeight w:val="4795"/>
        </w:trPr>
        <w:tc>
          <w:tcPr>
            <w:tcW w:w="5805" w:type="dxa"/>
            <w:vAlign w:val="center"/>
          </w:tcPr>
          <w:p w14:paraId="5F49D8EE"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do plaintiffs need to look any further than the models and figure out exactly what customers knew about AT&amp;T’s exclusivity at the certification stage?</w:t>
            </w:r>
          </w:p>
        </w:tc>
        <w:tc>
          <w:tcPr>
            <w:tcW w:w="5805" w:type="dxa"/>
            <w:vAlign w:val="center"/>
          </w:tcPr>
          <w:p w14:paraId="2F1412B4" w14:textId="77777777" w:rsidR="00093B76" w:rsidRPr="002C4D93" w:rsidRDefault="00093B76" w:rsidP="002A24E8">
            <w:pPr>
              <w:pStyle w:val="O-BodyText"/>
              <w:rPr>
                <w:rFonts w:ascii="Calibri" w:hAnsi="Calibri" w:cs="Calibri"/>
                <w:b/>
                <w:sz w:val="22"/>
                <w:szCs w:val="22"/>
                <w:highlight w:val="yellow"/>
              </w:rPr>
            </w:pPr>
            <w:r w:rsidRPr="00D6358F">
              <w:rPr>
                <w:rFonts w:ascii="Calibri" w:hAnsi="Calibri" w:cs="Calibri"/>
                <w:b/>
                <w:sz w:val="22"/>
                <w:szCs w:val="22"/>
              </w:rPr>
              <w:t xml:space="preserve">Plaintiffs </w:t>
            </w:r>
            <w:proofErr w:type="gramStart"/>
            <w:r w:rsidRPr="00D6358F">
              <w:rPr>
                <w:rFonts w:ascii="Calibri" w:hAnsi="Calibri" w:cs="Calibri"/>
                <w:b/>
                <w:sz w:val="22"/>
                <w:szCs w:val="22"/>
              </w:rPr>
              <w:t>have to</w:t>
            </w:r>
            <w:proofErr w:type="gramEnd"/>
            <w:r w:rsidRPr="00D6358F">
              <w:rPr>
                <w:rFonts w:ascii="Calibri" w:hAnsi="Calibri" w:cs="Calibri"/>
                <w:b/>
                <w:sz w:val="22"/>
                <w:szCs w:val="22"/>
              </w:rPr>
              <w:t xml:space="preserve"> look into these questions because there cannot be a generic answer. As the Supreme Court held in </w:t>
            </w:r>
            <w:r w:rsidRPr="00D6358F">
              <w:rPr>
                <w:rFonts w:ascii="Calibri" w:hAnsi="Calibri" w:cs="Calibri"/>
                <w:b/>
                <w:i/>
                <w:sz w:val="22"/>
                <w:szCs w:val="22"/>
              </w:rPr>
              <w:t>Eastman Kodak Co. v. Image Tech. Servs., Inc.</w:t>
            </w:r>
            <w:r w:rsidRPr="00D6358F">
              <w:rPr>
                <w:rFonts w:ascii="Calibri" w:hAnsi="Calibri" w:cs="Calibri"/>
                <w:b/>
                <w:sz w:val="22"/>
                <w:szCs w:val="22"/>
              </w:rPr>
              <w:t xml:space="preserve"> (U.S. 1992), it all depends on the responsiveness between equipment and service pricing, what consumers know about aftermarket practices, the degree of lock-in, and whether there are opportunities for price discrimination</w:t>
            </w:r>
            <w:r>
              <w:rPr>
                <w:rFonts w:ascii="Calibri" w:hAnsi="Calibri" w:cs="Calibri"/>
                <w:b/>
                <w:sz w:val="22"/>
                <w:szCs w:val="22"/>
              </w:rPr>
              <w:t>.</w:t>
            </w:r>
          </w:p>
        </w:tc>
      </w:tr>
      <w:tr w:rsidR="00093B76" w:rsidRPr="00907D75" w14:paraId="4023CFE4" w14:textId="77777777" w:rsidTr="00093B76">
        <w:trPr>
          <w:trHeight w:val="4795"/>
        </w:trPr>
        <w:tc>
          <w:tcPr>
            <w:tcW w:w="5805" w:type="dxa"/>
            <w:vAlign w:val="center"/>
          </w:tcPr>
          <w:p w14:paraId="187B2BA4"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are Dr. Warren-Boulton’s two “but-for” models not enough when they are common in the antitrust class action industry?</w:t>
            </w:r>
          </w:p>
        </w:tc>
        <w:tc>
          <w:tcPr>
            <w:tcW w:w="5805" w:type="dxa"/>
            <w:vAlign w:val="center"/>
          </w:tcPr>
          <w:p w14:paraId="4845FDBB" w14:textId="77777777" w:rsidR="00093B76" w:rsidRPr="00D6358F" w:rsidRDefault="00093B76" w:rsidP="002A24E8">
            <w:pPr>
              <w:pStyle w:val="O-BodyText"/>
              <w:rPr>
                <w:rFonts w:ascii="Calibri" w:hAnsi="Calibri" w:cs="Calibri"/>
                <w:b/>
                <w:sz w:val="22"/>
                <w:szCs w:val="22"/>
              </w:rPr>
            </w:pPr>
            <w:r>
              <w:rPr>
                <w:rFonts w:ascii="Calibri" w:hAnsi="Calibri" w:cs="Calibri"/>
                <w:b/>
                <w:sz w:val="22"/>
                <w:szCs w:val="22"/>
              </w:rPr>
              <w:t xml:space="preserve">Because his </w:t>
            </w:r>
            <w:r w:rsidRPr="00D6358F">
              <w:rPr>
                <w:rFonts w:ascii="Calibri" w:hAnsi="Calibri" w:cs="Calibri"/>
                <w:b/>
                <w:sz w:val="22"/>
                <w:szCs w:val="22"/>
              </w:rPr>
              <w:t xml:space="preserve">theories simply assume that the influence of </w:t>
            </w:r>
            <w:proofErr w:type="gramStart"/>
            <w:r w:rsidRPr="00D6358F">
              <w:rPr>
                <w:rFonts w:ascii="Calibri" w:hAnsi="Calibri" w:cs="Calibri"/>
                <w:b/>
                <w:sz w:val="22"/>
                <w:szCs w:val="22"/>
              </w:rPr>
              <w:t>all of</w:t>
            </w:r>
            <w:proofErr w:type="gramEnd"/>
            <w:r w:rsidRPr="00D6358F">
              <w:rPr>
                <w:rFonts w:ascii="Calibri" w:hAnsi="Calibri" w:cs="Calibri"/>
                <w:b/>
                <w:sz w:val="22"/>
                <w:szCs w:val="22"/>
              </w:rPr>
              <w:t xml:space="preserve"> these factors will yield a common impact capable of proof on a </w:t>
            </w:r>
            <w:proofErr w:type="spellStart"/>
            <w:r w:rsidRPr="00D6358F">
              <w:rPr>
                <w:rFonts w:ascii="Calibri" w:hAnsi="Calibri" w:cs="Calibri"/>
                <w:b/>
                <w:sz w:val="22"/>
                <w:szCs w:val="22"/>
              </w:rPr>
              <w:t>classwide</w:t>
            </w:r>
            <w:proofErr w:type="spellEnd"/>
            <w:r w:rsidRPr="00D6358F">
              <w:rPr>
                <w:rFonts w:ascii="Calibri" w:hAnsi="Calibri" w:cs="Calibri"/>
                <w:b/>
                <w:sz w:val="22"/>
                <w:szCs w:val="22"/>
              </w:rPr>
              <w:t xml:space="preserve"> basis. So he does not actually study and present conclusions on anything</w:t>
            </w:r>
            <w:r>
              <w:rPr>
                <w:rFonts w:ascii="Calibri" w:hAnsi="Calibri" w:cs="Calibri"/>
                <w:b/>
                <w:sz w:val="22"/>
                <w:szCs w:val="22"/>
              </w:rPr>
              <w:t>:</w:t>
            </w:r>
            <w:r w:rsidRPr="00D6358F">
              <w:rPr>
                <w:rFonts w:ascii="Calibri" w:hAnsi="Calibri" w:cs="Calibri"/>
                <w:b/>
                <w:sz w:val="22"/>
                <w:szCs w:val="22"/>
              </w:rPr>
              <w:t xml:space="preserve"> Not on “whether ... consumers [who] entered into certain [aftermarket] transactions [did so] ‘knowing that they were agreeing to such a commitment.’”</w:t>
            </w:r>
            <w:r>
              <w:rPr>
                <w:rFonts w:ascii="Calibri" w:hAnsi="Calibri" w:cs="Calibri"/>
                <w:b/>
                <w:sz w:val="22"/>
                <w:szCs w:val="22"/>
              </w:rPr>
              <w:t xml:space="preserve">; and not on whether AT&amp;T’s response to more market </w:t>
            </w:r>
            <w:r w:rsidRPr="00732793">
              <w:rPr>
                <w:rFonts w:ascii="Calibri" w:hAnsi="Calibri" w:cs="Calibri"/>
                <w:b/>
                <w:sz w:val="22"/>
                <w:szCs w:val="22"/>
              </w:rPr>
              <w:t>information  about  exclusivity would  have  been uniform or discriminatory</w:t>
            </w:r>
            <w:r>
              <w:rPr>
                <w:rFonts w:ascii="Calibri" w:hAnsi="Calibri" w:cs="Calibri"/>
                <w:b/>
                <w:sz w:val="22"/>
                <w:szCs w:val="22"/>
              </w:rPr>
              <w:t>.</w:t>
            </w:r>
          </w:p>
        </w:tc>
      </w:tr>
      <w:tr w:rsidR="00093B76" w:rsidRPr="00907D75" w14:paraId="083E9ABC" w14:textId="77777777" w:rsidTr="00093B76">
        <w:trPr>
          <w:trHeight w:val="4795"/>
        </w:trPr>
        <w:tc>
          <w:tcPr>
            <w:tcW w:w="5805" w:type="dxa"/>
            <w:vAlign w:val="center"/>
          </w:tcPr>
          <w:p w14:paraId="38EB395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is it troubling that Dr. Warren-Boulton cannot yet speak to the class members’ knowledge of the scope of their commitment with AT&amp;T that they were agreeing to?</w:t>
            </w:r>
          </w:p>
        </w:tc>
        <w:tc>
          <w:tcPr>
            <w:tcW w:w="5805" w:type="dxa"/>
            <w:vAlign w:val="center"/>
          </w:tcPr>
          <w:p w14:paraId="3302A9F3" w14:textId="77777777" w:rsidR="00093B76" w:rsidRPr="00D6358F" w:rsidRDefault="00093B76" w:rsidP="002A24E8">
            <w:pPr>
              <w:pStyle w:val="O-BodyText"/>
              <w:rPr>
                <w:rFonts w:ascii="Calibri" w:hAnsi="Calibri" w:cs="Calibri"/>
                <w:b/>
                <w:sz w:val="22"/>
                <w:szCs w:val="22"/>
              </w:rPr>
            </w:pPr>
            <w:r>
              <w:rPr>
                <w:rFonts w:ascii="Calibri" w:hAnsi="Calibri" w:cs="Calibri"/>
                <w:b/>
                <w:sz w:val="22"/>
                <w:szCs w:val="22"/>
              </w:rPr>
              <w:t xml:space="preserve">It is </w:t>
            </w:r>
            <w:r w:rsidRPr="003E1BF8">
              <w:rPr>
                <w:rFonts w:ascii="Calibri" w:hAnsi="Calibri" w:cs="Calibri"/>
                <w:b/>
                <w:sz w:val="22"/>
                <w:szCs w:val="22"/>
              </w:rPr>
              <w:t xml:space="preserve">problematic because the knowledge issues implicated by Plaintiffs’ aftermarket claim are precisely the kind that present inherent difficulties for class treatment. </w:t>
            </w:r>
            <w:r>
              <w:rPr>
                <w:rFonts w:ascii="Calibri" w:hAnsi="Calibri" w:cs="Calibri"/>
                <w:b/>
                <w:sz w:val="22"/>
                <w:szCs w:val="22"/>
              </w:rPr>
              <w:t xml:space="preserve">For example, in </w:t>
            </w:r>
            <w:r w:rsidRPr="003E1BF8">
              <w:rPr>
                <w:rFonts w:ascii="Calibri" w:hAnsi="Calibri" w:cs="Calibri"/>
                <w:b/>
                <w:i/>
                <w:sz w:val="22"/>
                <w:szCs w:val="22"/>
              </w:rPr>
              <w:t>Thorn v. Jefferson-Pilot Life Ins. Co.</w:t>
            </w:r>
            <w:r>
              <w:rPr>
                <w:rFonts w:ascii="Calibri" w:hAnsi="Calibri" w:cs="Calibri"/>
                <w:b/>
                <w:sz w:val="22"/>
                <w:szCs w:val="22"/>
              </w:rPr>
              <w:t xml:space="preserve"> </w:t>
            </w:r>
            <w:r w:rsidRPr="003C2449">
              <w:rPr>
                <w:rFonts w:ascii="Calibri" w:hAnsi="Calibri" w:cs="Calibri"/>
                <w:b/>
                <w:sz w:val="22"/>
                <w:szCs w:val="22"/>
              </w:rPr>
              <w:t>(4th 2006)</w:t>
            </w:r>
            <w:r>
              <w:rPr>
                <w:rFonts w:ascii="Calibri" w:hAnsi="Calibri" w:cs="Calibri"/>
                <w:b/>
                <w:sz w:val="22"/>
                <w:szCs w:val="22"/>
              </w:rPr>
              <w:t xml:space="preserve"> the Fourth Circuit noted that “i</w:t>
            </w:r>
            <w:r w:rsidRPr="003E1BF8">
              <w:rPr>
                <w:rFonts w:ascii="Calibri" w:hAnsi="Calibri" w:cs="Calibri"/>
                <w:b/>
                <w:sz w:val="22"/>
                <w:szCs w:val="22"/>
              </w:rPr>
              <w:t xml:space="preserve">n cases where the legal issue is similarly focused on the plaintiff’s knowledge ... </w:t>
            </w:r>
            <w:r>
              <w:rPr>
                <w:rFonts w:ascii="Calibri" w:hAnsi="Calibri" w:cs="Calibri"/>
                <w:b/>
                <w:sz w:val="22"/>
                <w:szCs w:val="22"/>
              </w:rPr>
              <w:t xml:space="preserve">[the court has] </w:t>
            </w:r>
            <w:r w:rsidRPr="003E1BF8">
              <w:rPr>
                <w:rFonts w:ascii="Calibri" w:hAnsi="Calibri" w:cs="Calibri"/>
                <w:b/>
                <w:sz w:val="22"/>
                <w:szCs w:val="22"/>
              </w:rPr>
              <w:t>consistently held that individual hearings are required.”</w:t>
            </w:r>
            <w:r>
              <w:rPr>
                <w:rFonts w:ascii="Calibri" w:hAnsi="Calibri" w:cs="Calibri"/>
                <w:b/>
                <w:sz w:val="22"/>
                <w:szCs w:val="22"/>
              </w:rPr>
              <w:t xml:space="preserve"> The Western District of Texas put it best when it held that “[k]</w:t>
            </w:r>
            <w:proofErr w:type="spellStart"/>
            <w:r w:rsidRPr="003C2449">
              <w:rPr>
                <w:rFonts w:ascii="Calibri" w:hAnsi="Calibri" w:cs="Calibri"/>
                <w:b/>
                <w:sz w:val="22"/>
                <w:szCs w:val="22"/>
              </w:rPr>
              <w:t>nowledge</w:t>
            </w:r>
            <w:proofErr w:type="spellEnd"/>
            <w:r w:rsidRPr="003C2449">
              <w:rPr>
                <w:rFonts w:ascii="Calibri" w:hAnsi="Calibri" w:cs="Calibri"/>
                <w:b/>
                <w:sz w:val="22"/>
                <w:szCs w:val="22"/>
              </w:rPr>
              <w:t xml:space="preserve"> is highly individualistic and cannot be determined on a </w:t>
            </w:r>
            <w:proofErr w:type="spellStart"/>
            <w:r w:rsidRPr="003C2449">
              <w:rPr>
                <w:rFonts w:ascii="Calibri" w:hAnsi="Calibri" w:cs="Calibri"/>
                <w:b/>
                <w:sz w:val="22"/>
                <w:szCs w:val="22"/>
              </w:rPr>
              <w:t>classwide</w:t>
            </w:r>
            <w:proofErr w:type="spellEnd"/>
            <w:r w:rsidRPr="003C2449">
              <w:rPr>
                <w:rFonts w:ascii="Calibri" w:hAnsi="Calibri" w:cs="Calibri"/>
                <w:b/>
                <w:sz w:val="22"/>
                <w:szCs w:val="22"/>
              </w:rPr>
              <w:t xml:space="preserve"> basis.</w:t>
            </w:r>
            <w:r>
              <w:rPr>
                <w:rFonts w:ascii="Calibri" w:hAnsi="Calibri" w:cs="Calibri"/>
                <w:b/>
                <w:sz w:val="22"/>
                <w:szCs w:val="22"/>
              </w:rPr>
              <w:t xml:space="preserve">” </w:t>
            </w:r>
            <w:r w:rsidRPr="003C2449">
              <w:rPr>
                <w:rFonts w:ascii="Calibri" w:hAnsi="Calibri" w:cs="Calibri"/>
                <w:b/>
                <w:i/>
                <w:sz w:val="22"/>
                <w:szCs w:val="22"/>
              </w:rPr>
              <w:t>Martin v. Home Depot U.S.A., Inc.</w:t>
            </w:r>
            <w:r>
              <w:rPr>
                <w:rFonts w:ascii="Calibri" w:hAnsi="Calibri" w:cs="Calibri"/>
                <w:b/>
                <w:sz w:val="22"/>
                <w:szCs w:val="22"/>
              </w:rPr>
              <w:t xml:space="preserve"> (</w:t>
            </w:r>
            <w:r w:rsidRPr="003C2449">
              <w:rPr>
                <w:rFonts w:ascii="Calibri" w:hAnsi="Calibri" w:cs="Calibri"/>
                <w:b/>
                <w:sz w:val="22"/>
                <w:szCs w:val="22"/>
              </w:rPr>
              <w:t>W.D. Tex. 2004)</w:t>
            </w:r>
            <w:r>
              <w:rPr>
                <w:rFonts w:ascii="Calibri" w:hAnsi="Calibri" w:cs="Calibri"/>
                <w:b/>
                <w:sz w:val="22"/>
                <w:szCs w:val="22"/>
              </w:rPr>
              <w:t>.</w:t>
            </w:r>
          </w:p>
        </w:tc>
      </w:tr>
      <w:tr w:rsidR="00093B76" w:rsidRPr="00907D75" w14:paraId="4603D241" w14:textId="77777777" w:rsidTr="00093B76">
        <w:trPr>
          <w:trHeight w:val="4795"/>
        </w:trPr>
        <w:tc>
          <w:tcPr>
            <w:tcW w:w="5805" w:type="dxa"/>
            <w:vAlign w:val="center"/>
          </w:tcPr>
          <w:p w14:paraId="64C2CE66"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What exactly are these assumptions that Dr. Warren-Boulton makes that are so concerning?</w:t>
            </w:r>
          </w:p>
        </w:tc>
        <w:tc>
          <w:tcPr>
            <w:tcW w:w="5805" w:type="dxa"/>
            <w:vAlign w:val="center"/>
          </w:tcPr>
          <w:p w14:paraId="2075106C"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To give a few examples, he </w:t>
            </w:r>
            <w:r w:rsidRPr="00305638">
              <w:rPr>
                <w:rFonts w:ascii="Calibri" w:hAnsi="Calibri" w:cs="Calibri"/>
                <w:b/>
                <w:sz w:val="22"/>
                <w:szCs w:val="22"/>
              </w:rPr>
              <w:t>assumes, without analysis, that all consumers expected to unlock their iPhones, and therefore more information inevitably means uniformly lower prices.</w:t>
            </w:r>
          </w:p>
        </w:tc>
      </w:tr>
      <w:tr w:rsidR="00093B76" w:rsidRPr="00907D75" w14:paraId="585FCE85" w14:textId="77777777" w:rsidTr="00093B76">
        <w:trPr>
          <w:trHeight w:val="4795"/>
        </w:trPr>
        <w:tc>
          <w:tcPr>
            <w:tcW w:w="5805" w:type="dxa"/>
            <w:vAlign w:val="center"/>
          </w:tcPr>
          <w:p w14:paraId="1BA5EB5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In what ways were Dr. Warren-Boulton’s assumptions in creating his models inaccurate?</w:t>
            </w:r>
          </w:p>
        </w:tc>
        <w:tc>
          <w:tcPr>
            <w:tcW w:w="5805" w:type="dxa"/>
            <w:vAlign w:val="center"/>
          </w:tcPr>
          <w:p w14:paraId="47425FBE"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As Apple’s expert </w:t>
            </w:r>
            <w:r w:rsidRPr="00305638">
              <w:rPr>
                <w:rFonts w:ascii="Calibri" w:hAnsi="Calibri" w:cs="Calibri"/>
                <w:b/>
                <w:sz w:val="22"/>
                <w:szCs w:val="22"/>
              </w:rPr>
              <w:t>Dr. Katz explains, there is no basis for such assumption</w:t>
            </w:r>
            <w:r>
              <w:rPr>
                <w:rFonts w:ascii="Calibri" w:hAnsi="Calibri" w:cs="Calibri"/>
                <w:b/>
                <w:sz w:val="22"/>
                <w:szCs w:val="22"/>
              </w:rPr>
              <w:t>s</w:t>
            </w:r>
            <w:r w:rsidRPr="00305638">
              <w:rPr>
                <w:rFonts w:ascii="Calibri" w:hAnsi="Calibri" w:cs="Calibri"/>
                <w:b/>
                <w:sz w:val="22"/>
                <w:szCs w:val="22"/>
              </w:rPr>
              <w:t xml:space="preserve"> given (i) variance in consumer experiences with AT&amp;T and other carriers, (ii) variance in exposure to media, including coverage of this and other “locking” litigation against AT&amp;T, (iii) variance in exposure to Apple and AT&amp;T marketing materials, and (iv) non-uniform responses AT&amp;T may have undertaken in a world with even more information and attention on exclusivity.</w:t>
            </w:r>
          </w:p>
        </w:tc>
      </w:tr>
      <w:tr w:rsidR="00093B76" w:rsidRPr="00907D75" w14:paraId="4D115D1F" w14:textId="77777777" w:rsidTr="00093B76">
        <w:trPr>
          <w:trHeight w:val="4795"/>
        </w:trPr>
        <w:tc>
          <w:tcPr>
            <w:tcW w:w="5805" w:type="dxa"/>
            <w:vAlign w:val="center"/>
          </w:tcPr>
          <w:p w14:paraId="6E829DA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You’ve argued that Plaintiffs’ model lacks the requisite substance for the district court to conduct its mandated “rigorous analysis,” but if that were true, how then did Apple’s expert Dr. Katz have enough material to critique for more than 60 pages in his declaration?</w:t>
            </w:r>
          </w:p>
        </w:tc>
        <w:tc>
          <w:tcPr>
            <w:tcW w:w="5805" w:type="dxa"/>
            <w:vAlign w:val="center"/>
          </w:tcPr>
          <w:p w14:paraId="23E6171C" w14:textId="77777777" w:rsidR="00093B76" w:rsidRDefault="00093B76" w:rsidP="002A24E8">
            <w:pPr>
              <w:pStyle w:val="O-BodyText"/>
              <w:rPr>
                <w:rFonts w:ascii="Calibri" w:hAnsi="Calibri" w:cs="Calibri"/>
                <w:b/>
                <w:sz w:val="22"/>
                <w:szCs w:val="22"/>
              </w:rPr>
            </w:pPr>
            <w:r>
              <w:rPr>
                <w:rFonts w:ascii="Calibri" w:hAnsi="Calibri" w:cs="Calibri"/>
                <w:b/>
                <w:sz w:val="22"/>
                <w:szCs w:val="22"/>
                <w:highlight w:val="yellow"/>
              </w:rPr>
              <w:t>[</w:t>
            </w:r>
            <w:r w:rsidRPr="00F760F9">
              <w:rPr>
                <w:rFonts w:ascii="Calibri" w:hAnsi="Calibri" w:cs="Calibri"/>
                <w:b/>
                <w:sz w:val="22"/>
                <w:szCs w:val="22"/>
                <w:highlight w:val="yellow"/>
              </w:rPr>
              <w:t>Explain.</w:t>
            </w:r>
            <w:r>
              <w:rPr>
                <w:rFonts w:ascii="Calibri" w:hAnsi="Calibri" w:cs="Calibri"/>
                <w:b/>
                <w:sz w:val="22"/>
                <w:szCs w:val="22"/>
              </w:rPr>
              <w:t>]</w:t>
            </w:r>
          </w:p>
        </w:tc>
      </w:tr>
      <w:tr w:rsidR="00093B76" w:rsidRPr="00907D75" w14:paraId="481E3BE5" w14:textId="77777777" w:rsidTr="00093B76">
        <w:trPr>
          <w:trHeight w:val="4795"/>
        </w:trPr>
        <w:tc>
          <w:tcPr>
            <w:tcW w:w="5805" w:type="dxa"/>
            <w:vAlign w:val="center"/>
          </w:tcPr>
          <w:p w14:paraId="2E2E40D6"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In your view, what did Plaintiffs’ expert need to show to qualify for certification?</w:t>
            </w:r>
          </w:p>
        </w:tc>
        <w:tc>
          <w:tcPr>
            <w:tcW w:w="5805" w:type="dxa"/>
            <w:vAlign w:val="center"/>
          </w:tcPr>
          <w:p w14:paraId="3F7A0BAA" w14:textId="77777777" w:rsidR="00093B76" w:rsidRDefault="00093B76" w:rsidP="002A24E8">
            <w:pPr>
              <w:pStyle w:val="O-BodyText"/>
              <w:rPr>
                <w:rFonts w:ascii="Calibri" w:hAnsi="Calibri" w:cs="Calibri"/>
                <w:b/>
                <w:sz w:val="22"/>
                <w:szCs w:val="22"/>
              </w:rPr>
            </w:pPr>
            <w:r w:rsidRPr="00305638">
              <w:rPr>
                <w:rFonts w:ascii="Calibri" w:hAnsi="Calibri" w:cs="Calibri"/>
                <w:b/>
                <w:sz w:val="22"/>
                <w:szCs w:val="22"/>
              </w:rPr>
              <w:t xml:space="preserve">Plaintiffs needed to show that they had solved for </w:t>
            </w:r>
            <w:r>
              <w:rPr>
                <w:rFonts w:ascii="Calibri" w:hAnsi="Calibri" w:cs="Calibri"/>
                <w:b/>
                <w:sz w:val="22"/>
                <w:szCs w:val="22"/>
              </w:rPr>
              <w:t xml:space="preserve">the issues pointed out by Apple’s expert, Dr. Katz </w:t>
            </w:r>
            <w:r w:rsidRPr="00305638">
              <w:rPr>
                <w:rFonts w:ascii="Calibri" w:hAnsi="Calibri" w:cs="Calibri"/>
                <w:b/>
                <w:sz w:val="22"/>
                <w:szCs w:val="22"/>
              </w:rPr>
              <w:t xml:space="preserve">and </w:t>
            </w:r>
            <w:r>
              <w:rPr>
                <w:rFonts w:ascii="Calibri" w:hAnsi="Calibri" w:cs="Calibri"/>
                <w:b/>
                <w:sz w:val="22"/>
                <w:szCs w:val="22"/>
              </w:rPr>
              <w:t xml:space="preserve">show how their </w:t>
            </w:r>
            <w:r w:rsidRPr="00305638">
              <w:rPr>
                <w:rFonts w:ascii="Calibri" w:hAnsi="Calibri" w:cs="Calibri"/>
                <w:b/>
                <w:sz w:val="22"/>
                <w:szCs w:val="22"/>
              </w:rPr>
              <w:t xml:space="preserve">solutions </w:t>
            </w:r>
            <w:r>
              <w:rPr>
                <w:rFonts w:ascii="Calibri" w:hAnsi="Calibri" w:cs="Calibri"/>
                <w:b/>
                <w:sz w:val="22"/>
                <w:szCs w:val="22"/>
              </w:rPr>
              <w:t>could</w:t>
            </w:r>
            <w:r w:rsidRPr="00305638">
              <w:rPr>
                <w:rFonts w:ascii="Calibri" w:hAnsi="Calibri" w:cs="Calibri"/>
                <w:b/>
                <w:sz w:val="22"/>
                <w:szCs w:val="22"/>
              </w:rPr>
              <w:t xml:space="preserve"> withstand rigorous scrutiny. Simply presuming (without any actual analyses, such as consumer surveys) that every customer thought the same way and every but-for world was one with a uniform AT&amp;T response does not meet a plaintiff’s Rule 23 burdens.</w:t>
            </w:r>
          </w:p>
        </w:tc>
      </w:tr>
      <w:tr w:rsidR="00093B76" w:rsidRPr="00907D75" w14:paraId="1928CF76" w14:textId="77777777" w:rsidTr="00093B76">
        <w:trPr>
          <w:trHeight w:val="4795"/>
        </w:trPr>
        <w:tc>
          <w:tcPr>
            <w:tcW w:w="5805" w:type="dxa"/>
            <w:vAlign w:val="center"/>
          </w:tcPr>
          <w:p w14:paraId="4AEC9070"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Can you summarize the flaws with the TE model?</w:t>
            </w:r>
          </w:p>
        </w:tc>
        <w:tc>
          <w:tcPr>
            <w:tcW w:w="5805" w:type="dxa"/>
            <w:vAlign w:val="center"/>
          </w:tcPr>
          <w:p w14:paraId="706E0721"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The truthfully exclusive model suffers from four main flaws: </w:t>
            </w:r>
          </w:p>
          <w:p w14:paraId="48147326"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(1) it turns </w:t>
            </w:r>
            <w:r>
              <w:rPr>
                <w:rFonts w:ascii="Calibri" w:hAnsi="Calibri" w:cs="Calibri"/>
                <w:b/>
                <w:i/>
                <w:sz w:val="22"/>
                <w:szCs w:val="22"/>
              </w:rPr>
              <w:t>Kodak</w:t>
            </w:r>
            <w:r>
              <w:rPr>
                <w:rFonts w:ascii="Calibri" w:hAnsi="Calibri" w:cs="Calibri"/>
                <w:b/>
                <w:sz w:val="22"/>
                <w:szCs w:val="22"/>
              </w:rPr>
              <w:t xml:space="preserve"> on its head, creating a logical impossibility by basing aftermarket damages on </w:t>
            </w:r>
            <w:proofErr w:type="spellStart"/>
            <w:r>
              <w:rPr>
                <w:rFonts w:ascii="Calibri" w:hAnsi="Calibri" w:cs="Calibri"/>
                <w:b/>
                <w:sz w:val="22"/>
                <w:szCs w:val="22"/>
              </w:rPr>
              <w:t>foremarket</w:t>
            </w:r>
            <w:proofErr w:type="spellEnd"/>
            <w:r>
              <w:rPr>
                <w:rFonts w:ascii="Calibri" w:hAnsi="Calibri" w:cs="Calibri"/>
                <w:b/>
                <w:sz w:val="22"/>
                <w:szCs w:val="22"/>
              </w:rPr>
              <w:t xml:space="preserve"> (iPhone) pricing; </w:t>
            </w:r>
          </w:p>
          <w:p w14:paraId="539263E0"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(2) </w:t>
            </w:r>
            <w:r w:rsidRPr="007A6A4C">
              <w:rPr>
                <w:rFonts w:ascii="Calibri" w:hAnsi="Calibri" w:cs="Calibri"/>
                <w:b/>
                <w:sz w:val="22"/>
                <w:szCs w:val="22"/>
              </w:rPr>
              <w:t xml:space="preserve">there is no basis for </w:t>
            </w:r>
            <w:r>
              <w:rPr>
                <w:rFonts w:ascii="Calibri" w:hAnsi="Calibri" w:cs="Calibri"/>
                <w:b/>
                <w:sz w:val="22"/>
                <w:szCs w:val="22"/>
              </w:rPr>
              <w:t>the TE’s</w:t>
            </w:r>
            <w:r w:rsidRPr="007A6A4C">
              <w:rPr>
                <w:rFonts w:ascii="Calibri" w:hAnsi="Calibri" w:cs="Calibri"/>
                <w:b/>
                <w:sz w:val="22"/>
                <w:szCs w:val="22"/>
              </w:rPr>
              <w:t xml:space="preserve"> predictions that (a) iPhone prices were too high or (b) AT&amp;T service prices were anything but normal</w:t>
            </w:r>
            <w:r>
              <w:rPr>
                <w:rFonts w:ascii="Calibri" w:hAnsi="Calibri" w:cs="Calibri"/>
                <w:b/>
                <w:sz w:val="22"/>
                <w:szCs w:val="22"/>
              </w:rPr>
              <w:t xml:space="preserve">; </w:t>
            </w:r>
          </w:p>
          <w:p w14:paraId="320E77DF"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(3) </w:t>
            </w:r>
            <w:r w:rsidRPr="006F0500">
              <w:rPr>
                <w:rFonts w:ascii="Calibri" w:hAnsi="Calibri" w:cs="Calibri"/>
                <w:b/>
                <w:sz w:val="22"/>
                <w:szCs w:val="22"/>
              </w:rPr>
              <w:t>the TE theory</w:t>
            </w:r>
            <w:r>
              <w:rPr>
                <w:rFonts w:ascii="Calibri" w:hAnsi="Calibri" w:cs="Calibri"/>
                <w:b/>
                <w:sz w:val="22"/>
                <w:szCs w:val="22"/>
              </w:rPr>
              <w:t xml:space="preserve"> was used in </w:t>
            </w:r>
            <w:r w:rsidRPr="006F0500">
              <w:rPr>
                <w:rFonts w:ascii="Calibri" w:hAnsi="Calibri" w:cs="Calibri"/>
                <w:b/>
                <w:i/>
                <w:sz w:val="22"/>
                <w:szCs w:val="22"/>
              </w:rPr>
              <w:t>iPhone I</w:t>
            </w:r>
            <w:r w:rsidRPr="006F0500">
              <w:rPr>
                <w:rFonts w:ascii="Calibri" w:hAnsi="Calibri" w:cs="Calibri"/>
                <w:b/>
                <w:sz w:val="22"/>
                <w:szCs w:val="22"/>
              </w:rPr>
              <w:t xml:space="preserve">, </w:t>
            </w:r>
            <w:r>
              <w:rPr>
                <w:rFonts w:ascii="Calibri" w:hAnsi="Calibri" w:cs="Calibri"/>
                <w:b/>
                <w:sz w:val="22"/>
                <w:szCs w:val="22"/>
              </w:rPr>
              <w:t>to build</w:t>
            </w:r>
            <w:r w:rsidRPr="006F0500">
              <w:rPr>
                <w:rFonts w:ascii="Calibri" w:hAnsi="Calibri" w:cs="Calibri"/>
                <w:b/>
                <w:sz w:val="22"/>
                <w:szCs w:val="22"/>
              </w:rPr>
              <w:t xml:space="preserve"> an injury theory around the revenue-sharing provisions of the DRSA</w:t>
            </w:r>
            <w:r>
              <w:rPr>
                <w:rFonts w:ascii="Calibri" w:hAnsi="Calibri" w:cs="Calibri"/>
                <w:b/>
                <w:sz w:val="22"/>
                <w:szCs w:val="22"/>
              </w:rPr>
              <w:t>, b</w:t>
            </w:r>
            <w:r w:rsidRPr="006F0500">
              <w:rPr>
                <w:rFonts w:ascii="Calibri" w:hAnsi="Calibri" w:cs="Calibri"/>
                <w:b/>
                <w:sz w:val="22"/>
                <w:szCs w:val="22"/>
              </w:rPr>
              <w:t>ut</w:t>
            </w:r>
            <w:r>
              <w:rPr>
                <w:rFonts w:ascii="Calibri" w:hAnsi="Calibri" w:cs="Calibri"/>
                <w:b/>
                <w:sz w:val="22"/>
                <w:szCs w:val="22"/>
              </w:rPr>
              <w:t xml:space="preserve"> that is inapplicable here because</w:t>
            </w:r>
            <w:r w:rsidRPr="006F0500">
              <w:rPr>
                <w:rFonts w:ascii="Calibri" w:hAnsi="Calibri" w:cs="Calibri"/>
                <w:b/>
                <w:sz w:val="22"/>
                <w:szCs w:val="22"/>
              </w:rPr>
              <w:t xml:space="preserve"> every iPhone sold during </w:t>
            </w:r>
            <w:r>
              <w:rPr>
                <w:rFonts w:ascii="Calibri" w:hAnsi="Calibri" w:cs="Calibri"/>
                <w:b/>
                <w:sz w:val="22"/>
                <w:szCs w:val="22"/>
              </w:rPr>
              <w:t xml:space="preserve">our </w:t>
            </w:r>
            <w:r w:rsidRPr="006F0500">
              <w:rPr>
                <w:rFonts w:ascii="Calibri" w:hAnsi="Calibri" w:cs="Calibri"/>
                <w:b/>
                <w:sz w:val="22"/>
                <w:szCs w:val="22"/>
              </w:rPr>
              <w:t>class period was no longer subject to Apple and AT&amp;T’s revenue-sharing provision</w:t>
            </w:r>
            <w:r>
              <w:rPr>
                <w:rFonts w:ascii="Calibri" w:hAnsi="Calibri" w:cs="Calibri"/>
                <w:b/>
                <w:sz w:val="22"/>
                <w:szCs w:val="22"/>
              </w:rPr>
              <w:t xml:space="preserve">; and </w:t>
            </w:r>
          </w:p>
          <w:p w14:paraId="70196446" w14:textId="77777777" w:rsidR="00093B76" w:rsidRPr="007A6A4C" w:rsidRDefault="00093B76" w:rsidP="002A24E8">
            <w:pPr>
              <w:pStyle w:val="O-BodyText"/>
              <w:rPr>
                <w:rFonts w:ascii="Calibri" w:hAnsi="Calibri" w:cs="Calibri"/>
                <w:b/>
                <w:sz w:val="22"/>
                <w:szCs w:val="22"/>
              </w:rPr>
            </w:pPr>
            <w:r>
              <w:rPr>
                <w:rFonts w:ascii="Calibri" w:hAnsi="Calibri" w:cs="Calibri"/>
                <w:b/>
                <w:sz w:val="22"/>
                <w:szCs w:val="22"/>
              </w:rPr>
              <w:t xml:space="preserve">(4) </w:t>
            </w:r>
            <w:r w:rsidRPr="00F0745C">
              <w:rPr>
                <w:rFonts w:ascii="Calibri" w:hAnsi="Calibri" w:cs="Calibri"/>
                <w:b/>
                <w:sz w:val="22"/>
                <w:szCs w:val="22"/>
              </w:rPr>
              <w:t>the</w:t>
            </w:r>
            <w:r>
              <w:rPr>
                <w:rFonts w:ascii="Calibri" w:hAnsi="Calibri" w:cs="Calibri"/>
                <w:b/>
                <w:sz w:val="22"/>
                <w:szCs w:val="22"/>
              </w:rPr>
              <w:t xml:space="preserve"> TE</w:t>
            </w:r>
            <w:r w:rsidRPr="00F0745C">
              <w:rPr>
                <w:rFonts w:ascii="Calibri" w:hAnsi="Calibri" w:cs="Calibri"/>
                <w:b/>
                <w:sz w:val="22"/>
                <w:szCs w:val="22"/>
              </w:rPr>
              <w:t xml:space="preserve"> theory does not control for the variables necessary to establish that the allegedly inadequate disclosures regarding exclusivity and unlocking</w:t>
            </w:r>
            <w:r>
              <w:rPr>
                <w:rFonts w:ascii="Calibri" w:hAnsi="Calibri" w:cs="Calibri"/>
                <w:b/>
                <w:sz w:val="22"/>
                <w:szCs w:val="22"/>
              </w:rPr>
              <w:t>,</w:t>
            </w:r>
            <w:r w:rsidRPr="00F0745C">
              <w:rPr>
                <w:rFonts w:ascii="Calibri" w:hAnsi="Calibri" w:cs="Calibri"/>
                <w:b/>
                <w:sz w:val="22"/>
                <w:szCs w:val="22"/>
              </w:rPr>
              <w:t xml:space="preserve"> yielded a </w:t>
            </w:r>
            <w:proofErr w:type="spellStart"/>
            <w:r w:rsidRPr="00F0745C">
              <w:rPr>
                <w:rFonts w:ascii="Calibri" w:hAnsi="Calibri" w:cs="Calibri"/>
                <w:b/>
                <w:sz w:val="22"/>
                <w:szCs w:val="22"/>
              </w:rPr>
              <w:t>marketwide</w:t>
            </w:r>
            <w:proofErr w:type="spellEnd"/>
            <w:r w:rsidRPr="00F0745C">
              <w:rPr>
                <w:rFonts w:ascii="Calibri" w:hAnsi="Calibri" w:cs="Calibri"/>
                <w:b/>
                <w:sz w:val="22"/>
                <w:szCs w:val="22"/>
              </w:rPr>
              <w:t xml:space="preserve"> effect in the form of universally inflated iPhone prices</w:t>
            </w:r>
            <w:r>
              <w:rPr>
                <w:rFonts w:ascii="Calibri" w:hAnsi="Calibri" w:cs="Calibri"/>
                <w:b/>
                <w:sz w:val="22"/>
                <w:szCs w:val="22"/>
              </w:rPr>
              <w:t>.</w:t>
            </w:r>
          </w:p>
        </w:tc>
      </w:tr>
      <w:tr w:rsidR="00093B76" w:rsidRPr="00907D75" w14:paraId="152DA1AB" w14:textId="77777777" w:rsidTr="00093B76">
        <w:trPr>
          <w:trHeight w:val="4795"/>
        </w:trPr>
        <w:tc>
          <w:tcPr>
            <w:tcW w:w="5805" w:type="dxa"/>
            <w:vAlign w:val="center"/>
          </w:tcPr>
          <w:p w14:paraId="4DABA96C"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Could you explain why the TE theory does not comport with the Supreme Court’s </w:t>
            </w:r>
            <w:r w:rsidRPr="007A6A4C">
              <w:rPr>
                <w:rFonts w:ascii="Calibri" w:hAnsi="Calibri" w:cs="Calibri"/>
                <w:b/>
                <w:i/>
                <w:sz w:val="28"/>
                <w:szCs w:val="28"/>
              </w:rPr>
              <w:t>Kodak</w:t>
            </w:r>
            <w:r>
              <w:rPr>
                <w:rFonts w:ascii="Calibri" w:hAnsi="Calibri" w:cs="Calibri"/>
                <w:b/>
                <w:sz w:val="28"/>
                <w:szCs w:val="28"/>
              </w:rPr>
              <w:t xml:space="preserve"> decision?</w:t>
            </w:r>
          </w:p>
        </w:tc>
        <w:tc>
          <w:tcPr>
            <w:tcW w:w="5805" w:type="dxa"/>
            <w:vAlign w:val="center"/>
          </w:tcPr>
          <w:p w14:paraId="4D8F7FFB" w14:textId="77777777" w:rsidR="00093B76" w:rsidRPr="00305638" w:rsidRDefault="00093B76" w:rsidP="002A24E8">
            <w:pPr>
              <w:pStyle w:val="O-BodyText"/>
              <w:rPr>
                <w:rFonts w:ascii="Calibri" w:hAnsi="Calibri" w:cs="Calibri"/>
                <w:b/>
                <w:sz w:val="22"/>
                <w:szCs w:val="22"/>
              </w:rPr>
            </w:pPr>
            <w:r>
              <w:rPr>
                <w:rFonts w:ascii="Calibri" w:hAnsi="Calibri" w:cs="Calibri"/>
                <w:b/>
                <w:sz w:val="22"/>
                <w:szCs w:val="22"/>
              </w:rPr>
              <w:t>The truthfully exclusive</w:t>
            </w:r>
            <w:r w:rsidRPr="007A6A4C">
              <w:rPr>
                <w:rFonts w:ascii="Calibri" w:hAnsi="Calibri" w:cs="Calibri"/>
                <w:b/>
                <w:sz w:val="22"/>
                <w:szCs w:val="22"/>
              </w:rPr>
              <w:t xml:space="preserve"> </w:t>
            </w:r>
            <w:r>
              <w:rPr>
                <w:rFonts w:ascii="Calibri" w:hAnsi="Calibri" w:cs="Calibri"/>
                <w:b/>
                <w:sz w:val="22"/>
                <w:szCs w:val="22"/>
              </w:rPr>
              <w:t>“</w:t>
            </w:r>
            <w:r w:rsidRPr="007A6A4C">
              <w:rPr>
                <w:rFonts w:ascii="Calibri" w:hAnsi="Calibri" w:cs="Calibri"/>
                <w:b/>
                <w:sz w:val="22"/>
                <w:szCs w:val="22"/>
              </w:rPr>
              <w:t>TE</w:t>
            </w:r>
            <w:r>
              <w:rPr>
                <w:rFonts w:ascii="Calibri" w:hAnsi="Calibri" w:cs="Calibri"/>
                <w:b/>
                <w:sz w:val="22"/>
                <w:szCs w:val="22"/>
              </w:rPr>
              <w:t>”</w:t>
            </w:r>
            <w:r w:rsidRPr="007A6A4C">
              <w:rPr>
                <w:rFonts w:ascii="Calibri" w:hAnsi="Calibri" w:cs="Calibri"/>
                <w:b/>
                <w:sz w:val="22"/>
                <w:szCs w:val="22"/>
              </w:rPr>
              <w:t xml:space="preserve"> theory turns </w:t>
            </w:r>
            <w:r w:rsidRPr="007A6A4C">
              <w:rPr>
                <w:rFonts w:ascii="Calibri" w:hAnsi="Calibri" w:cs="Calibri"/>
                <w:b/>
                <w:i/>
                <w:sz w:val="22"/>
                <w:szCs w:val="22"/>
              </w:rPr>
              <w:t>Kodak</w:t>
            </w:r>
            <w:r w:rsidRPr="007A6A4C">
              <w:rPr>
                <w:rFonts w:ascii="Calibri" w:hAnsi="Calibri" w:cs="Calibri"/>
                <w:b/>
                <w:sz w:val="22"/>
                <w:szCs w:val="22"/>
              </w:rPr>
              <w:t xml:space="preserve"> upside-down. The justification for an aftermarket as a distinct “relevant market” is that a second, aftermarket purchase might become economically disconnected from the first purchase (in the “</w:t>
            </w:r>
            <w:proofErr w:type="spellStart"/>
            <w:r w:rsidRPr="007A6A4C">
              <w:rPr>
                <w:rFonts w:ascii="Calibri" w:hAnsi="Calibri" w:cs="Calibri"/>
                <w:b/>
                <w:sz w:val="22"/>
                <w:szCs w:val="22"/>
              </w:rPr>
              <w:t>foremarket</w:t>
            </w:r>
            <w:proofErr w:type="spellEnd"/>
            <w:r w:rsidRPr="007A6A4C">
              <w:rPr>
                <w:rFonts w:ascii="Calibri" w:hAnsi="Calibri" w:cs="Calibri"/>
                <w:b/>
                <w:sz w:val="22"/>
                <w:szCs w:val="22"/>
              </w:rPr>
              <w:t xml:space="preserve">”) of a primary product. The doctrine presumes that the first purchase (here, the iPhone), because it takes place in a competitive market, is at a competitive price. The injury question is therefore whether the second purchase was at a monopolistic price (thereby raising systems prices as well). It is logically impossible to base aftermarket damages on </w:t>
            </w:r>
            <w:proofErr w:type="spellStart"/>
            <w:r w:rsidRPr="007A6A4C">
              <w:rPr>
                <w:rFonts w:ascii="Calibri" w:hAnsi="Calibri" w:cs="Calibri"/>
                <w:b/>
                <w:sz w:val="22"/>
                <w:szCs w:val="22"/>
              </w:rPr>
              <w:t>foremarket</w:t>
            </w:r>
            <w:proofErr w:type="spellEnd"/>
            <w:r w:rsidRPr="007A6A4C">
              <w:rPr>
                <w:rFonts w:ascii="Calibri" w:hAnsi="Calibri" w:cs="Calibri"/>
                <w:b/>
                <w:sz w:val="22"/>
                <w:szCs w:val="22"/>
              </w:rPr>
              <w:t xml:space="preserve"> (iPhone) pricing, because under </w:t>
            </w:r>
            <w:r w:rsidRPr="007A6A4C">
              <w:rPr>
                <w:rFonts w:ascii="Calibri" w:hAnsi="Calibri" w:cs="Calibri"/>
                <w:b/>
                <w:i/>
                <w:sz w:val="22"/>
                <w:szCs w:val="22"/>
              </w:rPr>
              <w:t>Kodak</w:t>
            </w:r>
            <w:r w:rsidRPr="007A6A4C">
              <w:rPr>
                <w:rFonts w:ascii="Calibri" w:hAnsi="Calibri" w:cs="Calibri"/>
                <w:b/>
                <w:sz w:val="22"/>
                <w:szCs w:val="22"/>
              </w:rPr>
              <w:t xml:space="preserve"> itself the degree of interdependence (or cross-elasticity) between iPhone and service pricing that the TE theory presumes defeats the aftermarket claim.</w:t>
            </w:r>
          </w:p>
        </w:tc>
      </w:tr>
      <w:tr w:rsidR="00093B76" w:rsidRPr="00907D75" w14:paraId="6BBFE266" w14:textId="77777777" w:rsidTr="00093B76">
        <w:trPr>
          <w:trHeight w:val="4795"/>
        </w:trPr>
        <w:tc>
          <w:tcPr>
            <w:tcW w:w="5805" w:type="dxa"/>
            <w:vAlign w:val="center"/>
          </w:tcPr>
          <w:p w14:paraId="129FDCAA"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What evidence do you have that </w:t>
            </w:r>
            <w:r w:rsidRPr="007A6A4C">
              <w:rPr>
                <w:rFonts w:ascii="Calibri" w:hAnsi="Calibri" w:cs="Calibri"/>
                <w:b/>
                <w:sz w:val="28"/>
                <w:szCs w:val="28"/>
              </w:rPr>
              <w:t xml:space="preserve">there is no basis for </w:t>
            </w:r>
            <w:r>
              <w:rPr>
                <w:rFonts w:ascii="Calibri" w:hAnsi="Calibri" w:cs="Calibri"/>
                <w:b/>
                <w:sz w:val="28"/>
                <w:szCs w:val="28"/>
              </w:rPr>
              <w:t>the TE</w:t>
            </w:r>
            <w:r w:rsidRPr="007A6A4C">
              <w:rPr>
                <w:rFonts w:ascii="Calibri" w:hAnsi="Calibri" w:cs="Calibri"/>
                <w:b/>
                <w:sz w:val="28"/>
                <w:szCs w:val="28"/>
              </w:rPr>
              <w:t xml:space="preserve"> predictions that (a) iPhone prices were too high or (b) AT&amp;T service prices were anything but normal</w:t>
            </w:r>
            <w:r>
              <w:rPr>
                <w:rFonts w:ascii="Calibri" w:hAnsi="Calibri" w:cs="Calibri"/>
                <w:b/>
                <w:sz w:val="28"/>
                <w:szCs w:val="28"/>
              </w:rPr>
              <w:t>?</w:t>
            </w:r>
          </w:p>
        </w:tc>
        <w:tc>
          <w:tcPr>
            <w:tcW w:w="5805" w:type="dxa"/>
            <w:vAlign w:val="center"/>
          </w:tcPr>
          <w:p w14:paraId="19E11A6F" w14:textId="77777777" w:rsidR="00093B76" w:rsidRPr="00305638" w:rsidRDefault="00093B76" w:rsidP="002A24E8">
            <w:pPr>
              <w:pStyle w:val="O-BodyText"/>
              <w:rPr>
                <w:rFonts w:ascii="Calibri" w:hAnsi="Calibri" w:cs="Calibri"/>
                <w:b/>
                <w:sz w:val="22"/>
                <w:szCs w:val="22"/>
              </w:rPr>
            </w:pPr>
            <w:r>
              <w:rPr>
                <w:rFonts w:ascii="Calibri" w:hAnsi="Calibri" w:cs="Calibri"/>
                <w:b/>
                <w:sz w:val="22"/>
                <w:szCs w:val="22"/>
              </w:rPr>
              <w:t xml:space="preserve">Uncontested </w:t>
            </w:r>
            <w:r w:rsidRPr="007A6A4C">
              <w:rPr>
                <w:rFonts w:ascii="Calibri" w:hAnsi="Calibri" w:cs="Calibri"/>
                <w:b/>
                <w:sz w:val="22"/>
                <w:szCs w:val="22"/>
              </w:rPr>
              <w:t xml:space="preserve">evidence shows that iPhone prices remained constant—throughout the class period and after the end of exclusivity—and that iPhone prices were the same as various other smartphones offered by AT&amp;T. Likewise, there is no evidentiary basis for the theory’s assumption that AT&amp;T’s renewal service prices were in fact monopolistic. AT&amp;T was prohibited contractually from charging iPhone </w:t>
            </w:r>
            <w:proofErr w:type="gramStart"/>
            <w:r w:rsidRPr="007A6A4C">
              <w:rPr>
                <w:rFonts w:ascii="Calibri" w:hAnsi="Calibri" w:cs="Calibri"/>
                <w:b/>
                <w:sz w:val="22"/>
                <w:szCs w:val="22"/>
              </w:rPr>
              <w:t>users</w:t>
            </w:r>
            <w:proofErr w:type="gramEnd"/>
            <w:r w:rsidRPr="007A6A4C">
              <w:rPr>
                <w:rFonts w:ascii="Calibri" w:hAnsi="Calibri" w:cs="Calibri"/>
                <w:b/>
                <w:sz w:val="22"/>
                <w:szCs w:val="22"/>
              </w:rPr>
              <w:t xml:space="preserve"> prices greater than those offered to other handset customers. And AT&amp;T’s renewal service pricing did not differ from service prices during the initial</w:t>
            </w:r>
            <w:r>
              <w:rPr>
                <w:rFonts w:ascii="Calibri" w:hAnsi="Calibri" w:cs="Calibri"/>
                <w:b/>
                <w:sz w:val="22"/>
                <w:szCs w:val="22"/>
              </w:rPr>
              <w:t xml:space="preserve"> </w:t>
            </w:r>
            <w:r w:rsidRPr="007A6A4C">
              <w:rPr>
                <w:rFonts w:ascii="Calibri" w:hAnsi="Calibri" w:cs="Calibri"/>
                <w:b/>
                <w:sz w:val="22"/>
                <w:szCs w:val="22"/>
              </w:rPr>
              <w:t>two</w:t>
            </w:r>
            <w:r>
              <w:rPr>
                <w:rFonts w:ascii="Calibri" w:hAnsi="Calibri" w:cs="Calibri"/>
                <w:b/>
                <w:sz w:val="22"/>
                <w:szCs w:val="22"/>
              </w:rPr>
              <w:t>-</w:t>
            </w:r>
            <w:r w:rsidRPr="007A6A4C">
              <w:rPr>
                <w:rFonts w:ascii="Calibri" w:hAnsi="Calibri" w:cs="Calibri"/>
                <w:b/>
                <w:sz w:val="22"/>
                <w:szCs w:val="22"/>
              </w:rPr>
              <w:t xml:space="preserve">year contract period— prices which were constrained by the vigorous competition AT&amp;T faced from other carriers. </w:t>
            </w:r>
            <w:r>
              <w:rPr>
                <w:rFonts w:ascii="Calibri" w:hAnsi="Calibri" w:cs="Calibri"/>
                <w:b/>
                <w:sz w:val="22"/>
                <w:szCs w:val="22"/>
              </w:rPr>
              <w:t xml:space="preserve">But the TE theory deals with none of this evidence and assumes without any evidence that AT&amp;T’s </w:t>
            </w:r>
            <w:r w:rsidRPr="007A6A4C">
              <w:rPr>
                <w:rFonts w:ascii="Calibri" w:hAnsi="Calibri" w:cs="Calibri"/>
                <w:b/>
                <w:sz w:val="22"/>
                <w:szCs w:val="22"/>
              </w:rPr>
              <w:t xml:space="preserve">exact same prices for renewal service suddenly became </w:t>
            </w:r>
            <w:proofErr w:type="spellStart"/>
            <w:r w:rsidRPr="007A6A4C">
              <w:rPr>
                <w:rFonts w:ascii="Calibri" w:hAnsi="Calibri" w:cs="Calibri"/>
                <w:b/>
                <w:sz w:val="22"/>
                <w:szCs w:val="22"/>
              </w:rPr>
              <w:t>supracompetitive</w:t>
            </w:r>
            <w:proofErr w:type="spellEnd"/>
            <w:r w:rsidRPr="007A6A4C">
              <w:rPr>
                <w:rFonts w:ascii="Calibri" w:hAnsi="Calibri" w:cs="Calibri"/>
                <w:b/>
                <w:sz w:val="22"/>
                <w:szCs w:val="22"/>
              </w:rPr>
              <w:t>.</w:t>
            </w:r>
          </w:p>
        </w:tc>
      </w:tr>
      <w:tr w:rsidR="00093B76" w:rsidRPr="00907D75" w14:paraId="21D16275" w14:textId="77777777" w:rsidTr="00093B76">
        <w:trPr>
          <w:trHeight w:val="4795"/>
        </w:trPr>
        <w:tc>
          <w:tcPr>
            <w:tcW w:w="5805" w:type="dxa"/>
            <w:vAlign w:val="center"/>
          </w:tcPr>
          <w:p w14:paraId="3B5D473C" w14:textId="77777777" w:rsidR="00093B76" w:rsidRPr="006F0500"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Shouldn’t it be helpful to use a model that has already been vetted and used in </w:t>
            </w:r>
            <w:r>
              <w:rPr>
                <w:rFonts w:ascii="Calibri" w:hAnsi="Calibri" w:cs="Calibri"/>
                <w:b/>
                <w:i/>
                <w:sz w:val="28"/>
                <w:szCs w:val="28"/>
              </w:rPr>
              <w:t>iPhone I</w:t>
            </w:r>
            <w:r>
              <w:rPr>
                <w:rFonts w:ascii="Calibri" w:hAnsi="Calibri" w:cs="Calibri"/>
                <w:b/>
                <w:sz w:val="28"/>
                <w:szCs w:val="28"/>
              </w:rPr>
              <w:t>? You seem to argue that it’s a strike against the TE theory that it was used in that case.</w:t>
            </w:r>
          </w:p>
        </w:tc>
        <w:tc>
          <w:tcPr>
            <w:tcW w:w="5805" w:type="dxa"/>
            <w:vAlign w:val="center"/>
          </w:tcPr>
          <w:p w14:paraId="04829D18" w14:textId="77777777" w:rsidR="00093B76" w:rsidRDefault="00093B76" w:rsidP="002A24E8">
            <w:pPr>
              <w:pStyle w:val="O-BodyText"/>
              <w:rPr>
                <w:rFonts w:ascii="Calibri" w:hAnsi="Calibri" w:cs="Calibri"/>
                <w:b/>
                <w:sz w:val="22"/>
                <w:szCs w:val="22"/>
              </w:rPr>
            </w:pPr>
            <w:r>
              <w:rPr>
                <w:rFonts w:ascii="Calibri" w:hAnsi="Calibri" w:cs="Calibri"/>
                <w:b/>
                <w:sz w:val="22"/>
                <w:szCs w:val="22"/>
              </w:rPr>
              <w:t>In</w:t>
            </w:r>
            <w:r w:rsidRPr="006F0500">
              <w:rPr>
                <w:rFonts w:ascii="Calibri" w:hAnsi="Calibri" w:cs="Calibri"/>
                <w:b/>
                <w:sz w:val="22"/>
                <w:szCs w:val="22"/>
              </w:rPr>
              <w:t xml:space="preserve"> iPhone I</w:t>
            </w:r>
            <w:r>
              <w:rPr>
                <w:rFonts w:ascii="Calibri" w:hAnsi="Calibri" w:cs="Calibri"/>
                <w:b/>
                <w:sz w:val="22"/>
                <w:szCs w:val="22"/>
              </w:rPr>
              <w:t xml:space="preserve"> the same TE theory that plaintiffs are trying to advance here </w:t>
            </w:r>
            <w:r w:rsidRPr="006F0500">
              <w:rPr>
                <w:rFonts w:ascii="Calibri" w:hAnsi="Calibri" w:cs="Calibri"/>
                <w:b/>
                <w:sz w:val="22"/>
                <w:szCs w:val="22"/>
              </w:rPr>
              <w:t>attacked and built an injury theory around the revenue-sharing provisions of the DRSA, which supposedly allowed Apple to share in AT&amp;T’s monopoly service pricing. But every iPhone sold during the class period in this case was no longer subject to Apple and AT&amp;T’s revenue-sharing provision. Absent revenue sharing, Apple could not have “extract[ed] the full economic rents from the iPhone, ... leaving AT&amp;T to earn only normal economic profits despite its monopoly over ... [renewal] service.” The TE theory nevertheless assumes that Apple did.</w:t>
            </w:r>
          </w:p>
        </w:tc>
      </w:tr>
      <w:tr w:rsidR="00093B76" w:rsidRPr="00907D75" w14:paraId="61CC699D" w14:textId="77777777" w:rsidTr="00093B76">
        <w:trPr>
          <w:trHeight w:val="4795"/>
        </w:trPr>
        <w:tc>
          <w:tcPr>
            <w:tcW w:w="5805" w:type="dxa"/>
            <w:vAlign w:val="center"/>
          </w:tcPr>
          <w:p w14:paraId="78BAF9F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In what ways did the TE theory not control for variables that would show a </w:t>
            </w:r>
            <w:proofErr w:type="spellStart"/>
            <w:r>
              <w:rPr>
                <w:rFonts w:ascii="Calibri" w:hAnsi="Calibri" w:cs="Calibri"/>
                <w:b/>
                <w:sz w:val="28"/>
                <w:szCs w:val="28"/>
              </w:rPr>
              <w:t>marketwide</w:t>
            </w:r>
            <w:proofErr w:type="spellEnd"/>
            <w:r>
              <w:rPr>
                <w:rFonts w:ascii="Calibri" w:hAnsi="Calibri" w:cs="Calibri"/>
                <w:b/>
                <w:sz w:val="28"/>
                <w:szCs w:val="28"/>
              </w:rPr>
              <w:t xml:space="preserve"> effect of universally inflated iPhone prices?</w:t>
            </w:r>
          </w:p>
        </w:tc>
        <w:tc>
          <w:tcPr>
            <w:tcW w:w="5805" w:type="dxa"/>
            <w:vAlign w:val="center"/>
          </w:tcPr>
          <w:p w14:paraId="381391C8" w14:textId="77777777" w:rsidR="00093B76" w:rsidRDefault="00093B76" w:rsidP="002A24E8">
            <w:pPr>
              <w:pStyle w:val="O-BodyText"/>
              <w:rPr>
                <w:rFonts w:ascii="Calibri" w:hAnsi="Calibri" w:cs="Calibri"/>
                <w:b/>
                <w:sz w:val="22"/>
                <w:szCs w:val="22"/>
              </w:rPr>
            </w:pPr>
            <w:r w:rsidRPr="00F0745C">
              <w:rPr>
                <w:rFonts w:ascii="Calibri" w:hAnsi="Calibri" w:cs="Calibri"/>
                <w:b/>
                <w:sz w:val="22"/>
                <w:szCs w:val="22"/>
              </w:rPr>
              <w:t xml:space="preserve">As Dr. Katz explains, Dr. Warren-Boulton </w:t>
            </w:r>
            <w:r>
              <w:rPr>
                <w:rFonts w:ascii="Calibri" w:hAnsi="Calibri" w:cs="Calibri"/>
                <w:b/>
                <w:sz w:val="22"/>
                <w:szCs w:val="22"/>
              </w:rPr>
              <w:t>failed</w:t>
            </w:r>
            <w:r w:rsidRPr="00F0745C">
              <w:rPr>
                <w:rFonts w:ascii="Calibri" w:hAnsi="Calibri" w:cs="Calibri"/>
                <w:b/>
                <w:sz w:val="22"/>
                <w:szCs w:val="22"/>
              </w:rPr>
              <w:t xml:space="preserve"> to consider the valuations of the marginal consumer, which matter in predicting whether iPhone prices would have been higher or lower in the truthfully-exclusive but-for world. The theory also fails to account for innumerable differences in the individual knowledge that would naturally occur among class members. There is nothing to explain whether customers would have demanded a cheaper iPhone if they understood the extent of AT&amp;T’s exclusivity, much less whether enough customers would have cared to affect Apple’s iPhone pricing decisions.  And there is nothing to account for the individual differences in knowledge and expectations regarding unlocking, and how (if at all) those variations would have affected consumer demand with respect to AT&amp;T’s service prices. Nor is there any consideration of the inevitable variations across how individuals value iPhone service. And there is not anything to account for Apple and AT&amp;T’s consistent disclosures, which informed consumers that the iPhone would not be unlocked after the initial two-year contract expired.</w:t>
            </w:r>
          </w:p>
        </w:tc>
      </w:tr>
      <w:tr w:rsidR="00093B76" w:rsidRPr="00907D75" w14:paraId="496875F3" w14:textId="77777777" w:rsidTr="00093B76">
        <w:trPr>
          <w:trHeight w:val="4795"/>
        </w:trPr>
        <w:tc>
          <w:tcPr>
            <w:tcW w:w="5805" w:type="dxa"/>
            <w:vAlign w:val="center"/>
          </w:tcPr>
          <w:p w14:paraId="79FCA292"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plaintiffs do to solve these individualized issues of knowledge and disclosures?</w:t>
            </w:r>
          </w:p>
        </w:tc>
        <w:tc>
          <w:tcPr>
            <w:tcW w:w="5805" w:type="dxa"/>
            <w:vAlign w:val="center"/>
          </w:tcPr>
          <w:p w14:paraId="6BF5A283" w14:textId="77777777" w:rsidR="00093B76" w:rsidRPr="00F0745C" w:rsidRDefault="00093B76" w:rsidP="002A24E8">
            <w:pPr>
              <w:pStyle w:val="O-BodyText"/>
              <w:rPr>
                <w:rFonts w:ascii="Calibri" w:hAnsi="Calibri" w:cs="Calibri"/>
                <w:b/>
                <w:sz w:val="22"/>
                <w:szCs w:val="22"/>
              </w:rPr>
            </w:pPr>
            <w:r>
              <w:rPr>
                <w:rFonts w:ascii="Calibri" w:hAnsi="Calibri" w:cs="Calibri"/>
                <w:b/>
                <w:sz w:val="22"/>
                <w:szCs w:val="22"/>
              </w:rPr>
              <w:t xml:space="preserve">Nothing. Rather than attempting to </w:t>
            </w:r>
            <w:r w:rsidRPr="00F0745C">
              <w:rPr>
                <w:rFonts w:ascii="Calibri" w:hAnsi="Calibri" w:cs="Calibri"/>
                <w:b/>
                <w:sz w:val="22"/>
                <w:szCs w:val="22"/>
              </w:rPr>
              <w:t xml:space="preserve">solve for these issues, the </w:t>
            </w:r>
            <w:r>
              <w:rPr>
                <w:rFonts w:ascii="Calibri" w:hAnsi="Calibri" w:cs="Calibri"/>
                <w:b/>
                <w:sz w:val="22"/>
                <w:szCs w:val="22"/>
              </w:rPr>
              <w:t>plaintiffs’ TE theory</w:t>
            </w:r>
            <w:r w:rsidRPr="00F0745C">
              <w:rPr>
                <w:rFonts w:ascii="Calibri" w:hAnsi="Calibri" w:cs="Calibri"/>
                <w:b/>
                <w:sz w:val="22"/>
                <w:szCs w:val="22"/>
              </w:rPr>
              <w:t xml:space="preserve"> ignores them altogether and merely assumes impact common the class.</w:t>
            </w:r>
          </w:p>
        </w:tc>
      </w:tr>
      <w:tr w:rsidR="00093B76" w:rsidRPr="00907D75" w14:paraId="5F4538A3" w14:textId="77777777" w:rsidTr="00093B76">
        <w:trPr>
          <w:trHeight w:val="4795"/>
        </w:trPr>
        <w:tc>
          <w:tcPr>
            <w:tcW w:w="5805" w:type="dxa"/>
            <w:vAlign w:val="center"/>
          </w:tcPr>
          <w:p w14:paraId="4781B695"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What is your understanding of plaintiffs’ expert’s second truthfully non-exclusive theory?</w:t>
            </w:r>
          </w:p>
        </w:tc>
        <w:tc>
          <w:tcPr>
            <w:tcW w:w="5805" w:type="dxa"/>
            <w:vAlign w:val="center"/>
          </w:tcPr>
          <w:p w14:paraId="56463AA9" w14:textId="77777777" w:rsidR="00093B76" w:rsidRDefault="00093B76" w:rsidP="002A24E8">
            <w:pPr>
              <w:pStyle w:val="O-BodyText"/>
              <w:rPr>
                <w:rFonts w:ascii="Calibri" w:hAnsi="Calibri" w:cs="Calibri"/>
                <w:b/>
                <w:sz w:val="22"/>
                <w:szCs w:val="22"/>
              </w:rPr>
            </w:pPr>
            <w:r w:rsidRPr="005F6B30">
              <w:rPr>
                <w:rFonts w:ascii="Calibri" w:hAnsi="Calibri" w:cs="Calibri"/>
                <w:b/>
                <w:sz w:val="22"/>
                <w:szCs w:val="22"/>
              </w:rPr>
              <w:t xml:space="preserve">Under this theory, Dr. Warren-Boulton advances two “alternative” approaches, both borrowed from Dr. </w:t>
            </w:r>
            <w:r>
              <w:rPr>
                <w:rFonts w:ascii="Calibri" w:hAnsi="Calibri" w:cs="Calibri"/>
                <w:b/>
                <w:sz w:val="22"/>
                <w:szCs w:val="22"/>
              </w:rPr>
              <w:t xml:space="preserve">Simon </w:t>
            </w:r>
            <w:proofErr w:type="spellStart"/>
            <w:r w:rsidRPr="005F6B30">
              <w:rPr>
                <w:rFonts w:ascii="Calibri" w:hAnsi="Calibri" w:cs="Calibri"/>
                <w:b/>
                <w:sz w:val="22"/>
                <w:szCs w:val="22"/>
              </w:rPr>
              <w:t>Wilkie</w:t>
            </w:r>
            <w:proofErr w:type="spellEnd"/>
            <w:r>
              <w:rPr>
                <w:rFonts w:ascii="Calibri" w:hAnsi="Calibri" w:cs="Calibri"/>
                <w:b/>
                <w:sz w:val="22"/>
                <w:szCs w:val="22"/>
              </w:rPr>
              <w:t xml:space="preserve">—the plaintiffs’ expert in </w:t>
            </w:r>
            <w:r w:rsidRPr="005F6B30">
              <w:rPr>
                <w:rFonts w:ascii="Calibri" w:hAnsi="Calibri" w:cs="Calibri"/>
                <w:b/>
                <w:i/>
                <w:sz w:val="22"/>
                <w:szCs w:val="22"/>
              </w:rPr>
              <w:t>iPhone I</w:t>
            </w:r>
            <w:r w:rsidRPr="005F6B30">
              <w:rPr>
                <w:rFonts w:ascii="Calibri" w:hAnsi="Calibri" w:cs="Calibri"/>
                <w:b/>
                <w:sz w:val="22"/>
                <w:szCs w:val="22"/>
              </w:rPr>
              <w:t>: (i) a “Benchmark Approach” that assumes AT&amp;T would have lowered its service prices to match T-Mobile’s in the absence of exclusivity; and (ii) a “Real-Option Approach” that assumes that, without exclusivity, a gap would have remained between AT&amp;T’s and T-Mobile’s service prices, constituting the option value of switching carriers for iPhone customers.</w:t>
            </w:r>
          </w:p>
        </w:tc>
      </w:tr>
      <w:tr w:rsidR="00093B76" w:rsidRPr="00907D75" w14:paraId="1826C602" w14:textId="77777777" w:rsidTr="00093B76">
        <w:trPr>
          <w:trHeight w:val="4795"/>
        </w:trPr>
        <w:tc>
          <w:tcPr>
            <w:tcW w:w="5805" w:type="dxa"/>
            <w:vAlign w:val="center"/>
          </w:tcPr>
          <w:p w14:paraId="7D9ABDD9" w14:textId="77777777" w:rsidR="00093B76" w:rsidRPr="00F244D2"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Why is it bad to borrow models from Dr. </w:t>
            </w:r>
            <w:proofErr w:type="spellStart"/>
            <w:r>
              <w:rPr>
                <w:rFonts w:ascii="Calibri" w:hAnsi="Calibri" w:cs="Calibri"/>
                <w:b/>
                <w:sz w:val="28"/>
                <w:szCs w:val="28"/>
              </w:rPr>
              <w:t>Wilkie</w:t>
            </w:r>
            <w:proofErr w:type="spellEnd"/>
            <w:r>
              <w:rPr>
                <w:rFonts w:ascii="Calibri" w:hAnsi="Calibri" w:cs="Calibri"/>
                <w:b/>
                <w:sz w:val="28"/>
                <w:szCs w:val="28"/>
              </w:rPr>
              <w:t xml:space="preserve"> in </w:t>
            </w:r>
            <w:r>
              <w:rPr>
                <w:rFonts w:ascii="Calibri" w:hAnsi="Calibri" w:cs="Calibri"/>
                <w:b/>
                <w:i/>
                <w:sz w:val="28"/>
                <w:szCs w:val="28"/>
              </w:rPr>
              <w:t>iPhone I</w:t>
            </w:r>
            <w:r>
              <w:rPr>
                <w:rFonts w:ascii="Calibri" w:hAnsi="Calibri" w:cs="Calibri"/>
                <w:b/>
                <w:sz w:val="28"/>
                <w:szCs w:val="28"/>
              </w:rPr>
              <w:t>? Wouldn’t they be pertinent here?</w:t>
            </w:r>
          </w:p>
        </w:tc>
        <w:tc>
          <w:tcPr>
            <w:tcW w:w="5805" w:type="dxa"/>
            <w:vAlign w:val="center"/>
          </w:tcPr>
          <w:p w14:paraId="3472189B" w14:textId="77777777" w:rsidR="00093B76" w:rsidRPr="005F6B30" w:rsidRDefault="00093B76" w:rsidP="002A24E8">
            <w:pPr>
              <w:pStyle w:val="O-BodyText"/>
              <w:rPr>
                <w:rFonts w:ascii="Calibri" w:hAnsi="Calibri" w:cs="Calibri"/>
                <w:b/>
                <w:sz w:val="22"/>
                <w:szCs w:val="22"/>
              </w:rPr>
            </w:pPr>
            <w:r>
              <w:rPr>
                <w:rFonts w:ascii="Calibri" w:hAnsi="Calibri" w:cs="Calibri"/>
                <w:b/>
                <w:sz w:val="22"/>
                <w:szCs w:val="22"/>
                <w:highlight w:val="yellow"/>
              </w:rPr>
              <w:t>[Explain</w:t>
            </w:r>
            <w:r w:rsidRPr="00F244D2">
              <w:rPr>
                <w:rFonts w:ascii="Calibri" w:hAnsi="Calibri" w:cs="Calibri"/>
                <w:b/>
                <w:sz w:val="22"/>
                <w:szCs w:val="22"/>
                <w:highlight w:val="yellow"/>
              </w:rPr>
              <w:t>.</w:t>
            </w:r>
            <w:r>
              <w:rPr>
                <w:rFonts w:ascii="Calibri" w:hAnsi="Calibri" w:cs="Calibri"/>
                <w:b/>
                <w:sz w:val="22"/>
                <w:szCs w:val="22"/>
              </w:rPr>
              <w:t>]</w:t>
            </w:r>
          </w:p>
        </w:tc>
      </w:tr>
      <w:tr w:rsidR="00093B76" w:rsidRPr="00907D75" w14:paraId="1B4D37B8" w14:textId="77777777" w:rsidTr="00093B76">
        <w:trPr>
          <w:trHeight w:val="4795"/>
        </w:trPr>
        <w:tc>
          <w:tcPr>
            <w:tcW w:w="5805" w:type="dxa"/>
            <w:vAlign w:val="center"/>
          </w:tcPr>
          <w:p w14:paraId="2286EA15"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Is plaintiffs’ TNE theory better or worse than the TE theory?</w:t>
            </w:r>
          </w:p>
        </w:tc>
        <w:tc>
          <w:tcPr>
            <w:tcW w:w="5805" w:type="dxa"/>
            <w:vAlign w:val="center"/>
          </w:tcPr>
          <w:p w14:paraId="2CCEF9AD" w14:textId="77777777" w:rsidR="00093B76" w:rsidRDefault="00093B76" w:rsidP="002A24E8">
            <w:pPr>
              <w:pStyle w:val="O-BodyText"/>
              <w:rPr>
                <w:rFonts w:ascii="Calibri" w:hAnsi="Calibri" w:cs="Calibri"/>
                <w:b/>
                <w:sz w:val="22"/>
                <w:szCs w:val="22"/>
              </w:rPr>
            </w:pPr>
            <w:r>
              <w:rPr>
                <w:rFonts w:ascii="Calibri" w:hAnsi="Calibri" w:cs="Calibri"/>
                <w:b/>
                <w:sz w:val="22"/>
                <w:szCs w:val="22"/>
              </w:rPr>
              <w:t>The theories are</w:t>
            </w:r>
            <w:r w:rsidRPr="005F6B30">
              <w:rPr>
                <w:rFonts w:ascii="Calibri" w:hAnsi="Calibri" w:cs="Calibri"/>
                <w:b/>
                <w:sz w:val="22"/>
                <w:szCs w:val="22"/>
              </w:rPr>
              <w:t xml:space="preserve"> equally flawed, but for different reasons.</w:t>
            </w:r>
          </w:p>
        </w:tc>
      </w:tr>
      <w:tr w:rsidR="00093B76" w:rsidRPr="00907D75" w14:paraId="78944B4A" w14:textId="77777777" w:rsidTr="00093B76">
        <w:trPr>
          <w:trHeight w:val="4795"/>
        </w:trPr>
        <w:tc>
          <w:tcPr>
            <w:tcW w:w="5805" w:type="dxa"/>
            <w:vAlign w:val="center"/>
          </w:tcPr>
          <w:p w14:paraId="7C5F4776"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does it matter that the two alternative approaches advanced by the TNE theory are incompatible?</w:t>
            </w:r>
          </w:p>
        </w:tc>
        <w:tc>
          <w:tcPr>
            <w:tcW w:w="5805" w:type="dxa"/>
            <w:vAlign w:val="center"/>
          </w:tcPr>
          <w:p w14:paraId="6E456DDB"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These two TNE approaches require opposite assumptions: </w:t>
            </w:r>
            <w:r w:rsidRPr="005F6B30">
              <w:rPr>
                <w:rFonts w:ascii="Calibri" w:hAnsi="Calibri" w:cs="Calibri"/>
                <w:b/>
                <w:sz w:val="22"/>
                <w:szCs w:val="22"/>
              </w:rPr>
              <w:t>the first assumes AT&amp;T would have lowered its service prices; the other does not.</w:t>
            </w:r>
          </w:p>
        </w:tc>
      </w:tr>
      <w:tr w:rsidR="00093B76" w:rsidRPr="00907D75" w14:paraId="4C4A5E15" w14:textId="77777777" w:rsidTr="00093B76">
        <w:trPr>
          <w:trHeight w:val="4795"/>
        </w:trPr>
        <w:tc>
          <w:tcPr>
            <w:tcW w:w="5805" w:type="dxa"/>
            <w:vAlign w:val="center"/>
          </w:tcPr>
          <w:p w14:paraId="6C1942E7"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is the Benchmark approach in the TNE theory unreliable?</w:t>
            </w:r>
          </w:p>
        </w:tc>
        <w:tc>
          <w:tcPr>
            <w:tcW w:w="5805" w:type="dxa"/>
            <w:vAlign w:val="center"/>
          </w:tcPr>
          <w:p w14:paraId="20287CD9" w14:textId="77777777" w:rsidR="00093B76" w:rsidRDefault="00093B76" w:rsidP="002A24E8">
            <w:pPr>
              <w:pStyle w:val="O-BodyText"/>
              <w:rPr>
                <w:rFonts w:ascii="Calibri" w:hAnsi="Calibri" w:cs="Calibri"/>
                <w:b/>
                <w:sz w:val="22"/>
                <w:szCs w:val="22"/>
              </w:rPr>
            </w:pPr>
            <w:r w:rsidRPr="00A4301B">
              <w:rPr>
                <w:rFonts w:ascii="Calibri" w:hAnsi="Calibri" w:cs="Calibri"/>
                <w:b/>
                <w:sz w:val="22"/>
                <w:szCs w:val="22"/>
              </w:rPr>
              <w:t xml:space="preserve">The Benchmark Approach is unreliable for many reasons, but one </w:t>
            </w:r>
            <w:proofErr w:type="gramStart"/>
            <w:r w:rsidRPr="00A4301B">
              <w:rPr>
                <w:rFonts w:ascii="Calibri" w:hAnsi="Calibri" w:cs="Calibri"/>
                <w:b/>
                <w:sz w:val="22"/>
                <w:szCs w:val="22"/>
              </w:rPr>
              <w:t>in particular stands</w:t>
            </w:r>
            <w:proofErr w:type="gramEnd"/>
            <w:r w:rsidRPr="00A4301B">
              <w:rPr>
                <w:rFonts w:ascii="Calibri" w:hAnsi="Calibri" w:cs="Calibri"/>
                <w:b/>
                <w:sz w:val="22"/>
                <w:szCs w:val="22"/>
              </w:rPr>
              <w:t xml:space="preserve"> out. Numerous years’ worth of data about AT&amp;T and T-Mobile service prices following the end of AT&amp;T’s exclusivity over the iPhone firmly contradict the assumption that AT&amp;T’s prices would have fallen to T-Mobile</w:t>
            </w:r>
            <w:r>
              <w:rPr>
                <w:rFonts w:ascii="Calibri" w:hAnsi="Calibri" w:cs="Calibri"/>
                <w:b/>
                <w:sz w:val="22"/>
                <w:szCs w:val="22"/>
              </w:rPr>
              <w:t xml:space="preserve"> </w:t>
            </w:r>
            <w:r w:rsidRPr="00A4301B">
              <w:rPr>
                <w:rFonts w:ascii="Calibri" w:hAnsi="Calibri" w:cs="Calibri"/>
                <w:b/>
                <w:sz w:val="22"/>
                <w:szCs w:val="22"/>
              </w:rPr>
              <w:t xml:space="preserve">levels. AT&amp;T and T-Mobile service prices simply did not converge once both carriers offered iPhones. That is because the AT&amp;T and T-Mobile networks were not of comparable quality. </w:t>
            </w:r>
          </w:p>
        </w:tc>
      </w:tr>
      <w:tr w:rsidR="00093B76" w:rsidRPr="00907D75" w14:paraId="48A70EE5" w14:textId="77777777" w:rsidTr="00093B76">
        <w:trPr>
          <w:trHeight w:val="4795"/>
        </w:trPr>
        <w:tc>
          <w:tcPr>
            <w:tcW w:w="5805" w:type="dxa"/>
            <w:vAlign w:val="center"/>
          </w:tcPr>
          <w:p w14:paraId="5C082FE2"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can you know that AT&amp;T and T-Mobile networks were not of comparable quality such that AT&amp;T’s prices would not have fallen to T-Mobile’s levels in the TNE theory?</w:t>
            </w:r>
          </w:p>
        </w:tc>
        <w:tc>
          <w:tcPr>
            <w:tcW w:w="5805" w:type="dxa"/>
            <w:vAlign w:val="center"/>
          </w:tcPr>
          <w:p w14:paraId="4121CC4A" w14:textId="77777777" w:rsidR="00093B76" w:rsidRPr="00A4301B" w:rsidRDefault="00093B76" w:rsidP="002A24E8">
            <w:pPr>
              <w:pStyle w:val="O-BodyText"/>
              <w:rPr>
                <w:rFonts w:ascii="Calibri" w:hAnsi="Calibri" w:cs="Calibri"/>
                <w:b/>
                <w:sz w:val="22"/>
                <w:szCs w:val="22"/>
              </w:rPr>
            </w:pPr>
            <w:r w:rsidRPr="00A4301B">
              <w:rPr>
                <w:rFonts w:ascii="Calibri" w:hAnsi="Calibri" w:cs="Calibri"/>
                <w:b/>
                <w:sz w:val="22"/>
                <w:szCs w:val="22"/>
              </w:rPr>
              <w:t>On all cellphones, and before and after its iPhone exclusivity, AT&amp;T enjoyed a price premium over T-Mobile because of its substantially greater nationwide coverage and the superior performance of its 3G networks nationally. This uncontroverted evidence entirely undermines the TNE theory.</w:t>
            </w:r>
          </w:p>
        </w:tc>
      </w:tr>
      <w:tr w:rsidR="00093B76" w:rsidRPr="00907D75" w14:paraId="4B811918" w14:textId="77777777" w:rsidTr="00093B76">
        <w:trPr>
          <w:trHeight w:val="4795"/>
        </w:trPr>
        <w:tc>
          <w:tcPr>
            <w:tcW w:w="5805" w:type="dxa"/>
            <w:vAlign w:val="center"/>
          </w:tcPr>
          <w:p w14:paraId="4BF3432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Would anything prevent Dr. Warren-Boulton from using the Benchmark approach in the TNE theory to calculate damages using a common methodology that would apply class-wide, as he claims he can do?</w:t>
            </w:r>
          </w:p>
        </w:tc>
        <w:tc>
          <w:tcPr>
            <w:tcW w:w="5805" w:type="dxa"/>
            <w:vAlign w:val="center"/>
          </w:tcPr>
          <w:p w14:paraId="4E631DF5"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several individualized questions that would vary throughout the class make Dr. Warren-Boulton’s TNE theory untenable. The Benchmark approach fails to account for </w:t>
            </w:r>
            <w:r w:rsidRPr="008B1804">
              <w:rPr>
                <w:rFonts w:ascii="Calibri" w:hAnsi="Calibri" w:cs="Calibri"/>
                <w:b/>
                <w:sz w:val="22"/>
                <w:szCs w:val="22"/>
              </w:rPr>
              <w:t>the wide variation in pricing plans available to both AT&amp;T’s and T-Mobile’s customers.</w:t>
            </w:r>
          </w:p>
        </w:tc>
      </w:tr>
      <w:tr w:rsidR="00093B76" w:rsidRPr="00907D75" w14:paraId="77F05ACA" w14:textId="77777777" w:rsidTr="00093B76">
        <w:trPr>
          <w:trHeight w:val="4795"/>
        </w:trPr>
        <w:tc>
          <w:tcPr>
            <w:tcW w:w="5805" w:type="dxa"/>
            <w:vAlign w:val="center"/>
          </w:tcPr>
          <w:p w14:paraId="32AC866F"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What exactly was the variation in pricing plans available to AT&amp;T’s and T-Mobile’s customers?</w:t>
            </w:r>
          </w:p>
        </w:tc>
        <w:tc>
          <w:tcPr>
            <w:tcW w:w="5805" w:type="dxa"/>
            <w:vAlign w:val="center"/>
          </w:tcPr>
          <w:p w14:paraId="1FAE2C90" w14:textId="77777777" w:rsidR="00093B76" w:rsidRDefault="00093B76" w:rsidP="002A24E8">
            <w:pPr>
              <w:pStyle w:val="O-BodyText"/>
              <w:rPr>
                <w:rFonts w:ascii="Calibri" w:hAnsi="Calibri" w:cs="Calibri"/>
                <w:b/>
                <w:sz w:val="22"/>
                <w:szCs w:val="22"/>
              </w:rPr>
            </w:pPr>
            <w:r w:rsidRPr="008B1804">
              <w:rPr>
                <w:rFonts w:ascii="Calibri" w:hAnsi="Calibri" w:cs="Calibri"/>
                <w:b/>
                <w:sz w:val="22"/>
                <w:szCs w:val="22"/>
              </w:rPr>
              <w:t>Before, during, and after the Class period, each carrier offered multiple rate plans that differed from one another along multiple dimensions, including allowances for voice calls, texts, and data.”</w:t>
            </w:r>
          </w:p>
        </w:tc>
      </w:tr>
      <w:tr w:rsidR="00093B76" w:rsidRPr="00907D75" w14:paraId="2ED96CAB" w14:textId="77777777" w:rsidTr="00093B76">
        <w:trPr>
          <w:trHeight w:val="4795"/>
        </w:trPr>
        <w:tc>
          <w:tcPr>
            <w:tcW w:w="5805" w:type="dxa"/>
            <w:vAlign w:val="center"/>
          </w:tcPr>
          <w:p w14:paraId="5AD7E65A"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these individualized considerations matter in proving a class-wide common impact?</w:t>
            </w:r>
          </w:p>
        </w:tc>
        <w:tc>
          <w:tcPr>
            <w:tcW w:w="5805" w:type="dxa"/>
            <w:vAlign w:val="center"/>
          </w:tcPr>
          <w:p w14:paraId="27ACE4FC" w14:textId="77777777" w:rsidR="00093B76" w:rsidRDefault="00093B76" w:rsidP="002A24E8">
            <w:pPr>
              <w:pStyle w:val="O-BodyText"/>
              <w:rPr>
                <w:rFonts w:ascii="Calibri" w:hAnsi="Calibri" w:cs="Calibri"/>
                <w:b/>
                <w:sz w:val="22"/>
                <w:szCs w:val="22"/>
              </w:rPr>
            </w:pPr>
            <w:r w:rsidRPr="008B1804">
              <w:rPr>
                <w:rFonts w:ascii="Calibri" w:hAnsi="Calibri" w:cs="Calibri"/>
                <w:b/>
                <w:sz w:val="22"/>
                <w:szCs w:val="22"/>
              </w:rPr>
              <w:t xml:space="preserve">Dr. Warren-Boulton </w:t>
            </w:r>
            <w:r>
              <w:rPr>
                <w:rFonts w:ascii="Calibri" w:hAnsi="Calibri" w:cs="Calibri"/>
                <w:b/>
                <w:sz w:val="22"/>
                <w:szCs w:val="22"/>
              </w:rPr>
              <w:t xml:space="preserve">insists that these concerns are merely </w:t>
            </w:r>
            <w:r w:rsidRPr="008B1804">
              <w:rPr>
                <w:rFonts w:ascii="Calibri" w:hAnsi="Calibri" w:cs="Calibri"/>
                <w:b/>
                <w:sz w:val="22"/>
                <w:szCs w:val="22"/>
              </w:rPr>
              <w:t xml:space="preserve">“complications” for his TNE theory; but rather than address them, he simply casts then aside to be somehow dealt with at a later time: </w:t>
            </w:r>
            <w:r>
              <w:rPr>
                <w:rFonts w:ascii="Calibri" w:hAnsi="Calibri" w:cs="Calibri"/>
                <w:b/>
                <w:sz w:val="22"/>
                <w:szCs w:val="22"/>
              </w:rPr>
              <w:t>He assured the district court that these complications “</w:t>
            </w:r>
            <w:r w:rsidRPr="008B1804">
              <w:rPr>
                <w:rFonts w:ascii="Calibri" w:hAnsi="Calibri" w:cs="Calibri"/>
                <w:b/>
                <w:sz w:val="22"/>
                <w:szCs w:val="22"/>
              </w:rPr>
              <w:t>do not mean we cannot calculate damages using a common methodology that would apply to virtually all members of the Class.”</w:t>
            </w:r>
          </w:p>
        </w:tc>
      </w:tr>
      <w:tr w:rsidR="00093B76" w:rsidRPr="00907D75" w14:paraId="69D30DC2" w14:textId="77777777" w:rsidTr="00093B76">
        <w:trPr>
          <w:trHeight w:val="4795"/>
        </w:trPr>
        <w:tc>
          <w:tcPr>
            <w:tcW w:w="5805" w:type="dxa"/>
            <w:vAlign w:val="center"/>
          </w:tcPr>
          <w:p w14:paraId="662A9CC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can’t we rest on Dr. Warren-Boulton’s assurances that these complications can be sorted out at trial?</w:t>
            </w:r>
          </w:p>
        </w:tc>
        <w:tc>
          <w:tcPr>
            <w:tcW w:w="5805" w:type="dxa"/>
            <w:vAlign w:val="center"/>
          </w:tcPr>
          <w:p w14:paraId="0BCD9B7F" w14:textId="77777777" w:rsidR="00093B76" w:rsidRPr="00612196" w:rsidRDefault="00093B76" w:rsidP="002A24E8">
            <w:pPr>
              <w:pStyle w:val="O-BodyText"/>
              <w:rPr>
                <w:rFonts w:ascii="Calibri" w:hAnsi="Calibri" w:cs="Calibri"/>
                <w:b/>
                <w:sz w:val="22"/>
                <w:szCs w:val="22"/>
              </w:rPr>
            </w:pPr>
            <w:r>
              <w:rPr>
                <w:rFonts w:ascii="Calibri" w:hAnsi="Calibri" w:cs="Calibri"/>
                <w:b/>
                <w:sz w:val="22"/>
                <w:szCs w:val="22"/>
              </w:rPr>
              <w:t xml:space="preserve">The Supreme Court’s decision in </w:t>
            </w:r>
            <w:r>
              <w:rPr>
                <w:rFonts w:ascii="Calibri" w:hAnsi="Calibri" w:cs="Calibri"/>
                <w:b/>
                <w:i/>
                <w:sz w:val="22"/>
                <w:szCs w:val="22"/>
              </w:rPr>
              <w:t>Comcast</w:t>
            </w:r>
            <w:r>
              <w:rPr>
                <w:rFonts w:ascii="Calibri" w:hAnsi="Calibri" w:cs="Calibri"/>
                <w:b/>
                <w:sz w:val="22"/>
                <w:szCs w:val="22"/>
              </w:rPr>
              <w:t xml:space="preserve"> (U.S. 2013) clarified that courts should consider whether plaintiffs’ experts’ models generated “just and reasonable” damages. Otherwise, “</w:t>
            </w:r>
            <w:r>
              <w:rPr>
                <w:rFonts w:ascii="Calibri" w:hAnsi="Calibri" w:cs="Calibri"/>
                <w:b/>
                <w:i/>
                <w:sz w:val="22"/>
                <w:szCs w:val="22"/>
              </w:rPr>
              <w:t>any</w:t>
            </w:r>
            <w:r>
              <w:rPr>
                <w:rFonts w:ascii="Calibri" w:hAnsi="Calibri" w:cs="Calibri"/>
                <w:b/>
                <w:sz w:val="22"/>
                <w:szCs w:val="22"/>
              </w:rPr>
              <w:t xml:space="preserve"> method of [damages] measurement” would be acceptable if it could be applied </w:t>
            </w:r>
            <w:proofErr w:type="spellStart"/>
            <w:r>
              <w:rPr>
                <w:rFonts w:ascii="Calibri" w:hAnsi="Calibri" w:cs="Calibri"/>
                <w:b/>
                <w:sz w:val="22"/>
                <w:szCs w:val="22"/>
              </w:rPr>
              <w:t>classwide</w:t>
            </w:r>
            <w:proofErr w:type="spellEnd"/>
            <w:r>
              <w:rPr>
                <w:rFonts w:ascii="Calibri" w:hAnsi="Calibri" w:cs="Calibri"/>
                <w:b/>
                <w:sz w:val="22"/>
                <w:szCs w:val="22"/>
              </w:rPr>
              <w:t xml:space="preserve">, “no matter how arbitrary the measurements may be. </w:t>
            </w:r>
            <w:r w:rsidRPr="00612196">
              <w:rPr>
                <w:rFonts w:ascii="Calibri" w:hAnsi="Calibri" w:cs="Calibri"/>
                <w:b/>
                <w:sz w:val="22"/>
                <w:szCs w:val="22"/>
              </w:rPr>
              <w:t>Such a proposition would reduce Rule 23(b)(3)’s predominance requirement to a nullity.”</w:t>
            </w:r>
          </w:p>
        </w:tc>
      </w:tr>
      <w:tr w:rsidR="00093B76" w:rsidRPr="00907D75" w14:paraId="6D83412E" w14:textId="77777777" w:rsidTr="00093B76">
        <w:trPr>
          <w:trHeight w:val="4795"/>
        </w:trPr>
        <w:tc>
          <w:tcPr>
            <w:tcW w:w="5805" w:type="dxa"/>
            <w:vAlign w:val="center"/>
          </w:tcPr>
          <w:p w14:paraId="60C3B546"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Does the Benchmark approach in the TNE theory present potential individualized issues?</w:t>
            </w:r>
          </w:p>
        </w:tc>
        <w:tc>
          <w:tcPr>
            <w:tcW w:w="5805" w:type="dxa"/>
            <w:vAlign w:val="center"/>
          </w:tcPr>
          <w:p w14:paraId="4F0E2A8D"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in fact </w:t>
            </w:r>
            <w:r w:rsidRPr="00612196">
              <w:rPr>
                <w:rFonts w:ascii="Calibri" w:hAnsi="Calibri" w:cs="Calibri"/>
                <w:b/>
                <w:sz w:val="22"/>
                <w:szCs w:val="22"/>
              </w:rPr>
              <w:t>Dr. Warren-Boulton concedes that under the Benchmark Approach, the degree of harm would vary among individuals: “the harm suffered by iPhone customers may differ somewhat between those would have stayed with AT&amp;T (at a lower AT&amp;T rate), those who would have switched to T-Mobile (at T-Mobile’s</w:t>
            </w:r>
            <w:r>
              <w:t xml:space="preserve"> </w:t>
            </w:r>
            <w:r w:rsidRPr="00612196">
              <w:rPr>
                <w:rFonts w:ascii="Calibri" w:hAnsi="Calibri" w:cs="Calibri"/>
                <w:b/>
                <w:sz w:val="22"/>
                <w:szCs w:val="22"/>
              </w:rPr>
              <w:t>lower rate), and those who would have sold or transferred their iPhones (at a higher price or value).”</w:t>
            </w:r>
          </w:p>
        </w:tc>
      </w:tr>
      <w:tr w:rsidR="00093B76" w:rsidRPr="00907D75" w14:paraId="4B0A07EF" w14:textId="77777777" w:rsidTr="00093B76">
        <w:trPr>
          <w:trHeight w:val="4795"/>
        </w:trPr>
        <w:tc>
          <w:tcPr>
            <w:tcW w:w="5805" w:type="dxa"/>
            <w:vAlign w:val="center"/>
          </w:tcPr>
          <w:p w14:paraId="5F68795F"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does Dr. Warren-Boulton handle these potential individualized concerns in the Benchmark approach in the TNE theory?</w:t>
            </w:r>
          </w:p>
        </w:tc>
        <w:tc>
          <w:tcPr>
            <w:tcW w:w="5805" w:type="dxa"/>
            <w:vAlign w:val="center"/>
          </w:tcPr>
          <w:p w14:paraId="46050E7F" w14:textId="77777777" w:rsidR="00093B76" w:rsidRDefault="00093B76" w:rsidP="002A24E8">
            <w:pPr>
              <w:pStyle w:val="O-BodyText"/>
              <w:rPr>
                <w:rFonts w:ascii="Calibri" w:hAnsi="Calibri" w:cs="Calibri"/>
                <w:b/>
                <w:sz w:val="22"/>
                <w:szCs w:val="22"/>
              </w:rPr>
            </w:pPr>
            <w:r>
              <w:rPr>
                <w:rFonts w:ascii="Calibri" w:hAnsi="Calibri" w:cs="Calibri"/>
                <w:b/>
                <w:sz w:val="22"/>
                <w:szCs w:val="22"/>
              </w:rPr>
              <w:t>He ignores them.</w:t>
            </w:r>
            <w:r w:rsidRPr="00612196">
              <w:rPr>
                <w:rFonts w:ascii="Calibri" w:hAnsi="Calibri" w:cs="Calibri"/>
                <w:b/>
                <w:sz w:val="22"/>
                <w:szCs w:val="22"/>
              </w:rPr>
              <w:t xml:space="preserve"> Yet again, he merely assumes, incorrectly, </w:t>
            </w:r>
            <w:r>
              <w:rPr>
                <w:rFonts w:ascii="Calibri" w:hAnsi="Calibri" w:cs="Calibri"/>
                <w:b/>
                <w:sz w:val="22"/>
                <w:szCs w:val="22"/>
              </w:rPr>
              <w:t xml:space="preserve">and without any basis </w:t>
            </w:r>
            <w:r w:rsidRPr="00612196">
              <w:rPr>
                <w:rFonts w:ascii="Calibri" w:hAnsi="Calibri" w:cs="Calibri"/>
                <w:b/>
                <w:sz w:val="22"/>
                <w:szCs w:val="22"/>
              </w:rPr>
              <w:t xml:space="preserve">that </w:t>
            </w:r>
            <w:r>
              <w:rPr>
                <w:rFonts w:ascii="Calibri" w:hAnsi="Calibri" w:cs="Calibri"/>
                <w:b/>
                <w:sz w:val="22"/>
                <w:szCs w:val="22"/>
              </w:rPr>
              <w:t xml:space="preserve">the issues pointed out by Dr. Katz will not create </w:t>
            </w:r>
            <w:r w:rsidRPr="00612196">
              <w:rPr>
                <w:rFonts w:ascii="Calibri" w:hAnsi="Calibri" w:cs="Calibri"/>
                <w:b/>
                <w:sz w:val="22"/>
                <w:szCs w:val="22"/>
              </w:rPr>
              <w:t>individualized issue that would thwart class certification.</w:t>
            </w:r>
          </w:p>
        </w:tc>
      </w:tr>
      <w:tr w:rsidR="00093B76" w:rsidRPr="00907D75" w14:paraId="70A71EAB" w14:textId="77777777" w:rsidTr="00093B76">
        <w:trPr>
          <w:trHeight w:val="4795"/>
        </w:trPr>
        <w:tc>
          <w:tcPr>
            <w:tcW w:w="5805" w:type="dxa"/>
            <w:vAlign w:val="center"/>
          </w:tcPr>
          <w:p w14:paraId="5ADF47F2"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Do these individualized concerns in the Benchmark approach in the TNE theory rise to the level that would thwart class certification?</w:t>
            </w:r>
          </w:p>
        </w:tc>
        <w:tc>
          <w:tcPr>
            <w:tcW w:w="5805" w:type="dxa"/>
            <w:vAlign w:val="center"/>
          </w:tcPr>
          <w:p w14:paraId="42D7ECE0"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w:t>
            </w:r>
            <w:r w:rsidRPr="00612196">
              <w:rPr>
                <w:rFonts w:ascii="Calibri" w:hAnsi="Calibri" w:cs="Calibri"/>
                <w:b/>
                <w:sz w:val="22"/>
                <w:szCs w:val="22"/>
              </w:rPr>
              <w:t>As Dr. Katz notes, such an inquiry would be “a fact-intensive inquiry that must be conducted at the individual level.”</w:t>
            </w:r>
          </w:p>
        </w:tc>
      </w:tr>
      <w:tr w:rsidR="00093B76" w:rsidRPr="00907D75" w14:paraId="0E6D4090" w14:textId="77777777" w:rsidTr="00093B76">
        <w:trPr>
          <w:trHeight w:val="4795"/>
        </w:trPr>
        <w:tc>
          <w:tcPr>
            <w:tcW w:w="5805" w:type="dxa"/>
            <w:vAlign w:val="center"/>
          </w:tcPr>
          <w:p w14:paraId="56508965"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won’t the Benchmark approach in the TNE work?</w:t>
            </w:r>
          </w:p>
        </w:tc>
        <w:tc>
          <w:tcPr>
            <w:tcW w:w="5805" w:type="dxa"/>
            <w:vAlign w:val="center"/>
          </w:tcPr>
          <w:p w14:paraId="6AB3CA85" w14:textId="77777777" w:rsidR="00093B76" w:rsidRDefault="00093B76" w:rsidP="002A24E8">
            <w:pPr>
              <w:pStyle w:val="O-BodyText"/>
              <w:rPr>
                <w:rFonts w:ascii="Calibri" w:hAnsi="Calibri" w:cs="Calibri"/>
                <w:b/>
                <w:sz w:val="22"/>
                <w:szCs w:val="22"/>
              </w:rPr>
            </w:pPr>
            <w:r w:rsidRPr="005A2555">
              <w:rPr>
                <w:rFonts w:ascii="Calibri" w:hAnsi="Calibri" w:cs="Calibri"/>
                <w:b/>
                <w:sz w:val="22"/>
                <w:szCs w:val="22"/>
              </w:rPr>
              <w:t>The Benchmark Approach is not a reliable way to “</w:t>
            </w:r>
            <w:proofErr w:type="spellStart"/>
            <w:r w:rsidRPr="005A2555">
              <w:rPr>
                <w:rFonts w:ascii="Calibri" w:hAnsi="Calibri" w:cs="Calibri"/>
                <w:b/>
                <w:sz w:val="22"/>
                <w:szCs w:val="22"/>
              </w:rPr>
              <w:t>determin</w:t>
            </w:r>
            <w:proofErr w:type="spellEnd"/>
            <w:r w:rsidRPr="005A2555">
              <w:rPr>
                <w:rFonts w:ascii="Calibri" w:hAnsi="Calibri" w:cs="Calibri"/>
                <w:b/>
                <w:sz w:val="22"/>
                <w:szCs w:val="22"/>
              </w:rPr>
              <w:t>[e] whether any iPhone customer suffered harm, let alone that all iPhone customers suffered the same (non-zero) harm.”</w:t>
            </w:r>
          </w:p>
        </w:tc>
      </w:tr>
      <w:tr w:rsidR="00093B76" w:rsidRPr="00907D75" w14:paraId="6057FB02" w14:textId="77777777" w:rsidTr="00093B76">
        <w:trPr>
          <w:trHeight w:val="4795"/>
        </w:trPr>
        <w:tc>
          <w:tcPr>
            <w:tcW w:w="5805" w:type="dxa"/>
            <w:vAlign w:val="center"/>
          </w:tcPr>
          <w:p w14:paraId="10528B8A"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Is the Real Option approach in the TNE theory any better than the Benchmark approach?</w:t>
            </w:r>
          </w:p>
        </w:tc>
        <w:tc>
          <w:tcPr>
            <w:tcW w:w="5805" w:type="dxa"/>
            <w:vAlign w:val="center"/>
          </w:tcPr>
          <w:p w14:paraId="49BFDB97"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No, it too rests on unsubstantiated assumptions. </w:t>
            </w:r>
            <w:r w:rsidRPr="005A2555">
              <w:rPr>
                <w:rFonts w:ascii="Calibri" w:hAnsi="Calibri" w:cs="Calibri"/>
                <w:b/>
                <w:sz w:val="22"/>
                <w:szCs w:val="22"/>
              </w:rPr>
              <w:t>The real-option approach is another one-size-fits-all analysis that not only fails to</w:t>
            </w:r>
            <w:r>
              <w:rPr>
                <w:rFonts w:ascii="Calibri" w:hAnsi="Calibri" w:cs="Calibri"/>
                <w:b/>
                <w:sz w:val="22"/>
                <w:szCs w:val="22"/>
              </w:rPr>
              <w:t xml:space="preserve"> </w:t>
            </w:r>
            <w:r w:rsidRPr="005A2555">
              <w:rPr>
                <w:rFonts w:ascii="Calibri" w:hAnsi="Calibri" w:cs="Calibri"/>
                <w:b/>
                <w:sz w:val="22"/>
                <w:szCs w:val="22"/>
              </w:rPr>
              <w:t xml:space="preserve">assess accurately numerous individual factors affecting </w:t>
            </w:r>
            <w:proofErr w:type="gramStart"/>
            <w:r w:rsidRPr="005A2555">
              <w:rPr>
                <w:rFonts w:ascii="Calibri" w:hAnsi="Calibri" w:cs="Calibri"/>
                <w:b/>
                <w:sz w:val="22"/>
                <w:szCs w:val="22"/>
              </w:rPr>
              <w:t>impact, but</w:t>
            </w:r>
            <w:proofErr w:type="gramEnd"/>
            <w:r w:rsidRPr="005A2555">
              <w:rPr>
                <w:rFonts w:ascii="Calibri" w:hAnsi="Calibri" w:cs="Calibri"/>
                <w:b/>
                <w:sz w:val="22"/>
                <w:szCs w:val="22"/>
              </w:rPr>
              <w:t xml:space="preserve"> ignores undisputable marketplace facts.</w:t>
            </w:r>
          </w:p>
        </w:tc>
      </w:tr>
      <w:tr w:rsidR="00093B76" w:rsidRPr="00907D75" w14:paraId="4EC11455" w14:textId="77777777" w:rsidTr="00093B76">
        <w:trPr>
          <w:trHeight w:val="4795"/>
        </w:trPr>
        <w:tc>
          <w:tcPr>
            <w:tcW w:w="5805" w:type="dxa"/>
            <w:vAlign w:val="center"/>
          </w:tcPr>
          <w:p w14:paraId="2A455CAF"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Could you please describe the Real Option approach in the TNE theory?</w:t>
            </w:r>
          </w:p>
        </w:tc>
        <w:tc>
          <w:tcPr>
            <w:tcW w:w="5805" w:type="dxa"/>
            <w:vAlign w:val="center"/>
          </w:tcPr>
          <w:p w14:paraId="42018110"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The Real Option approach in the TNE theory </w:t>
            </w:r>
            <w:r w:rsidRPr="005A2555">
              <w:rPr>
                <w:rFonts w:ascii="Calibri" w:hAnsi="Calibri" w:cs="Calibri"/>
                <w:b/>
                <w:sz w:val="22"/>
                <w:szCs w:val="22"/>
              </w:rPr>
              <w:t>rests on the naked assumption that every iPhone customer within the alleged class period similarly valued the option of being able to switch from AT&amp;T to T-Mobile, despite the numerous individual-specific marketplace factors that would implicate their individual valuations of being able to do so.</w:t>
            </w:r>
          </w:p>
        </w:tc>
      </w:tr>
      <w:tr w:rsidR="00093B76" w:rsidRPr="00907D75" w14:paraId="41E37C5B" w14:textId="77777777" w:rsidTr="00093B76">
        <w:trPr>
          <w:trHeight w:val="4795"/>
        </w:trPr>
        <w:tc>
          <w:tcPr>
            <w:tcW w:w="5805" w:type="dxa"/>
            <w:vAlign w:val="center"/>
          </w:tcPr>
          <w:p w14:paraId="6035F2B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proofErr w:type="gramStart"/>
            <w:r>
              <w:rPr>
                <w:rFonts w:ascii="Calibri" w:hAnsi="Calibri" w:cs="Calibri"/>
                <w:b/>
                <w:sz w:val="28"/>
                <w:szCs w:val="28"/>
              </w:rPr>
              <w:t>are</w:t>
            </w:r>
            <w:proofErr w:type="gramEnd"/>
            <w:r>
              <w:rPr>
                <w:rFonts w:ascii="Calibri" w:hAnsi="Calibri" w:cs="Calibri"/>
                <w:b/>
                <w:sz w:val="28"/>
                <w:szCs w:val="28"/>
              </w:rPr>
              <w:t xml:space="preserve"> the individual-specific marketplace factors that would implicate AT&amp;T’s customers’ individual valuations of being able to switch to T-Mobile?</w:t>
            </w:r>
          </w:p>
        </w:tc>
        <w:tc>
          <w:tcPr>
            <w:tcW w:w="5805" w:type="dxa"/>
            <w:vAlign w:val="center"/>
          </w:tcPr>
          <w:p w14:paraId="10AC6D22" w14:textId="77777777" w:rsidR="00093B76" w:rsidRDefault="00093B76" w:rsidP="002A24E8">
            <w:pPr>
              <w:pStyle w:val="O-BodyText"/>
              <w:rPr>
                <w:rFonts w:ascii="Calibri" w:hAnsi="Calibri" w:cs="Calibri"/>
                <w:b/>
                <w:sz w:val="22"/>
                <w:szCs w:val="22"/>
              </w:rPr>
            </w:pPr>
            <w:r w:rsidRPr="005A2555">
              <w:rPr>
                <w:rFonts w:ascii="Calibri" w:hAnsi="Calibri" w:cs="Calibri"/>
                <w:b/>
                <w:sz w:val="22"/>
                <w:szCs w:val="22"/>
              </w:rPr>
              <w:t>Those include variations in service prices by locale, as well as differences in cellular network quality by geography. This approach also fails to account for the many consumers who purchased AT&amp;T and not T-Mobile wireless service during the class period even though they did not purchase iPhones, meaning that any differential in service prices could not have accurately represented the “value” of being able to use the iPhone on T-Mobile (or another carrier).</w:t>
            </w:r>
          </w:p>
        </w:tc>
      </w:tr>
      <w:tr w:rsidR="00093B76" w:rsidRPr="00907D75" w14:paraId="5CBA3368" w14:textId="77777777" w:rsidTr="00093B76">
        <w:trPr>
          <w:trHeight w:val="4795"/>
        </w:trPr>
        <w:tc>
          <w:tcPr>
            <w:tcW w:w="5805" w:type="dxa"/>
            <w:vAlign w:val="center"/>
          </w:tcPr>
          <w:p w14:paraId="4F268214"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Do any of Dr. Warren-Boulton’s theories </w:t>
            </w:r>
            <w:r w:rsidRPr="005A2555">
              <w:rPr>
                <w:rFonts w:ascii="Calibri" w:hAnsi="Calibri" w:cs="Calibri"/>
                <w:b/>
                <w:sz w:val="28"/>
                <w:szCs w:val="28"/>
              </w:rPr>
              <w:t>match the theory of liability remaining in the case after summary judgment</w:t>
            </w:r>
            <w:r>
              <w:rPr>
                <w:rFonts w:ascii="Calibri" w:hAnsi="Calibri" w:cs="Calibri"/>
                <w:b/>
                <w:sz w:val="28"/>
                <w:szCs w:val="28"/>
              </w:rPr>
              <w:t>?</w:t>
            </w:r>
          </w:p>
        </w:tc>
        <w:tc>
          <w:tcPr>
            <w:tcW w:w="5805" w:type="dxa"/>
            <w:vAlign w:val="center"/>
          </w:tcPr>
          <w:p w14:paraId="13591D00"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No. </w:t>
            </w:r>
            <w:r w:rsidRPr="005A2555">
              <w:rPr>
                <w:rFonts w:ascii="Calibri" w:hAnsi="Calibri" w:cs="Calibri"/>
                <w:b/>
                <w:sz w:val="22"/>
                <w:szCs w:val="22"/>
              </w:rPr>
              <w:t xml:space="preserve">In the ten-plus year multi-case history of this litigation, Plaintiffs’ theory of liability has always been that AT&amp;T charged monopoly prices for iPhone voice and data services throughout the period of AT&amp;T’s exclusivity over the iPhone.   At summary judgment, the district court narrowed this period of potential injury significantly, by holding that Plaintiffs have triable evidence of a legally cognizable “aftermarket” only </w:t>
            </w:r>
            <w:proofErr w:type="gramStart"/>
            <w:r w:rsidRPr="005A2555">
              <w:rPr>
                <w:rFonts w:ascii="Calibri" w:hAnsi="Calibri" w:cs="Calibri"/>
                <w:b/>
                <w:sz w:val="22"/>
                <w:szCs w:val="22"/>
              </w:rPr>
              <w:t>with regard to</w:t>
            </w:r>
            <w:proofErr w:type="gramEnd"/>
            <w:r w:rsidRPr="005A2555">
              <w:rPr>
                <w:rFonts w:ascii="Calibri" w:hAnsi="Calibri" w:cs="Calibri"/>
                <w:b/>
                <w:sz w:val="22"/>
                <w:szCs w:val="22"/>
              </w:rPr>
              <w:t xml:space="preserve"> renewal voice and data service offered by AT&amp;T after the expiration of each customer’s initial two-year contract.</w:t>
            </w:r>
          </w:p>
        </w:tc>
      </w:tr>
      <w:tr w:rsidR="00093B76" w:rsidRPr="00907D75" w14:paraId="268BD173" w14:textId="77777777" w:rsidTr="00093B76">
        <w:trPr>
          <w:trHeight w:val="4795"/>
        </w:trPr>
        <w:tc>
          <w:tcPr>
            <w:tcW w:w="5805" w:type="dxa"/>
            <w:vAlign w:val="center"/>
          </w:tcPr>
          <w:p w14:paraId="6E5315A3"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do Plaintiffs’ theories need to match the theory of liability remaining in the case after summary judgment?</w:t>
            </w:r>
          </w:p>
        </w:tc>
        <w:tc>
          <w:tcPr>
            <w:tcW w:w="5805" w:type="dxa"/>
            <w:vAlign w:val="center"/>
          </w:tcPr>
          <w:p w14:paraId="04720DE6"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Because of the Supreme Court’s decision in </w:t>
            </w:r>
            <w:r w:rsidRPr="00F44BA3">
              <w:rPr>
                <w:rFonts w:ascii="Calibri" w:hAnsi="Calibri" w:cs="Calibri"/>
                <w:b/>
                <w:i/>
                <w:sz w:val="22"/>
                <w:szCs w:val="22"/>
              </w:rPr>
              <w:t>Comcast</w:t>
            </w:r>
            <w:r>
              <w:rPr>
                <w:rFonts w:ascii="Calibri" w:hAnsi="Calibri" w:cs="Calibri"/>
                <w:b/>
                <w:sz w:val="22"/>
                <w:szCs w:val="22"/>
              </w:rPr>
              <w:t xml:space="preserve"> (U.S. 2013). Th</w:t>
            </w:r>
            <w:r w:rsidRPr="00F44BA3">
              <w:rPr>
                <w:rFonts w:ascii="Calibri" w:hAnsi="Calibri" w:cs="Calibri"/>
                <w:b/>
                <w:sz w:val="22"/>
                <w:szCs w:val="22"/>
              </w:rPr>
              <w:t xml:space="preserve">is </w:t>
            </w:r>
            <w:r>
              <w:rPr>
                <w:rFonts w:ascii="Calibri" w:hAnsi="Calibri" w:cs="Calibri"/>
                <w:b/>
                <w:sz w:val="22"/>
                <w:szCs w:val="22"/>
              </w:rPr>
              <w:t xml:space="preserve">case presents </w:t>
            </w:r>
            <w:r w:rsidRPr="00F44BA3">
              <w:rPr>
                <w:rFonts w:ascii="Calibri" w:hAnsi="Calibri" w:cs="Calibri"/>
                <w:b/>
                <w:sz w:val="22"/>
                <w:szCs w:val="22"/>
              </w:rPr>
              <w:t xml:space="preserve">the quintessential </w:t>
            </w:r>
            <w:r w:rsidRPr="00F44BA3">
              <w:rPr>
                <w:rFonts w:ascii="Calibri" w:hAnsi="Calibri" w:cs="Calibri"/>
                <w:b/>
                <w:i/>
                <w:sz w:val="22"/>
                <w:szCs w:val="22"/>
              </w:rPr>
              <w:t>Comcast</w:t>
            </w:r>
            <w:r w:rsidRPr="00F44BA3">
              <w:rPr>
                <w:rFonts w:ascii="Calibri" w:hAnsi="Calibri" w:cs="Calibri"/>
                <w:b/>
                <w:sz w:val="22"/>
                <w:szCs w:val="22"/>
              </w:rPr>
              <w:t xml:space="preserve"> problem. “[A]t the class certification stage (as at trial), any model supporting a ‘plaintiff’s damages case must be consistent with its liability case, particularly with respect to the alleged anticompetitive effect of the violation.’”</w:t>
            </w:r>
          </w:p>
        </w:tc>
      </w:tr>
      <w:tr w:rsidR="00093B76" w:rsidRPr="00907D75" w14:paraId="01B93D79" w14:textId="77777777" w:rsidTr="00093B76">
        <w:trPr>
          <w:trHeight w:val="4795"/>
        </w:trPr>
        <w:tc>
          <w:tcPr>
            <w:tcW w:w="5805" w:type="dxa"/>
            <w:vAlign w:val="center"/>
          </w:tcPr>
          <w:p w14:paraId="5CEEF8A6"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Can we affirm on the basis that the models do not comport with the only remaining theory of liability?</w:t>
            </w:r>
          </w:p>
        </w:tc>
        <w:tc>
          <w:tcPr>
            <w:tcW w:w="5805" w:type="dxa"/>
            <w:vAlign w:val="center"/>
          </w:tcPr>
          <w:p w14:paraId="56C5EA45"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w:t>
            </w:r>
            <w:r w:rsidRPr="00F44BA3">
              <w:rPr>
                <w:rFonts w:ascii="Calibri" w:hAnsi="Calibri" w:cs="Calibri"/>
                <w:b/>
                <w:sz w:val="22"/>
                <w:szCs w:val="22"/>
              </w:rPr>
              <w:t>this Court “may affirm on any basis supported by the record, whether or not relied upon by the district court</w:t>
            </w:r>
            <w:r>
              <w:rPr>
                <w:rFonts w:ascii="Calibri" w:hAnsi="Calibri" w:cs="Calibri"/>
                <w:b/>
                <w:sz w:val="22"/>
                <w:szCs w:val="22"/>
              </w:rPr>
              <w:t xml:space="preserve">.” </w:t>
            </w:r>
            <w:proofErr w:type="spellStart"/>
            <w:r w:rsidRPr="00F44BA3">
              <w:rPr>
                <w:rFonts w:ascii="Calibri" w:hAnsi="Calibri" w:cs="Calibri"/>
                <w:b/>
                <w:i/>
                <w:sz w:val="22"/>
                <w:szCs w:val="22"/>
              </w:rPr>
              <w:t>Zixiang</w:t>
            </w:r>
            <w:proofErr w:type="spellEnd"/>
            <w:r w:rsidRPr="00F44BA3">
              <w:rPr>
                <w:rFonts w:ascii="Calibri" w:hAnsi="Calibri" w:cs="Calibri"/>
                <w:b/>
                <w:i/>
                <w:sz w:val="22"/>
                <w:szCs w:val="22"/>
              </w:rPr>
              <w:t xml:space="preserve"> Li v. Kerry</w:t>
            </w:r>
            <w:r>
              <w:rPr>
                <w:rFonts w:ascii="Calibri" w:hAnsi="Calibri" w:cs="Calibri"/>
                <w:b/>
                <w:sz w:val="22"/>
                <w:szCs w:val="22"/>
              </w:rPr>
              <w:t xml:space="preserve"> </w:t>
            </w:r>
            <w:r w:rsidRPr="00F44BA3">
              <w:rPr>
                <w:rFonts w:ascii="Calibri" w:hAnsi="Calibri" w:cs="Calibri"/>
                <w:b/>
                <w:sz w:val="22"/>
                <w:szCs w:val="22"/>
              </w:rPr>
              <w:t>(9th 2013)</w:t>
            </w:r>
            <w:r>
              <w:rPr>
                <w:rFonts w:ascii="Calibri" w:hAnsi="Calibri" w:cs="Calibri"/>
                <w:b/>
                <w:sz w:val="22"/>
                <w:szCs w:val="22"/>
              </w:rPr>
              <w:t>. T</w:t>
            </w:r>
            <w:r w:rsidRPr="00F44BA3">
              <w:rPr>
                <w:rFonts w:ascii="Calibri" w:hAnsi="Calibri" w:cs="Calibri"/>
                <w:b/>
                <w:sz w:val="22"/>
                <w:szCs w:val="22"/>
              </w:rPr>
              <w:t xml:space="preserve">he fundamental mismatch presented here </w:t>
            </w:r>
            <w:r>
              <w:rPr>
                <w:rFonts w:ascii="Calibri" w:hAnsi="Calibri" w:cs="Calibri"/>
                <w:b/>
                <w:sz w:val="22"/>
                <w:szCs w:val="22"/>
              </w:rPr>
              <w:t xml:space="preserve">thus </w:t>
            </w:r>
            <w:r w:rsidRPr="00F44BA3">
              <w:rPr>
                <w:rFonts w:ascii="Calibri" w:hAnsi="Calibri" w:cs="Calibri"/>
                <w:b/>
                <w:sz w:val="22"/>
                <w:szCs w:val="22"/>
              </w:rPr>
              <w:t>provides an alternative basis for affirmance.</w:t>
            </w:r>
          </w:p>
        </w:tc>
      </w:tr>
      <w:tr w:rsidR="00093B76" w:rsidRPr="00907D75" w14:paraId="34D0BDBA" w14:textId="77777777" w:rsidTr="00093B76">
        <w:trPr>
          <w:trHeight w:val="4795"/>
        </w:trPr>
        <w:tc>
          <w:tcPr>
            <w:tcW w:w="5805" w:type="dxa"/>
            <w:vAlign w:val="center"/>
          </w:tcPr>
          <w:p w14:paraId="3A780DB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does the TE theory run counter to the remaining theory of liability?</w:t>
            </w:r>
          </w:p>
        </w:tc>
        <w:tc>
          <w:tcPr>
            <w:tcW w:w="5805" w:type="dxa"/>
            <w:vAlign w:val="center"/>
          </w:tcPr>
          <w:p w14:paraId="2AB31F9E" w14:textId="77777777" w:rsidR="00093B76" w:rsidRDefault="00093B76" w:rsidP="002A24E8">
            <w:pPr>
              <w:pStyle w:val="O-BodyText"/>
              <w:rPr>
                <w:rFonts w:ascii="Calibri" w:hAnsi="Calibri" w:cs="Calibri"/>
                <w:b/>
                <w:sz w:val="22"/>
                <w:szCs w:val="22"/>
              </w:rPr>
            </w:pPr>
            <w:r>
              <w:rPr>
                <w:rFonts w:ascii="Calibri" w:hAnsi="Calibri" w:cs="Calibri"/>
                <w:b/>
                <w:sz w:val="22"/>
                <w:szCs w:val="22"/>
              </w:rPr>
              <w:t>The TE theory</w:t>
            </w:r>
            <w:r w:rsidRPr="00F44BA3">
              <w:rPr>
                <w:rFonts w:ascii="Calibri" w:hAnsi="Calibri" w:cs="Calibri"/>
                <w:b/>
                <w:sz w:val="22"/>
                <w:szCs w:val="22"/>
              </w:rPr>
              <w:t xml:space="preserve"> is a damages theory relating to prices for the </w:t>
            </w:r>
            <w:r w:rsidRPr="00F44BA3">
              <w:rPr>
                <w:rFonts w:ascii="Calibri" w:hAnsi="Calibri" w:cs="Calibri"/>
                <w:b/>
                <w:i/>
                <w:sz w:val="22"/>
                <w:szCs w:val="22"/>
              </w:rPr>
              <w:t>iPhone itself</w:t>
            </w:r>
            <w:r w:rsidRPr="00F44BA3">
              <w:rPr>
                <w:rFonts w:ascii="Calibri" w:hAnsi="Calibri" w:cs="Calibri"/>
                <w:b/>
                <w:sz w:val="22"/>
                <w:szCs w:val="22"/>
              </w:rPr>
              <w:t xml:space="preserve">, which is something that by definition every class member </w:t>
            </w:r>
            <w:proofErr w:type="gramStart"/>
            <w:r w:rsidRPr="00F44BA3">
              <w:rPr>
                <w:rFonts w:ascii="Calibri" w:hAnsi="Calibri" w:cs="Calibri"/>
                <w:b/>
                <w:sz w:val="22"/>
                <w:szCs w:val="22"/>
              </w:rPr>
              <w:t>buys</w:t>
            </w:r>
            <w:proofErr w:type="gramEnd"/>
            <w:r w:rsidRPr="00F44BA3">
              <w:rPr>
                <w:rFonts w:ascii="Calibri" w:hAnsi="Calibri" w:cs="Calibri"/>
                <w:b/>
                <w:sz w:val="22"/>
                <w:szCs w:val="22"/>
              </w:rPr>
              <w:t>, but which Plaintiffs do not claim is a monopolized product. Furthermore, as explained earlier, Plaintiffs’ aftermarket theory would fail as a matter of law if iPhone and service pricing were so tightly connected that monopoly pricing in renewal service only would affect the price of every iPhone.</w:t>
            </w:r>
          </w:p>
        </w:tc>
      </w:tr>
      <w:tr w:rsidR="00093B76" w:rsidRPr="00907D75" w14:paraId="61BF84EE" w14:textId="77777777" w:rsidTr="00093B76">
        <w:trPr>
          <w:trHeight w:val="4795"/>
        </w:trPr>
        <w:tc>
          <w:tcPr>
            <w:tcW w:w="5805" w:type="dxa"/>
            <w:vAlign w:val="center"/>
          </w:tcPr>
          <w:p w14:paraId="470B4D6E"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Does the TE theory even align with the pleaded claims in this case?</w:t>
            </w:r>
          </w:p>
        </w:tc>
        <w:tc>
          <w:tcPr>
            <w:tcW w:w="5805" w:type="dxa"/>
            <w:vAlign w:val="center"/>
          </w:tcPr>
          <w:p w14:paraId="17A64C08"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No. </w:t>
            </w:r>
            <w:r w:rsidRPr="006A745D">
              <w:rPr>
                <w:rFonts w:ascii="Calibri" w:hAnsi="Calibri" w:cs="Calibri"/>
                <w:b/>
                <w:sz w:val="22"/>
                <w:szCs w:val="22"/>
              </w:rPr>
              <w:t>A claim about iPhone pricing would have required different pleadings and different evidence in order to survive the litigation up to this point—none of which has been offered.</w:t>
            </w:r>
          </w:p>
        </w:tc>
      </w:tr>
      <w:tr w:rsidR="00093B76" w:rsidRPr="00907D75" w14:paraId="5BAFFE68" w14:textId="77777777" w:rsidTr="00093B76">
        <w:trPr>
          <w:trHeight w:val="4795"/>
        </w:trPr>
        <w:tc>
          <w:tcPr>
            <w:tcW w:w="5805" w:type="dxa"/>
            <w:vAlign w:val="center"/>
          </w:tcPr>
          <w:p w14:paraId="0B5B76E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Could you explain how Plaintiffs TE theory failed </w:t>
            </w:r>
            <w:r w:rsidRPr="006A745D">
              <w:rPr>
                <w:rFonts w:ascii="Calibri" w:hAnsi="Calibri" w:cs="Calibri"/>
                <w:b/>
                <w:i/>
                <w:sz w:val="28"/>
                <w:szCs w:val="28"/>
              </w:rPr>
              <w:t>Comcast</w:t>
            </w:r>
            <w:r>
              <w:rPr>
                <w:rFonts w:ascii="Calibri" w:hAnsi="Calibri" w:cs="Calibri"/>
                <w:b/>
                <w:sz w:val="28"/>
                <w:szCs w:val="28"/>
              </w:rPr>
              <w:t>’s (U.S. 2013) first step in a damages study: to translate the legal theory of the harmful event into an analysis of the economic impact of that event?</w:t>
            </w:r>
          </w:p>
        </w:tc>
        <w:tc>
          <w:tcPr>
            <w:tcW w:w="5805" w:type="dxa"/>
            <w:vAlign w:val="center"/>
          </w:tcPr>
          <w:p w14:paraId="4EEC561A"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Plaintiffs’ methodology does </w:t>
            </w:r>
            <w:r w:rsidRPr="006A745D">
              <w:rPr>
                <w:rFonts w:ascii="Calibri" w:hAnsi="Calibri" w:cs="Calibri"/>
                <w:b/>
                <w:sz w:val="22"/>
                <w:szCs w:val="22"/>
              </w:rPr>
              <w:t xml:space="preserve">not measure monopoly overcharges by AT&amp;T in the </w:t>
            </w:r>
            <w:r w:rsidRPr="006A745D">
              <w:rPr>
                <w:rFonts w:ascii="Calibri" w:hAnsi="Calibri" w:cs="Calibri"/>
                <w:b/>
                <w:i/>
                <w:sz w:val="22"/>
                <w:szCs w:val="22"/>
              </w:rPr>
              <w:t>renewal voice and data market</w:t>
            </w:r>
            <w:r>
              <w:rPr>
                <w:rFonts w:ascii="Calibri" w:hAnsi="Calibri" w:cs="Calibri"/>
                <w:b/>
                <w:sz w:val="22"/>
                <w:szCs w:val="22"/>
              </w:rPr>
              <w:t xml:space="preserve"> (the only theory left after the district court’s partial summary judgment grant). I</w:t>
            </w:r>
            <w:r w:rsidRPr="006A745D">
              <w:rPr>
                <w:rFonts w:ascii="Calibri" w:hAnsi="Calibri" w:cs="Calibri"/>
                <w:b/>
                <w:sz w:val="22"/>
                <w:szCs w:val="22"/>
              </w:rPr>
              <w:t>nstead</w:t>
            </w:r>
            <w:r>
              <w:rPr>
                <w:rFonts w:ascii="Calibri" w:hAnsi="Calibri" w:cs="Calibri"/>
                <w:b/>
                <w:sz w:val="22"/>
                <w:szCs w:val="22"/>
              </w:rPr>
              <w:t>, Plaintiffs’ models measure</w:t>
            </w:r>
            <w:r w:rsidRPr="006A745D">
              <w:rPr>
                <w:rFonts w:ascii="Calibri" w:hAnsi="Calibri" w:cs="Calibri"/>
                <w:b/>
                <w:sz w:val="22"/>
                <w:szCs w:val="22"/>
              </w:rPr>
              <w:t xml:space="preserve"> unalleged </w:t>
            </w:r>
            <w:proofErr w:type="spellStart"/>
            <w:r w:rsidRPr="006A745D">
              <w:rPr>
                <w:rFonts w:ascii="Calibri" w:hAnsi="Calibri" w:cs="Calibri"/>
                <w:b/>
                <w:sz w:val="22"/>
                <w:szCs w:val="22"/>
              </w:rPr>
              <w:t>supracompetitive</w:t>
            </w:r>
            <w:proofErr w:type="spellEnd"/>
            <w:r w:rsidRPr="006A745D">
              <w:rPr>
                <w:rFonts w:ascii="Calibri" w:hAnsi="Calibri" w:cs="Calibri"/>
                <w:b/>
                <w:sz w:val="22"/>
                <w:szCs w:val="22"/>
              </w:rPr>
              <w:t xml:space="preserve"> pricing for </w:t>
            </w:r>
            <w:r w:rsidRPr="006A745D">
              <w:rPr>
                <w:rFonts w:ascii="Calibri" w:hAnsi="Calibri" w:cs="Calibri"/>
                <w:b/>
                <w:i/>
                <w:sz w:val="22"/>
                <w:szCs w:val="22"/>
              </w:rPr>
              <w:t>iPhones themselves</w:t>
            </w:r>
            <w:r w:rsidRPr="006A745D">
              <w:rPr>
                <w:rFonts w:ascii="Calibri" w:hAnsi="Calibri" w:cs="Calibri"/>
                <w:b/>
                <w:sz w:val="22"/>
                <w:szCs w:val="22"/>
              </w:rPr>
              <w:t xml:space="preserve">, </w:t>
            </w:r>
            <w:r>
              <w:rPr>
                <w:rFonts w:ascii="Calibri" w:hAnsi="Calibri" w:cs="Calibri"/>
                <w:b/>
                <w:sz w:val="22"/>
                <w:szCs w:val="22"/>
              </w:rPr>
              <w:t>thereby failing</w:t>
            </w:r>
            <w:r w:rsidRPr="006A745D">
              <w:rPr>
                <w:rFonts w:ascii="Calibri" w:hAnsi="Calibri" w:cs="Calibri"/>
                <w:b/>
                <w:sz w:val="22"/>
                <w:szCs w:val="22"/>
              </w:rPr>
              <w:t xml:space="preserve"> </w:t>
            </w:r>
            <w:r w:rsidRPr="006A745D">
              <w:rPr>
                <w:rFonts w:ascii="Calibri" w:hAnsi="Calibri" w:cs="Calibri"/>
                <w:b/>
                <w:i/>
                <w:sz w:val="22"/>
                <w:szCs w:val="22"/>
              </w:rPr>
              <w:t>Comcast</w:t>
            </w:r>
            <w:r w:rsidRPr="006A745D">
              <w:rPr>
                <w:rFonts w:ascii="Calibri" w:hAnsi="Calibri" w:cs="Calibri"/>
                <w:b/>
                <w:sz w:val="22"/>
                <w:szCs w:val="22"/>
              </w:rPr>
              <w:t>’s requirement that “any model supporting ‘a plaintiff’s damages case must be consistent with its liability case, particularly with respect to the alleged anticompetitive effect of the violation.’”</w:t>
            </w:r>
          </w:p>
        </w:tc>
      </w:tr>
      <w:tr w:rsidR="00093B76" w:rsidRPr="00907D75" w14:paraId="7F21E910" w14:textId="77777777" w:rsidTr="00093B76">
        <w:trPr>
          <w:trHeight w:val="4795"/>
        </w:trPr>
        <w:tc>
          <w:tcPr>
            <w:tcW w:w="5805" w:type="dxa"/>
            <w:vAlign w:val="center"/>
          </w:tcPr>
          <w:p w14:paraId="09BFC94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Is Dr. Warren-Boulton’s TNE theory also flawed under </w:t>
            </w:r>
            <w:r w:rsidRPr="006A745D">
              <w:rPr>
                <w:rFonts w:ascii="Calibri" w:hAnsi="Calibri" w:cs="Calibri"/>
                <w:b/>
                <w:i/>
                <w:sz w:val="28"/>
                <w:szCs w:val="28"/>
              </w:rPr>
              <w:t>Comcast</w:t>
            </w:r>
            <w:r>
              <w:rPr>
                <w:rFonts w:ascii="Calibri" w:hAnsi="Calibri" w:cs="Calibri"/>
                <w:b/>
                <w:sz w:val="28"/>
                <w:szCs w:val="28"/>
              </w:rPr>
              <w:t>?</w:t>
            </w:r>
          </w:p>
        </w:tc>
        <w:tc>
          <w:tcPr>
            <w:tcW w:w="5805" w:type="dxa"/>
            <w:vAlign w:val="center"/>
          </w:tcPr>
          <w:p w14:paraId="1D98848D" w14:textId="77777777" w:rsidR="00093B76" w:rsidRDefault="00093B76" w:rsidP="002A24E8">
            <w:pPr>
              <w:pStyle w:val="O-BodyText"/>
              <w:rPr>
                <w:rFonts w:ascii="Calibri" w:hAnsi="Calibri" w:cs="Calibri"/>
                <w:b/>
                <w:sz w:val="22"/>
                <w:szCs w:val="22"/>
              </w:rPr>
            </w:pPr>
            <w:r>
              <w:rPr>
                <w:rFonts w:ascii="Calibri" w:hAnsi="Calibri" w:cs="Calibri"/>
                <w:b/>
                <w:sz w:val="22"/>
                <w:szCs w:val="22"/>
              </w:rPr>
              <w:t xml:space="preserve">Yes, </w:t>
            </w:r>
            <w:r w:rsidRPr="006A745D">
              <w:rPr>
                <w:rFonts w:ascii="Calibri" w:hAnsi="Calibri" w:cs="Calibri"/>
                <w:b/>
                <w:sz w:val="22"/>
                <w:szCs w:val="22"/>
              </w:rPr>
              <w:t>because Plaintiffs have never contended that there was anything unlawful about the exclusivity itself, nor could they.</w:t>
            </w:r>
          </w:p>
        </w:tc>
      </w:tr>
      <w:tr w:rsidR="00093B76" w:rsidRPr="00907D75" w14:paraId="16F8166F" w14:textId="77777777" w:rsidTr="00093B76">
        <w:trPr>
          <w:trHeight w:val="4795"/>
        </w:trPr>
        <w:tc>
          <w:tcPr>
            <w:tcW w:w="5805" w:type="dxa"/>
            <w:vAlign w:val="center"/>
          </w:tcPr>
          <w:p w14:paraId="52F714D4" w14:textId="77777777" w:rsidR="00093B76" w:rsidRPr="002E153D"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Why does the fact that Plaintiffs can’t assert the exclusivity as unlawful matter under </w:t>
            </w:r>
            <w:r>
              <w:rPr>
                <w:rFonts w:ascii="Calibri" w:hAnsi="Calibri" w:cs="Calibri"/>
                <w:b/>
                <w:i/>
                <w:sz w:val="28"/>
                <w:szCs w:val="28"/>
              </w:rPr>
              <w:t>Comcast</w:t>
            </w:r>
            <w:r>
              <w:rPr>
                <w:rFonts w:ascii="Calibri" w:hAnsi="Calibri" w:cs="Calibri"/>
                <w:b/>
                <w:sz w:val="28"/>
                <w:szCs w:val="28"/>
              </w:rPr>
              <w:t>?</w:t>
            </w:r>
          </w:p>
        </w:tc>
        <w:tc>
          <w:tcPr>
            <w:tcW w:w="5805" w:type="dxa"/>
            <w:vAlign w:val="center"/>
          </w:tcPr>
          <w:p w14:paraId="6BE6F955" w14:textId="77777777" w:rsidR="00093B76" w:rsidRDefault="00093B76" w:rsidP="002A24E8">
            <w:pPr>
              <w:pStyle w:val="O-BodyText"/>
              <w:rPr>
                <w:rFonts w:ascii="Calibri" w:hAnsi="Calibri" w:cs="Calibri"/>
                <w:b/>
                <w:sz w:val="22"/>
                <w:szCs w:val="22"/>
              </w:rPr>
            </w:pPr>
            <w:r>
              <w:rPr>
                <w:rFonts w:ascii="Calibri" w:hAnsi="Calibri" w:cs="Calibri"/>
                <w:b/>
                <w:sz w:val="22"/>
                <w:szCs w:val="22"/>
                <w:highlight w:val="yellow"/>
              </w:rPr>
              <w:t>[E</w:t>
            </w:r>
            <w:r w:rsidRPr="002E153D">
              <w:rPr>
                <w:rFonts w:ascii="Calibri" w:hAnsi="Calibri" w:cs="Calibri"/>
                <w:b/>
                <w:sz w:val="22"/>
                <w:szCs w:val="22"/>
                <w:highlight w:val="yellow"/>
              </w:rPr>
              <w:t>xplain.</w:t>
            </w:r>
            <w:r>
              <w:rPr>
                <w:rFonts w:ascii="Calibri" w:hAnsi="Calibri" w:cs="Calibri"/>
                <w:b/>
                <w:sz w:val="22"/>
                <w:szCs w:val="22"/>
              </w:rPr>
              <w:t>]</w:t>
            </w:r>
          </w:p>
        </w:tc>
      </w:tr>
      <w:tr w:rsidR="00093B76" w:rsidRPr="00907D75" w14:paraId="0F02D6F9" w14:textId="77777777" w:rsidTr="00093B76">
        <w:trPr>
          <w:trHeight w:val="4795"/>
        </w:trPr>
        <w:tc>
          <w:tcPr>
            <w:tcW w:w="5805" w:type="dxa"/>
            <w:vAlign w:val="center"/>
          </w:tcPr>
          <w:p w14:paraId="4681712C"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couldn’t Plaintiffs contend that Apple and AT&amp;T’s exclusivity was itself unlawful?</w:t>
            </w:r>
          </w:p>
        </w:tc>
        <w:tc>
          <w:tcPr>
            <w:tcW w:w="5805" w:type="dxa"/>
            <w:vAlign w:val="center"/>
          </w:tcPr>
          <w:p w14:paraId="6EDF7E72" w14:textId="77777777" w:rsidR="00093B76" w:rsidRDefault="00093B76" w:rsidP="002A24E8">
            <w:pPr>
              <w:pStyle w:val="O-BodyText"/>
              <w:rPr>
                <w:rFonts w:ascii="Calibri" w:hAnsi="Calibri" w:cs="Calibri"/>
                <w:b/>
                <w:sz w:val="22"/>
                <w:szCs w:val="22"/>
              </w:rPr>
            </w:pPr>
            <w:r w:rsidRPr="006A745D">
              <w:rPr>
                <w:rFonts w:ascii="Calibri" w:hAnsi="Calibri" w:cs="Calibri"/>
                <w:b/>
                <w:sz w:val="22"/>
                <w:szCs w:val="22"/>
              </w:rPr>
              <w:t>Exclusive arrangements between phone manufacturers and carriers are common, and an exclusive deal for the launch of a new product with zero market share could not possibly be anticompetitive. Dr. Warren-Boulton himself agreed that “the extension of exclusivity into the Renewal Service Period, by itself and with full information to purchasers,” would not have been anticompetitive or unlawful.</w:t>
            </w:r>
          </w:p>
        </w:tc>
      </w:tr>
      <w:tr w:rsidR="00093B76" w:rsidRPr="00907D75" w14:paraId="69D3F301" w14:textId="77777777" w:rsidTr="00093B76">
        <w:trPr>
          <w:trHeight w:val="4795"/>
        </w:trPr>
        <w:tc>
          <w:tcPr>
            <w:tcW w:w="5805" w:type="dxa"/>
            <w:vAlign w:val="center"/>
          </w:tcPr>
          <w:p w14:paraId="7AFDD629"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is wrong with the Plaintiffs’ TNE theory measuring the damages that occurred from the alleged consumer deception?</w:t>
            </w:r>
          </w:p>
        </w:tc>
        <w:tc>
          <w:tcPr>
            <w:tcW w:w="5805" w:type="dxa"/>
            <w:vAlign w:val="center"/>
          </w:tcPr>
          <w:p w14:paraId="770DDC93" w14:textId="77777777" w:rsidR="00093B76" w:rsidRDefault="00093B76" w:rsidP="002A24E8">
            <w:pPr>
              <w:pStyle w:val="O-BodyText"/>
              <w:rPr>
                <w:rFonts w:ascii="Calibri" w:hAnsi="Calibri" w:cs="Calibri"/>
                <w:b/>
                <w:sz w:val="22"/>
                <w:szCs w:val="22"/>
              </w:rPr>
            </w:pPr>
            <w:r w:rsidRPr="00D52679">
              <w:rPr>
                <w:rFonts w:ascii="Calibri" w:hAnsi="Calibri" w:cs="Calibri"/>
                <w:b/>
                <w:sz w:val="22"/>
                <w:szCs w:val="22"/>
              </w:rPr>
              <w:t xml:space="preserve">Plaintiffs </w:t>
            </w:r>
            <w:r>
              <w:rPr>
                <w:rFonts w:ascii="Calibri" w:hAnsi="Calibri" w:cs="Calibri"/>
                <w:b/>
                <w:sz w:val="22"/>
                <w:szCs w:val="22"/>
              </w:rPr>
              <w:t>liability theory is based on their claim</w:t>
            </w:r>
            <w:r w:rsidRPr="00D52679">
              <w:rPr>
                <w:rFonts w:ascii="Calibri" w:hAnsi="Calibri" w:cs="Calibri"/>
                <w:b/>
                <w:sz w:val="22"/>
                <w:szCs w:val="22"/>
              </w:rPr>
              <w:t xml:space="preserve"> that consumers lacked full information about the fact that their iPhones would not be unlocked after their initial two-year contracts, and therefore became vulnerable to </w:t>
            </w:r>
            <w:proofErr w:type="spellStart"/>
            <w:r w:rsidRPr="00D52679">
              <w:rPr>
                <w:rFonts w:ascii="Calibri" w:hAnsi="Calibri" w:cs="Calibri"/>
                <w:b/>
                <w:sz w:val="22"/>
                <w:szCs w:val="22"/>
              </w:rPr>
              <w:t>supracompetitive</w:t>
            </w:r>
            <w:proofErr w:type="spellEnd"/>
            <w:r w:rsidRPr="00D52679">
              <w:rPr>
                <w:rFonts w:ascii="Calibri" w:hAnsi="Calibri" w:cs="Calibri"/>
                <w:b/>
                <w:sz w:val="22"/>
                <w:szCs w:val="22"/>
              </w:rPr>
              <w:t xml:space="preserve"> pricing in the voice and data renewal services “aftermarket.” Dr. Warren-Boulton’s “TNE” but-for world does not, however, even purport to measure the impact of that alleged consumer deception and “lock in.” Instead</w:t>
            </w:r>
            <w:r>
              <w:rPr>
                <w:rFonts w:ascii="Calibri" w:hAnsi="Calibri" w:cs="Calibri"/>
                <w:b/>
                <w:sz w:val="22"/>
                <w:szCs w:val="22"/>
              </w:rPr>
              <w:t>,</w:t>
            </w:r>
            <w:r w:rsidRPr="00D52679">
              <w:rPr>
                <w:rFonts w:ascii="Calibri" w:hAnsi="Calibri" w:cs="Calibri"/>
                <w:b/>
                <w:sz w:val="22"/>
                <w:szCs w:val="22"/>
              </w:rPr>
              <w:t xml:space="preserve"> it explicitly measures the impact of </w:t>
            </w:r>
            <w:r w:rsidRPr="00D52679">
              <w:rPr>
                <w:rFonts w:ascii="Calibri" w:hAnsi="Calibri" w:cs="Calibri"/>
                <w:b/>
                <w:i/>
                <w:sz w:val="22"/>
                <w:szCs w:val="22"/>
              </w:rPr>
              <w:t>exclusivity itself</w:t>
            </w:r>
            <w:r w:rsidRPr="00D52679">
              <w:rPr>
                <w:rFonts w:ascii="Calibri" w:hAnsi="Calibri" w:cs="Calibri"/>
                <w:b/>
                <w:sz w:val="22"/>
                <w:szCs w:val="22"/>
              </w:rPr>
              <w:t>.</w:t>
            </w:r>
            <w:r>
              <w:rPr>
                <w:rFonts w:ascii="Calibri" w:hAnsi="Calibri" w:cs="Calibri"/>
                <w:b/>
                <w:sz w:val="22"/>
                <w:szCs w:val="22"/>
              </w:rPr>
              <w:t xml:space="preserve"> </w:t>
            </w:r>
          </w:p>
        </w:tc>
      </w:tr>
      <w:tr w:rsidR="00093B76" w:rsidRPr="00907D75" w14:paraId="5E46FDE6" w14:textId="77777777" w:rsidTr="00093B76">
        <w:trPr>
          <w:trHeight w:val="4795"/>
        </w:trPr>
        <w:tc>
          <w:tcPr>
            <w:tcW w:w="5805" w:type="dxa"/>
            <w:vAlign w:val="center"/>
          </w:tcPr>
          <w:p w14:paraId="031E541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How does the TNE’s but-for world measure only the exclusivity itself and not the impact of the alleged consumer deception?</w:t>
            </w:r>
          </w:p>
        </w:tc>
        <w:tc>
          <w:tcPr>
            <w:tcW w:w="5805" w:type="dxa"/>
            <w:vAlign w:val="center"/>
          </w:tcPr>
          <w:p w14:paraId="3D8CD152" w14:textId="77777777" w:rsidR="00093B76" w:rsidRPr="00D52679" w:rsidRDefault="00093B76" w:rsidP="002A24E8">
            <w:pPr>
              <w:pStyle w:val="O-BodyText"/>
              <w:rPr>
                <w:rFonts w:ascii="Calibri" w:hAnsi="Calibri" w:cs="Calibri"/>
                <w:b/>
                <w:sz w:val="22"/>
                <w:szCs w:val="22"/>
              </w:rPr>
            </w:pPr>
            <w:r>
              <w:rPr>
                <w:rFonts w:ascii="Calibri" w:hAnsi="Calibri" w:cs="Calibri"/>
                <w:b/>
                <w:sz w:val="22"/>
                <w:szCs w:val="22"/>
                <w:highlight w:val="yellow"/>
              </w:rPr>
              <w:t>[Explain</w:t>
            </w:r>
            <w:r w:rsidRPr="00D52679">
              <w:rPr>
                <w:rFonts w:ascii="Calibri" w:hAnsi="Calibri" w:cs="Calibri"/>
                <w:b/>
                <w:sz w:val="22"/>
                <w:szCs w:val="22"/>
                <w:highlight w:val="yellow"/>
              </w:rPr>
              <w:t>.</w:t>
            </w:r>
            <w:r>
              <w:rPr>
                <w:rFonts w:ascii="Calibri" w:hAnsi="Calibri" w:cs="Calibri"/>
                <w:b/>
                <w:sz w:val="22"/>
                <w:szCs w:val="22"/>
              </w:rPr>
              <w:t>]</w:t>
            </w:r>
          </w:p>
        </w:tc>
      </w:tr>
      <w:tr w:rsidR="00093B76" w:rsidRPr="00907D75" w14:paraId="792C007C" w14:textId="77777777" w:rsidTr="00093B76">
        <w:trPr>
          <w:trHeight w:val="4795"/>
        </w:trPr>
        <w:tc>
          <w:tcPr>
            <w:tcW w:w="5805" w:type="dxa"/>
            <w:vAlign w:val="center"/>
          </w:tcPr>
          <w:p w14:paraId="6487397E"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Do both the TE and the TNE theories fail to estimate class-wide damages?</w:t>
            </w:r>
          </w:p>
        </w:tc>
        <w:tc>
          <w:tcPr>
            <w:tcW w:w="5805" w:type="dxa"/>
            <w:vAlign w:val="center"/>
          </w:tcPr>
          <w:p w14:paraId="32B587EB" w14:textId="77777777" w:rsidR="00093B76" w:rsidRPr="00D52679" w:rsidRDefault="00093B76" w:rsidP="002A24E8">
            <w:pPr>
              <w:pStyle w:val="O-BodyText"/>
              <w:rPr>
                <w:rFonts w:ascii="Calibri" w:hAnsi="Calibri" w:cs="Calibri"/>
                <w:b/>
                <w:sz w:val="22"/>
                <w:szCs w:val="22"/>
              </w:rPr>
            </w:pPr>
            <w:r>
              <w:rPr>
                <w:rFonts w:ascii="Calibri" w:hAnsi="Calibri" w:cs="Calibri"/>
                <w:b/>
                <w:sz w:val="22"/>
                <w:szCs w:val="22"/>
              </w:rPr>
              <w:t>Yes, both of Plaintiffs’ expert’s theories fail</w:t>
            </w:r>
            <w:r w:rsidRPr="00D52679">
              <w:rPr>
                <w:rFonts w:ascii="Calibri" w:hAnsi="Calibri" w:cs="Calibri"/>
                <w:b/>
                <w:sz w:val="22"/>
                <w:szCs w:val="22"/>
              </w:rPr>
              <w:t xml:space="preserve"> to estimate “damages stem[</w:t>
            </w:r>
            <w:proofErr w:type="spellStart"/>
            <w:r w:rsidRPr="00D52679">
              <w:rPr>
                <w:rFonts w:ascii="Calibri" w:hAnsi="Calibri" w:cs="Calibri"/>
                <w:b/>
                <w:sz w:val="22"/>
                <w:szCs w:val="22"/>
              </w:rPr>
              <w:t>ming</w:t>
            </w:r>
            <w:proofErr w:type="spellEnd"/>
            <w:r w:rsidRPr="00D52679">
              <w:rPr>
                <w:rFonts w:ascii="Calibri" w:hAnsi="Calibri" w:cs="Calibri"/>
                <w:b/>
                <w:sz w:val="22"/>
                <w:szCs w:val="22"/>
              </w:rPr>
              <w:t xml:space="preserve">] from the defendant’s actions that [allegedly] created the legal liability.” </w:t>
            </w:r>
            <w:r w:rsidRPr="00D52679">
              <w:rPr>
                <w:rFonts w:ascii="Calibri" w:hAnsi="Calibri" w:cs="Calibri"/>
                <w:b/>
                <w:i/>
                <w:sz w:val="22"/>
                <w:szCs w:val="22"/>
              </w:rPr>
              <w:t>Leyva v. Medline Indus., Inc.</w:t>
            </w:r>
            <w:r w:rsidRPr="00D52679">
              <w:rPr>
                <w:rFonts w:ascii="Calibri" w:hAnsi="Calibri" w:cs="Calibri"/>
                <w:b/>
                <w:sz w:val="22"/>
                <w:szCs w:val="22"/>
              </w:rPr>
              <w:t>, 716 F.3d 510, 514 (9th Cir. 2013).</w:t>
            </w:r>
          </w:p>
        </w:tc>
      </w:tr>
    </w:tbl>
    <w:p w14:paraId="0C928902" w14:textId="77777777" w:rsidR="00093B76" w:rsidRDefault="00093B76" w:rsidP="00093B76">
      <w:pPr>
        <w:rPr>
          <w:b/>
          <w:u w:val="single"/>
        </w:rPr>
      </w:pPr>
    </w:p>
    <w:p w14:paraId="257B4579" w14:textId="77777777" w:rsidR="00093B76" w:rsidRDefault="00093B76">
      <w:pPr>
        <w:spacing w:after="240"/>
        <w:rPr>
          <w:b/>
          <w:u w:val="single"/>
        </w:rPr>
      </w:pPr>
      <w:r>
        <w:rPr>
          <w:b/>
          <w:u w:val="single"/>
        </w:rPr>
        <w:lastRenderedPageBreak/>
        <w:br w:type="page"/>
      </w:r>
    </w:p>
    <w:p w14:paraId="0493943F" w14:textId="052500D0" w:rsidR="00070F98" w:rsidRDefault="00093B76" w:rsidP="00093B76">
      <w:pPr>
        <w:rPr>
          <w:b/>
          <w:u w:val="single"/>
        </w:rPr>
      </w:pPr>
      <w:r w:rsidRPr="00093B76">
        <w:rPr>
          <w:b/>
          <w:u w:val="single"/>
        </w:rPr>
        <w:lastRenderedPageBreak/>
        <w:t>Argument 3</w:t>
      </w:r>
    </w:p>
    <w:p w14:paraId="779CD478" w14:textId="77777777" w:rsidR="00093B76" w:rsidRPr="00093B76" w:rsidRDefault="00093B76" w:rsidP="00093B76">
      <w:pPr>
        <w:rPr>
          <w:b/>
          <w:u w:val="single"/>
        </w:rPr>
      </w:pP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99"/>
        <w:gridCol w:w="5706"/>
        <w:gridCol w:w="198"/>
      </w:tblGrid>
      <w:tr w:rsidR="00093B76" w:rsidRPr="0010708E" w14:paraId="1FADBDF7" w14:textId="77777777" w:rsidTr="001D31EB">
        <w:trPr>
          <w:trHeight w:val="4795"/>
        </w:trPr>
        <w:tc>
          <w:tcPr>
            <w:tcW w:w="5904" w:type="dxa"/>
            <w:gridSpan w:val="2"/>
            <w:vAlign w:val="center"/>
          </w:tcPr>
          <w:p w14:paraId="0ABCC3E0" w14:textId="77777777" w:rsidR="00093B76" w:rsidRPr="0010708E" w:rsidRDefault="00093B76" w:rsidP="002A24E8">
            <w:pPr>
              <w:pStyle w:val="O-BodyText"/>
              <w:spacing w:afterLines="120" w:after="288"/>
              <w:ind w:right="108"/>
              <w:jc w:val="center"/>
              <w:rPr>
                <w:rFonts w:ascii="Calibri" w:hAnsi="Calibri"/>
                <w:b/>
                <w:bCs/>
                <w:sz w:val="52"/>
                <w:szCs w:val="52"/>
              </w:rPr>
            </w:pPr>
            <w:bookmarkStart w:id="4" w:name="_GoBack"/>
            <w:r>
              <w:rPr>
                <w:rFonts w:ascii="Calibri" w:hAnsi="Calibri"/>
                <w:b/>
                <w:bCs/>
                <w:sz w:val="52"/>
                <w:szCs w:val="52"/>
              </w:rPr>
              <w:t>Argument III:  Reassignment is Unwarranted</w:t>
            </w:r>
          </w:p>
        </w:tc>
        <w:tc>
          <w:tcPr>
            <w:tcW w:w="5904" w:type="dxa"/>
            <w:gridSpan w:val="2"/>
            <w:vAlign w:val="center"/>
          </w:tcPr>
          <w:p w14:paraId="06B31809" w14:textId="77777777" w:rsidR="00093B76" w:rsidRPr="0010708E" w:rsidRDefault="00093B76" w:rsidP="002A24E8">
            <w:pPr>
              <w:pStyle w:val="O-BodyText"/>
              <w:spacing w:after="120"/>
              <w:ind w:right="158"/>
              <w:jc w:val="center"/>
              <w:rPr>
                <w:rFonts w:ascii="Calibri" w:hAnsi="Calibri"/>
                <w:b/>
                <w:bCs/>
                <w:sz w:val="22"/>
                <w:szCs w:val="22"/>
              </w:rPr>
            </w:pPr>
            <w:r w:rsidRPr="0010708E">
              <w:rPr>
                <w:rFonts w:ascii="Calibri" w:hAnsi="Calibri"/>
                <w:b/>
                <w:bCs/>
                <w:sz w:val="52"/>
                <w:szCs w:val="52"/>
              </w:rPr>
              <w:t>Color</w:t>
            </w:r>
            <w:r>
              <w:rPr>
                <w:rFonts w:ascii="Calibri" w:hAnsi="Calibri"/>
                <w:b/>
                <w:bCs/>
                <w:sz w:val="52"/>
                <w:szCs w:val="52"/>
              </w:rPr>
              <w:t>:</w:t>
            </w:r>
          </w:p>
        </w:tc>
      </w:tr>
      <w:tr w:rsidR="00093B76" w:rsidRPr="00CB498F" w14:paraId="6939F104" w14:textId="77777777" w:rsidTr="001D31EB">
        <w:trPr>
          <w:gridAfter w:val="1"/>
          <w:wAfter w:w="198" w:type="dxa"/>
          <w:trHeight w:val="4795"/>
        </w:trPr>
        <w:tc>
          <w:tcPr>
            <w:tcW w:w="5805" w:type="dxa"/>
            <w:vAlign w:val="center"/>
          </w:tcPr>
          <w:p w14:paraId="675D80C3"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Under what circumstances is reassignment warranted?</w:t>
            </w:r>
          </w:p>
        </w:tc>
        <w:tc>
          <w:tcPr>
            <w:tcW w:w="5805" w:type="dxa"/>
            <w:gridSpan w:val="2"/>
            <w:vAlign w:val="center"/>
          </w:tcPr>
          <w:p w14:paraId="09219ABD" w14:textId="77777777" w:rsidR="00093B76" w:rsidRPr="00CB498F" w:rsidRDefault="00093B76" w:rsidP="002A24E8">
            <w:pPr>
              <w:pStyle w:val="O-BodyText"/>
              <w:spacing w:after="120"/>
              <w:ind w:left="290" w:right="65"/>
              <w:jc w:val="both"/>
              <w:rPr>
                <w:rFonts w:ascii="Calibri" w:hAnsi="Calibri" w:cs="Calibri"/>
                <w:b/>
                <w:sz w:val="22"/>
                <w:szCs w:val="22"/>
                <w:lang w:bidi="en-US"/>
              </w:rPr>
            </w:pPr>
            <w:r w:rsidRPr="00CB498F">
              <w:rPr>
                <w:rFonts w:ascii="Calibri" w:hAnsi="Calibri" w:cs="Calibri"/>
                <w:b/>
                <w:sz w:val="22"/>
                <w:szCs w:val="22"/>
                <w:lang w:bidi="en-US"/>
              </w:rPr>
              <w:t xml:space="preserve">This Court exercises its statutory supervisory authority to reassign cases on remand only in “rare and extraordinary circumstances.” </w:t>
            </w:r>
            <w:proofErr w:type="spellStart"/>
            <w:r w:rsidRPr="00CB498F">
              <w:rPr>
                <w:rFonts w:ascii="Calibri" w:hAnsi="Calibri" w:cs="Calibri"/>
                <w:b/>
                <w:i/>
                <w:sz w:val="22"/>
                <w:szCs w:val="22"/>
                <w:lang w:bidi="en-US"/>
              </w:rPr>
              <w:t>Krechman</w:t>
            </w:r>
            <w:proofErr w:type="spellEnd"/>
            <w:r w:rsidRPr="00CB498F">
              <w:rPr>
                <w:rFonts w:ascii="Calibri" w:hAnsi="Calibri" w:cs="Calibri"/>
                <w:b/>
                <w:i/>
                <w:sz w:val="22"/>
                <w:szCs w:val="22"/>
                <w:lang w:bidi="en-US"/>
              </w:rPr>
              <w:t xml:space="preserve"> v. County of Riverside</w:t>
            </w:r>
            <w:r>
              <w:rPr>
                <w:rFonts w:ascii="Calibri" w:hAnsi="Calibri" w:cs="Calibri"/>
                <w:b/>
                <w:sz w:val="22"/>
                <w:szCs w:val="22"/>
                <w:lang w:bidi="en-US"/>
              </w:rPr>
              <w:t xml:space="preserve"> </w:t>
            </w:r>
            <w:r w:rsidRPr="00CB498F">
              <w:rPr>
                <w:rFonts w:ascii="Calibri" w:hAnsi="Calibri" w:cs="Calibri"/>
                <w:b/>
                <w:sz w:val="22"/>
                <w:szCs w:val="22"/>
                <w:lang w:bidi="en-US"/>
              </w:rPr>
              <w:t>(9</w:t>
            </w:r>
            <w:r>
              <w:rPr>
                <w:rFonts w:ascii="Calibri" w:hAnsi="Calibri" w:cs="Calibri"/>
                <w:b/>
                <w:sz w:val="22"/>
                <w:szCs w:val="22"/>
                <w:lang w:bidi="en-US"/>
              </w:rPr>
              <w:t>th Cir. 2013)</w:t>
            </w:r>
            <w:r w:rsidRPr="00CB498F">
              <w:rPr>
                <w:rFonts w:ascii="Calibri" w:hAnsi="Calibri" w:cs="Calibri"/>
                <w:b/>
                <w:sz w:val="22"/>
                <w:szCs w:val="22"/>
                <w:lang w:bidi="en-US"/>
              </w:rPr>
              <w:t>.</w:t>
            </w:r>
            <w:r>
              <w:rPr>
                <w:rFonts w:ascii="Calibri" w:hAnsi="Calibri" w:cs="Calibri"/>
                <w:b/>
                <w:sz w:val="22"/>
                <w:szCs w:val="22"/>
                <w:lang w:bidi="en-US"/>
              </w:rPr>
              <w:t xml:space="preserve">  </w:t>
            </w:r>
            <w:r w:rsidRPr="00CB498F">
              <w:rPr>
                <w:rFonts w:ascii="Calibri" w:hAnsi="Calibri" w:cs="Calibri"/>
                <w:b/>
                <w:sz w:val="22"/>
                <w:szCs w:val="22"/>
                <w:lang w:bidi="en-US"/>
              </w:rPr>
              <w:t xml:space="preserve">Such circumstances exist only where “the district court has exhibited </w:t>
            </w:r>
            <w:r w:rsidRPr="00CB498F">
              <w:rPr>
                <w:rFonts w:ascii="Calibri" w:hAnsi="Calibri" w:cs="Calibri"/>
                <w:b/>
                <w:i/>
                <w:sz w:val="22"/>
                <w:szCs w:val="22"/>
                <w:lang w:bidi="en-US"/>
              </w:rPr>
              <w:t>personal bias</w:t>
            </w:r>
            <w:r w:rsidRPr="00CB498F">
              <w:rPr>
                <w:rFonts w:ascii="Calibri" w:hAnsi="Calibri" w:cs="Calibri"/>
                <w:b/>
                <w:sz w:val="22"/>
                <w:szCs w:val="22"/>
                <w:lang w:bidi="en-US"/>
              </w:rPr>
              <w:t xml:space="preserve"> requiring recusal from a case” or in other “</w:t>
            </w:r>
            <w:r w:rsidRPr="00CB498F">
              <w:rPr>
                <w:rFonts w:ascii="Calibri" w:hAnsi="Calibri" w:cs="Calibri"/>
                <w:b/>
                <w:i/>
                <w:sz w:val="22"/>
                <w:szCs w:val="22"/>
                <w:lang w:bidi="en-US"/>
              </w:rPr>
              <w:t>unusual circumstances</w:t>
            </w:r>
            <w:r w:rsidRPr="00CB498F">
              <w:rPr>
                <w:rFonts w:ascii="Calibri" w:hAnsi="Calibri" w:cs="Calibri"/>
                <w:b/>
                <w:sz w:val="22"/>
                <w:szCs w:val="22"/>
                <w:lang w:bidi="en-US"/>
              </w:rPr>
              <w:t xml:space="preserve">.” </w:t>
            </w:r>
            <w:r w:rsidRPr="00CB498F">
              <w:rPr>
                <w:rFonts w:ascii="Calibri" w:hAnsi="Calibri" w:cs="Calibri"/>
                <w:b/>
                <w:i/>
                <w:sz w:val="22"/>
                <w:szCs w:val="22"/>
                <w:lang w:bidi="en-US"/>
              </w:rPr>
              <w:t>United Nat’l Ins. Co</w:t>
            </w:r>
            <w:r w:rsidRPr="00CB498F">
              <w:rPr>
                <w:rFonts w:ascii="Calibri" w:hAnsi="Calibri" w:cs="Calibri"/>
                <w:b/>
                <w:sz w:val="22"/>
                <w:szCs w:val="22"/>
                <w:lang w:bidi="en-US"/>
              </w:rPr>
              <w:t xml:space="preserve">. </w:t>
            </w:r>
            <w:r w:rsidRPr="00CB498F">
              <w:rPr>
                <w:rFonts w:ascii="Calibri" w:hAnsi="Calibri" w:cs="Calibri"/>
                <w:b/>
                <w:i/>
                <w:sz w:val="22"/>
                <w:szCs w:val="22"/>
                <w:lang w:bidi="en-US"/>
              </w:rPr>
              <w:t>v. R&amp;D Latex Corp.</w:t>
            </w:r>
            <w:r w:rsidRPr="00CB498F">
              <w:rPr>
                <w:rFonts w:ascii="Calibri" w:hAnsi="Calibri" w:cs="Calibri"/>
                <w:b/>
                <w:sz w:val="22"/>
                <w:szCs w:val="22"/>
                <w:lang w:bidi="en-US"/>
              </w:rPr>
              <w:t xml:space="preserve"> (9t</w:t>
            </w:r>
            <w:r>
              <w:rPr>
                <w:rFonts w:ascii="Calibri" w:hAnsi="Calibri" w:cs="Calibri"/>
                <w:b/>
                <w:sz w:val="22"/>
                <w:szCs w:val="22"/>
                <w:lang w:bidi="en-US"/>
              </w:rPr>
              <w:t>h Cir. 2001).</w:t>
            </w:r>
          </w:p>
        </w:tc>
      </w:tr>
      <w:tr w:rsidR="00093B76" w:rsidRPr="00CB498F" w14:paraId="342D0566" w14:textId="77777777" w:rsidTr="001D31EB">
        <w:trPr>
          <w:gridAfter w:val="1"/>
          <w:wAfter w:w="198" w:type="dxa"/>
          <w:trHeight w:val="4795"/>
        </w:trPr>
        <w:tc>
          <w:tcPr>
            <w:tcW w:w="5805" w:type="dxa"/>
            <w:vAlign w:val="center"/>
          </w:tcPr>
          <w:p w14:paraId="6EE014AC"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three factors do we consider in deciding whether unusual circumstances warranting reassignment exist?</w:t>
            </w:r>
          </w:p>
        </w:tc>
        <w:tc>
          <w:tcPr>
            <w:tcW w:w="5805" w:type="dxa"/>
            <w:gridSpan w:val="2"/>
            <w:vAlign w:val="center"/>
          </w:tcPr>
          <w:p w14:paraId="2585EBBE" w14:textId="77777777" w:rsidR="00093B76"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1. Whether t</w:t>
            </w:r>
            <w:r w:rsidRPr="006E74FC">
              <w:rPr>
                <w:rFonts w:ascii="Calibri" w:hAnsi="Calibri" w:cs="Calibri"/>
                <w:b/>
                <w:sz w:val="22"/>
                <w:szCs w:val="22"/>
                <w:lang w:bidi="en-US"/>
              </w:rPr>
              <w:t xml:space="preserve">he district court judge </w:t>
            </w:r>
            <w:r>
              <w:rPr>
                <w:rFonts w:ascii="Calibri" w:hAnsi="Calibri" w:cs="Calibri"/>
                <w:b/>
                <w:sz w:val="22"/>
                <w:szCs w:val="22"/>
                <w:lang w:bidi="en-US"/>
              </w:rPr>
              <w:t>would “</w:t>
            </w:r>
            <w:r w:rsidRPr="006E74FC">
              <w:rPr>
                <w:rFonts w:ascii="Calibri" w:hAnsi="Calibri" w:cs="Calibri"/>
                <w:b/>
                <w:sz w:val="22"/>
                <w:szCs w:val="22"/>
                <w:lang w:bidi="en-US"/>
              </w:rPr>
              <w:t>have substantial difficulty in putting out of his or her mind previously-expressed views or findings determined to be erroneous or based on evidence that must be rejected</w:t>
            </w:r>
            <w:r>
              <w:rPr>
                <w:rFonts w:ascii="Calibri" w:hAnsi="Calibri" w:cs="Calibri"/>
                <w:b/>
                <w:sz w:val="22"/>
                <w:szCs w:val="22"/>
                <w:lang w:bidi="en-US"/>
              </w:rPr>
              <w:t>.</w:t>
            </w:r>
            <w:r w:rsidRPr="006E74FC">
              <w:rPr>
                <w:rFonts w:ascii="Calibri" w:hAnsi="Calibri" w:cs="Calibri"/>
                <w:b/>
                <w:sz w:val="22"/>
                <w:szCs w:val="22"/>
                <w:lang w:bidi="en-US"/>
              </w:rPr>
              <w:t xml:space="preserve">” </w:t>
            </w:r>
          </w:p>
          <w:p w14:paraId="1DB1A92C" w14:textId="77777777" w:rsidR="00093B76"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2. Whether r</w:t>
            </w:r>
            <w:r w:rsidRPr="006E74FC">
              <w:rPr>
                <w:rFonts w:ascii="Calibri" w:hAnsi="Calibri" w:cs="Calibri"/>
                <w:b/>
                <w:sz w:val="22"/>
                <w:szCs w:val="22"/>
                <w:lang w:bidi="en-US"/>
              </w:rPr>
              <w:t xml:space="preserve">eassignment “is advisable to preserve the appearance of justice.” </w:t>
            </w:r>
          </w:p>
          <w:p w14:paraId="43B3CBF5" w14:textId="77777777" w:rsidR="00093B76"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3. Whether r</w:t>
            </w:r>
            <w:r w:rsidRPr="006E74FC">
              <w:rPr>
                <w:rFonts w:ascii="Calibri" w:hAnsi="Calibri" w:cs="Calibri"/>
                <w:b/>
                <w:sz w:val="22"/>
                <w:szCs w:val="22"/>
                <w:lang w:bidi="en-US"/>
              </w:rPr>
              <w:t xml:space="preserve">eassignment </w:t>
            </w:r>
            <w:r>
              <w:rPr>
                <w:rFonts w:ascii="Calibri" w:hAnsi="Calibri" w:cs="Calibri"/>
                <w:b/>
                <w:sz w:val="22"/>
                <w:szCs w:val="22"/>
                <w:lang w:bidi="en-US"/>
              </w:rPr>
              <w:t>would</w:t>
            </w:r>
            <w:r w:rsidRPr="006E74FC">
              <w:rPr>
                <w:rFonts w:ascii="Calibri" w:hAnsi="Calibri" w:cs="Calibri"/>
                <w:b/>
                <w:sz w:val="22"/>
                <w:szCs w:val="22"/>
                <w:lang w:bidi="en-US"/>
              </w:rPr>
              <w:t xml:space="preserve"> “entail waste and duplication out of proportion to any gain in preservi</w:t>
            </w:r>
            <w:r>
              <w:rPr>
                <w:rFonts w:ascii="Calibri" w:hAnsi="Calibri" w:cs="Calibri"/>
                <w:b/>
                <w:sz w:val="22"/>
                <w:szCs w:val="22"/>
                <w:lang w:bidi="en-US"/>
              </w:rPr>
              <w:t>ng the appearance of fairness.”</w:t>
            </w:r>
          </w:p>
          <w:p w14:paraId="63A46113" w14:textId="77777777" w:rsidR="00093B76" w:rsidRPr="00CB498F" w:rsidRDefault="00093B76" w:rsidP="002A24E8">
            <w:pPr>
              <w:pStyle w:val="O-BodyText"/>
              <w:spacing w:after="120"/>
              <w:ind w:left="290" w:right="65"/>
              <w:rPr>
                <w:rFonts w:ascii="Calibri" w:hAnsi="Calibri" w:cs="Calibri"/>
                <w:b/>
                <w:sz w:val="22"/>
                <w:szCs w:val="22"/>
                <w:lang w:bidi="en-US"/>
              </w:rPr>
            </w:pPr>
            <w:r w:rsidRPr="006E74FC">
              <w:rPr>
                <w:rFonts w:ascii="Calibri" w:hAnsi="Calibri" w:cs="Calibri"/>
                <w:b/>
                <w:i/>
                <w:sz w:val="22"/>
                <w:szCs w:val="22"/>
                <w:lang w:bidi="en-US"/>
              </w:rPr>
              <w:t>McSherry v. City of Long Beach</w:t>
            </w:r>
            <w:r>
              <w:rPr>
                <w:rFonts w:ascii="Calibri" w:hAnsi="Calibri" w:cs="Calibri"/>
                <w:b/>
                <w:sz w:val="22"/>
                <w:szCs w:val="22"/>
                <w:lang w:bidi="en-US"/>
              </w:rPr>
              <w:t xml:space="preserve"> (9th Cir. 2005).</w:t>
            </w:r>
          </w:p>
        </w:tc>
      </w:tr>
      <w:tr w:rsidR="00093B76" w14:paraId="311AE4E9" w14:textId="77777777" w:rsidTr="001D31EB">
        <w:trPr>
          <w:gridAfter w:val="1"/>
          <w:wAfter w:w="198" w:type="dxa"/>
          <w:trHeight w:val="4795"/>
        </w:trPr>
        <w:tc>
          <w:tcPr>
            <w:tcW w:w="5805" w:type="dxa"/>
            <w:vAlign w:val="center"/>
          </w:tcPr>
          <w:p w14:paraId="3E34D852"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On what basis do plaintiffs request reassignment?</w:t>
            </w:r>
          </w:p>
        </w:tc>
        <w:tc>
          <w:tcPr>
            <w:tcW w:w="5805" w:type="dxa"/>
            <w:gridSpan w:val="2"/>
            <w:vAlign w:val="center"/>
          </w:tcPr>
          <w:p w14:paraId="0C5B9975" w14:textId="77777777" w:rsidR="00093B76"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Plaintiffs’ argument for reassignment </w:t>
            </w:r>
            <w:r w:rsidRPr="00950338">
              <w:rPr>
                <w:rFonts w:ascii="Calibri" w:hAnsi="Calibri" w:cs="Calibri"/>
                <w:b/>
                <w:sz w:val="22"/>
                <w:szCs w:val="22"/>
                <w:lang w:bidi="en-US"/>
              </w:rPr>
              <w:t>amounts to an attack on the impartiality of the</w:t>
            </w:r>
            <w:r>
              <w:rPr>
                <w:rFonts w:ascii="Calibri" w:hAnsi="Calibri" w:cs="Calibri"/>
                <w:b/>
                <w:sz w:val="22"/>
                <w:szCs w:val="22"/>
                <w:lang w:bidi="en-US"/>
              </w:rPr>
              <w:t xml:space="preserve"> district</w:t>
            </w:r>
            <w:r w:rsidRPr="00950338">
              <w:rPr>
                <w:rFonts w:ascii="Calibri" w:hAnsi="Calibri" w:cs="Calibri"/>
                <w:b/>
                <w:sz w:val="22"/>
                <w:szCs w:val="22"/>
                <w:lang w:bidi="en-US"/>
              </w:rPr>
              <w:t xml:space="preserve"> court</w:t>
            </w:r>
            <w:r>
              <w:rPr>
                <w:rFonts w:ascii="Calibri" w:hAnsi="Calibri" w:cs="Calibri"/>
                <w:b/>
                <w:sz w:val="22"/>
                <w:szCs w:val="22"/>
                <w:lang w:bidi="en-US"/>
              </w:rPr>
              <w:t>.</w:t>
            </w:r>
          </w:p>
        </w:tc>
      </w:tr>
      <w:tr w:rsidR="00093B76" w14:paraId="095090A5" w14:textId="77777777" w:rsidTr="001D31EB">
        <w:trPr>
          <w:gridAfter w:val="1"/>
          <w:wAfter w:w="198" w:type="dxa"/>
          <w:trHeight w:val="4795"/>
        </w:trPr>
        <w:tc>
          <w:tcPr>
            <w:tcW w:w="5805" w:type="dxa"/>
            <w:vAlign w:val="center"/>
          </w:tcPr>
          <w:p w14:paraId="6FCC9C74"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Did the district court demonstrate any bias in the case below?</w:t>
            </w:r>
          </w:p>
        </w:tc>
        <w:tc>
          <w:tcPr>
            <w:tcW w:w="5805" w:type="dxa"/>
            <w:gridSpan w:val="2"/>
            <w:vAlign w:val="center"/>
          </w:tcPr>
          <w:p w14:paraId="179AF7DE" w14:textId="77777777" w:rsidR="00093B76" w:rsidRPr="00950338"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No.  </w:t>
            </w:r>
            <w:r w:rsidRPr="00475F10">
              <w:rPr>
                <w:rFonts w:ascii="Calibri" w:hAnsi="Calibri" w:cs="Calibri"/>
                <w:b/>
                <w:sz w:val="22"/>
                <w:szCs w:val="22"/>
              </w:rPr>
              <w:t>Since inheriting this case in 2012 (when Judge Ware retired),</w:t>
            </w:r>
            <w:r w:rsidRPr="00950338">
              <w:rPr>
                <w:rFonts w:ascii="Calibri" w:hAnsi="Calibri" w:cs="Calibri"/>
                <w:b/>
                <w:sz w:val="22"/>
                <w:szCs w:val="22"/>
                <w:lang w:bidi="en-US"/>
              </w:rPr>
              <w:t xml:space="preserve"> the district court has been patient, evenhanded</w:t>
            </w:r>
            <w:r>
              <w:rPr>
                <w:rFonts w:ascii="Calibri" w:hAnsi="Calibri" w:cs="Calibri"/>
                <w:b/>
                <w:sz w:val="22"/>
                <w:szCs w:val="22"/>
                <w:lang w:bidi="en-US"/>
              </w:rPr>
              <w:t>, and provided p</w:t>
            </w:r>
            <w:r w:rsidRPr="00950338">
              <w:rPr>
                <w:rFonts w:ascii="Calibri" w:hAnsi="Calibri" w:cs="Calibri"/>
                <w:b/>
                <w:sz w:val="22"/>
                <w:szCs w:val="22"/>
                <w:lang w:bidi="en-US"/>
              </w:rPr>
              <w:t xml:space="preserve">laintiffs with every opportunity to prove their case. </w:t>
            </w:r>
            <w:r>
              <w:rPr>
                <w:rFonts w:ascii="Calibri" w:hAnsi="Calibri" w:cs="Calibri"/>
                <w:b/>
                <w:sz w:val="22"/>
                <w:szCs w:val="22"/>
                <w:lang w:bidi="en-US"/>
              </w:rPr>
              <w:t xml:space="preserve"> </w:t>
            </w:r>
            <w:r w:rsidRPr="00950338">
              <w:rPr>
                <w:rFonts w:ascii="Calibri" w:hAnsi="Calibri" w:cs="Calibri"/>
                <w:b/>
                <w:sz w:val="22"/>
                <w:szCs w:val="22"/>
                <w:lang w:bidi="en-US"/>
              </w:rPr>
              <w:t>The district court has issued rulings</w:t>
            </w:r>
            <w:r>
              <w:rPr>
                <w:rFonts w:ascii="Calibri" w:hAnsi="Calibri" w:cs="Calibri"/>
                <w:b/>
                <w:sz w:val="22"/>
                <w:szCs w:val="22"/>
                <w:lang w:bidi="en-US"/>
              </w:rPr>
              <w:t xml:space="preserve"> </w:t>
            </w:r>
            <w:r w:rsidRPr="00950338">
              <w:rPr>
                <w:rFonts w:ascii="Calibri" w:hAnsi="Calibri" w:cs="Calibri"/>
                <w:b/>
                <w:sz w:val="22"/>
                <w:szCs w:val="22"/>
                <w:lang w:bidi="en-US"/>
              </w:rPr>
              <w:t xml:space="preserve">favoring both sides, and </w:t>
            </w:r>
            <w:r>
              <w:rPr>
                <w:rFonts w:ascii="Calibri" w:hAnsi="Calibri" w:cs="Calibri"/>
                <w:b/>
                <w:sz w:val="22"/>
                <w:szCs w:val="22"/>
                <w:lang w:bidi="en-US"/>
              </w:rPr>
              <w:t>its</w:t>
            </w:r>
            <w:r w:rsidRPr="00950338">
              <w:rPr>
                <w:rFonts w:ascii="Calibri" w:hAnsi="Calibri" w:cs="Calibri"/>
                <w:b/>
                <w:sz w:val="22"/>
                <w:szCs w:val="22"/>
                <w:lang w:bidi="en-US"/>
              </w:rPr>
              <w:t xml:space="preserve"> conclusion that </w:t>
            </w:r>
            <w:r>
              <w:rPr>
                <w:rFonts w:ascii="Calibri" w:hAnsi="Calibri" w:cs="Calibri"/>
                <w:b/>
                <w:sz w:val="22"/>
                <w:szCs w:val="22"/>
                <w:lang w:bidi="en-US"/>
              </w:rPr>
              <w:t>p</w:t>
            </w:r>
            <w:r w:rsidRPr="00950338">
              <w:rPr>
                <w:rFonts w:ascii="Calibri" w:hAnsi="Calibri" w:cs="Calibri"/>
                <w:b/>
                <w:sz w:val="22"/>
                <w:szCs w:val="22"/>
                <w:lang w:bidi="en-US"/>
              </w:rPr>
              <w:t xml:space="preserve">laintiffs failed to carry their burden of proof at the certification stage was grounded in settled law. </w:t>
            </w:r>
          </w:p>
          <w:p w14:paraId="2F23BE84" w14:textId="77777777" w:rsidR="00093B76" w:rsidRDefault="00093B76" w:rsidP="002A24E8">
            <w:pPr>
              <w:pStyle w:val="O-BodyText"/>
              <w:spacing w:after="120"/>
              <w:ind w:left="290" w:right="65"/>
              <w:rPr>
                <w:rFonts w:ascii="Calibri" w:hAnsi="Calibri" w:cs="Calibri"/>
                <w:b/>
                <w:sz w:val="22"/>
                <w:szCs w:val="22"/>
                <w:lang w:bidi="en-US"/>
              </w:rPr>
            </w:pPr>
          </w:p>
        </w:tc>
      </w:tr>
      <w:tr w:rsidR="00093B76" w14:paraId="7D736B57" w14:textId="77777777" w:rsidTr="001D31EB">
        <w:trPr>
          <w:gridAfter w:val="1"/>
          <w:wAfter w:w="198" w:type="dxa"/>
          <w:trHeight w:val="4795"/>
        </w:trPr>
        <w:tc>
          <w:tcPr>
            <w:tcW w:w="5805" w:type="dxa"/>
            <w:vAlign w:val="center"/>
          </w:tcPr>
          <w:p w14:paraId="72C9B060"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On what basis do plaintiffs argue that the district court will have difficulty setting aside its views on remand?</w:t>
            </w:r>
          </w:p>
        </w:tc>
        <w:tc>
          <w:tcPr>
            <w:tcW w:w="5805" w:type="dxa"/>
            <w:gridSpan w:val="2"/>
            <w:vAlign w:val="center"/>
          </w:tcPr>
          <w:p w14:paraId="3E805A0C" w14:textId="77777777" w:rsidR="00093B76" w:rsidRDefault="00093B76" w:rsidP="002A24E8">
            <w:pPr>
              <w:pStyle w:val="O-BodyText"/>
              <w:spacing w:after="120"/>
              <w:ind w:left="290" w:right="65"/>
              <w:rPr>
                <w:rFonts w:ascii="Calibri" w:hAnsi="Calibri" w:cs="Calibri"/>
                <w:b/>
                <w:sz w:val="22"/>
                <w:szCs w:val="22"/>
                <w:lang w:bidi="en-US"/>
              </w:rPr>
            </w:pPr>
            <w:r w:rsidRPr="00D477B1">
              <w:rPr>
                <w:rFonts w:ascii="Calibri" w:hAnsi="Calibri" w:cs="Calibri"/>
                <w:b/>
                <w:sz w:val="22"/>
                <w:szCs w:val="22"/>
                <w:lang w:bidi="en-US"/>
              </w:rPr>
              <w:t xml:space="preserve">Plaintiffs </w:t>
            </w:r>
            <w:r>
              <w:rPr>
                <w:rFonts w:ascii="Calibri" w:hAnsi="Calibri" w:cs="Calibri"/>
                <w:b/>
                <w:sz w:val="22"/>
                <w:szCs w:val="22"/>
                <w:lang w:bidi="en-US"/>
              </w:rPr>
              <w:t xml:space="preserve">give three reasons </w:t>
            </w:r>
            <w:r w:rsidRPr="00D477B1">
              <w:rPr>
                <w:rFonts w:ascii="Calibri" w:hAnsi="Calibri" w:cs="Calibri"/>
                <w:b/>
                <w:sz w:val="22"/>
                <w:szCs w:val="22"/>
                <w:lang w:bidi="en-US"/>
              </w:rPr>
              <w:t>why the district court would have difficulty setting aside its views on remand:</w:t>
            </w:r>
          </w:p>
          <w:p w14:paraId="5D0B4BE9" w14:textId="77777777" w:rsidR="00093B76"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1. I</w:t>
            </w:r>
            <w:r w:rsidRPr="00D477B1">
              <w:rPr>
                <w:rFonts w:ascii="Calibri" w:hAnsi="Calibri" w:cs="Calibri"/>
                <w:b/>
                <w:sz w:val="22"/>
                <w:szCs w:val="22"/>
                <w:lang w:bidi="en-US"/>
              </w:rPr>
              <w:t>ts decision denying class certification</w:t>
            </w:r>
            <w:r>
              <w:rPr>
                <w:rFonts w:ascii="Calibri" w:hAnsi="Calibri" w:cs="Calibri"/>
                <w:b/>
                <w:sz w:val="22"/>
                <w:szCs w:val="22"/>
                <w:lang w:bidi="en-US"/>
              </w:rPr>
              <w:t>.</w:t>
            </w:r>
          </w:p>
          <w:p w14:paraId="156C0369" w14:textId="77777777" w:rsidR="00093B76" w:rsidRDefault="00093B76" w:rsidP="002A24E8">
            <w:pPr>
              <w:pStyle w:val="O-BodyText"/>
              <w:spacing w:after="120"/>
              <w:ind w:left="290" w:right="65"/>
              <w:rPr>
                <w:rFonts w:ascii="Calibri" w:hAnsi="Calibri" w:cs="Calibri"/>
                <w:b/>
                <w:sz w:val="22"/>
                <w:szCs w:val="22"/>
                <w:lang w:bidi="en-US"/>
              </w:rPr>
            </w:pPr>
            <w:r w:rsidRPr="00D477B1">
              <w:rPr>
                <w:rFonts w:ascii="Calibri" w:hAnsi="Calibri" w:cs="Calibri"/>
                <w:b/>
                <w:sz w:val="22"/>
                <w:szCs w:val="22"/>
                <w:lang w:bidi="en-US"/>
              </w:rPr>
              <w:t>2</w:t>
            </w:r>
            <w:r>
              <w:rPr>
                <w:rFonts w:ascii="Calibri" w:hAnsi="Calibri" w:cs="Calibri"/>
                <w:b/>
                <w:sz w:val="22"/>
                <w:szCs w:val="22"/>
                <w:lang w:bidi="en-US"/>
              </w:rPr>
              <w:t xml:space="preserve">. Its </w:t>
            </w:r>
            <w:r w:rsidRPr="00D477B1">
              <w:rPr>
                <w:rFonts w:ascii="Calibri" w:hAnsi="Calibri" w:cs="Calibri"/>
                <w:b/>
                <w:sz w:val="22"/>
                <w:szCs w:val="22"/>
                <w:lang w:bidi="en-US"/>
              </w:rPr>
              <w:t>decision to deny a stay of the procee</w:t>
            </w:r>
            <w:r>
              <w:rPr>
                <w:rFonts w:ascii="Calibri" w:hAnsi="Calibri" w:cs="Calibri"/>
                <w:b/>
                <w:sz w:val="22"/>
                <w:szCs w:val="22"/>
                <w:lang w:bidi="en-US"/>
              </w:rPr>
              <w:t>dings pending this appeal.</w:t>
            </w:r>
          </w:p>
          <w:p w14:paraId="6BCB9DD8" w14:textId="77777777" w:rsidR="00093B76" w:rsidRDefault="00093B76" w:rsidP="002A24E8">
            <w:pPr>
              <w:pStyle w:val="O-BodyText"/>
              <w:spacing w:after="120"/>
              <w:ind w:left="290" w:right="65"/>
              <w:rPr>
                <w:rFonts w:ascii="Calibri" w:hAnsi="Calibri" w:cs="Calibri"/>
                <w:b/>
                <w:sz w:val="22"/>
                <w:szCs w:val="22"/>
                <w:lang w:bidi="en-US"/>
              </w:rPr>
            </w:pPr>
            <w:r w:rsidRPr="00D477B1">
              <w:rPr>
                <w:rFonts w:ascii="Calibri" w:hAnsi="Calibri" w:cs="Calibri"/>
                <w:b/>
                <w:sz w:val="22"/>
                <w:szCs w:val="22"/>
                <w:lang w:bidi="en-US"/>
              </w:rPr>
              <w:t>3</w:t>
            </w:r>
            <w:r>
              <w:rPr>
                <w:rFonts w:ascii="Calibri" w:hAnsi="Calibri" w:cs="Calibri"/>
                <w:b/>
                <w:sz w:val="22"/>
                <w:szCs w:val="22"/>
                <w:lang w:bidi="en-US"/>
              </w:rPr>
              <w:t>. T</w:t>
            </w:r>
            <w:r w:rsidRPr="00D477B1">
              <w:rPr>
                <w:rFonts w:ascii="Calibri" w:hAnsi="Calibri" w:cs="Calibri"/>
                <w:b/>
                <w:sz w:val="22"/>
                <w:szCs w:val="22"/>
                <w:lang w:bidi="en-US"/>
              </w:rPr>
              <w:t>his Court’s reversal of the district court’s stipulated dismissal under Fed</w:t>
            </w:r>
            <w:r>
              <w:rPr>
                <w:rFonts w:ascii="Calibri" w:hAnsi="Calibri" w:cs="Calibri"/>
                <w:b/>
                <w:sz w:val="22"/>
                <w:szCs w:val="22"/>
                <w:lang w:bidi="en-US"/>
              </w:rPr>
              <w:t>.</w:t>
            </w:r>
            <w:r w:rsidRPr="00D477B1">
              <w:rPr>
                <w:rFonts w:ascii="Calibri" w:hAnsi="Calibri" w:cs="Calibri"/>
                <w:b/>
                <w:sz w:val="22"/>
                <w:szCs w:val="22"/>
                <w:lang w:bidi="en-US"/>
              </w:rPr>
              <w:t xml:space="preserve"> R</w:t>
            </w:r>
            <w:r>
              <w:rPr>
                <w:rFonts w:ascii="Calibri" w:hAnsi="Calibri" w:cs="Calibri"/>
                <w:b/>
                <w:sz w:val="22"/>
                <w:szCs w:val="22"/>
                <w:lang w:bidi="en-US"/>
              </w:rPr>
              <w:t xml:space="preserve">. </w:t>
            </w:r>
            <w:r w:rsidRPr="00D477B1">
              <w:rPr>
                <w:rFonts w:ascii="Calibri" w:hAnsi="Calibri" w:cs="Calibri"/>
                <w:b/>
                <w:sz w:val="22"/>
                <w:szCs w:val="22"/>
                <w:lang w:bidi="en-US"/>
              </w:rPr>
              <w:t>Civ</w:t>
            </w:r>
            <w:r>
              <w:rPr>
                <w:rFonts w:ascii="Calibri" w:hAnsi="Calibri" w:cs="Calibri"/>
                <w:b/>
                <w:sz w:val="22"/>
                <w:szCs w:val="22"/>
                <w:lang w:bidi="en-US"/>
              </w:rPr>
              <w:t xml:space="preserve">. </w:t>
            </w:r>
            <w:r w:rsidRPr="00D477B1">
              <w:rPr>
                <w:rFonts w:ascii="Calibri" w:hAnsi="Calibri" w:cs="Calibri"/>
                <w:b/>
                <w:sz w:val="22"/>
                <w:szCs w:val="22"/>
                <w:lang w:bidi="en-US"/>
              </w:rPr>
              <w:t>P</w:t>
            </w:r>
            <w:r>
              <w:rPr>
                <w:rFonts w:ascii="Calibri" w:hAnsi="Calibri" w:cs="Calibri"/>
                <w:b/>
                <w:sz w:val="22"/>
                <w:szCs w:val="22"/>
                <w:lang w:bidi="en-US"/>
              </w:rPr>
              <w:t xml:space="preserve">. </w:t>
            </w:r>
            <w:r w:rsidRPr="00D477B1">
              <w:rPr>
                <w:rFonts w:ascii="Calibri" w:hAnsi="Calibri" w:cs="Calibri"/>
                <w:b/>
                <w:sz w:val="22"/>
                <w:szCs w:val="22"/>
                <w:lang w:bidi="en-US"/>
              </w:rPr>
              <w:t xml:space="preserve">12(b)(7) for </w:t>
            </w:r>
            <w:r>
              <w:rPr>
                <w:rFonts w:ascii="Calibri" w:hAnsi="Calibri" w:cs="Calibri"/>
                <w:b/>
                <w:sz w:val="22"/>
                <w:szCs w:val="22"/>
                <w:lang w:bidi="en-US"/>
              </w:rPr>
              <w:t>p</w:t>
            </w:r>
            <w:r w:rsidRPr="00D477B1">
              <w:rPr>
                <w:rFonts w:ascii="Calibri" w:hAnsi="Calibri" w:cs="Calibri"/>
                <w:b/>
                <w:sz w:val="22"/>
                <w:szCs w:val="22"/>
                <w:lang w:bidi="en-US"/>
              </w:rPr>
              <w:t>laintiffs’ failure to join AT&amp;T as an indispensable party.</w:t>
            </w:r>
          </w:p>
        </w:tc>
      </w:tr>
      <w:tr w:rsidR="00093B76" w:rsidRPr="00D477B1" w14:paraId="16CEDBC5" w14:textId="77777777" w:rsidTr="001D31EB">
        <w:trPr>
          <w:gridAfter w:val="1"/>
          <w:wAfter w:w="198" w:type="dxa"/>
          <w:trHeight w:val="4795"/>
        </w:trPr>
        <w:tc>
          <w:tcPr>
            <w:tcW w:w="5805" w:type="dxa"/>
            <w:vAlign w:val="center"/>
          </w:tcPr>
          <w:p w14:paraId="4FE9DCD2"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say in denying class certification?</w:t>
            </w:r>
          </w:p>
        </w:tc>
        <w:tc>
          <w:tcPr>
            <w:tcW w:w="5805" w:type="dxa"/>
            <w:gridSpan w:val="2"/>
            <w:vAlign w:val="center"/>
          </w:tcPr>
          <w:p w14:paraId="59C933A3" w14:textId="77777777" w:rsidR="00093B76" w:rsidRPr="00D477B1" w:rsidRDefault="00093B76" w:rsidP="002A24E8">
            <w:pPr>
              <w:pStyle w:val="O-BodyText"/>
              <w:spacing w:after="120"/>
              <w:ind w:left="290" w:right="65"/>
              <w:rPr>
                <w:rFonts w:ascii="Calibri" w:hAnsi="Calibri" w:cs="Calibri"/>
                <w:b/>
                <w:sz w:val="22"/>
                <w:szCs w:val="22"/>
                <w:lang w:bidi="en-US"/>
              </w:rPr>
            </w:pPr>
            <w:r w:rsidRPr="005F59BB">
              <w:rPr>
                <w:rFonts w:ascii="Calibri" w:hAnsi="Calibri" w:cs="Calibri"/>
                <w:b/>
                <w:sz w:val="22"/>
                <w:szCs w:val="22"/>
                <w:lang w:bidi="en-US"/>
              </w:rPr>
              <w:t xml:space="preserve">In denying class certification, the district court </w:t>
            </w:r>
            <w:r>
              <w:rPr>
                <w:rFonts w:ascii="Calibri" w:hAnsi="Calibri" w:cs="Calibri"/>
                <w:b/>
                <w:sz w:val="22"/>
                <w:szCs w:val="22"/>
                <w:lang w:bidi="en-US"/>
              </w:rPr>
              <w:t>found that p</w:t>
            </w:r>
            <w:r w:rsidRPr="005F59BB">
              <w:rPr>
                <w:rFonts w:ascii="Calibri" w:hAnsi="Calibri" w:cs="Calibri"/>
                <w:b/>
                <w:sz w:val="22"/>
                <w:szCs w:val="22"/>
                <w:lang w:bidi="en-US"/>
              </w:rPr>
              <w:t>laintiffs</w:t>
            </w:r>
            <w:r>
              <w:rPr>
                <w:rFonts w:ascii="Calibri" w:hAnsi="Calibri" w:cs="Calibri"/>
                <w:b/>
                <w:sz w:val="22"/>
                <w:szCs w:val="22"/>
                <w:lang w:bidi="en-US"/>
              </w:rPr>
              <w:t>’ theories</w:t>
            </w:r>
            <w:r w:rsidRPr="005F59BB">
              <w:rPr>
                <w:rFonts w:ascii="Calibri" w:hAnsi="Calibri" w:cs="Calibri"/>
                <w:b/>
                <w:sz w:val="22"/>
                <w:szCs w:val="22"/>
                <w:lang w:bidi="en-US"/>
              </w:rPr>
              <w:t xml:space="preserve"> were not developed enough to allow for the rigorous scrutiny required under Rule 23.</w:t>
            </w:r>
            <w:r>
              <w:rPr>
                <w:rFonts w:ascii="Calibri" w:hAnsi="Calibri" w:cs="Calibri"/>
                <w:b/>
                <w:sz w:val="22"/>
                <w:szCs w:val="22"/>
                <w:lang w:bidi="en-US"/>
              </w:rPr>
              <w:t xml:space="preserve">  S</w:t>
            </w:r>
            <w:r w:rsidRPr="005F59BB">
              <w:rPr>
                <w:rFonts w:ascii="Calibri" w:hAnsi="Calibri" w:cs="Calibri"/>
                <w:b/>
                <w:sz w:val="22"/>
                <w:szCs w:val="22"/>
                <w:lang w:bidi="en-US"/>
              </w:rPr>
              <w:t>hould its decision be reversed</w:t>
            </w:r>
            <w:r>
              <w:rPr>
                <w:rFonts w:ascii="Calibri" w:hAnsi="Calibri" w:cs="Calibri"/>
                <w:b/>
                <w:sz w:val="22"/>
                <w:szCs w:val="22"/>
                <w:lang w:bidi="en-US"/>
              </w:rPr>
              <w:t>, there is n</w:t>
            </w:r>
            <w:r w:rsidRPr="005F59BB">
              <w:rPr>
                <w:rFonts w:ascii="Calibri" w:hAnsi="Calibri" w:cs="Calibri"/>
                <w:b/>
                <w:sz w:val="22"/>
                <w:szCs w:val="22"/>
                <w:lang w:bidi="en-US"/>
              </w:rPr>
              <w:t xml:space="preserve">othing </w:t>
            </w:r>
            <w:r>
              <w:rPr>
                <w:rFonts w:ascii="Calibri" w:hAnsi="Calibri" w:cs="Calibri"/>
                <w:b/>
                <w:sz w:val="22"/>
                <w:szCs w:val="22"/>
                <w:lang w:bidi="en-US"/>
              </w:rPr>
              <w:t xml:space="preserve">to </w:t>
            </w:r>
            <w:r w:rsidRPr="005F59BB">
              <w:rPr>
                <w:rFonts w:ascii="Calibri" w:hAnsi="Calibri" w:cs="Calibri"/>
                <w:b/>
                <w:sz w:val="22"/>
                <w:szCs w:val="22"/>
                <w:lang w:bidi="en-US"/>
              </w:rPr>
              <w:t>suggest that the district court would be unable to comply with this Court’s mandate on remand.</w:t>
            </w:r>
          </w:p>
        </w:tc>
      </w:tr>
      <w:tr w:rsidR="00093B76" w:rsidRPr="005F59BB" w14:paraId="36C0D3D8" w14:textId="77777777" w:rsidTr="001D31EB">
        <w:trPr>
          <w:gridAfter w:val="1"/>
          <w:wAfter w:w="198" w:type="dxa"/>
          <w:trHeight w:val="4795"/>
        </w:trPr>
        <w:tc>
          <w:tcPr>
            <w:tcW w:w="5805" w:type="dxa"/>
            <w:vAlign w:val="center"/>
          </w:tcPr>
          <w:p w14:paraId="18D1C91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did the district court deny plaintiffs’</w:t>
            </w:r>
            <w:r w:rsidRPr="005F59BB">
              <w:rPr>
                <w:rFonts w:ascii="Calibri" w:hAnsi="Calibri" w:cs="Calibri"/>
                <w:b/>
                <w:sz w:val="22"/>
                <w:szCs w:val="22"/>
                <w:lang w:bidi="en-US"/>
              </w:rPr>
              <w:t xml:space="preserve"> </w:t>
            </w:r>
            <w:r w:rsidRPr="005F59BB">
              <w:rPr>
                <w:rFonts w:ascii="Calibri" w:hAnsi="Calibri" w:cs="Calibri"/>
                <w:b/>
                <w:sz w:val="28"/>
                <w:szCs w:val="28"/>
                <w:lang w:bidi="en-US"/>
              </w:rPr>
              <w:t>request for a stay pending this Court’s decision on their Rule 23(f) petition</w:t>
            </w:r>
            <w:r>
              <w:rPr>
                <w:rFonts w:ascii="Calibri" w:hAnsi="Calibri" w:cs="Calibri"/>
                <w:b/>
                <w:sz w:val="28"/>
                <w:szCs w:val="28"/>
                <w:lang w:bidi="en-US"/>
              </w:rPr>
              <w:t>?</w:t>
            </w:r>
          </w:p>
        </w:tc>
        <w:tc>
          <w:tcPr>
            <w:tcW w:w="5805" w:type="dxa"/>
            <w:gridSpan w:val="2"/>
            <w:vAlign w:val="center"/>
          </w:tcPr>
          <w:p w14:paraId="431C5DDC" w14:textId="77777777" w:rsidR="00093B76" w:rsidRPr="005F59BB" w:rsidRDefault="00093B76" w:rsidP="002A24E8">
            <w:pPr>
              <w:pStyle w:val="O-BodyText"/>
              <w:spacing w:after="120"/>
              <w:ind w:left="290" w:right="65"/>
              <w:rPr>
                <w:rFonts w:ascii="Calibri" w:hAnsi="Calibri" w:cs="Calibri"/>
                <w:b/>
                <w:sz w:val="22"/>
                <w:szCs w:val="22"/>
                <w:lang w:bidi="en-US"/>
              </w:rPr>
            </w:pPr>
            <w:r w:rsidRPr="005F59BB">
              <w:rPr>
                <w:rFonts w:ascii="Calibri" w:hAnsi="Calibri" w:cs="Calibri"/>
                <w:b/>
                <w:sz w:val="22"/>
                <w:szCs w:val="22"/>
                <w:lang w:bidi="en-US"/>
              </w:rPr>
              <w:t xml:space="preserve">Rule 23(f) petitions do not automatically stay proceedings. </w:t>
            </w:r>
            <w:r>
              <w:rPr>
                <w:rFonts w:ascii="Calibri" w:hAnsi="Calibri" w:cs="Calibri"/>
                <w:b/>
                <w:sz w:val="22"/>
                <w:szCs w:val="22"/>
                <w:lang w:bidi="en-US"/>
              </w:rPr>
              <w:t xml:space="preserve"> Because</w:t>
            </w:r>
            <w:r w:rsidRPr="005F59BB">
              <w:rPr>
                <w:rFonts w:ascii="Calibri" w:hAnsi="Calibri" w:cs="Calibri"/>
                <w:b/>
                <w:sz w:val="22"/>
                <w:szCs w:val="22"/>
                <w:lang w:bidi="en-US"/>
              </w:rPr>
              <w:t xml:space="preserve"> such petitions are</w:t>
            </w:r>
            <w:r>
              <w:rPr>
                <w:rFonts w:ascii="Calibri" w:hAnsi="Calibri" w:cs="Calibri"/>
                <w:b/>
                <w:sz w:val="22"/>
                <w:szCs w:val="22"/>
                <w:lang w:bidi="en-US"/>
              </w:rPr>
              <w:t xml:space="preserve"> </w:t>
            </w:r>
            <w:r w:rsidRPr="005F59BB">
              <w:rPr>
                <w:rFonts w:ascii="Calibri" w:hAnsi="Calibri" w:cs="Calibri"/>
                <w:b/>
                <w:sz w:val="22"/>
                <w:szCs w:val="22"/>
                <w:lang w:bidi="en-US"/>
              </w:rPr>
              <w:t xml:space="preserve">“granted sparingly,” </w:t>
            </w:r>
            <w:proofErr w:type="spellStart"/>
            <w:r w:rsidRPr="005F59BB">
              <w:rPr>
                <w:rFonts w:ascii="Calibri" w:hAnsi="Calibri" w:cs="Calibri"/>
                <w:b/>
                <w:i/>
                <w:sz w:val="22"/>
                <w:szCs w:val="22"/>
                <w:lang w:bidi="en-US"/>
              </w:rPr>
              <w:t>Chamberlan</w:t>
            </w:r>
            <w:proofErr w:type="spellEnd"/>
            <w:r w:rsidRPr="005F59BB">
              <w:rPr>
                <w:rFonts w:ascii="Calibri" w:hAnsi="Calibri" w:cs="Calibri"/>
                <w:b/>
                <w:i/>
                <w:sz w:val="22"/>
                <w:szCs w:val="22"/>
                <w:lang w:bidi="en-US"/>
              </w:rPr>
              <w:t xml:space="preserve"> v. Ford Motor Co</w:t>
            </w:r>
            <w:r>
              <w:rPr>
                <w:rFonts w:ascii="Calibri" w:hAnsi="Calibri" w:cs="Calibri"/>
                <w:b/>
                <w:i/>
                <w:sz w:val="22"/>
                <w:szCs w:val="22"/>
                <w:lang w:bidi="en-US"/>
              </w:rPr>
              <w:t>.</w:t>
            </w:r>
            <w:r w:rsidRPr="005F59BB">
              <w:rPr>
                <w:rFonts w:ascii="Calibri" w:hAnsi="Calibri" w:cs="Calibri"/>
                <w:b/>
                <w:sz w:val="22"/>
                <w:szCs w:val="22"/>
                <w:lang w:bidi="en-US"/>
              </w:rPr>
              <w:t xml:space="preserve"> (9th Cir. 2005), it was reasonable for the district court to conclude that this one would most likely be denied, and to plan accordingly.</w:t>
            </w:r>
            <w:r>
              <w:rPr>
                <w:rFonts w:ascii="Calibri" w:hAnsi="Calibri" w:cs="Calibri"/>
                <w:b/>
                <w:sz w:val="22"/>
                <w:szCs w:val="22"/>
                <w:lang w:bidi="en-US"/>
              </w:rPr>
              <w:t xml:space="preserve"> </w:t>
            </w:r>
            <w:r w:rsidRPr="005F59BB">
              <w:rPr>
                <w:rFonts w:ascii="Calibri" w:hAnsi="Calibri" w:cs="Calibri"/>
                <w:b/>
                <w:sz w:val="22"/>
                <w:szCs w:val="22"/>
                <w:lang w:bidi="en-US"/>
              </w:rPr>
              <w:t xml:space="preserve"> The district court’s denial of a stay </w:t>
            </w:r>
            <w:r>
              <w:rPr>
                <w:rFonts w:ascii="Calibri" w:hAnsi="Calibri" w:cs="Calibri"/>
                <w:b/>
                <w:sz w:val="22"/>
                <w:szCs w:val="22"/>
                <w:lang w:bidi="en-US"/>
              </w:rPr>
              <w:t>does not</w:t>
            </w:r>
            <w:r w:rsidRPr="005F59BB">
              <w:rPr>
                <w:rFonts w:ascii="Calibri" w:hAnsi="Calibri" w:cs="Calibri"/>
                <w:b/>
                <w:sz w:val="22"/>
                <w:szCs w:val="22"/>
                <w:lang w:bidi="en-US"/>
              </w:rPr>
              <w:t xml:space="preserve"> suggest that </w:t>
            </w:r>
            <w:r>
              <w:rPr>
                <w:rFonts w:ascii="Calibri" w:hAnsi="Calibri" w:cs="Calibri"/>
                <w:b/>
                <w:sz w:val="22"/>
                <w:szCs w:val="22"/>
                <w:lang w:bidi="en-US"/>
              </w:rPr>
              <w:t>it</w:t>
            </w:r>
            <w:r w:rsidRPr="005F59BB">
              <w:rPr>
                <w:rFonts w:ascii="Calibri" w:hAnsi="Calibri" w:cs="Calibri"/>
                <w:b/>
                <w:sz w:val="22"/>
                <w:szCs w:val="22"/>
                <w:lang w:bidi="en-US"/>
              </w:rPr>
              <w:t xml:space="preserve"> harbors any </w:t>
            </w:r>
            <w:proofErr w:type="gramStart"/>
            <w:r w:rsidRPr="005F59BB">
              <w:rPr>
                <w:rFonts w:ascii="Calibri" w:hAnsi="Calibri" w:cs="Calibri"/>
                <w:b/>
                <w:sz w:val="22"/>
                <w:szCs w:val="22"/>
                <w:lang w:bidi="en-US"/>
              </w:rPr>
              <w:t>particular views</w:t>
            </w:r>
            <w:proofErr w:type="gramEnd"/>
            <w:r w:rsidRPr="005F59BB">
              <w:rPr>
                <w:rFonts w:ascii="Calibri" w:hAnsi="Calibri" w:cs="Calibri"/>
                <w:b/>
                <w:sz w:val="22"/>
                <w:szCs w:val="22"/>
                <w:lang w:bidi="en-US"/>
              </w:rPr>
              <w:t xml:space="preserve"> that could not </w:t>
            </w:r>
            <w:r>
              <w:rPr>
                <w:rFonts w:ascii="Calibri" w:hAnsi="Calibri" w:cs="Calibri"/>
                <w:b/>
                <w:sz w:val="22"/>
                <w:szCs w:val="22"/>
                <w:lang w:bidi="en-US"/>
              </w:rPr>
              <w:t xml:space="preserve">be </w:t>
            </w:r>
            <w:r w:rsidRPr="005F59BB">
              <w:rPr>
                <w:rFonts w:ascii="Calibri" w:hAnsi="Calibri" w:cs="Calibri"/>
                <w:b/>
                <w:sz w:val="22"/>
                <w:szCs w:val="22"/>
                <w:lang w:bidi="en-US"/>
              </w:rPr>
              <w:t>set aside on remand.</w:t>
            </w:r>
          </w:p>
          <w:p w14:paraId="324986FB" w14:textId="77777777" w:rsidR="00093B76" w:rsidRPr="005F59BB" w:rsidRDefault="00093B76" w:rsidP="002A24E8">
            <w:pPr>
              <w:pStyle w:val="O-BodyText"/>
              <w:spacing w:after="120"/>
              <w:ind w:left="290" w:right="65"/>
              <w:rPr>
                <w:rFonts w:ascii="Calibri" w:hAnsi="Calibri" w:cs="Calibri"/>
                <w:b/>
                <w:sz w:val="22"/>
                <w:szCs w:val="22"/>
                <w:lang w:bidi="en-US"/>
              </w:rPr>
            </w:pPr>
          </w:p>
          <w:p w14:paraId="49CC1EA7" w14:textId="77777777" w:rsidR="00093B76" w:rsidRPr="005F59BB" w:rsidRDefault="00093B76" w:rsidP="002A24E8">
            <w:pPr>
              <w:pStyle w:val="O-BodyText"/>
              <w:spacing w:after="120"/>
              <w:ind w:left="290" w:right="65"/>
              <w:rPr>
                <w:rFonts w:ascii="Calibri" w:hAnsi="Calibri" w:cs="Calibri"/>
                <w:b/>
                <w:sz w:val="22"/>
                <w:szCs w:val="22"/>
                <w:lang w:bidi="en-US"/>
              </w:rPr>
            </w:pPr>
          </w:p>
        </w:tc>
      </w:tr>
      <w:tr w:rsidR="00093B76" w:rsidRPr="005F59BB" w14:paraId="033C703C" w14:textId="77777777" w:rsidTr="001D31EB">
        <w:trPr>
          <w:gridAfter w:val="1"/>
          <w:wAfter w:w="198" w:type="dxa"/>
          <w:trHeight w:val="4795"/>
        </w:trPr>
        <w:tc>
          <w:tcPr>
            <w:tcW w:w="5805" w:type="dxa"/>
            <w:vAlign w:val="center"/>
          </w:tcPr>
          <w:p w14:paraId="1E8BE3E1"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we say in </w:t>
            </w:r>
            <w:r w:rsidRPr="00B1094B">
              <w:rPr>
                <w:rFonts w:ascii="Calibri" w:hAnsi="Calibri" w:cs="Calibri"/>
                <w:b/>
                <w:i/>
                <w:sz w:val="28"/>
                <w:szCs w:val="28"/>
              </w:rPr>
              <w:t>United States v. Morales</w:t>
            </w:r>
            <w:r w:rsidRPr="00B1094B">
              <w:rPr>
                <w:rFonts w:ascii="Calibri" w:hAnsi="Calibri" w:cs="Calibri"/>
                <w:b/>
                <w:sz w:val="28"/>
                <w:szCs w:val="28"/>
              </w:rPr>
              <w:t>, (9th Cir. 2012)</w:t>
            </w:r>
            <w:r>
              <w:rPr>
                <w:rFonts w:ascii="Calibri" w:hAnsi="Calibri" w:cs="Calibri"/>
                <w:b/>
                <w:sz w:val="28"/>
                <w:szCs w:val="28"/>
              </w:rPr>
              <w:t>, regarding the district court’s rejection of the parties’ stipulated request to stay proceedings?</w:t>
            </w:r>
          </w:p>
        </w:tc>
        <w:tc>
          <w:tcPr>
            <w:tcW w:w="5805" w:type="dxa"/>
            <w:gridSpan w:val="2"/>
            <w:vAlign w:val="center"/>
          </w:tcPr>
          <w:p w14:paraId="77B2037B" w14:textId="77777777" w:rsidR="00093B76" w:rsidRPr="005F59BB" w:rsidRDefault="00093B76" w:rsidP="002A24E8">
            <w:pPr>
              <w:pStyle w:val="O-BodyText"/>
              <w:spacing w:after="120"/>
              <w:ind w:left="290" w:right="65"/>
              <w:rPr>
                <w:rFonts w:ascii="Calibri" w:hAnsi="Calibri" w:cs="Calibri"/>
                <w:b/>
                <w:sz w:val="22"/>
                <w:szCs w:val="22"/>
                <w:lang w:bidi="en-US"/>
              </w:rPr>
            </w:pPr>
            <w:r w:rsidRPr="00B1094B">
              <w:rPr>
                <w:rFonts w:ascii="Calibri" w:hAnsi="Calibri" w:cs="Calibri"/>
                <w:b/>
                <w:sz w:val="22"/>
                <w:szCs w:val="22"/>
                <w:highlight w:val="yellow"/>
                <w:lang w:bidi="en-US"/>
              </w:rPr>
              <w:t xml:space="preserve">In </w:t>
            </w:r>
            <w:r w:rsidRPr="00B1094B">
              <w:rPr>
                <w:rFonts w:ascii="Calibri" w:hAnsi="Calibri" w:cs="Calibri"/>
                <w:b/>
                <w:i/>
                <w:sz w:val="22"/>
                <w:szCs w:val="22"/>
                <w:highlight w:val="yellow"/>
                <w:lang w:bidi="en-US"/>
              </w:rPr>
              <w:t>United States v. Morales</w:t>
            </w:r>
            <w:r w:rsidRPr="00B1094B">
              <w:rPr>
                <w:rFonts w:ascii="Calibri" w:hAnsi="Calibri" w:cs="Calibri"/>
                <w:b/>
                <w:sz w:val="22"/>
                <w:szCs w:val="22"/>
                <w:highlight w:val="yellow"/>
                <w:lang w:bidi="en-US"/>
              </w:rPr>
              <w:t xml:space="preserve"> (9th Cir. 2012), an unpublished case</w:t>
            </w:r>
            <w:r>
              <w:rPr>
                <w:rFonts w:ascii="Calibri" w:hAnsi="Calibri" w:cs="Calibri"/>
                <w:b/>
                <w:sz w:val="22"/>
                <w:szCs w:val="22"/>
                <w:highlight w:val="yellow"/>
                <w:lang w:bidi="en-US"/>
              </w:rPr>
              <w:t xml:space="preserve">, this Court said that </w:t>
            </w:r>
            <w:r w:rsidRPr="00B1094B">
              <w:rPr>
                <w:rFonts w:ascii="Calibri" w:hAnsi="Calibri" w:cs="Calibri"/>
                <w:b/>
                <w:sz w:val="22"/>
                <w:szCs w:val="22"/>
                <w:highlight w:val="yellow"/>
                <w:lang w:bidi="en-US"/>
              </w:rPr>
              <w:t>“[t]he strength of [the District Court judge’s] beliefs is manifest in [its] rejection of the [parties’ stipulated] request to stay proceedings pending [this] interlocutory appeal[], requiring this co</w:t>
            </w:r>
            <w:r>
              <w:rPr>
                <w:rFonts w:ascii="Calibri" w:hAnsi="Calibri" w:cs="Calibri"/>
                <w:b/>
                <w:sz w:val="22"/>
                <w:szCs w:val="22"/>
                <w:highlight w:val="yellow"/>
                <w:lang w:bidi="en-US"/>
              </w:rPr>
              <w:t>urt to enter an emergency stay.</w:t>
            </w:r>
            <w:r w:rsidRPr="00B1094B">
              <w:rPr>
                <w:rFonts w:ascii="Calibri" w:hAnsi="Calibri" w:cs="Calibri"/>
                <w:b/>
                <w:sz w:val="22"/>
                <w:szCs w:val="22"/>
                <w:highlight w:val="yellow"/>
                <w:lang w:bidi="en-US"/>
              </w:rPr>
              <w:t>”  Ward Br. 50</w:t>
            </w:r>
            <w:r>
              <w:rPr>
                <w:rFonts w:ascii="Calibri" w:hAnsi="Calibri" w:cs="Calibri"/>
                <w:b/>
                <w:sz w:val="22"/>
                <w:szCs w:val="22"/>
                <w:highlight w:val="yellow"/>
                <w:lang w:bidi="en-US"/>
              </w:rPr>
              <w:t>.</w:t>
            </w:r>
          </w:p>
        </w:tc>
      </w:tr>
      <w:tr w:rsidR="00093B76" w:rsidRPr="00B1094B" w14:paraId="22F3E916" w14:textId="77777777" w:rsidTr="001D31EB">
        <w:trPr>
          <w:gridAfter w:val="1"/>
          <w:wAfter w:w="198" w:type="dxa"/>
          <w:trHeight w:val="4795"/>
        </w:trPr>
        <w:tc>
          <w:tcPr>
            <w:tcW w:w="5805" w:type="dxa"/>
            <w:vAlign w:val="center"/>
          </w:tcPr>
          <w:p w14:paraId="40AA6CA9"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 xml:space="preserve">What happened in </w:t>
            </w:r>
            <w:r w:rsidRPr="00B1094B">
              <w:rPr>
                <w:rFonts w:ascii="Calibri" w:hAnsi="Calibri" w:cs="Calibri"/>
                <w:b/>
                <w:i/>
                <w:sz w:val="28"/>
                <w:szCs w:val="28"/>
              </w:rPr>
              <w:t>Earp v. Cullen</w:t>
            </w:r>
            <w:r w:rsidRPr="00B1094B">
              <w:rPr>
                <w:rFonts w:ascii="Calibri" w:hAnsi="Calibri" w:cs="Calibri"/>
                <w:b/>
                <w:sz w:val="28"/>
                <w:szCs w:val="28"/>
              </w:rPr>
              <w:t xml:space="preserve"> (9th Cir. 2010)</w:t>
            </w:r>
            <w:r>
              <w:rPr>
                <w:rFonts w:ascii="Calibri" w:hAnsi="Calibri" w:cs="Calibri"/>
                <w:b/>
                <w:sz w:val="28"/>
                <w:szCs w:val="28"/>
              </w:rPr>
              <w:t>?</w:t>
            </w:r>
          </w:p>
        </w:tc>
        <w:tc>
          <w:tcPr>
            <w:tcW w:w="5805" w:type="dxa"/>
            <w:gridSpan w:val="2"/>
            <w:vAlign w:val="center"/>
          </w:tcPr>
          <w:p w14:paraId="65177872" w14:textId="77777777" w:rsidR="00093B76" w:rsidRPr="00B1094B" w:rsidRDefault="00093B76" w:rsidP="002A24E8">
            <w:pPr>
              <w:pStyle w:val="O-BodyText"/>
              <w:spacing w:after="120"/>
              <w:ind w:left="290" w:right="65"/>
              <w:rPr>
                <w:rFonts w:ascii="Calibri" w:hAnsi="Calibri" w:cs="Calibri"/>
                <w:b/>
                <w:sz w:val="22"/>
                <w:szCs w:val="22"/>
                <w:highlight w:val="yellow"/>
                <w:lang w:bidi="en-US"/>
              </w:rPr>
            </w:pPr>
            <w:r>
              <w:rPr>
                <w:rFonts w:ascii="Calibri" w:hAnsi="Calibri" w:cs="Calibri"/>
                <w:b/>
                <w:sz w:val="22"/>
                <w:szCs w:val="22"/>
                <w:highlight w:val="yellow"/>
                <w:lang w:bidi="en-US"/>
              </w:rPr>
              <w:t>I</w:t>
            </w:r>
            <w:r w:rsidRPr="00B1094B">
              <w:rPr>
                <w:rFonts w:ascii="Calibri" w:hAnsi="Calibri" w:cs="Calibri"/>
                <w:b/>
                <w:sz w:val="22"/>
                <w:szCs w:val="22"/>
                <w:highlight w:val="yellow"/>
                <w:lang w:bidi="en-US"/>
              </w:rPr>
              <w:t xml:space="preserve">n </w:t>
            </w:r>
            <w:r w:rsidRPr="00B1094B">
              <w:rPr>
                <w:rFonts w:ascii="Calibri" w:hAnsi="Calibri" w:cs="Calibri"/>
                <w:b/>
                <w:i/>
                <w:sz w:val="22"/>
                <w:szCs w:val="22"/>
                <w:highlight w:val="yellow"/>
                <w:lang w:bidi="en-US"/>
              </w:rPr>
              <w:t>Earp v. Cullen</w:t>
            </w:r>
            <w:r w:rsidRPr="00B1094B">
              <w:rPr>
                <w:rFonts w:ascii="Calibri" w:hAnsi="Calibri" w:cs="Calibri"/>
                <w:b/>
                <w:sz w:val="22"/>
                <w:szCs w:val="22"/>
                <w:highlight w:val="yellow"/>
                <w:lang w:bidi="en-US"/>
              </w:rPr>
              <w:t xml:space="preserve"> (9th Cir. 2010)</w:t>
            </w:r>
            <w:r>
              <w:rPr>
                <w:rFonts w:ascii="Calibri" w:hAnsi="Calibri" w:cs="Calibri"/>
                <w:b/>
                <w:sz w:val="22"/>
                <w:szCs w:val="22"/>
                <w:highlight w:val="yellow"/>
                <w:lang w:bidi="en-US"/>
              </w:rPr>
              <w:t xml:space="preserve">, this Court </w:t>
            </w:r>
            <w:r w:rsidRPr="00B1094B">
              <w:rPr>
                <w:rFonts w:ascii="Calibri" w:hAnsi="Calibri" w:cs="Calibri"/>
                <w:b/>
                <w:sz w:val="22"/>
                <w:szCs w:val="22"/>
                <w:highlight w:val="yellow"/>
                <w:lang w:bidi="en-US"/>
              </w:rPr>
              <w:t>reassign</w:t>
            </w:r>
            <w:r>
              <w:rPr>
                <w:rFonts w:ascii="Calibri" w:hAnsi="Calibri" w:cs="Calibri"/>
                <w:b/>
                <w:sz w:val="22"/>
                <w:szCs w:val="22"/>
                <w:highlight w:val="yellow"/>
                <w:lang w:bidi="en-US"/>
              </w:rPr>
              <w:t>ed the</w:t>
            </w:r>
            <w:r w:rsidRPr="00B1094B">
              <w:rPr>
                <w:rFonts w:ascii="Calibri" w:hAnsi="Calibri" w:cs="Calibri"/>
                <w:b/>
                <w:sz w:val="22"/>
                <w:szCs w:val="22"/>
                <w:highlight w:val="yellow"/>
                <w:lang w:bidi="en-US"/>
              </w:rPr>
              <w:t xml:space="preserve"> case where </w:t>
            </w:r>
            <w:r>
              <w:rPr>
                <w:rFonts w:ascii="Calibri" w:hAnsi="Calibri" w:cs="Calibri"/>
                <w:b/>
                <w:sz w:val="22"/>
                <w:szCs w:val="22"/>
                <w:highlight w:val="yellow"/>
                <w:lang w:bidi="en-US"/>
              </w:rPr>
              <w:t>it</w:t>
            </w:r>
            <w:r w:rsidRPr="00B1094B">
              <w:rPr>
                <w:rFonts w:ascii="Calibri" w:hAnsi="Calibri" w:cs="Calibri"/>
                <w:b/>
                <w:sz w:val="22"/>
                <w:szCs w:val="22"/>
                <w:highlight w:val="yellow"/>
                <w:lang w:bidi="en-US"/>
              </w:rPr>
              <w:t xml:space="preserve"> had to intervene and enter </w:t>
            </w:r>
            <w:r>
              <w:rPr>
                <w:rFonts w:ascii="Calibri" w:hAnsi="Calibri" w:cs="Calibri"/>
                <w:b/>
                <w:sz w:val="22"/>
                <w:szCs w:val="22"/>
                <w:highlight w:val="yellow"/>
                <w:lang w:bidi="en-US"/>
              </w:rPr>
              <w:t xml:space="preserve">an </w:t>
            </w:r>
            <w:r w:rsidRPr="00B1094B">
              <w:rPr>
                <w:rFonts w:ascii="Calibri" w:hAnsi="Calibri" w:cs="Calibri"/>
                <w:b/>
                <w:sz w:val="22"/>
                <w:szCs w:val="22"/>
                <w:highlight w:val="yellow"/>
                <w:lang w:bidi="en-US"/>
              </w:rPr>
              <w:t xml:space="preserve">emergency </w:t>
            </w:r>
            <w:r>
              <w:rPr>
                <w:rFonts w:ascii="Calibri" w:hAnsi="Calibri" w:cs="Calibri"/>
                <w:b/>
                <w:sz w:val="22"/>
                <w:szCs w:val="22"/>
                <w:highlight w:val="yellow"/>
                <w:lang w:bidi="en-US"/>
              </w:rPr>
              <w:t>stay</w:t>
            </w:r>
            <w:r w:rsidRPr="00B1094B">
              <w:rPr>
                <w:rFonts w:ascii="Calibri" w:hAnsi="Calibri" w:cs="Calibri"/>
                <w:b/>
                <w:sz w:val="22"/>
                <w:szCs w:val="22"/>
                <w:highlight w:val="yellow"/>
                <w:lang w:bidi="en-US"/>
              </w:rPr>
              <w:t>.</w:t>
            </w:r>
            <w:r>
              <w:rPr>
                <w:rFonts w:ascii="Calibri" w:hAnsi="Calibri" w:cs="Calibri"/>
                <w:b/>
                <w:sz w:val="22"/>
                <w:szCs w:val="22"/>
                <w:highlight w:val="yellow"/>
                <w:lang w:bidi="en-US"/>
              </w:rPr>
              <w:t xml:space="preserve">  Ward Br. 50.</w:t>
            </w:r>
          </w:p>
          <w:p w14:paraId="50749138" w14:textId="77777777" w:rsidR="00093B76" w:rsidRPr="00B1094B" w:rsidRDefault="00093B76" w:rsidP="002A24E8">
            <w:pPr>
              <w:pStyle w:val="O-BodyText"/>
              <w:spacing w:after="120"/>
              <w:ind w:left="290" w:right="65"/>
              <w:rPr>
                <w:rFonts w:ascii="Calibri" w:hAnsi="Calibri" w:cs="Calibri"/>
                <w:b/>
                <w:sz w:val="22"/>
                <w:szCs w:val="22"/>
                <w:highlight w:val="yellow"/>
                <w:lang w:bidi="en-US"/>
              </w:rPr>
            </w:pPr>
          </w:p>
        </w:tc>
      </w:tr>
      <w:tr w:rsidR="00093B76" w:rsidRPr="005F59BB" w14:paraId="4411C5D8" w14:textId="77777777" w:rsidTr="001D31EB">
        <w:trPr>
          <w:gridAfter w:val="1"/>
          <w:wAfter w:w="198" w:type="dxa"/>
          <w:trHeight w:val="4795"/>
        </w:trPr>
        <w:tc>
          <w:tcPr>
            <w:tcW w:w="5805" w:type="dxa"/>
            <w:vAlign w:val="center"/>
          </w:tcPr>
          <w:p w14:paraId="0241BF5F"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Did this Court’s decision that AT&amp;T was not a necessary party make it difficult for the district court to set aside its views?</w:t>
            </w:r>
          </w:p>
        </w:tc>
        <w:tc>
          <w:tcPr>
            <w:tcW w:w="5805" w:type="dxa"/>
            <w:gridSpan w:val="2"/>
            <w:vAlign w:val="center"/>
          </w:tcPr>
          <w:p w14:paraId="2F5752D7" w14:textId="77777777" w:rsidR="00093B76" w:rsidRPr="005F59BB"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No.  First, this Court reversed the dismissal order entered by Judge </w:t>
            </w:r>
            <w:r w:rsidRPr="008A18AB">
              <w:rPr>
                <w:rFonts w:ascii="Calibri" w:hAnsi="Calibri" w:cs="Calibri"/>
                <w:b/>
                <w:i/>
                <w:sz w:val="22"/>
                <w:szCs w:val="22"/>
                <w:lang w:bidi="en-US"/>
              </w:rPr>
              <w:t>Ware</w:t>
            </w:r>
            <w:r>
              <w:rPr>
                <w:rFonts w:ascii="Calibri" w:hAnsi="Calibri" w:cs="Calibri"/>
                <w:b/>
                <w:sz w:val="22"/>
                <w:szCs w:val="22"/>
                <w:lang w:bidi="en-US"/>
              </w:rPr>
              <w:t>, not Judge Gonzalez Rogers.  And, in any event, the parties</w:t>
            </w:r>
            <w:r w:rsidRPr="005C7B2C">
              <w:rPr>
                <w:rFonts w:ascii="Calibri" w:hAnsi="Calibri" w:cs="Calibri"/>
                <w:b/>
                <w:sz w:val="22"/>
                <w:szCs w:val="22"/>
                <w:lang w:bidi="en-US"/>
              </w:rPr>
              <w:t xml:space="preserve"> stipulated to the dismissal order for the very purpose of seeking this Court’s immediate review on the question of whether</w:t>
            </w:r>
            <w:r>
              <w:rPr>
                <w:rFonts w:ascii="Calibri" w:hAnsi="Calibri" w:cs="Calibri"/>
                <w:b/>
                <w:sz w:val="22"/>
                <w:szCs w:val="22"/>
                <w:lang w:bidi="en-US"/>
              </w:rPr>
              <w:t xml:space="preserve"> </w:t>
            </w:r>
            <w:r w:rsidRPr="005C7B2C">
              <w:rPr>
                <w:rFonts w:ascii="Calibri" w:hAnsi="Calibri" w:cs="Calibri"/>
                <w:b/>
                <w:sz w:val="22"/>
                <w:szCs w:val="22"/>
                <w:lang w:bidi="en-US"/>
              </w:rPr>
              <w:t>AT&amp;T was an indispensable party.</w:t>
            </w:r>
            <w:r>
              <w:rPr>
                <w:rFonts w:ascii="Calibri" w:hAnsi="Calibri" w:cs="Calibri"/>
                <w:b/>
                <w:sz w:val="22"/>
                <w:szCs w:val="22"/>
                <w:lang w:bidi="en-US"/>
              </w:rPr>
              <w:t xml:space="preserve">  </w:t>
            </w:r>
            <w:r w:rsidRPr="005C7B2C">
              <w:rPr>
                <w:rFonts w:ascii="Calibri" w:hAnsi="Calibri" w:cs="Calibri"/>
                <w:b/>
                <w:sz w:val="22"/>
                <w:szCs w:val="22"/>
                <w:lang w:bidi="en-US"/>
              </w:rPr>
              <w:t xml:space="preserve">This Court’s reversal of an order </w:t>
            </w:r>
            <w:r>
              <w:rPr>
                <w:rFonts w:ascii="Calibri" w:hAnsi="Calibri" w:cs="Calibri"/>
                <w:b/>
                <w:sz w:val="22"/>
                <w:szCs w:val="22"/>
                <w:lang w:bidi="en-US"/>
              </w:rPr>
              <w:t>by another district judge does not</w:t>
            </w:r>
            <w:r w:rsidRPr="005C7B2C">
              <w:rPr>
                <w:rFonts w:ascii="Calibri" w:hAnsi="Calibri" w:cs="Calibri"/>
                <w:b/>
                <w:sz w:val="22"/>
                <w:szCs w:val="22"/>
                <w:lang w:bidi="en-US"/>
              </w:rPr>
              <w:t xml:space="preserve"> </w:t>
            </w:r>
            <w:r>
              <w:rPr>
                <w:rFonts w:ascii="Calibri" w:hAnsi="Calibri" w:cs="Calibri"/>
                <w:b/>
                <w:sz w:val="22"/>
                <w:szCs w:val="22"/>
                <w:lang w:bidi="en-US"/>
              </w:rPr>
              <w:t>impede</w:t>
            </w:r>
            <w:r w:rsidRPr="005C7B2C">
              <w:rPr>
                <w:rFonts w:ascii="Calibri" w:hAnsi="Calibri" w:cs="Calibri"/>
                <w:b/>
                <w:sz w:val="22"/>
                <w:szCs w:val="22"/>
                <w:lang w:bidi="en-US"/>
              </w:rPr>
              <w:t xml:space="preserve"> the </w:t>
            </w:r>
            <w:r>
              <w:rPr>
                <w:rFonts w:ascii="Calibri" w:hAnsi="Calibri" w:cs="Calibri"/>
                <w:b/>
                <w:sz w:val="22"/>
                <w:szCs w:val="22"/>
                <w:lang w:bidi="en-US"/>
              </w:rPr>
              <w:t xml:space="preserve">district </w:t>
            </w:r>
            <w:r w:rsidRPr="005C7B2C">
              <w:rPr>
                <w:rFonts w:ascii="Calibri" w:hAnsi="Calibri" w:cs="Calibri"/>
                <w:b/>
                <w:sz w:val="22"/>
                <w:szCs w:val="22"/>
                <w:lang w:bidi="en-US"/>
              </w:rPr>
              <w:t xml:space="preserve">court’s ability to set aside </w:t>
            </w:r>
            <w:r>
              <w:rPr>
                <w:rFonts w:ascii="Calibri" w:hAnsi="Calibri" w:cs="Calibri"/>
                <w:b/>
                <w:sz w:val="22"/>
                <w:szCs w:val="22"/>
                <w:lang w:bidi="en-US"/>
              </w:rPr>
              <w:t xml:space="preserve">any previously </w:t>
            </w:r>
            <w:r w:rsidRPr="005C7B2C">
              <w:rPr>
                <w:rFonts w:ascii="Calibri" w:hAnsi="Calibri" w:cs="Calibri"/>
                <w:b/>
                <w:sz w:val="22"/>
                <w:szCs w:val="22"/>
                <w:lang w:bidi="en-US"/>
              </w:rPr>
              <w:t>held views should remand be necessary.</w:t>
            </w:r>
          </w:p>
        </w:tc>
      </w:tr>
      <w:tr w:rsidR="00093B76" w14:paraId="30522805" w14:textId="77777777" w:rsidTr="001D31EB">
        <w:trPr>
          <w:gridAfter w:val="1"/>
          <w:wAfter w:w="198" w:type="dxa"/>
          <w:trHeight w:val="4795"/>
        </w:trPr>
        <w:tc>
          <w:tcPr>
            <w:tcW w:w="5805" w:type="dxa"/>
            <w:vAlign w:val="center"/>
          </w:tcPr>
          <w:p w14:paraId="78DFC1BD"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order did this Court reverse in holding that AT&amp;T was not a necessary and indispensable party?</w:t>
            </w:r>
          </w:p>
        </w:tc>
        <w:tc>
          <w:tcPr>
            <w:tcW w:w="5805" w:type="dxa"/>
            <w:gridSpan w:val="2"/>
            <w:vAlign w:val="center"/>
          </w:tcPr>
          <w:p w14:paraId="3B185A6F" w14:textId="77777777" w:rsidR="00093B76"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highlight w:val="yellow"/>
                <w:lang w:bidi="en-US"/>
              </w:rPr>
              <w:t xml:space="preserve">This Court reversed </w:t>
            </w:r>
            <w:r w:rsidRPr="00434753">
              <w:rPr>
                <w:rFonts w:ascii="Calibri" w:hAnsi="Calibri" w:cs="Calibri"/>
                <w:b/>
                <w:sz w:val="22"/>
                <w:szCs w:val="22"/>
                <w:highlight w:val="yellow"/>
                <w:lang w:bidi="en-US"/>
              </w:rPr>
              <w:t>Judge Ware’s order of dismissal from December 17, 2012.  Ward Br. 48-49.</w:t>
            </w:r>
          </w:p>
        </w:tc>
      </w:tr>
      <w:tr w:rsidR="00093B76" w:rsidRPr="00434753" w14:paraId="720541CA" w14:textId="77777777" w:rsidTr="001D31EB">
        <w:trPr>
          <w:gridAfter w:val="1"/>
          <w:wAfter w:w="198" w:type="dxa"/>
          <w:trHeight w:val="4795"/>
        </w:trPr>
        <w:tc>
          <w:tcPr>
            <w:tcW w:w="5805" w:type="dxa"/>
            <w:vAlign w:val="center"/>
          </w:tcPr>
          <w:p w14:paraId="5AD61D88"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say about this Court’s June 29, 2015 decision reversing the district court’s order of dismissal?</w:t>
            </w:r>
          </w:p>
        </w:tc>
        <w:tc>
          <w:tcPr>
            <w:tcW w:w="5805" w:type="dxa"/>
            <w:gridSpan w:val="2"/>
            <w:vAlign w:val="center"/>
          </w:tcPr>
          <w:p w14:paraId="6337E2D0" w14:textId="77777777" w:rsidR="00093B76" w:rsidRPr="00434753" w:rsidRDefault="00093B76" w:rsidP="002A24E8">
            <w:pPr>
              <w:pStyle w:val="O-BodyText"/>
              <w:spacing w:after="120"/>
              <w:ind w:left="290" w:right="65"/>
              <w:rPr>
                <w:rFonts w:ascii="Calibri" w:hAnsi="Calibri" w:cs="Calibri"/>
                <w:b/>
                <w:sz w:val="22"/>
                <w:szCs w:val="22"/>
                <w:highlight w:val="yellow"/>
                <w:lang w:bidi="en-US"/>
              </w:rPr>
            </w:pPr>
            <w:r w:rsidRPr="00434753">
              <w:rPr>
                <w:rFonts w:ascii="Calibri" w:hAnsi="Calibri" w:cs="Calibri"/>
                <w:b/>
                <w:sz w:val="22"/>
                <w:szCs w:val="22"/>
                <w:highlight w:val="yellow"/>
                <w:lang w:bidi="en-US"/>
              </w:rPr>
              <w:t>The District Court referred to this Court’s holding as an “interesting opinion by the Ninth Circuit”</w:t>
            </w:r>
            <w:r>
              <w:rPr>
                <w:rFonts w:ascii="Calibri" w:hAnsi="Calibri" w:cs="Calibri"/>
                <w:b/>
                <w:sz w:val="22"/>
                <w:szCs w:val="22"/>
                <w:highlight w:val="yellow"/>
                <w:lang w:bidi="en-US"/>
              </w:rPr>
              <w:t xml:space="preserve"> </w:t>
            </w:r>
            <w:r w:rsidRPr="00434753">
              <w:rPr>
                <w:rFonts w:ascii="Calibri" w:hAnsi="Calibri" w:cs="Calibri"/>
                <w:b/>
                <w:sz w:val="22"/>
                <w:szCs w:val="22"/>
                <w:highlight w:val="yellow"/>
                <w:lang w:bidi="en-US"/>
              </w:rPr>
              <w:t>and later continued to express its belief that AT</w:t>
            </w:r>
            <w:r>
              <w:rPr>
                <w:rFonts w:ascii="Calibri" w:hAnsi="Calibri" w:cs="Calibri"/>
                <w:b/>
                <w:sz w:val="22"/>
                <w:szCs w:val="22"/>
                <w:highlight w:val="yellow"/>
                <w:lang w:bidi="en-US"/>
              </w:rPr>
              <w:t>&amp;</w:t>
            </w:r>
            <w:r w:rsidRPr="00434753">
              <w:rPr>
                <w:rFonts w:ascii="Calibri" w:hAnsi="Calibri" w:cs="Calibri"/>
                <w:b/>
                <w:sz w:val="22"/>
                <w:szCs w:val="22"/>
                <w:highlight w:val="yellow"/>
                <w:lang w:bidi="en-US"/>
              </w:rPr>
              <w:t>T is an indispensable party</w:t>
            </w:r>
            <w:r>
              <w:rPr>
                <w:rFonts w:ascii="Calibri" w:hAnsi="Calibri" w:cs="Calibri"/>
                <w:b/>
                <w:sz w:val="22"/>
                <w:szCs w:val="22"/>
                <w:highlight w:val="yellow"/>
                <w:lang w:bidi="en-US"/>
              </w:rPr>
              <w:t>,</w:t>
            </w:r>
            <w:r w:rsidRPr="00434753">
              <w:rPr>
                <w:rFonts w:ascii="Calibri" w:hAnsi="Calibri" w:cs="Calibri"/>
                <w:b/>
                <w:sz w:val="22"/>
                <w:szCs w:val="22"/>
                <w:highlight w:val="yellow"/>
                <w:lang w:bidi="en-US"/>
              </w:rPr>
              <w:t xml:space="preserve"> despite this Court’s clear holding th</w:t>
            </w:r>
            <w:r>
              <w:rPr>
                <w:rFonts w:ascii="Calibri" w:hAnsi="Calibri" w:cs="Calibri"/>
                <w:b/>
                <w:sz w:val="22"/>
                <w:szCs w:val="22"/>
                <w:highlight w:val="yellow"/>
                <w:lang w:bidi="en-US"/>
              </w:rPr>
              <w:t>at it is not.  Ward Br. 49.</w:t>
            </w:r>
          </w:p>
        </w:tc>
      </w:tr>
      <w:tr w:rsidR="00093B76" w14:paraId="00D1F1A0" w14:textId="77777777" w:rsidTr="001D31EB">
        <w:trPr>
          <w:gridAfter w:val="1"/>
          <w:wAfter w:w="198" w:type="dxa"/>
          <w:trHeight w:val="4795"/>
        </w:trPr>
        <w:tc>
          <w:tcPr>
            <w:tcW w:w="5805" w:type="dxa"/>
            <w:vAlign w:val="center"/>
          </w:tcPr>
          <w:p w14:paraId="4EB9E8BB" w14:textId="77777777" w:rsidR="00093B76"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lang w:bidi="en-US"/>
              </w:rPr>
              <w:t xml:space="preserve">What did we say in </w:t>
            </w:r>
            <w:proofErr w:type="spellStart"/>
            <w:r w:rsidRPr="00F522DE">
              <w:rPr>
                <w:rFonts w:ascii="Calibri" w:hAnsi="Calibri" w:cs="Calibri"/>
                <w:b/>
                <w:i/>
                <w:sz w:val="28"/>
                <w:szCs w:val="28"/>
                <w:lang w:bidi="en-US"/>
              </w:rPr>
              <w:t>Nozzi</w:t>
            </w:r>
            <w:proofErr w:type="spellEnd"/>
            <w:r w:rsidRPr="00F522DE">
              <w:rPr>
                <w:rFonts w:ascii="Calibri" w:hAnsi="Calibri" w:cs="Calibri"/>
                <w:b/>
                <w:i/>
                <w:sz w:val="28"/>
                <w:szCs w:val="28"/>
                <w:lang w:bidi="en-US"/>
              </w:rPr>
              <w:t xml:space="preserve"> v. Housing Authority</w:t>
            </w:r>
            <w:r w:rsidRPr="00F522DE">
              <w:rPr>
                <w:rFonts w:ascii="Calibri" w:hAnsi="Calibri" w:cs="Calibri"/>
                <w:b/>
                <w:sz w:val="28"/>
                <w:szCs w:val="28"/>
                <w:lang w:bidi="en-US"/>
              </w:rPr>
              <w:t xml:space="preserve"> (9th Cir. 2015)</w:t>
            </w:r>
            <w:r>
              <w:rPr>
                <w:rFonts w:ascii="Calibri" w:hAnsi="Calibri" w:cs="Calibri"/>
                <w:b/>
                <w:sz w:val="28"/>
                <w:szCs w:val="28"/>
                <w:lang w:bidi="en-US"/>
              </w:rPr>
              <w:t>?</w:t>
            </w:r>
          </w:p>
        </w:tc>
        <w:tc>
          <w:tcPr>
            <w:tcW w:w="5805" w:type="dxa"/>
            <w:gridSpan w:val="2"/>
            <w:vAlign w:val="center"/>
          </w:tcPr>
          <w:p w14:paraId="4D221BA2" w14:textId="77777777" w:rsidR="00093B76" w:rsidRPr="00F522DE" w:rsidRDefault="00093B76" w:rsidP="002A24E8">
            <w:pPr>
              <w:pStyle w:val="O-BodyText"/>
              <w:spacing w:after="120"/>
              <w:ind w:left="290" w:right="65"/>
              <w:rPr>
                <w:rFonts w:ascii="Calibri" w:hAnsi="Calibri" w:cs="Calibri"/>
                <w:b/>
                <w:sz w:val="22"/>
                <w:szCs w:val="22"/>
                <w:lang w:bidi="en-US"/>
              </w:rPr>
            </w:pPr>
            <w:proofErr w:type="spellStart"/>
            <w:r w:rsidRPr="00F522DE">
              <w:rPr>
                <w:rFonts w:ascii="Calibri" w:hAnsi="Calibri" w:cs="Calibri"/>
                <w:b/>
                <w:i/>
                <w:sz w:val="22"/>
                <w:szCs w:val="22"/>
                <w:lang w:bidi="en-US"/>
              </w:rPr>
              <w:t>Nozzi</w:t>
            </w:r>
            <w:proofErr w:type="spellEnd"/>
            <w:r w:rsidRPr="00F522DE">
              <w:rPr>
                <w:rFonts w:ascii="Calibri" w:hAnsi="Calibri" w:cs="Calibri"/>
                <w:b/>
                <w:i/>
                <w:sz w:val="22"/>
                <w:szCs w:val="22"/>
                <w:lang w:bidi="en-US"/>
              </w:rPr>
              <w:t xml:space="preserve"> v. Housing Authority</w:t>
            </w:r>
            <w:r>
              <w:rPr>
                <w:rFonts w:ascii="Calibri" w:hAnsi="Calibri" w:cs="Calibri"/>
                <w:b/>
                <w:sz w:val="22"/>
                <w:szCs w:val="22"/>
                <w:lang w:bidi="en-US"/>
              </w:rPr>
              <w:t xml:space="preserve"> </w:t>
            </w:r>
            <w:r w:rsidRPr="00F522DE">
              <w:rPr>
                <w:rFonts w:ascii="Calibri" w:hAnsi="Calibri" w:cs="Calibri"/>
                <w:b/>
                <w:sz w:val="22"/>
                <w:szCs w:val="22"/>
                <w:lang w:bidi="en-US"/>
              </w:rPr>
              <w:t xml:space="preserve">(9th Cir. 2015) is inapposite. </w:t>
            </w:r>
            <w:r>
              <w:rPr>
                <w:rFonts w:ascii="Calibri" w:hAnsi="Calibri" w:cs="Calibri"/>
                <w:b/>
                <w:sz w:val="22"/>
                <w:szCs w:val="22"/>
                <w:lang w:bidi="en-US"/>
              </w:rPr>
              <w:t xml:space="preserve"> </w:t>
            </w:r>
            <w:r w:rsidRPr="00F522DE">
              <w:rPr>
                <w:rFonts w:ascii="Calibri" w:hAnsi="Calibri" w:cs="Calibri"/>
                <w:b/>
                <w:sz w:val="22"/>
                <w:szCs w:val="22"/>
                <w:lang w:bidi="en-US"/>
              </w:rPr>
              <w:t xml:space="preserve">That case involved a district court judge </w:t>
            </w:r>
            <w:r>
              <w:rPr>
                <w:rFonts w:ascii="Calibri" w:hAnsi="Calibri" w:cs="Calibri"/>
                <w:b/>
                <w:sz w:val="22"/>
                <w:szCs w:val="22"/>
                <w:lang w:bidi="en-US"/>
              </w:rPr>
              <w:t>who expressed</w:t>
            </w:r>
            <w:r w:rsidRPr="00F522DE">
              <w:rPr>
                <w:rFonts w:ascii="Calibri" w:hAnsi="Calibri" w:cs="Calibri"/>
                <w:b/>
                <w:sz w:val="22"/>
                <w:szCs w:val="22"/>
                <w:lang w:bidi="en-US"/>
              </w:rPr>
              <w:t xml:space="preserve"> open hostility to the rulings of this</w:t>
            </w:r>
            <w:r w:rsidRPr="00F522DE">
              <w:rPr>
                <w:rFonts w:ascii="Times New Roman" w:hAnsi="Times New Roman" w:cs="Times New Roman"/>
                <w:sz w:val="28"/>
                <w:szCs w:val="28"/>
                <w:lang w:bidi="en-US"/>
              </w:rPr>
              <w:t xml:space="preserve"> </w:t>
            </w:r>
            <w:r>
              <w:rPr>
                <w:rFonts w:ascii="Calibri" w:hAnsi="Calibri" w:cs="Calibri"/>
                <w:b/>
                <w:sz w:val="22"/>
                <w:szCs w:val="22"/>
                <w:lang w:bidi="en-US"/>
              </w:rPr>
              <w:t xml:space="preserve">Court, and who </w:t>
            </w:r>
            <w:r w:rsidRPr="00F522DE">
              <w:rPr>
                <w:rFonts w:ascii="Calibri" w:hAnsi="Calibri" w:cs="Calibri"/>
                <w:b/>
                <w:sz w:val="22"/>
                <w:szCs w:val="22"/>
                <w:lang w:bidi="en-US"/>
              </w:rPr>
              <w:t xml:space="preserve">explicitly </w:t>
            </w:r>
            <w:r>
              <w:rPr>
                <w:rFonts w:ascii="Calibri" w:hAnsi="Calibri" w:cs="Calibri"/>
                <w:b/>
                <w:sz w:val="22"/>
                <w:szCs w:val="22"/>
                <w:lang w:bidi="en-US"/>
              </w:rPr>
              <w:t>said</w:t>
            </w:r>
            <w:r w:rsidRPr="00F522DE">
              <w:rPr>
                <w:rFonts w:ascii="Calibri" w:hAnsi="Calibri" w:cs="Calibri"/>
                <w:b/>
                <w:sz w:val="22"/>
                <w:szCs w:val="22"/>
                <w:lang w:bidi="en-US"/>
              </w:rPr>
              <w:t xml:space="preserve"> that the case should be remanded to a different district judge if his decision were reversed. </w:t>
            </w:r>
          </w:p>
          <w:p w14:paraId="308AFD8E" w14:textId="77777777" w:rsidR="00093B76" w:rsidRPr="00F522DE" w:rsidRDefault="00093B76" w:rsidP="002A24E8">
            <w:pPr>
              <w:pStyle w:val="O-BodyText"/>
              <w:spacing w:after="120"/>
              <w:ind w:left="290" w:right="65"/>
              <w:rPr>
                <w:rFonts w:ascii="Calibri" w:hAnsi="Calibri" w:cs="Calibri"/>
                <w:b/>
                <w:sz w:val="22"/>
                <w:szCs w:val="22"/>
                <w:lang w:bidi="en-US"/>
              </w:rPr>
            </w:pPr>
          </w:p>
          <w:p w14:paraId="5F2DF30C" w14:textId="77777777" w:rsidR="00093B76" w:rsidRDefault="00093B76" w:rsidP="002A24E8">
            <w:pPr>
              <w:pStyle w:val="O-BodyText"/>
              <w:spacing w:after="120"/>
              <w:ind w:left="290" w:right="65"/>
              <w:rPr>
                <w:rFonts w:ascii="Calibri" w:hAnsi="Calibri" w:cs="Calibri"/>
                <w:b/>
                <w:sz w:val="22"/>
                <w:szCs w:val="22"/>
                <w:lang w:bidi="en-US"/>
              </w:rPr>
            </w:pPr>
          </w:p>
        </w:tc>
      </w:tr>
      <w:tr w:rsidR="00093B76" w:rsidRPr="00F522DE" w14:paraId="03363D11" w14:textId="77777777" w:rsidTr="001D31EB">
        <w:trPr>
          <w:gridAfter w:val="1"/>
          <w:wAfter w:w="198" w:type="dxa"/>
          <w:trHeight w:val="4795"/>
        </w:trPr>
        <w:tc>
          <w:tcPr>
            <w:tcW w:w="5805" w:type="dxa"/>
            <w:vAlign w:val="center"/>
          </w:tcPr>
          <w:p w14:paraId="112F2792"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lastRenderedPageBreak/>
              <w:t>Has the district</w:t>
            </w:r>
            <w:r w:rsidRPr="00F522DE">
              <w:rPr>
                <w:rFonts w:ascii="Calibri" w:hAnsi="Calibri" w:cs="Calibri"/>
                <w:b/>
                <w:sz w:val="28"/>
                <w:szCs w:val="28"/>
                <w:lang w:bidi="en-US"/>
              </w:rPr>
              <w:t xml:space="preserve"> court </w:t>
            </w:r>
            <w:r>
              <w:rPr>
                <w:rFonts w:ascii="Calibri" w:hAnsi="Calibri" w:cs="Calibri"/>
                <w:b/>
                <w:sz w:val="28"/>
                <w:szCs w:val="28"/>
                <w:lang w:bidi="en-US"/>
              </w:rPr>
              <w:t>ever demonstrated hostility to p</w:t>
            </w:r>
            <w:r w:rsidRPr="00F522DE">
              <w:rPr>
                <w:rFonts w:ascii="Calibri" w:hAnsi="Calibri" w:cs="Calibri"/>
                <w:b/>
                <w:sz w:val="28"/>
                <w:szCs w:val="28"/>
                <w:lang w:bidi="en-US"/>
              </w:rPr>
              <w:t>laintiffs or their case</w:t>
            </w:r>
            <w:r>
              <w:rPr>
                <w:rFonts w:ascii="Calibri" w:hAnsi="Calibri" w:cs="Calibri"/>
                <w:b/>
                <w:sz w:val="28"/>
                <w:szCs w:val="28"/>
                <w:lang w:bidi="en-US"/>
              </w:rPr>
              <w:t>?</w:t>
            </w:r>
          </w:p>
        </w:tc>
        <w:tc>
          <w:tcPr>
            <w:tcW w:w="5805" w:type="dxa"/>
            <w:gridSpan w:val="2"/>
            <w:vAlign w:val="center"/>
          </w:tcPr>
          <w:p w14:paraId="590DD877" w14:textId="77777777" w:rsidR="00093B76" w:rsidRPr="00F522DE"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No</w:t>
            </w:r>
            <w:r w:rsidRPr="00F522DE">
              <w:rPr>
                <w:rFonts w:ascii="Calibri" w:hAnsi="Calibri" w:cs="Calibri"/>
                <w:b/>
                <w:sz w:val="22"/>
                <w:szCs w:val="22"/>
                <w:lang w:bidi="en-US"/>
              </w:rPr>
              <w:t>.</w:t>
            </w:r>
            <w:r>
              <w:rPr>
                <w:rFonts w:ascii="Calibri" w:hAnsi="Calibri" w:cs="Calibri"/>
                <w:b/>
                <w:sz w:val="22"/>
                <w:szCs w:val="22"/>
                <w:lang w:bidi="en-US"/>
              </w:rPr>
              <w:t xml:space="preserve"> </w:t>
            </w:r>
            <w:r w:rsidRPr="00F522DE">
              <w:rPr>
                <w:rFonts w:ascii="Calibri" w:hAnsi="Calibri" w:cs="Calibri"/>
                <w:b/>
                <w:sz w:val="22"/>
                <w:szCs w:val="22"/>
                <w:lang w:bidi="en-US"/>
              </w:rPr>
              <w:t xml:space="preserve"> Since this Court originally remanded this case to the district court </w:t>
            </w:r>
            <w:r>
              <w:rPr>
                <w:rFonts w:ascii="Calibri" w:hAnsi="Calibri" w:cs="Calibri"/>
                <w:b/>
                <w:sz w:val="22"/>
                <w:szCs w:val="22"/>
                <w:lang w:bidi="en-US"/>
              </w:rPr>
              <w:t xml:space="preserve">after reversing the dismissal </w:t>
            </w:r>
            <w:r w:rsidRPr="00F522DE">
              <w:rPr>
                <w:rFonts w:ascii="Calibri" w:hAnsi="Calibri" w:cs="Calibri"/>
                <w:b/>
                <w:sz w:val="22"/>
                <w:szCs w:val="22"/>
                <w:lang w:bidi="en-US"/>
              </w:rPr>
              <w:t xml:space="preserve">order by </w:t>
            </w:r>
            <w:r>
              <w:rPr>
                <w:rFonts w:ascii="Calibri" w:hAnsi="Calibri" w:cs="Calibri"/>
                <w:b/>
                <w:sz w:val="22"/>
                <w:szCs w:val="22"/>
                <w:lang w:bidi="en-US"/>
              </w:rPr>
              <w:t>Judge Ware</w:t>
            </w:r>
            <w:r w:rsidRPr="00F522DE">
              <w:rPr>
                <w:rFonts w:ascii="Calibri" w:hAnsi="Calibri" w:cs="Calibri"/>
                <w:b/>
                <w:sz w:val="22"/>
                <w:szCs w:val="22"/>
                <w:lang w:bidi="en-US"/>
              </w:rPr>
              <w:t xml:space="preserve">, the </w:t>
            </w:r>
            <w:r>
              <w:rPr>
                <w:rFonts w:ascii="Calibri" w:hAnsi="Calibri" w:cs="Calibri"/>
                <w:b/>
                <w:sz w:val="22"/>
                <w:szCs w:val="22"/>
                <w:lang w:bidi="en-US"/>
              </w:rPr>
              <w:t xml:space="preserve">district court has never </w:t>
            </w:r>
            <w:r w:rsidRPr="00F522DE">
              <w:rPr>
                <w:rFonts w:ascii="Calibri" w:hAnsi="Calibri" w:cs="Calibri"/>
                <w:b/>
                <w:sz w:val="22"/>
                <w:szCs w:val="22"/>
                <w:lang w:bidi="en-US"/>
              </w:rPr>
              <w:t>s</w:t>
            </w:r>
            <w:r>
              <w:rPr>
                <w:rFonts w:ascii="Calibri" w:hAnsi="Calibri" w:cs="Calibri"/>
                <w:b/>
                <w:sz w:val="22"/>
                <w:szCs w:val="22"/>
                <w:lang w:bidi="en-US"/>
              </w:rPr>
              <w:t>uggested that it is hostile to p</w:t>
            </w:r>
            <w:r w:rsidRPr="00F522DE">
              <w:rPr>
                <w:rFonts w:ascii="Calibri" w:hAnsi="Calibri" w:cs="Calibri"/>
                <w:b/>
                <w:sz w:val="22"/>
                <w:szCs w:val="22"/>
                <w:lang w:bidi="en-US"/>
              </w:rPr>
              <w:t>laintiffs or their case</w:t>
            </w:r>
            <w:r>
              <w:rPr>
                <w:rFonts w:ascii="Calibri" w:hAnsi="Calibri" w:cs="Calibri"/>
                <w:b/>
                <w:sz w:val="22"/>
                <w:szCs w:val="22"/>
                <w:lang w:bidi="en-US"/>
              </w:rPr>
              <w:t>.</w:t>
            </w:r>
          </w:p>
        </w:tc>
      </w:tr>
      <w:tr w:rsidR="00093B76" w:rsidRPr="00F522DE" w14:paraId="7FB94E69" w14:textId="77777777" w:rsidTr="001D31EB">
        <w:trPr>
          <w:gridAfter w:val="1"/>
          <w:wAfter w:w="198" w:type="dxa"/>
          <w:trHeight w:val="4795"/>
        </w:trPr>
        <w:tc>
          <w:tcPr>
            <w:tcW w:w="5805" w:type="dxa"/>
            <w:vAlign w:val="center"/>
          </w:tcPr>
          <w:p w14:paraId="52D1594A"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 xml:space="preserve">Has the district court </w:t>
            </w:r>
            <w:r w:rsidRPr="00F522DE">
              <w:rPr>
                <w:rFonts w:ascii="Calibri" w:hAnsi="Calibri" w:cs="Calibri"/>
                <w:b/>
                <w:sz w:val="28"/>
                <w:szCs w:val="28"/>
                <w:lang w:bidi="en-US"/>
              </w:rPr>
              <w:t xml:space="preserve">prejudged </w:t>
            </w:r>
            <w:r>
              <w:rPr>
                <w:rFonts w:ascii="Calibri" w:hAnsi="Calibri" w:cs="Calibri"/>
                <w:b/>
                <w:sz w:val="28"/>
                <w:szCs w:val="28"/>
                <w:lang w:bidi="en-US"/>
              </w:rPr>
              <w:t>any of the issues presented?</w:t>
            </w:r>
          </w:p>
        </w:tc>
        <w:tc>
          <w:tcPr>
            <w:tcW w:w="5805" w:type="dxa"/>
            <w:gridSpan w:val="2"/>
            <w:vAlign w:val="center"/>
          </w:tcPr>
          <w:p w14:paraId="445B5ADB" w14:textId="77777777" w:rsidR="00093B76" w:rsidRPr="00F522DE" w:rsidRDefault="00093B76" w:rsidP="002A24E8">
            <w:pPr>
              <w:pStyle w:val="O-BodyText"/>
              <w:spacing w:after="120"/>
              <w:ind w:left="290" w:right="65"/>
              <w:rPr>
                <w:rFonts w:ascii="Calibri" w:hAnsi="Calibri" w:cs="Calibri"/>
                <w:b/>
                <w:sz w:val="22"/>
                <w:szCs w:val="22"/>
                <w:lang w:bidi="en-US"/>
              </w:rPr>
            </w:pPr>
            <w:r>
              <w:rPr>
                <w:rFonts w:ascii="Calibri" w:hAnsi="Calibri" w:cs="Calibri"/>
                <w:b/>
                <w:sz w:val="22"/>
                <w:szCs w:val="22"/>
                <w:lang w:bidi="en-US"/>
              </w:rPr>
              <w:t xml:space="preserve">No.  </w:t>
            </w:r>
            <w:r w:rsidRPr="00F522DE">
              <w:rPr>
                <w:rFonts w:ascii="Calibri" w:hAnsi="Calibri" w:cs="Calibri"/>
                <w:b/>
                <w:sz w:val="22"/>
                <w:szCs w:val="22"/>
                <w:highlight w:val="yellow"/>
                <w:lang w:bidi="en-US"/>
              </w:rPr>
              <w:t>[Explain.]</w:t>
            </w:r>
          </w:p>
        </w:tc>
      </w:tr>
      <w:tr w:rsidR="00093B76" w:rsidRPr="00722D63" w14:paraId="19E24209" w14:textId="77777777" w:rsidTr="001D31EB">
        <w:trPr>
          <w:gridAfter w:val="1"/>
          <w:wAfter w:w="198" w:type="dxa"/>
          <w:trHeight w:val="4795"/>
        </w:trPr>
        <w:tc>
          <w:tcPr>
            <w:tcW w:w="5805" w:type="dxa"/>
            <w:vAlign w:val="center"/>
          </w:tcPr>
          <w:p w14:paraId="0301FD99"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When is reassignment necessary to preserve the appearance of justice?</w:t>
            </w:r>
          </w:p>
        </w:tc>
        <w:tc>
          <w:tcPr>
            <w:tcW w:w="5805" w:type="dxa"/>
            <w:gridSpan w:val="2"/>
            <w:vAlign w:val="center"/>
          </w:tcPr>
          <w:p w14:paraId="7E6A75F9" w14:textId="77777777" w:rsidR="00093B76" w:rsidRPr="00722D63" w:rsidRDefault="00093B76" w:rsidP="002A24E8">
            <w:pPr>
              <w:pStyle w:val="O-BodyText"/>
              <w:rPr>
                <w:rFonts w:ascii="Calibri" w:hAnsi="Calibri" w:cs="Calibri"/>
                <w:b/>
                <w:sz w:val="22"/>
                <w:szCs w:val="22"/>
                <w:lang w:bidi="en-US"/>
              </w:rPr>
            </w:pPr>
            <w:r w:rsidRPr="00722D63">
              <w:rPr>
                <w:rFonts w:ascii="Calibri" w:hAnsi="Calibri" w:cs="Calibri"/>
                <w:b/>
                <w:sz w:val="22"/>
                <w:szCs w:val="22"/>
                <w:lang w:bidi="en-US"/>
              </w:rPr>
              <w:t xml:space="preserve">Such circumstances are exceedingly rare. </w:t>
            </w:r>
            <w:r>
              <w:rPr>
                <w:rFonts w:ascii="Calibri" w:hAnsi="Calibri" w:cs="Calibri"/>
                <w:b/>
                <w:sz w:val="22"/>
                <w:szCs w:val="22"/>
                <w:lang w:bidi="en-US"/>
              </w:rPr>
              <w:t xml:space="preserve"> </w:t>
            </w:r>
            <w:r w:rsidRPr="00722D63">
              <w:rPr>
                <w:rFonts w:ascii="Calibri" w:hAnsi="Calibri" w:cs="Calibri"/>
                <w:b/>
                <w:i/>
                <w:sz w:val="22"/>
                <w:szCs w:val="22"/>
                <w:lang w:bidi="en-US"/>
              </w:rPr>
              <w:t>See California v. Montrose Chem. Corp</w:t>
            </w:r>
            <w:r>
              <w:rPr>
                <w:rFonts w:ascii="Calibri" w:hAnsi="Calibri" w:cs="Calibri"/>
                <w:b/>
                <w:i/>
                <w:sz w:val="22"/>
                <w:szCs w:val="22"/>
                <w:lang w:bidi="en-US"/>
              </w:rPr>
              <w:t>.</w:t>
            </w:r>
            <w:r w:rsidRPr="00722D63">
              <w:rPr>
                <w:rFonts w:ascii="Calibri" w:hAnsi="Calibri" w:cs="Calibri"/>
                <w:b/>
                <w:sz w:val="22"/>
                <w:szCs w:val="22"/>
                <w:lang w:bidi="en-US"/>
              </w:rPr>
              <w:t xml:space="preserve"> (9th Cir. 1997</w:t>
            </w:r>
            <w:r>
              <w:rPr>
                <w:rFonts w:ascii="Calibri" w:hAnsi="Calibri" w:cs="Calibri"/>
                <w:b/>
                <w:sz w:val="22"/>
                <w:szCs w:val="22"/>
                <w:lang w:bidi="en-US"/>
              </w:rPr>
              <w:t xml:space="preserve">); </w:t>
            </w:r>
            <w:proofErr w:type="spellStart"/>
            <w:r>
              <w:rPr>
                <w:rFonts w:ascii="Calibri" w:hAnsi="Calibri" w:cs="Calibri"/>
                <w:b/>
                <w:i/>
                <w:sz w:val="22"/>
                <w:szCs w:val="22"/>
                <w:lang w:bidi="en-US"/>
              </w:rPr>
              <w:t>Krechman</w:t>
            </w:r>
            <w:proofErr w:type="spellEnd"/>
            <w:r>
              <w:rPr>
                <w:rFonts w:ascii="Calibri" w:hAnsi="Calibri" w:cs="Calibri"/>
                <w:b/>
                <w:i/>
                <w:sz w:val="22"/>
                <w:szCs w:val="22"/>
                <w:lang w:bidi="en-US"/>
              </w:rPr>
              <w:t xml:space="preserve"> v. County of Riverside</w:t>
            </w:r>
            <w:r>
              <w:rPr>
                <w:rFonts w:ascii="Calibri" w:hAnsi="Calibri" w:cs="Calibri"/>
                <w:b/>
                <w:sz w:val="22"/>
                <w:szCs w:val="22"/>
                <w:lang w:bidi="en-US"/>
              </w:rPr>
              <w:t xml:space="preserve"> (9th Cir. 2013).  Reassignment is only necessary when</w:t>
            </w:r>
            <w:r w:rsidRPr="00722D63">
              <w:rPr>
                <w:rFonts w:ascii="Calibri" w:hAnsi="Calibri" w:cs="Calibri"/>
                <w:b/>
                <w:sz w:val="22"/>
                <w:szCs w:val="22"/>
                <w:lang w:bidi="en-US"/>
              </w:rPr>
              <w:t xml:space="preserve"> a “district court’s expressions of frustration with an attorney or party [must have] somehow </w:t>
            </w:r>
            <w:r w:rsidRPr="00722D63">
              <w:rPr>
                <w:rFonts w:ascii="Calibri" w:hAnsi="Calibri" w:cs="Calibri"/>
                <w:b/>
                <w:i/>
                <w:sz w:val="22"/>
                <w:szCs w:val="22"/>
                <w:lang w:bidi="en-US"/>
              </w:rPr>
              <w:t xml:space="preserve">appeared </w:t>
            </w:r>
            <w:r w:rsidRPr="00722D63">
              <w:rPr>
                <w:rFonts w:ascii="Calibri" w:hAnsi="Calibri" w:cs="Calibri"/>
                <w:b/>
                <w:sz w:val="22"/>
                <w:szCs w:val="22"/>
                <w:lang w:bidi="en-US"/>
              </w:rPr>
              <w:t>to affect his or her handling of the substantive issues in the case.”</w:t>
            </w:r>
            <w:r>
              <w:rPr>
                <w:rFonts w:ascii="Calibri" w:hAnsi="Calibri" w:cs="Calibri"/>
                <w:b/>
                <w:sz w:val="22"/>
                <w:szCs w:val="22"/>
                <w:lang w:bidi="en-US"/>
              </w:rPr>
              <w:t xml:space="preserve"> </w:t>
            </w:r>
            <w:r w:rsidRPr="00722D63">
              <w:rPr>
                <w:rFonts w:ascii="Calibri" w:hAnsi="Calibri" w:cs="Calibri"/>
                <w:b/>
                <w:sz w:val="22"/>
                <w:szCs w:val="22"/>
                <w:lang w:bidi="en-US"/>
              </w:rPr>
              <w:t xml:space="preserve"> </w:t>
            </w:r>
            <w:r w:rsidRPr="00722D63">
              <w:rPr>
                <w:rFonts w:ascii="Calibri" w:hAnsi="Calibri" w:cs="Calibri"/>
                <w:b/>
                <w:i/>
                <w:sz w:val="22"/>
                <w:szCs w:val="22"/>
                <w:lang w:bidi="en-US"/>
              </w:rPr>
              <w:t>California v. Montrose Chem. Corp.</w:t>
            </w:r>
            <w:r>
              <w:rPr>
                <w:rFonts w:ascii="Calibri" w:hAnsi="Calibri" w:cs="Calibri"/>
                <w:b/>
                <w:i/>
                <w:sz w:val="22"/>
                <w:szCs w:val="22"/>
                <w:lang w:bidi="en-US"/>
              </w:rPr>
              <w:t xml:space="preserve"> </w:t>
            </w:r>
            <w:r w:rsidRPr="00722D63">
              <w:rPr>
                <w:rFonts w:ascii="Calibri" w:hAnsi="Calibri" w:cs="Calibri"/>
                <w:b/>
                <w:sz w:val="22"/>
                <w:szCs w:val="22"/>
                <w:lang w:bidi="en-US"/>
              </w:rPr>
              <w:t>(9th Cir. 1997).</w:t>
            </w:r>
          </w:p>
          <w:p w14:paraId="553CD5C8" w14:textId="77777777" w:rsidR="00093B76" w:rsidRPr="00722D63" w:rsidRDefault="00093B76" w:rsidP="002A24E8">
            <w:pPr>
              <w:pStyle w:val="O-BodyText"/>
              <w:spacing w:after="120"/>
              <w:ind w:left="290" w:right="65"/>
              <w:rPr>
                <w:rFonts w:ascii="Calibri" w:hAnsi="Calibri" w:cs="Calibri"/>
                <w:b/>
                <w:sz w:val="22"/>
                <w:szCs w:val="22"/>
                <w:lang w:bidi="en-US"/>
              </w:rPr>
            </w:pPr>
          </w:p>
        </w:tc>
      </w:tr>
      <w:tr w:rsidR="00093B76" w14:paraId="61FBA7F7" w14:textId="77777777" w:rsidTr="001D31EB">
        <w:trPr>
          <w:gridAfter w:val="1"/>
          <w:wAfter w:w="198" w:type="dxa"/>
          <w:trHeight w:val="4795"/>
        </w:trPr>
        <w:tc>
          <w:tcPr>
            <w:tcW w:w="5805" w:type="dxa"/>
            <w:vAlign w:val="center"/>
          </w:tcPr>
          <w:p w14:paraId="180C07B9"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lastRenderedPageBreak/>
              <w:t xml:space="preserve">Is reassignment </w:t>
            </w:r>
            <w:r w:rsidRPr="00722D63">
              <w:rPr>
                <w:rFonts w:ascii="Calibri" w:hAnsi="Calibri" w:cs="Calibri"/>
                <w:b/>
                <w:sz w:val="28"/>
                <w:szCs w:val="28"/>
                <w:lang w:bidi="en-US"/>
              </w:rPr>
              <w:t xml:space="preserve">necessary </w:t>
            </w:r>
            <w:r>
              <w:rPr>
                <w:rFonts w:ascii="Calibri" w:hAnsi="Calibri" w:cs="Calibri"/>
                <w:b/>
                <w:sz w:val="28"/>
                <w:szCs w:val="28"/>
                <w:lang w:bidi="en-US"/>
              </w:rPr>
              <w:t xml:space="preserve">in this case </w:t>
            </w:r>
            <w:r w:rsidRPr="00722D63">
              <w:rPr>
                <w:rFonts w:ascii="Calibri" w:hAnsi="Calibri" w:cs="Calibri"/>
                <w:b/>
                <w:sz w:val="28"/>
                <w:szCs w:val="28"/>
                <w:lang w:bidi="en-US"/>
              </w:rPr>
              <w:t>to prese</w:t>
            </w:r>
            <w:r>
              <w:rPr>
                <w:rFonts w:ascii="Calibri" w:hAnsi="Calibri" w:cs="Calibri"/>
                <w:b/>
                <w:sz w:val="28"/>
                <w:szCs w:val="28"/>
                <w:lang w:bidi="en-US"/>
              </w:rPr>
              <w:t>rve the appearance of justice?</w:t>
            </w:r>
          </w:p>
        </w:tc>
        <w:tc>
          <w:tcPr>
            <w:tcW w:w="5805" w:type="dxa"/>
            <w:gridSpan w:val="2"/>
            <w:vAlign w:val="center"/>
          </w:tcPr>
          <w:p w14:paraId="2090FD61" w14:textId="77777777" w:rsidR="00093B76" w:rsidRPr="00D849D2" w:rsidRDefault="00093B76" w:rsidP="002A24E8">
            <w:pPr>
              <w:pStyle w:val="O-BodyText"/>
              <w:rPr>
                <w:rFonts w:ascii="Calibri" w:hAnsi="Calibri" w:cs="Calibri"/>
                <w:b/>
                <w:sz w:val="22"/>
                <w:szCs w:val="22"/>
                <w:lang w:bidi="en-US"/>
              </w:rPr>
            </w:pPr>
            <w:r>
              <w:rPr>
                <w:rFonts w:ascii="Calibri" w:hAnsi="Calibri" w:cs="Calibri"/>
                <w:b/>
                <w:sz w:val="22"/>
                <w:szCs w:val="22"/>
                <w:lang w:bidi="en-US"/>
              </w:rPr>
              <w:t xml:space="preserve">No.  </w:t>
            </w:r>
            <w:r w:rsidRPr="00D849D2">
              <w:rPr>
                <w:rFonts w:ascii="Calibri" w:hAnsi="Calibri" w:cs="Calibri"/>
                <w:b/>
                <w:sz w:val="22"/>
                <w:szCs w:val="22"/>
                <w:lang w:bidi="en-US"/>
              </w:rPr>
              <w:t xml:space="preserve">The </w:t>
            </w:r>
            <w:r>
              <w:rPr>
                <w:rFonts w:ascii="Calibri" w:hAnsi="Calibri" w:cs="Calibri"/>
                <w:b/>
                <w:sz w:val="22"/>
                <w:szCs w:val="22"/>
                <w:lang w:bidi="en-US"/>
              </w:rPr>
              <w:t xml:space="preserve">district </w:t>
            </w:r>
            <w:r w:rsidRPr="00D849D2">
              <w:rPr>
                <w:rFonts w:ascii="Calibri" w:hAnsi="Calibri" w:cs="Calibri"/>
                <w:b/>
                <w:sz w:val="22"/>
                <w:szCs w:val="22"/>
                <w:lang w:bidi="en-US"/>
              </w:rPr>
              <w:t xml:space="preserve">court has diligently </w:t>
            </w:r>
            <w:r>
              <w:rPr>
                <w:rFonts w:ascii="Calibri" w:hAnsi="Calibri" w:cs="Calibri"/>
                <w:b/>
                <w:sz w:val="22"/>
                <w:szCs w:val="22"/>
                <w:lang w:bidi="en-US"/>
              </w:rPr>
              <w:t>guided</w:t>
            </w:r>
            <w:r w:rsidRPr="00D849D2">
              <w:rPr>
                <w:rFonts w:ascii="Calibri" w:hAnsi="Calibri" w:cs="Calibri"/>
                <w:b/>
                <w:sz w:val="22"/>
                <w:szCs w:val="22"/>
                <w:lang w:bidi="en-US"/>
              </w:rPr>
              <w:t xml:space="preserve"> this case toward a final disposition. </w:t>
            </w:r>
            <w:r>
              <w:rPr>
                <w:rFonts w:ascii="Calibri" w:hAnsi="Calibri" w:cs="Calibri"/>
                <w:b/>
                <w:sz w:val="22"/>
                <w:szCs w:val="22"/>
                <w:lang w:bidi="en-US"/>
              </w:rPr>
              <w:t xml:space="preserve"> </w:t>
            </w:r>
            <w:r w:rsidRPr="00D849D2">
              <w:rPr>
                <w:rFonts w:ascii="Calibri" w:hAnsi="Calibri" w:cs="Calibri"/>
                <w:b/>
                <w:sz w:val="22"/>
                <w:szCs w:val="22"/>
                <w:lang w:bidi="en-US"/>
              </w:rPr>
              <w:t xml:space="preserve">It denied a motion to dismiss by Apple, </w:t>
            </w:r>
            <w:r>
              <w:rPr>
                <w:rFonts w:ascii="Calibri" w:hAnsi="Calibri" w:cs="Calibri"/>
                <w:b/>
                <w:sz w:val="22"/>
                <w:szCs w:val="22"/>
                <w:lang w:bidi="en-US"/>
              </w:rPr>
              <w:t>permitted p</w:t>
            </w:r>
            <w:r w:rsidRPr="00D849D2">
              <w:rPr>
                <w:rFonts w:ascii="Calibri" w:hAnsi="Calibri" w:cs="Calibri"/>
                <w:b/>
                <w:sz w:val="22"/>
                <w:szCs w:val="22"/>
                <w:lang w:bidi="en-US"/>
              </w:rPr>
              <w:t xml:space="preserve">laintiffs to conduct discovery in opposition to Apple’s motion for summary judgment, addressed class certification motions, and set a schedule for trial. </w:t>
            </w:r>
            <w:r>
              <w:rPr>
                <w:rFonts w:ascii="Calibri" w:hAnsi="Calibri" w:cs="Calibri"/>
                <w:b/>
                <w:sz w:val="22"/>
                <w:szCs w:val="22"/>
                <w:lang w:bidi="en-US"/>
              </w:rPr>
              <w:t xml:space="preserve"> </w:t>
            </w:r>
            <w:r w:rsidRPr="00D849D2">
              <w:rPr>
                <w:rFonts w:ascii="Calibri" w:hAnsi="Calibri" w:cs="Calibri"/>
                <w:b/>
                <w:sz w:val="22"/>
                <w:szCs w:val="22"/>
                <w:lang w:bidi="en-US"/>
              </w:rPr>
              <w:t>T</w:t>
            </w:r>
            <w:r>
              <w:rPr>
                <w:rFonts w:ascii="Calibri" w:hAnsi="Calibri" w:cs="Calibri"/>
                <w:b/>
                <w:sz w:val="22"/>
                <w:szCs w:val="22"/>
                <w:lang w:bidi="en-US"/>
              </w:rPr>
              <w:t>he district court has provided p</w:t>
            </w:r>
            <w:r w:rsidRPr="00D849D2">
              <w:rPr>
                <w:rFonts w:ascii="Calibri" w:hAnsi="Calibri" w:cs="Calibri"/>
                <w:b/>
                <w:sz w:val="22"/>
                <w:szCs w:val="22"/>
                <w:lang w:bidi="en-US"/>
              </w:rPr>
              <w:t xml:space="preserve">laintiffs every </w:t>
            </w:r>
            <w:r>
              <w:rPr>
                <w:rFonts w:ascii="Calibri" w:hAnsi="Calibri" w:cs="Calibri"/>
                <w:b/>
                <w:sz w:val="22"/>
                <w:szCs w:val="22"/>
                <w:lang w:bidi="en-US"/>
              </w:rPr>
              <w:t xml:space="preserve">opportunity to prove their case, </w:t>
            </w:r>
            <w:r w:rsidRPr="00D849D2">
              <w:rPr>
                <w:rFonts w:ascii="Calibri" w:hAnsi="Calibri" w:cs="Calibri"/>
                <w:b/>
                <w:sz w:val="22"/>
                <w:szCs w:val="22"/>
                <w:lang w:bidi="en-US"/>
              </w:rPr>
              <w:t xml:space="preserve">at every juncture. </w:t>
            </w:r>
            <w:r>
              <w:rPr>
                <w:rFonts w:ascii="Calibri" w:hAnsi="Calibri" w:cs="Calibri"/>
                <w:b/>
                <w:sz w:val="22"/>
                <w:szCs w:val="22"/>
                <w:lang w:bidi="en-US"/>
              </w:rPr>
              <w:t xml:space="preserve"> </w:t>
            </w:r>
            <w:r w:rsidRPr="00D849D2">
              <w:rPr>
                <w:rFonts w:ascii="Calibri" w:hAnsi="Calibri" w:cs="Calibri"/>
                <w:b/>
                <w:sz w:val="22"/>
                <w:szCs w:val="22"/>
                <w:lang w:bidi="en-US"/>
              </w:rPr>
              <w:t>The court denied Apple’s</w:t>
            </w:r>
            <w:r w:rsidRPr="00D849D2">
              <w:rPr>
                <w:rFonts w:ascii="Times New Roman" w:hAnsi="Times New Roman" w:cs="Times New Roman"/>
                <w:sz w:val="22"/>
                <w:szCs w:val="22"/>
                <w:lang w:bidi="en-US"/>
              </w:rPr>
              <w:t xml:space="preserve"> </w:t>
            </w:r>
            <w:r w:rsidRPr="00D849D2">
              <w:rPr>
                <w:rFonts w:ascii="Calibri" w:hAnsi="Calibri" w:cs="Calibri"/>
                <w:b/>
                <w:sz w:val="22"/>
                <w:szCs w:val="22"/>
                <w:lang w:bidi="en-US"/>
              </w:rPr>
              <w:t>summary judgment</w:t>
            </w:r>
            <w:r>
              <w:rPr>
                <w:rFonts w:ascii="Calibri" w:hAnsi="Calibri" w:cs="Calibri"/>
                <w:b/>
                <w:sz w:val="22"/>
                <w:szCs w:val="22"/>
                <w:lang w:bidi="en-US"/>
              </w:rPr>
              <w:t xml:space="preserve"> motion in part, and permitted p</w:t>
            </w:r>
            <w:r w:rsidRPr="00D849D2">
              <w:rPr>
                <w:rFonts w:ascii="Calibri" w:hAnsi="Calibri" w:cs="Calibri"/>
                <w:b/>
                <w:sz w:val="22"/>
                <w:szCs w:val="22"/>
                <w:lang w:bidi="en-US"/>
              </w:rPr>
              <w:t xml:space="preserve">laintiffs to take </w:t>
            </w:r>
            <w:r>
              <w:rPr>
                <w:rFonts w:ascii="Calibri" w:hAnsi="Calibri" w:cs="Calibri"/>
                <w:b/>
                <w:sz w:val="22"/>
                <w:szCs w:val="22"/>
                <w:lang w:bidi="en-US"/>
              </w:rPr>
              <w:t>some</w:t>
            </w:r>
            <w:r w:rsidRPr="00D849D2">
              <w:rPr>
                <w:rFonts w:ascii="Calibri" w:hAnsi="Calibri" w:cs="Calibri"/>
                <w:b/>
                <w:sz w:val="22"/>
                <w:szCs w:val="22"/>
                <w:lang w:bidi="en-US"/>
              </w:rPr>
              <w:t xml:space="preserve"> of their claims to a jury.</w:t>
            </w:r>
          </w:p>
          <w:p w14:paraId="75553C6A" w14:textId="77777777" w:rsidR="00093B76" w:rsidRDefault="00093B76" w:rsidP="002A24E8">
            <w:pPr>
              <w:pStyle w:val="O-BodyText"/>
              <w:rPr>
                <w:rFonts w:ascii="Calibri" w:hAnsi="Calibri" w:cs="Calibri"/>
                <w:b/>
                <w:sz w:val="22"/>
                <w:szCs w:val="22"/>
                <w:lang w:bidi="en-US"/>
              </w:rPr>
            </w:pPr>
          </w:p>
        </w:tc>
      </w:tr>
      <w:tr w:rsidR="00093B76" w14:paraId="2E0A0CCC" w14:textId="77777777" w:rsidTr="001D31EB">
        <w:trPr>
          <w:gridAfter w:val="1"/>
          <w:wAfter w:w="198" w:type="dxa"/>
          <w:trHeight w:val="4795"/>
        </w:trPr>
        <w:tc>
          <w:tcPr>
            <w:tcW w:w="5805" w:type="dxa"/>
            <w:vAlign w:val="center"/>
          </w:tcPr>
          <w:p w14:paraId="0E679982"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 xml:space="preserve">Has the district court made </w:t>
            </w:r>
            <w:r>
              <w:rPr>
                <w:rFonts w:ascii="Calibri" w:hAnsi="Calibri" w:cs="Calibri"/>
                <w:b/>
                <w:i/>
                <w:sz w:val="28"/>
                <w:szCs w:val="28"/>
                <w:lang w:bidi="en-US"/>
              </w:rPr>
              <w:t>any</w:t>
            </w:r>
            <w:r>
              <w:rPr>
                <w:rFonts w:ascii="Calibri" w:hAnsi="Calibri" w:cs="Calibri"/>
                <w:b/>
                <w:sz w:val="28"/>
                <w:szCs w:val="28"/>
                <w:lang w:bidi="en-US"/>
              </w:rPr>
              <w:t xml:space="preserve"> comments that could </w:t>
            </w:r>
            <w:proofErr w:type="gramStart"/>
            <w:r>
              <w:rPr>
                <w:rFonts w:ascii="Calibri" w:hAnsi="Calibri" w:cs="Calibri"/>
                <w:b/>
                <w:sz w:val="28"/>
                <w:szCs w:val="28"/>
                <w:lang w:bidi="en-US"/>
              </w:rPr>
              <w:t>be seen as</w:t>
            </w:r>
            <w:proofErr w:type="gramEnd"/>
            <w:r>
              <w:rPr>
                <w:rFonts w:ascii="Calibri" w:hAnsi="Calibri" w:cs="Calibri"/>
                <w:b/>
                <w:sz w:val="28"/>
                <w:szCs w:val="28"/>
                <w:lang w:bidi="en-US"/>
              </w:rPr>
              <w:t xml:space="preserve"> affecting its handling of the substantive issues in the case?</w:t>
            </w:r>
          </w:p>
        </w:tc>
        <w:tc>
          <w:tcPr>
            <w:tcW w:w="5805" w:type="dxa"/>
            <w:gridSpan w:val="2"/>
            <w:vAlign w:val="center"/>
          </w:tcPr>
          <w:p w14:paraId="3778BD7C" w14:textId="77777777" w:rsidR="00093B76" w:rsidRDefault="00093B76" w:rsidP="002A24E8">
            <w:pPr>
              <w:pStyle w:val="O-BodyText"/>
              <w:rPr>
                <w:rFonts w:ascii="Calibri" w:hAnsi="Calibri" w:cs="Calibri"/>
                <w:b/>
                <w:sz w:val="22"/>
                <w:szCs w:val="22"/>
                <w:lang w:bidi="en-US"/>
              </w:rPr>
            </w:pPr>
            <w:r w:rsidRPr="00B1094B">
              <w:rPr>
                <w:rFonts w:ascii="Calibri" w:hAnsi="Calibri" w:cs="Calibri"/>
                <w:b/>
                <w:sz w:val="22"/>
                <w:szCs w:val="22"/>
                <w:highlight w:val="yellow"/>
                <w:lang w:bidi="en-US"/>
              </w:rPr>
              <w:t>The district court has noted numerous times that it was “having a difficult time understanding why this case is still here,” and has complained that the case is “stale” and “too old</w:t>
            </w:r>
            <w:r>
              <w:rPr>
                <w:rFonts w:ascii="Calibri" w:hAnsi="Calibri" w:cs="Calibri"/>
                <w:b/>
                <w:sz w:val="22"/>
                <w:szCs w:val="22"/>
                <w:highlight w:val="yellow"/>
                <w:lang w:bidi="en-US"/>
              </w:rPr>
              <w:t>.</w:t>
            </w:r>
            <w:r w:rsidRPr="00B1094B">
              <w:rPr>
                <w:rFonts w:ascii="Calibri" w:hAnsi="Calibri" w:cs="Calibri"/>
                <w:b/>
                <w:sz w:val="22"/>
                <w:szCs w:val="22"/>
                <w:highlight w:val="yellow"/>
                <w:lang w:bidi="en-US"/>
              </w:rPr>
              <w:t>”  Ward Br. 51.</w:t>
            </w:r>
          </w:p>
        </w:tc>
      </w:tr>
      <w:tr w:rsidR="00093B76" w:rsidRPr="00B1094B" w14:paraId="0B03AD07" w14:textId="77777777" w:rsidTr="001D31EB">
        <w:trPr>
          <w:gridAfter w:val="1"/>
          <w:wAfter w:w="198" w:type="dxa"/>
          <w:trHeight w:val="4795"/>
        </w:trPr>
        <w:tc>
          <w:tcPr>
            <w:tcW w:w="5805" w:type="dxa"/>
            <w:vAlign w:val="center"/>
          </w:tcPr>
          <w:p w14:paraId="5299C447"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Plaintiffs argue that the district court prejudged their class certification motion by questioning their</w:t>
            </w:r>
            <w:r w:rsidRPr="00B1094B">
              <w:rPr>
                <w:rFonts w:ascii="Calibri" w:hAnsi="Calibri" w:cs="Calibri"/>
                <w:b/>
                <w:sz w:val="28"/>
                <w:szCs w:val="28"/>
                <w:lang w:bidi="en-US"/>
              </w:rPr>
              <w:t xml:space="preserve"> damages methodology </w:t>
            </w:r>
            <w:r>
              <w:rPr>
                <w:rFonts w:ascii="Calibri" w:hAnsi="Calibri" w:cs="Calibri"/>
                <w:b/>
                <w:sz w:val="28"/>
                <w:szCs w:val="28"/>
                <w:lang w:bidi="en-US"/>
              </w:rPr>
              <w:t xml:space="preserve">before the </w:t>
            </w:r>
            <w:r w:rsidRPr="00B1094B">
              <w:rPr>
                <w:rFonts w:ascii="Calibri" w:hAnsi="Calibri" w:cs="Calibri"/>
                <w:b/>
                <w:sz w:val="28"/>
                <w:szCs w:val="28"/>
                <w:lang w:bidi="en-US"/>
              </w:rPr>
              <w:t xml:space="preserve">motion </w:t>
            </w:r>
            <w:r>
              <w:rPr>
                <w:rFonts w:ascii="Calibri" w:hAnsi="Calibri" w:cs="Calibri"/>
                <w:b/>
                <w:sz w:val="28"/>
                <w:szCs w:val="28"/>
                <w:lang w:bidi="en-US"/>
              </w:rPr>
              <w:t>was fully briefed.  How do you respond?</w:t>
            </w:r>
          </w:p>
        </w:tc>
        <w:tc>
          <w:tcPr>
            <w:tcW w:w="5805" w:type="dxa"/>
            <w:gridSpan w:val="2"/>
            <w:vAlign w:val="center"/>
          </w:tcPr>
          <w:p w14:paraId="700BAD49" w14:textId="77777777" w:rsidR="00093B76" w:rsidRPr="00B1094B" w:rsidRDefault="00093B76" w:rsidP="002A24E8">
            <w:pPr>
              <w:pStyle w:val="O-BodyText"/>
              <w:rPr>
                <w:rFonts w:ascii="Calibri" w:hAnsi="Calibri" w:cs="Calibri"/>
                <w:b/>
                <w:sz w:val="22"/>
                <w:szCs w:val="22"/>
                <w:highlight w:val="yellow"/>
                <w:lang w:bidi="en-US"/>
              </w:rPr>
            </w:pPr>
            <w:r>
              <w:rPr>
                <w:rFonts w:ascii="Calibri" w:hAnsi="Calibri" w:cs="Calibri"/>
                <w:b/>
                <w:sz w:val="22"/>
                <w:szCs w:val="22"/>
                <w:highlight w:val="yellow"/>
                <w:lang w:bidi="en-US"/>
              </w:rPr>
              <w:t>[Explain.]  Ward Br. 52.</w:t>
            </w:r>
          </w:p>
        </w:tc>
      </w:tr>
      <w:tr w:rsidR="00093B76" w14:paraId="0327B68F" w14:textId="77777777" w:rsidTr="001D31EB">
        <w:trPr>
          <w:gridAfter w:val="1"/>
          <w:wAfter w:w="198" w:type="dxa"/>
          <w:trHeight w:val="4795"/>
        </w:trPr>
        <w:tc>
          <w:tcPr>
            <w:tcW w:w="5805" w:type="dxa"/>
            <w:vAlign w:val="center"/>
          </w:tcPr>
          <w:p w14:paraId="2711A16A" w14:textId="77777777" w:rsidR="00093B76" w:rsidRDefault="00093B76" w:rsidP="002A24E8">
            <w:pPr>
              <w:pStyle w:val="O-BodyText"/>
              <w:spacing w:after="120"/>
              <w:ind w:right="200"/>
              <w:rPr>
                <w:rFonts w:ascii="Calibri" w:hAnsi="Calibri" w:cs="Calibri"/>
                <w:b/>
                <w:sz w:val="28"/>
                <w:szCs w:val="28"/>
                <w:lang w:bidi="en-US"/>
              </w:rPr>
            </w:pPr>
            <w:r>
              <w:rPr>
                <w:rFonts w:ascii="Calibri" w:hAnsi="Calibri" w:cs="Calibri"/>
                <w:b/>
                <w:sz w:val="28"/>
                <w:szCs w:val="28"/>
                <w:lang w:bidi="en-US"/>
              </w:rPr>
              <w:lastRenderedPageBreak/>
              <w:t>Plaintiffs argue that the district c</w:t>
            </w:r>
            <w:r w:rsidRPr="00B1094B">
              <w:rPr>
                <w:rFonts w:ascii="Calibri" w:hAnsi="Calibri" w:cs="Calibri"/>
                <w:b/>
                <w:sz w:val="28"/>
                <w:szCs w:val="28"/>
                <w:lang w:bidi="en-US"/>
              </w:rPr>
              <w:t xml:space="preserve">ourt relied on </w:t>
            </w:r>
            <w:proofErr w:type="gramStart"/>
            <w:r w:rsidRPr="00B1094B">
              <w:rPr>
                <w:rFonts w:ascii="Calibri" w:hAnsi="Calibri" w:cs="Calibri"/>
                <w:b/>
                <w:i/>
                <w:sz w:val="28"/>
                <w:szCs w:val="28"/>
                <w:lang w:bidi="en-US"/>
              </w:rPr>
              <w:t>In</w:t>
            </w:r>
            <w:proofErr w:type="gramEnd"/>
            <w:r w:rsidRPr="00B1094B">
              <w:rPr>
                <w:rFonts w:ascii="Calibri" w:hAnsi="Calibri" w:cs="Calibri"/>
                <w:b/>
                <w:i/>
                <w:sz w:val="28"/>
                <w:szCs w:val="28"/>
                <w:lang w:bidi="en-US"/>
              </w:rPr>
              <w:t xml:space="preserve"> re GPU</w:t>
            </w:r>
            <w:r>
              <w:rPr>
                <w:rFonts w:ascii="Calibri" w:hAnsi="Calibri" w:cs="Calibri"/>
                <w:b/>
                <w:sz w:val="28"/>
                <w:szCs w:val="28"/>
                <w:lang w:bidi="en-US"/>
              </w:rPr>
              <w:t xml:space="preserve"> </w:t>
            </w:r>
            <w:r w:rsidRPr="00B1094B">
              <w:rPr>
                <w:rFonts w:ascii="Calibri" w:hAnsi="Calibri" w:cs="Calibri"/>
                <w:b/>
                <w:sz w:val="28"/>
                <w:szCs w:val="28"/>
                <w:lang w:bidi="en-US"/>
              </w:rPr>
              <w:t>(N.D. Cal. 2008)</w:t>
            </w:r>
            <w:r>
              <w:rPr>
                <w:rFonts w:ascii="Calibri" w:hAnsi="Calibri" w:cs="Calibri"/>
                <w:b/>
                <w:sz w:val="28"/>
                <w:szCs w:val="28"/>
                <w:lang w:bidi="en-US"/>
              </w:rPr>
              <w:t xml:space="preserve"> in denying their class certification motion</w:t>
            </w:r>
            <w:r w:rsidRPr="00B1094B">
              <w:rPr>
                <w:rFonts w:ascii="Calibri" w:hAnsi="Calibri" w:cs="Calibri"/>
                <w:b/>
                <w:sz w:val="28"/>
                <w:szCs w:val="28"/>
                <w:lang w:bidi="en-US"/>
              </w:rPr>
              <w:t xml:space="preserve">, but </w:t>
            </w:r>
            <w:r>
              <w:rPr>
                <w:rFonts w:ascii="Calibri" w:hAnsi="Calibri" w:cs="Calibri"/>
                <w:b/>
                <w:sz w:val="28"/>
                <w:szCs w:val="28"/>
                <w:lang w:bidi="en-US"/>
              </w:rPr>
              <w:t xml:space="preserve">failed to mention that the </w:t>
            </w:r>
            <w:r>
              <w:rPr>
                <w:rFonts w:ascii="Calibri" w:hAnsi="Calibri" w:cs="Calibri"/>
                <w:b/>
                <w:i/>
                <w:sz w:val="28"/>
                <w:szCs w:val="28"/>
                <w:lang w:bidi="en-US"/>
              </w:rPr>
              <w:t xml:space="preserve">GPU </w:t>
            </w:r>
            <w:r>
              <w:rPr>
                <w:rFonts w:ascii="Calibri" w:hAnsi="Calibri" w:cs="Calibri"/>
                <w:b/>
                <w:sz w:val="28"/>
                <w:szCs w:val="28"/>
                <w:lang w:bidi="en-US"/>
              </w:rPr>
              <w:t xml:space="preserve">court </w:t>
            </w:r>
            <w:r w:rsidRPr="005D5038">
              <w:rPr>
                <w:rFonts w:ascii="Calibri" w:hAnsi="Calibri" w:cs="Calibri"/>
                <w:b/>
                <w:i/>
                <w:sz w:val="28"/>
                <w:szCs w:val="28"/>
                <w:lang w:bidi="en-US"/>
              </w:rPr>
              <w:t>certified a class similar to the proposed class here</w:t>
            </w:r>
            <w:r w:rsidRPr="00B1094B">
              <w:rPr>
                <w:rFonts w:ascii="Calibri" w:hAnsi="Calibri" w:cs="Calibri"/>
                <w:b/>
                <w:sz w:val="28"/>
                <w:szCs w:val="28"/>
                <w:lang w:bidi="en-US"/>
              </w:rPr>
              <w:t>.</w:t>
            </w:r>
            <w:r>
              <w:rPr>
                <w:rFonts w:ascii="Calibri" w:hAnsi="Calibri" w:cs="Calibri"/>
                <w:b/>
                <w:sz w:val="28"/>
                <w:szCs w:val="28"/>
                <w:lang w:bidi="en-US"/>
              </w:rPr>
              <w:t xml:space="preserve">  How do you respond?</w:t>
            </w:r>
          </w:p>
        </w:tc>
        <w:tc>
          <w:tcPr>
            <w:tcW w:w="5805" w:type="dxa"/>
            <w:gridSpan w:val="2"/>
            <w:vAlign w:val="center"/>
          </w:tcPr>
          <w:p w14:paraId="6A6A1800" w14:textId="77777777" w:rsidR="00093B76" w:rsidRDefault="00093B76" w:rsidP="002A24E8">
            <w:pPr>
              <w:pStyle w:val="O-BodyText"/>
              <w:rPr>
                <w:rFonts w:ascii="Calibri" w:hAnsi="Calibri" w:cs="Calibri"/>
                <w:b/>
                <w:sz w:val="22"/>
                <w:szCs w:val="22"/>
                <w:highlight w:val="yellow"/>
                <w:lang w:bidi="en-US"/>
              </w:rPr>
            </w:pPr>
            <w:r>
              <w:rPr>
                <w:rFonts w:ascii="Calibri" w:hAnsi="Calibri" w:cs="Calibri"/>
                <w:b/>
                <w:sz w:val="22"/>
                <w:szCs w:val="22"/>
                <w:highlight w:val="yellow"/>
                <w:lang w:bidi="en-US"/>
              </w:rPr>
              <w:t>[Explain.]  Ward Reply 28.</w:t>
            </w:r>
          </w:p>
        </w:tc>
      </w:tr>
      <w:tr w:rsidR="00093B76" w14:paraId="20FE9355" w14:textId="77777777" w:rsidTr="001D31EB">
        <w:trPr>
          <w:gridAfter w:val="1"/>
          <w:wAfter w:w="198" w:type="dxa"/>
          <w:trHeight w:val="4795"/>
        </w:trPr>
        <w:tc>
          <w:tcPr>
            <w:tcW w:w="5805" w:type="dxa"/>
            <w:vAlign w:val="center"/>
          </w:tcPr>
          <w:p w14:paraId="25933769"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Why do you argue that reassignment would be wasteful and duplicative?</w:t>
            </w:r>
          </w:p>
        </w:tc>
        <w:tc>
          <w:tcPr>
            <w:tcW w:w="5805" w:type="dxa"/>
            <w:gridSpan w:val="2"/>
            <w:vAlign w:val="center"/>
          </w:tcPr>
          <w:p w14:paraId="1BC1781D" w14:textId="77777777" w:rsidR="00093B76" w:rsidRPr="00D849D2" w:rsidRDefault="00093B76" w:rsidP="002A24E8">
            <w:pPr>
              <w:pStyle w:val="O-BodyText"/>
              <w:rPr>
                <w:rFonts w:ascii="Calibri" w:hAnsi="Calibri" w:cs="Calibri"/>
                <w:b/>
                <w:sz w:val="22"/>
                <w:szCs w:val="22"/>
                <w:lang w:bidi="en-US"/>
              </w:rPr>
            </w:pPr>
            <w:r w:rsidRPr="00D849D2">
              <w:rPr>
                <w:rFonts w:ascii="Calibri" w:hAnsi="Calibri" w:cs="Calibri"/>
                <w:b/>
                <w:sz w:val="22"/>
                <w:szCs w:val="22"/>
                <w:lang w:bidi="en-US"/>
              </w:rPr>
              <w:t xml:space="preserve">The district court is </w:t>
            </w:r>
            <w:r>
              <w:rPr>
                <w:rFonts w:ascii="Calibri" w:hAnsi="Calibri" w:cs="Calibri"/>
                <w:b/>
                <w:sz w:val="22"/>
                <w:szCs w:val="22"/>
                <w:lang w:bidi="en-US"/>
              </w:rPr>
              <w:t xml:space="preserve">already </w:t>
            </w:r>
            <w:r w:rsidRPr="00D849D2">
              <w:rPr>
                <w:rFonts w:ascii="Calibri" w:hAnsi="Calibri" w:cs="Calibri"/>
                <w:b/>
                <w:sz w:val="22"/>
                <w:szCs w:val="22"/>
                <w:lang w:bidi="en-US"/>
              </w:rPr>
              <w:t xml:space="preserve">deeply familiar with this case’s complicated factual and procedural history and has </w:t>
            </w:r>
            <w:r>
              <w:rPr>
                <w:rFonts w:ascii="Calibri" w:hAnsi="Calibri" w:cs="Calibri"/>
                <w:b/>
                <w:sz w:val="22"/>
                <w:szCs w:val="22"/>
                <w:lang w:bidi="en-US"/>
              </w:rPr>
              <w:t>guided</w:t>
            </w:r>
            <w:r w:rsidRPr="00D849D2">
              <w:rPr>
                <w:rFonts w:ascii="Calibri" w:hAnsi="Calibri" w:cs="Calibri"/>
                <w:b/>
                <w:sz w:val="22"/>
                <w:szCs w:val="22"/>
                <w:lang w:bidi="en-US"/>
              </w:rPr>
              <w:t xml:space="preserve"> it through a motion to dismiss, a motion for summary judgment, discovery, and a</w:t>
            </w:r>
            <w:r>
              <w:rPr>
                <w:rFonts w:ascii="Calibri" w:hAnsi="Calibri" w:cs="Calibri"/>
                <w:b/>
                <w:sz w:val="22"/>
                <w:szCs w:val="22"/>
                <w:lang w:bidi="en-US"/>
              </w:rPr>
              <w:t xml:space="preserve"> ruling on class certification.</w:t>
            </w:r>
          </w:p>
          <w:p w14:paraId="6829A728" w14:textId="77777777" w:rsidR="00093B76" w:rsidRDefault="00093B76" w:rsidP="002A24E8">
            <w:pPr>
              <w:pStyle w:val="O-BodyText"/>
              <w:rPr>
                <w:rFonts w:ascii="Calibri" w:hAnsi="Calibri" w:cs="Calibri"/>
                <w:b/>
                <w:sz w:val="22"/>
                <w:szCs w:val="22"/>
                <w:lang w:bidi="en-US"/>
              </w:rPr>
            </w:pPr>
          </w:p>
        </w:tc>
      </w:tr>
      <w:tr w:rsidR="00093B76" w:rsidRPr="00D849D2" w14:paraId="4B93BFA5" w14:textId="77777777" w:rsidTr="001D31EB">
        <w:trPr>
          <w:gridAfter w:val="1"/>
          <w:wAfter w:w="198" w:type="dxa"/>
          <w:trHeight w:val="4795"/>
        </w:trPr>
        <w:tc>
          <w:tcPr>
            <w:tcW w:w="5805" w:type="dxa"/>
            <w:vAlign w:val="center"/>
          </w:tcPr>
          <w:p w14:paraId="6166E9A3"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t>Has discovery been completed in this case?</w:t>
            </w:r>
          </w:p>
        </w:tc>
        <w:tc>
          <w:tcPr>
            <w:tcW w:w="5805" w:type="dxa"/>
            <w:gridSpan w:val="2"/>
            <w:vAlign w:val="center"/>
          </w:tcPr>
          <w:p w14:paraId="441DF02D" w14:textId="77777777" w:rsidR="00093B76" w:rsidRPr="00D849D2" w:rsidRDefault="00093B76" w:rsidP="002A24E8">
            <w:pPr>
              <w:pStyle w:val="O-BodyText"/>
              <w:rPr>
                <w:rFonts w:ascii="Calibri" w:hAnsi="Calibri" w:cs="Calibri"/>
                <w:b/>
                <w:sz w:val="22"/>
                <w:szCs w:val="22"/>
                <w:lang w:bidi="en-US"/>
              </w:rPr>
            </w:pPr>
            <w:r w:rsidRPr="00B1094B">
              <w:rPr>
                <w:rFonts w:ascii="Calibri" w:hAnsi="Calibri" w:cs="Calibri"/>
                <w:b/>
                <w:sz w:val="22"/>
                <w:szCs w:val="22"/>
                <w:highlight w:val="yellow"/>
                <w:lang w:bidi="en-US"/>
              </w:rPr>
              <w:t>No.  Ward Br. 52</w:t>
            </w:r>
            <w:r>
              <w:rPr>
                <w:rFonts w:ascii="Calibri" w:hAnsi="Calibri" w:cs="Calibri"/>
                <w:b/>
                <w:sz w:val="22"/>
                <w:szCs w:val="22"/>
                <w:lang w:bidi="en-US"/>
              </w:rPr>
              <w:t>.</w:t>
            </w:r>
          </w:p>
        </w:tc>
      </w:tr>
      <w:tr w:rsidR="00093B76" w:rsidRPr="00B1094B" w14:paraId="0C09ED80" w14:textId="77777777" w:rsidTr="001D31EB">
        <w:trPr>
          <w:gridAfter w:val="1"/>
          <w:wAfter w:w="198" w:type="dxa"/>
          <w:trHeight w:val="4795"/>
        </w:trPr>
        <w:tc>
          <w:tcPr>
            <w:tcW w:w="5805" w:type="dxa"/>
            <w:vAlign w:val="center"/>
          </w:tcPr>
          <w:p w14:paraId="7E2BF9D9" w14:textId="77777777" w:rsidR="00093B76" w:rsidRDefault="00093B76" w:rsidP="002A24E8">
            <w:pPr>
              <w:pStyle w:val="O-BodyText"/>
              <w:spacing w:after="120"/>
              <w:ind w:right="200"/>
              <w:jc w:val="both"/>
              <w:rPr>
                <w:rFonts w:ascii="Calibri" w:hAnsi="Calibri" w:cs="Calibri"/>
                <w:b/>
                <w:sz w:val="28"/>
                <w:szCs w:val="28"/>
                <w:lang w:bidi="en-US"/>
              </w:rPr>
            </w:pPr>
            <w:r>
              <w:rPr>
                <w:rFonts w:ascii="Calibri" w:hAnsi="Calibri" w:cs="Calibri"/>
                <w:b/>
                <w:sz w:val="28"/>
                <w:szCs w:val="28"/>
                <w:lang w:bidi="en-US"/>
              </w:rPr>
              <w:lastRenderedPageBreak/>
              <w:t>Did the district court’s denial of plaintiffs’ class certification motion in a cursory</w:t>
            </w:r>
            <w:r w:rsidRPr="00B1094B">
              <w:rPr>
                <w:rFonts w:ascii="Calibri" w:hAnsi="Calibri" w:cs="Calibri"/>
                <w:b/>
                <w:sz w:val="28"/>
                <w:szCs w:val="28"/>
                <w:lang w:bidi="en-US"/>
              </w:rPr>
              <w:t xml:space="preserve"> five-page </w:t>
            </w:r>
            <w:r>
              <w:rPr>
                <w:rFonts w:ascii="Calibri" w:hAnsi="Calibri" w:cs="Calibri"/>
                <w:b/>
                <w:sz w:val="28"/>
                <w:szCs w:val="28"/>
                <w:lang w:bidi="en-US"/>
              </w:rPr>
              <w:t>o</w:t>
            </w:r>
            <w:r w:rsidRPr="00B1094B">
              <w:rPr>
                <w:rFonts w:ascii="Calibri" w:hAnsi="Calibri" w:cs="Calibri"/>
                <w:b/>
                <w:sz w:val="28"/>
                <w:szCs w:val="28"/>
                <w:lang w:bidi="en-US"/>
              </w:rPr>
              <w:t>rder</w:t>
            </w:r>
            <w:r>
              <w:rPr>
                <w:rFonts w:ascii="Calibri" w:hAnsi="Calibri" w:cs="Calibri"/>
                <w:b/>
                <w:sz w:val="28"/>
                <w:szCs w:val="28"/>
                <w:lang w:bidi="en-US"/>
              </w:rPr>
              <w:t xml:space="preserve"> demonstrate bias?</w:t>
            </w:r>
          </w:p>
        </w:tc>
        <w:tc>
          <w:tcPr>
            <w:tcW w:w="5805" w:type="dxa"/>
            <w:gridSpan w:val="2"/>
            <w:vAlign w:val="center"/>
          </w:tcPr>
          <w:p w14:paraId="781D0306" w14:textId="77777777" w:rsidR="00093B76" w:rsidRPr="00B1094B" w:rsidRDefault="00093B76" w:rsidP="002A24E8">
            <w:pPr>
              <w:pStyle w:val="O-BodyText"/>
              <w:rPr>
                <w:rFonts w:ascii="Calibri" w:hAnsi="Calibri" w:cs="Calibri"/>
                <w:b/>
                <w:sz w:val="22"/>
                <w:szCs w:val="22"/>
                <w:highlight w:val="yellow"/>
                <w:lang w:bidi="en-US"/>
              </w:rPr>
            </w:pPr>
            <w:r>
              <w:rPr>
                <w:rFonts w:ascii="Calibri" w:hAnsi="Calibri" w:cs="Calibri"/>
                <w:b/>
                <w:sz w:val="22"/>
                <w:szCs w:val="22"/>
                <w:highlight w:val="yellow"/>
                <w:lang w:bidi="en-US"/>
              </w:rPr>
              <w:t>[Explain.]  Ward Br. 52-53.</w:t>
            </w:r>
          </w:p>
        </w:tc>
      </w:tr>
      <w:tr w:rsidR="00093B76" w:rsidRPr="00907D75" w14:paraId="032DBD93" w14:textId="77777777" w:rsidTr="001D31EB">
        <w:trPr>
          <w:gridAfter w:val="1"/>
          <w:wAfter w:w="198" w:type="dxa"/>
          <w:trHeight w:val="4795"/>
        </w:trPr>
        <w:tc>
          <w:tcPr>
            <w:tcW w:w="5805" w:type="dxa"/>
            <w:vAlign w:val="center"/>
          </w:tcPr>
          <w:p w14:paraId="73E905C3" w14:textId="77777777" w:rsidR="00093B76" w:rsidRPr="00907D75" w:rsidRDefault="00093B76" w:rsidP="002A24E8">
            <w:pPr>
              <w:pStyle w:val="O-BodyText"/>
              <w:spacing w:after="120"/>
              <w:ind w:right="200"/>
              <w:jc w:val="both"/>
              <w:rPr>
                <w:rFonts w:ascii="Calibri" w:hAnsi="Calibri" w:cs="Calibri"/>
                <w:b/>
                <w:sz w:val="28"/>
                <w:szCs w:val="28"/>
              </w:rPr>
            </w:pPr>
            <w:r>
              <w:rPr>
                <w:rFonts w:ascii="Calibri" w:hAnsi="Calibri" w:cs="Calibri"/>
                <w:b/>
                <w:sz w:val="28"/>
                <w:szCs w:val="28"/>
              </w:rPr>
              <w:t>Why do you argue that plaintiffs’ request to reassign this case to a different district judge is disingenuous</w:t>
            </w:r>
            <w:r w:rsidRPr="008C6082">
              <w:rPr>
                <w:rFonts w:ascii="Calibri" w:hAnsi="Calibri" w:cs="Calibri"/>
                <w:b/>
                <w:sz w:val="28"/>
                <w:szCs w:val="28"/>
              </w:rPr>
              <w:t>?</w:t>
            </w:r>
          </w:p>
        </w:tc>
        <w:tc>
          <w:tcPr>
            <w:tcW w:w="5805" w:type="dxa"/>
            <w:gridSpan w:val="2"/>
            <w:vAlign w:val="center"/>
          </w:tcPr>
          <w:p w14:paraId="4D8F07DE" w14:textId="77777777" w:rsidR="00093B76" w:rsidRPr="00907D75" w:rsidRDefault="00093B76" w:rsidP="002A24E8">
            <w:pPr>
              <w:pStyle w:val="O-BodyText"/>
              <w:spacing w:after="120"/>
              <w:ind w:left="290" w:right="65"/>
              <w:jc w:val="both"/>
              <w:rPr>
                <w:rFonts w:ascii="Calibri" w:hAnsi="Calibri" w:cs="Calibri"/>
                <w:b/>
                <w:sz w:val="22"/>
                <w:szCs w:val="22"/>
              </w:rPr>
            </w:pPr>
            <w:r>
              <w:rPr>
                <w:rFonts w:ascii="Calibri" w:hAnsi="Calibri" w:cs="Calibri"/>
                <w:b/>
                <w:sz w:val="22"/>
                <w:szCs w:val="22"/>
                <w:highlight w:val="yellow"/>
                <w:lang w:bidi="en-US"/>
              </w:rPr>
              <w:t>[Explain.]</w:t>
            </w:r>
          </w:p>
        </w:tc>
      </w:tr>
      <w:bookmarkEnd w:id="4"/>
    </w:tbl>
    <w:p w14:paraId="00EC77CE" w14:textId="77777777" w:rsidR="00093B76" w:rsidRPr="00907D75" w:rsidRDefault="00093B76" w:rsidP="005F53E4">
      <w:pPr>
        <w:pStyle w:val="Heading1"/>
        <w:numPr>
          <w:ilvl w:val="0"/>
          <w:numId w:val="0"/>
        </w:numPr>
        <w:spacing w:after="120"/>
        <w:rPr>
          <w:rFonts w:ascii="Calibri" w:hAnsi="Calibri" w:cs="Calibri"/>
        </w:rPr>
      </w:pPr>
    </w:p>
    <w:sectPr w:rsidR="00093B76" w:rsidRPr="00907D75" w:rsidSect="00B93971">
      <w:endnotePr>
        <w:numFmt w:val="upperLetter"/>
      </w:endnotePr>
      <w:pgSz w:w="12240" w:h="15840" w:code="1"/>
      <w:pgMar w:top="720" w:right="346" w:bottom="288" w:left="34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0AE94" w14:textId="77777777" w:rsidR="006357C4" w:rsidRDefault="006357C4">
      <w:r>
        <w:separator/>
      </w:r>
    </w:p>
  </w:endnote>
  <w:endnote w:type="continuationSeparator" w:id="0">
    <w:p w14:paraId="4AAC609F" w14:textId="77777777" w:rsidR="006357C4" w:rsidRDefault="0063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1B67F" w14:textId="77777777" w:rsidR="006357C4" w:rsidRDefault="006357C4">
      <w:r>
        <w:separator/>
      </w:r>
    </w:p>
  </w:footnote>
  <w:footnote w:type="continuationSeparator" w:id="0">
    <w:p w14:paraId="53EDD3A4" w14:textId="77777777" w:rsidR="006357C4" w:rsidRDefault="00635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029"/>
    <w:multiLevelType w:val="hybridMultilevel"/>
    <w:tmpl w:val="9DB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2E72"/>
    <w:multiLevelType w:val="hybridMultilevel"/>
    <w:tmpl w:val="0C6E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E20DF"/>
    <w:multiLevelType w:val="hybridMultilevel"/>
    <w:tmpl w:val="87EC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F5A8B"/>
    <w:multiLevelType w:val="hybridMultilevel"/>
    <w:tmpl w:val="9904C026"/>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7352CF6"/>
    <w:multiLevelType w:val="hybridMultilevel"/>
    <w:tmpl w:val="2BC80216"/>
    <w:lvl w:ilvl="0" w:tplc="6A908DAE">
      <w:start w:val="1"/>
      <w:numFmt w:val="lowerLetter"/>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5679B"/>
    <w:multiLevelType w:val="multilevel"/>
    <w:tmpl w:val="FE28D3D2"/>
    <w:lvl w:ilvl="0">
      <w:start w:val="1"/>
      <w:numFmt w:val="decimal"/>
      <w:pStyle w:val="ListNumber"/>
      <w:lvlText w:val="%1."/>
      <w:lvlJc w:val="left"/>
      <w:pPr>
        <w:tabs>
          <w:tab w:val="num" w:pos="720"/>
        </w:tabs>
        <w:ind w:left="720" w:hanging="360"/>
      </w:pPr>
      <w:rPr>
        <w:rFonts w:ascii="Calibri" w:hAnsi="Calibri"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15:restartNumberingAfterBreak="0">
    <w:nsid w:val="08985782"/>
    <w:multiLevelType w:val="hybridMultilevel"/>
    <w:tmpl w:val="A6B4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23534"/>
    <w:multiLevelType w:val="hybridMultilevel"/>
    <w:tmpl w:val="862E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14024"/>
    <w:multiLevelType w:val="hybridMultilevel"/>
    <w:tmpl w:val="DFEE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282E1D"/>
    <w:multiLevelType w:val="hybridMultilevel"/>
    <w:tmpl w:val="77AC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86A45"/>
    <w:multiLevelType w:val="hybridMultilevel"/>
    <w:tmpl w:val="712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DF2D75"/>
    <w:multiLevelType w:val="hybridMultilevel"/>
    <w:tmpl w:val="602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7679F"/>
    <w:multiLevelType w:val="hybridMultilevel"/>
    <w:tmpl w:val="258CE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B6F11"/>
    <w:multiLevelType w:val="hybridMultilevel"/>
    <w:tmpl w:val="62C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804DF"/>
    <w:multiLevelType w:val="hybridMultilevel"/>
    <w:tmpl w:val="1598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5B5A9F"/>
    <w:multiLevelType w:val="hybridMultilevel"/>
    <w:tmpl w:val="BC16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3E5BCA"/>
    <w:multiLevelType w:val="hybridMultilevel"/>
    <w:tmpl w:val="425A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052ABA"/>
    <w:multiLevelType w:val="hybridMultilevel"/>
    <w:tmpl w:val="B28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6505A"/>
    <w:multiLevelType w:val="hybridMultilevel"/>
    <w:tmpl w:val="B77C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9D7B41"/>
    <w:multiLevelType w:val="hybridMultilevel"/>
    <w:tmpl w:val="879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063428"/>
    <w:multiLevelType w:val="hybridMultilevel"/>
    <w:tmpl w:val="6314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5C69DB"/>
    <w:multiLevelType w:val="hybridMultilevel"/>
    <w:tmpl w:val="88B2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A270AB"/>
    <w:multiLevelType w:val="hybridMultilevel"/>
    <w:tmpl w:val="56D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C37892"/>
    <w:multiLevelType w:val="hybridMultilevel"/>
    <w:tmpl w:val="9408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C87FF6"/>
    <w:multiLevelType w:val="hybridMultilevel"/>
    <w:tmpl w:val="ACEE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962EE"/>
    <w:multiLevelType w:val="hybridMultilevel"/>
    <w:tmpl w:val="323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3C060F"/>
    <w:multiLevelType w:val="hybridMultilevel"/>
    <w:tmpl w:val="238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8" w15:restartNumberingAfterBreak="0">
    <w:nsid w:val="1DC12E10"/>
    <w:multiLevelType w:val="hybridMultilevel"/>
    <w:tmpl w:val="CD60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D51B63"/>
    <w:multiLevelType w:val="hybridMultilevel"/>
    <w:tmpl w:val="BD0A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FF2392"/>
    <w:multiLevelType w:val="hybridMultilevel"/>
    <w:tmpl w:val="7D3E3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19E6C6B"/>
    <w:multiLevelType w:val="hybridMultilevel"/>
    <w:tmpl w:val="4AF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59770D"/>
    <w:multiLevelType w:val="hybridMultilevel"/>
    <w:tmpl w:val="0F60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9D4477"/>
    <w:multiLevelType w:val="hybridMultilevel"/>
    <w:tmpl w:val="B5E48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63460FE"/>
    <w:multiLevelType w:val="hybridMultilevel"/>
    <w:tmpl w:val="917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E1454B"/>
    <w:multiLevelType w:val="hybridMultilevel"/>
    <w:tmpl w:val="47109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ED018E"/>
    <w:multiLevelType w:val="hybridMultilevel"/>
    <w:tmpl w:val="B53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3964BA"/>
    <w:multiLevelType w:val="hybridMultilevel"/>
    <w:tmpl w:val="1CBE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350943"/>
    <w:multiLevelType w:val="hybridMultilevel"/>
    <w:tmpl w:val="82D6BDF4"/>
    <w:lvl w:ilvl="0" w:tplc="836AEF58">
      <w:start w:val="1"/>
      <w:numFmt w:val="bullet"/>
      <w:pStyle w:val="OResumeSidebarBullet"/>
      <w:lvlText w:val=""/>
      <w:lvlJc w:val="left"/>
      <w:pPr>
        <w:tabs>
          <w:tab w:val="num" w:pos="180"/>
        </w:tabs>
        <w:ind w:left="180" w:hanging="18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29E74778"/>
    <w:multiLevelType w:val="hybridMultilevel"/>
    <w:tmpl w:val="F9C0D3B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1" w15:restartNumberingAfterBreak="0">
    <w:nsid w:val="2BDA0329"/>
    <w:multiLevelType w:val="hybridMultilevel"/>
    <w:tmpl w:val="F2B2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9462C9"/>
    <w:multiLevelType w:val="hybridMultilevel"/>
    <w:tmpl w:val="2E7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0F3282"/>
    <w:multiLevelType w:val="multilevel"/>
    <w:tmpl w:val="1F02DA58"/>
    <w:name w:val="HeadingStyles||Heading|3|3|0|1|0|33||1|0|33||1|0|33||1|0|32||1|0|32||1|0|32||1|0|32||1|0|32||1|0|32||"/>
    <w:styleLink w:val="CovingtonHeadings12"/>
    <w:lvl w:ilvl="0">
      <w:start w:val="1"/>
      <w:numFmt w:val="upperRoman"/>
      <w:pStyle w:val="Heading1"/>
      <w:lvlText w:val="%1."/>
      <w:lvlJc w:val="left"/>
      <w:pPr>
        <w:tabs>
          <w:tab w:val="num" w:pos="1440"/>
        </w:tabs>
        <w:ind w:left="2160" w:hanging="1440"/>
      </w:pPr>
      <w:rPr>
        <w:rFonts w:ascii="Arial" w:hAnsi="Arial" w:cs="Arial" w:hint="default"/>
        <w:b/>
        <w:sz w:val="72"/>
        <w:u w:val="none"/>
      </w:rPr>
    </w:lvl>
    <w:lvl w:ilvl="1">
      <w:start w:val="1"/>
      <w:numFmt w:val="upperLetter"/>
      <w:pStyle w:val="Heading2"/>
      <w:lvlText w:val="%2."/>
      <w:lvlJc w:val="left"/>
      <w:pPr>
        <w:tabs>
          <w:tab w:val="num" w:pos="2160"/>
        </w:tabs>
        <w:ind w:left="2160" w:hanging="720"/>
      </w:pPr>
      <w:rPr>
        <w:rFonts w:ascii="Arial" w:hAnsi="Arial" w:cs="Arial" w:hint="default"/>
        <w:b/>
        <w:sz w:val="48"/>
        <w:u w:val="none"/>
      </w:rPr>
    </w:lvl>
    <w:lvl w:ilvl="2">
      <w:start w:val="1"/>
      <w:numFmt w:val="decimal"/>
      <w:pStyle w:val="Heading3"/>
      <w:lvlText w:val="%3."/>
      <w:lvlJc w:val="left"/>
      <w:pPr>
        <w:tabs>
          <w:tab w:val="num" w:pos="2880"/>
        </w:tabs>
        <w:ind w:left="2880" w:hanging="720"/>
      </w:pPr>
      <w:rPr>
        <w:rFonts w:ascii="Arial" w:hAnsi="Arial" w:cs="Arial" w:hint="default"/>
        <w:b/>
        <w:sz w:val="36"/>
        <w:u w:val="none"/>
      </w:rPr>
    </w:lvl>
    <w:lvl w:ilvl="3">
      <w:start w:val="1"/>
      <w:numFmt w:val="lowerLetter"/>
      <w:pStyle w:val="Heading4"/>
      <w:lvlText w:val="%4)"/>
      <w:lvlJc w:val="left"/>
      <w:pPr>
        <w:tabs>
          <w:tab w:val="num" w:pos="3600"/>
        </w:tabs>
        <w:ind w:left="3600" w:hanging="720"/>
      </w:pPr>
      <w:rPr>
        <w:rFonts w:hint="default"/>
      </w:rPr>
    </w:lvl>
    <w:lvl w:ilvl="4">
      <w:start w:val="1"/>
      <w:numFmt w:val="decimal"/>
      <w:pStyle w:val="Heading5"/>
      <w:lvlText w:val="(%5)"/>
      <w:lvlJc w:val="left"/>
      <w:pPr>
        <w:tabs>
          <w:tab w:val="num" w:pos="4320"/>
        </w:tabs>
        <w:ind w:left="4320" w:hanging="720"/>
      </w:pPr>
      <w:rPr>
        <w:rFonts w:hint="default"/>
      </w:rPr>
    </w:lvl>
    <w:lvl w:ilvl="5">
      <w:start w:val="1"/>
      <w:numFmt w:val="lowerLetter"/>
      <w:pStyle w:val="Heading6"/>
      <w:lvlText w:val="(%6)"/>
      <w:lvlJc w:val="left"/>
      <w:pPr>
        <w:tabs>
          <w:tab w:val="num" w:pos="5040"/>
        </w:tabs>
        <w:ind w:left="5040" w:hanging="720"/>
      </w:pPr>
      <w:rPr>
        <w:rFonts w:hint="default"/>
      </w:rPr>
    </w:lvl>
    <w:lvl w:ilvl="6">
      <w:start w:val="1"/>
      <w:numFmt w:val="lowerRoman"/>
      <w:pStyle w:val="Heading7"/>
      <w:lvlText w:val="(%7)"/>
      <w:lvlJc w:val="left"/>
      <w:pPr>
        <w:tabs>
          <w:tab w:val="num" w:pos="5760"/>
        </w:tabs>
        <w:ind w:left="5760" w:hanging="720"/>
      </w:pPr>
      <w:rPr>
        <w:rFonts w:hint="default"/>
      </w:rPr>
    </w:lvl>
    <w:lvl w:ilvl="7">
      <w:start w:val="1"/>
      <w:numFmt w:val="lowerLetter"/>
      <w:pStyle w:val="Heading8"/>
      <w:lvlText w:val="(%8)"/>
      <w:lvlJc w:val="left"/>
      <w:pPr>
        <w:tabs>
          <w:tab w:val="num" w:pos="6480"/>
        </w:tabs>
        <w:ind w:left="6480" w:hanging="720"/>
      </w:pPr>
      <w:rPr>
        <w:rFonts w:hint="default"/>
      </w:rPr>
    </w:lvl>
    <w:lvl w:ilvl="8">
      <w:start w:val="1"/>
      <w:numFmt w:val="lowerRoman"/>
      <w:pStyle w:val="Heading9"/>
      <w:lvlText w:val="(%9)"/>
      <w:lvlJc w:val="left"/>
      <w:pPr>
        <w:tabs>
          <w:tab w:val="num" w:pos="7200"/>
        </w:tabs>
        <w:ind w:left="7200" w:hanging="720"/>
      </w:pPr>
      <w:rPr>
        <w:rFonts w:hint="default"/>
      </w:rPr>
    </w:lvl>
  </w:abstractNum>
  <w:abstractNum w:abstractNumId="44" w15:restartNumberingAfterBreak="0">
    <w:nsid w:val="30031021"/>
    <w:multiLevelType w:val="hybridMultilevel"/>
    <w:tmpl w:val="FD3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76320A"/>
    <w:multiLevelType w:val="hybridMultilevel"/>
    <w:tmpl w:val="B36E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A72359"/>
    <w:multiLevelType w:val="hybridMultilevel"/>
    <w:tmpl w:val="ACD6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BA46F5"/>
    <w:multiLevelType w:val="hybridMultilevel"/>
    <w:tmpl w:val="C514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2DD7575"/>
    <w:multiLevelType w:val="hybridMultilevel"/>
    <w:tmpl w:val="A88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303267E"/>
    <w:multiLevelType w:val="hybridMultilevel"/>
    <w:tmpl w:val="C40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349A1"/>
    <w:multiLevelType w:val="multilevel"/>
    <w:tmpl w:val="1BB69786"/>
    <w:lvl w:ilvl="0">
      <w:start w:val="1"/>
      <w:numFmt w:val="decimal"/>
      <w:suff w:val="nothing"/>
      <w:lvlText w:val="Article %1"/>
      <w:lvlJc w:val="left"/>
      <w:pPr>
        <w:tabs>
          <w:tab w:val="num" w:pos="720"/>
        </w:tabs>
        <w:ind w:left="0" w:firstLine="0"/>
      </w:pPr>
      <w:rPr>
        <w:b w:val="0"/>
        <w:i w:val="0"/>
        <w:caps/>
        <w:smallCaps w:val="0"/>
        <w:strike w:val="0"/>
        <w:dstrike w:val="0"/>
        <w:outline w:val="0"/>
        <w:shadow w:val="0"/>
        <w:emboss w:val="0"/>
        <w:imprint w:val="0"/>
        <w:vanish w:val="0"/>
        <w:color w:val="auto"/>
        <w:u w:val="none"/>
        <w:effect w:val="none"/>
        <w:vertAlign w:val="baseline"/>
      </w:rPr>
    </w:lvl>
    <w:lvl w:ilvl="1">
      <w:start w:val="1"/>
      <w:numFmt w:val="decimal"/>
      <w:lvlText w:val="%1.%2"/>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 w:ilvl="2">
      <w:start w:val="1"/>
      <w:numFmt w:val="decimal"/>
      <w:lvlText w:val="%1.%2.%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Roman"/>
      <w:lvlText w:val="(%5)"/>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lvl w:ilvl="5">
      <w:start w:val="1"/>
      <w:numFmt w:val="decimal"/>
      <w:lvlText w:val="(%6)"/>
      <w:lvlJc w:val="left"/>
      <w:pPr>
        <w:tabs>
          <w:tab w:val="num" w:pos="4320"/>
        </w:tabs>
        <w:ind w:left="0" w:firstLine="3600"/>
      </w:pPr>
      <w:rPr>
        <w:b w:val="0"/>
        <w:i w:val="0"/>
        <w:caps w:val="0"/>
        <w:strike w:val="0"/>
        <w:dstrike w:val="0"/>
        <w:outline w:val="0"/>
        <w:shadow w:val="0"/>
        <w:emboss w:val="0"/>
        <w:imprint w:val="0"/>
        <w:vanish w:val="0"/>
        <w:color w:val="auto"/>
        <w:u w:val="none"/>
        <w:effect w:val="none"/>
        <w:vertAlign w:val="baseline"/>
      </w:rPr>
    </w:lvl>
    <w:lvl w:ilvl="6">
      <w:start w:val="1"/>
      <w:numFmt w:val="lowerLetter"/>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7">
      <w:start w:val="1"/>
      <w:numFmt w:val="lowerRoman"/>
      <w:lvlText w:val="(%8)"/>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8">
      <w:start w:val="1"/>
      <w:numFmt w:val="decimal"/>
      <w:lvlText w:val="(%9)"/>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abstractNum>
  <w:abstractNum w:abstractNumId="52" w15:restartNumberingAfterBreak="0">
    <w:nsid w:val="36E23518"/>
    <w:multiLevelType w:val="hybridMultilevel"/>
    <w:tmpl w:val="4FC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185A71"/>
    <w:multiLevelType w:val="hybridMultilevel"/>
    <w:tmpl w:val="E9F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8054AFF"/>
    <w:multiLevelType w:val="hybridMultilevel"/>
    <w:tmpl w:val="DAE4F5FA"/>
    <w:lvl w:ilvl="0" w:tplc="0409000F">
      <w:start w:val="1"/>
      <w:numFmt w:val="decimal"/>
      <w:lvlText w:val="%1."/>
      <w:lvlJc w:val="left"/>
      <w:pPr>
        <w:ind w:left="1010" w:hanging="360"/>
      </w:p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55" w15:restartNumberingAfterBreak="0">
    <w:nsid w:val="388D4ADE"/>
    <w:multiLevelType w:val="hybridMultilevel"/>
    <w:tmpl w:val="CE60E528"/>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56" w15:restartNumberingAfterBreak="0">
    <w:nsid w:val="39FC3C4C"/>
    <w:multiLevelType w:val="hybridMultilevel"/>
    <w:tmpl w:val="E5B8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B020B9"/>
    <w:multiLevelType w:val="hybridMultilevel"/>
    <w:tmpl w:val="1640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FD3106"/>
    <w:multiLevelType w:val="hybridMultilevel"/>
    <w:tmpl w:val="D5FE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254D4A"/>
    <w:multiLevelType w:val="hybridMultilevel"/>
    <w:tmpl w:val="49E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4657A5"/>
    <w:multiLevelType w:val="hybridMultilevel"/>
    <w:tmpl w:val="1B5C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E323356"/>
    <w:multiLevelType w:val="hybridMultilevel"/>
    <w:tmpl w:val="5546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0913E0B"/>
    <w:multiLevelType w:val="hybridMultilevel"/>
    <w:tmpl w:val="DAB2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476836"/>
    <w:multiLevelType w:val="hybridMultilevel"/>
    <w:tmpl w:val="7F2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AC15A4"/>
    <w:multiLevelType w:val="hybridMultilevel"/>
    <w:tmpl w:val="B608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94145E"/>
    <w:multiLevelType w:val="hybridMultilevel"/>
    <w:tmpl w:val="F7FA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E85E9E"/>
    <w:multiLevelType w:val="hybridMultilevel"/>
    <w:tmpl w:val="3CEC7D0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7" w15:restartNumberingAfterBreak="0">
    <w:nsid w:val="491C01E1"/>
    <w:multiLevelType w:val="hybridMultilevel"/>
    <w:tmpl w:val="B98CBE3A"/>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68" w15:restartNumberingAfterBreak="0">
    <w:nsid w:val="49B2660A"/>
    <w:multiLevelType w:val="hybridMultilevel"/>
    <w:tmpl w:val="B0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404F6E"/>
    <w:multiLevelType w:val="hybridMultilevel"/>
    <w:tmpl w:val="F400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A4E4A8F"/>
    <w:multiLevelType w:val="hybridMultilevel"/>
    <w:tmpl w:val="2C2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D33FF7"/>
    <w:multiLevelType w:val="hybridMultilevel"/>
    <w:tmpl w:val="599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B1653BA"/>
    <w:multiLevelType w:val="hybridMultilevel"/>
    <w:tmpl w:val="8956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C593CC6"/>
    <w:multiLevelType w:val="hybridMultilevel"/>
    <w:tmpl w:val="7832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9232B1"/>
    <w:multiLevelType w:val="hybridMultilevel"/>
    <w:tmpl w:val="DAC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567924"/>
    <w:multiLevelType w:val="hybridMultilevel"/>
    <w:tmpl w:val="795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FDC6368"/>
    <w:multiLevelType w:val="hybridMultilevel"/>
    <w:tmpl w:val="A21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8031F5"/>
    <w:multiLevelType w:val="hybridMultilevel"/>
    <w:tmpl w:val="972E35F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8" w15:restartNumberingAfterBreak="0">
    <w:nsid w:val="53A659BA"/>
    <w:multiLevelType w:val="hybridMultilevel"/>
    <w:tmpl w:val="44DAF15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9" w15:restartNumberingAfterBreak="0">
    <w:nsid w:val="541270C7"/>
    <w:multiLevelType w:val="hybridMultilevel"/>
    <w:tmpl w:val="81C4CB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0" w15:restartNumberingAfterBreak="0">
    <w:nsid w:val="55061906"/>
    <w:multiLevelType w:val="hybridMultilevel"/>
    <w:tmpl w:val="49C0D0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1" w15:restartNumberingAfterBreak="0">
    <w:nsid w:val="57E702C4"/>
    <w:multiLevelType w:val="hybridMultilevel"/>
    <w:tmpl w:val="8B5820EE"/>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82" w15:restartNumberingAfterBreak="0">
    <w:nsid w:val="580E6495"/>
    <w:multiLevelType w:val="hybridMultilevel"/>
    <w:tmpl w:val="C5FC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1F4F51"/>
    <w:multiLevelType w:val="hybridMultilevel"/>
    <w:tmpl w:val="177A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9B4B4F"/>
    <w:multiLevelType w:val="hybridMultilevel"/>
    <w:tmpl w:val="C94E3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9F5B1C"/>
    <w:multiLevelType w:val="hybridMultilevel"/>
    <w:tmpl w:val="00EA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713825"/>
    <w:multiLevelType w:val="hybridMultilevel"/>
    <w:tmpl w:val="4E2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0907F0"/>
    <w:multiLevelType w:val="hybridMultilevel"/>
    <w:tmpl w:val="534E5A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876793"/>
    <w:multiLevelType w:val="hybridMultilevel"/>
    <w:tmpl w:val="92DA1A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9" w15:restartNumberingAfterBreak="0">
    <w:nsid w:val="5DE728BA"/>
    <w:multiLevelType w:val="hybridMultilevel"/>
    <w:tmpl w:val="6656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FF8714D"/>
    <w:multiLevelType w:val="hybridMultilevel"/>
    <w:tmpl w:val="E20EB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2" w15:restartNumberingAfterBreak="0">
    <w:nsid w:val="601541EF"/>
    <w:multiLevelType w:val="hybridMultilevel"/>
    <w:tmpl w:val="5A3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0CD5BB9"/>
    <w:multiLevelType w:val="hybridMultilevel"/>
    <w:tmpl w:val="0F3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431458"/>
    <w:multiLevelType w:val="hybridMultilevel"/>
    <w:tmpl w:val="5EC88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7BC71BF"/>
    <w:multiLevelType w:val="multilevel"/>
    <w:tmpl w:val="3306FCE8"/>
    <w:name w:val="zzmpJeremysSch||Jeremy's Scheme|3|1|1|1|0|32||1|0|32||1|0|32||1|0|32||1|0|32||1|0|37||1|0|37||1|0|37||1|0|37||"/>
    <w:lvl w:ilvl="0">
      <w:start w:val="1"/>
      <w:numFmt w:val="upperRoman"/>
      <w:pStyle w:val="JeremysSchL1"/>
      <w:lvlText w:val="%1."/>
      <w:lvlJc w:val="left"/>
      <w:pPr>
        <w:tabs>
          <w:tab w:val="num" w:pos="720"/>
        </w:tabs>
        <w:ind w:left="720" w:hanging="720"/>
      </w:pPr>
      <w:rPr>
        <w:b w:val="0"/>
        <w:i w:val="0"/>
        <w:caps w:val="0"/>
        <w:color w:val="auto"/>
        <w:u w:val="none"/>
      </w:rPr>
    </w:lvl>
    <w:lvl w:ilvl="1">
      <w:start w:val="1"/>
      <w:numFmt w:val="upperLetter"/>
      <w:pStyle w:val="JeremysSchL2"/>
      <w:lvlText w:val="%2."/>
      <w:lvlJc w:val="left"/>
      <w:pPr>
        <w:tabs>
          <w:tab w:val="num" w:pos="1440"/>
        </w:tabs>
        <w:ind w:left="1440" w:hanging="720"/>
      </w:pPr>
      <w:rPr>
        <w:b/>
        <w:i w:val="0"/>
        <w:caps w:val="0"/>
        <w:color w:val="auto"/>
        <w:u w:val="none"/>
      </w:rPr>
    </w:lvl>
    <w:lvl w:ilvl="2">
      <w:start w:val="1"/>
      <w:numFmt w:val="decimal"/>
      <w:pStyle w:val="JeremysSchL3"/>
      <w:lvlText w:val="%3."/>
      <w:lvlJc w:val="left"/>
      <w:pPr>
        <w:tabs>
          <w:tab w:val="num" w:pos="2160"/>
        </w:tabs>
        <w:ind w:left="2160" w:hanging="720"/>
      </w:pPr>
      <w:rPr>
        <w:b/>
        <w:i w:val="0"/>
        <w:caps w:val="0"/>
        <w:color w:val="auto"/>
        <w:u w:val="none"/>
      </w:rPr>
    </w:lvl>
    <w:lvl w:ilvl="3">
      <w:start w:val="1"/>
      <w:numFmt w:val="lowerLetter"/>
      <w:pStyle w:val="JeremysSchL4"/>
      <w:lvlText w:val="%4."/>
      <w:lvlJc w:val="left"/>
      <w:pPr>
        <w:tabs>
          <w:tab w:val="num" w:pos="2880"/>
        </w:tabs>
        <w:ind w:left="2880" w:hanging="720"/>
      </w:pPr>
      <w:rPr>
        <w:b/>
        <w:i w:val="0"/>
        <w:caps w:val="0"/>
        <w:color w:val="auto"/>
        <w:u w:val="none"/>
      </w:rPr>
    </w:lvl>
    <w:lvl w:ilvl="4">
      <w:start w:val="1"/>
      <w:numFmt w:val="decimal"/>
      <w:pStyle w:val="JeremysSchL5"/>
      <w:lvlText w:val="(%5)"/>
      <w:lvlJc w:val="left"/>
      <w:pPr>
        <w:tabs>
          <w:tab w:val="num" w:pos="3600"/>
        </w:tabs>
        <w:ind w:left="3600" w:hanging="720"/>
      </w:pPr>
      <w:rPr>
        <w:b/>
        <w:caps w:val="0"/>
        <w:color w:val="auto"/>
        <w:u w:val="none"/>
      </w:rPr>
    </w:lvl>
    <w:lvl w:ilvl="5">
      <w:start w:val="1"/>
      <w:numFmt w:val="lowerLetter"/>
      <w:pStyle w:val="JeremysSchL6"/>
      <w:lvlText w:val="(%6)"/>
      <w:lvlJc w:val="left"/>
      <w:pPr>
        <w:tabs>
          <w:tab w:val="num" w:pos="4320"/>
        </w:tabs>
        <w:ind w:left="4320" w:hanging="720"/>
      </w:pPr>
      <w:rPr>
        <w:b/>
        <w:i w:val="0"/>
        <w:caps w:val="0"/>
        <w:color w:val="auto"/>
        <w:u w:val="none"/>
      </w:rPr>
    </w:lvl>
    <w:lvl w:ilvl="6">
      <w:start w:val="1"/>
      <w:numFmt w:val="lowerRoman"/>
      <w:pStyle w:val="JeremysSchL7"/>
      <w:lvlText w:val="(%7)"/>
      <w:lvlJc w:val="left"/>
      <w:pPr>
        <w:tabs>
          <w:tab w:val="num" w:pos="5040"/>
        </w:tabs>
        <w:ind w:left="5040" w:hanging="720"/>
      </w:pPr>
      <w:rPr>
        <w:b/>
        <w:i w:val="0"/>
        <w:caps w:val="0"/>
        <w:color w:val="auto"/>
        <w:u w:val="none"/>
      </w:rPr>
    </w:lvl>
    <w:lvl w:ilvl="7">
      <w:start w:val="1"/>
      <w:numFmt w:val="lowerLetter"/>
      <w:pStyle w:val="JeremysSchL8"/>
      <w:lvlText w:val="%8)"/>
      <w:lvlJc w:val="left"/>
      <w:pPr>
        <w:tabs>
          <w:tab w:val="num" w:pos="5760"/>
        </w:tabs>
        <w:ind w:left="5760" w:hanging="720"/>
      </w:pPr>
      <w:rPr>
        <w:b/>
        <w:i w:val="0"/>
        <w:caps w:val="0"/>
        <w:color w:val="auto"/>
        <w:u w:val="none"/>
      </w:rPr>
    </w:lvl>
    <w:lvl w:ilvl="8">
      <w:start w:val="1"/>
      <w:numFmt w:val="lowerRoman"/>
      <w:pStyle w:val="JeremysSchL9"/>
      <w:lvlText w:val="%9)"/>
      <w:lvlJc w:val="left"/>
      <w:pPr>
        <w:tabs>
          <w:tab w:val="num" w:pos="6480"/>
        </w:tabs>
        <w:ind w:left="6480" w:hanging="720"/>
      </w:pPr>
      <w:rPr>
        <w:b/>
        <w:i w:val="0"/>
        <w:caps w:val="0"/>
        <w:color w:val="auto"/>
        <w:u w:val="none"/>
      </w:rPr>
    </w:lvl>
  </w:abstractNum>
  <w:abstractNum w:abstractNumId="96" w15:restartNumberingAfterBreak="0">
    <w:nsid w:val="68845037"/>
    <w:multiLevelType w:val="hybridMultilevel"/>
    <w:tmpl w:val="1846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C803D33"/>
    <w:multiLevelType w:val="hybridMultilevel"/>
    <w:tmpl w:val="1498633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98" w15:restartNumberingAfterBreak="0">
    <w:nsid w:val="6C961225"/>
    <w:multiLevelType w:val="hybridMultilevel"/>
    <w:tmpl w:val="7514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1D52ED"/>
    <w:multiLevelType w:val="hybridMultilevel"/>
    <w:tmpl w:val="32FE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2027A6"/>
    <w:multiLevelType w:val="hybridMultilevel"/>
    <w:tmpl w:val="6CF6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380696"/>
    <w:multiLevelType w:val="hybridMultilevel"/>
    <w:tmpl w:val="9F2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180048A"/>
    <w:multiLevelType w:val="hybridMultilevel"/>
    <w:tmpl w:val="AD541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73710BAA"/>
    <w:multiLevelType w:val="hybridMultilevel"/>
    <w:tmpl w:val="761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8B6E86"/>
    <w:multiLevelType w:val="hybridMultilevel"/>
    <w:tmpl w:val="D9D8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44E1E96"/>
    <w:multiLevelType w:val="hybridMultilevel"/>
    <w:tmpl w:val="0BD8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005791"/>
    <w:multiLevelType w:val="hybridMultilevel"/>
    <w:tmpl w:val="4998E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15:restartNumberingAfterBreak="0">
    <w:nsid w:val="75FA549D"/>
    <w:multiLevelType w:val="hybridMultilevel"/>
    <w:tmpl w:val="9776F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6F61D13"/>
    <w:multiLevelType w:val="hybridMultilevel"/>
    <w:tmpl w:val="3FD8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8FF305A"/>
    <w:multiLevelType w:val="hybridMultilevel"/>
    <w:tmpl w:val="767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1C5BA6"/>
    <w:multiLevelType w:val="hybridMultilevel"/>
    <w:tmpl w:val="76E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A5686B"/>
    <w:multiLevelType w:val="hybridMultilevel"/>
    <w:tmpl w:val="4342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C43832"/>
    <w:multiLevelType w:val="hybridMultilevel"/>
    <w:tmpl w:val="296A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CD714BA"/>
    <w:multiLevelType w:val="hybridMultilevel"/>
    <w:tmpl w:val="CE5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CE4118B"/>
    <w:multiLevelType w:val="hybridMultilevel"/>
    <w:tmpl w:val="58B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A86F0C"/>
    <w:multiLevelType w:val="hybridMultilevel"/>
    <w:tmpl w:val="F21A9204"/>
    <w:lvl w:ilvl="0" w:tplc="268C1102">
      <w:start w:val="1"/>
      <w:numFmt w:val="bullet"/>
      <w:pStyle w:val="OResumeArticle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F449A5"/>
    <w:multiLevelType w:val="hybridMultilevel"/>
    <w:tmpl w:val="E1D68A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8" w15:restartNumberingAfterBreak="0">
    <w:nsid w:val="7FA827D9"/>
    <w:multiLevelType w:val="hybridMultilevel"/>
    <w:tmpl w:val="D34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9"/>
  </w:num>
  <w:num w:numId="3">
    <w:abstractNumId w:val="34"/>
  </w:num>
  <w:num w:numId="4">
    <w:abstractNumId w:val="103"/>
  </w:num>
  <w:num w:numId="5">
    <w:abstractNumId w:val="90"/>
  </w:num>
  <w:num w:numId="6">
    <w:abstractNumId w:val="116"/>
  </w:num>
  <w:num w:numId="7">
    <w:abstractNumId w:val="39"/>
  </w:num>
  <w:num w:numId="8">
    <w:abstractNumId w:val="5"/>
  </w:num>
  <w:num w:numId="9">
    <w:abstractNumId w:val="43"/>
  </w:num>
  <w:num w:numId="10">
    <w:abstractNumId w:val="101"/>
  </w:num>
  <w:num w:numId="11">
    <w:abstractNumId w:val="107"/>
  </w:num>
  <w:num w:numId="12">
    <w:abstractNumId w:val="69"/>
  </w:num>
  <w:num w:numId="13">
    <w:abstractNumId w:val="61"/>
  </w:num>
  <w:num w:numId="14">
    <w:abstractNumId w:val="21"/>
  </w:num>
  <w:num w:numId="15">
    <w:abstractNumId w:val="53"/>
  </w:num>
  <w:num w:numId="16">
    <w:abstractNumId w:val="35"/>
  </w:num>
  <w:num w:numId="17">
    <w:abstractNumId w:val="59"/>
  </w:num>
  <w:num w:numId="18">
    <w:abstractNumId w:val="92"/>
  </w:num>
  <w:num w:numId="19">
    <w:abstractNumId w:val="10"/>
  </w:num>
  <w:num w:numId="20">
    <w:abstractNumId w:val="118"/>
  </w:num>
  <w:num w:numId="21">
    <w:abstractNumId w:val="71"/>
  </w:num>
  <w:num w:numId="22">
    <w:abstractNumId w:val="50"/>
  </w:num>
  <w:num w:numId="23">
    <w:abstractNumId w:val="82"/>
  </w:num>
  <w:num w:numId="24">
    <w:abstractNumId w:val="89"/>
  </w:num>
  <w:num w:numId="25">
    <w:abstractNumId w:val="75"/>
  </w:num>
  <w:num w:numId="26">
    <w:abstractNumId w:val="58"/>
  </w:num>
  <w:num w:numId="27">
    <w:abstractNumId w:val="14"/>
  </w:num>
  <w:num w:numId="28">
    <w:abstractNumId w:val="2"/>
  </w:num>
  <w:num w:numId="29">
    <w:abstractNumId w:val="105"/>
  </w:num>
  <w:num w:numId="30">
    <w:abstractNumId w:val="110"/>
  </w:num>
  <w:num w:numId="31">
    <w:abstractNumId w:val="91"/>
  </w:num>
  <w:num w:numId="32">
    <w:abstractNumId w:val="42"/>
  </w:num>
  <w:num w:numId="33">
    <w:abstractNumId w:val="87"/>
  </w:num>
  <w:num w:numId="34">
    <w:abstractNumId w:val="106"/>
  </w:num>
  <w:num w:numId="35">
    <w:abstractNumId w:val="15"/>
  </w:num>
  <w:num w:numId="36">
    <w:abstractNumId w:val="55"/>
  </w:num>
  <w:num w:numId="37">
    <w:abstractNumId w:val="104"/>
  </w:num>
  <w:num w:numId="38">
    <w:abstractNumId w:val="64"/>
  </w:num>
  <w:num w:numId="39">
    <w:abstractNumId w:val="31"/>
  </w:num>
  <w:num w:numId="40">
    <w:abstractNumId w:val="28"/>
  </w:num>
  <w:num w:numId="41">
    <w:abstractNumId w:val="37"/>
  </w:num>
  <w:num w:numId="42">
    <w:abstractNumId w:val="63"/>
  </w:num>
  <w:num w:numId="43">
    <w:abstractNumId w:val="8"/>
  </w:num>
  <w:num w:numId="44">
    <w:abstractNumId w:val="13"/>
  </w:num>
  <w:num w:numId="45">
    <w:abstractNumId w:val="11"/>
  </w:num>
  <w:num w:numId="46">
    <w:abstractNumId w:val="62"/>
  </w:num>
  <w:num w:numId="47">
    <w:abstractNumId w:val="48"/>
  </w:num>
  <w:num w:numId="48">
    <w:abstractNumId w:val="112"/>
  </w:num>
  <w:num w:numId="49">
    <w:abstractNumId w:val="22"/>
  </w:num>
  <w:num w:numId="50">
    <w:abstractNumId w:val="96"/>
  </w:num>
  <w:num w:numId="51">
    <w:abstractNumId w:val="41"/>
  </w:num>
  <w:num w:numId="52">
    <w:abstractNumId w:val="70"/>
  </w:num>
  <w:num w:numId="53">
    <w:abstractNumId w:val="83"/>
  </w:num>
  <w:num w:numId="54">
    <w:abstractNumId w:val="25"/>
  </w:num>
  <w:num w:numId="55">
    <w:abstractNumId w:val="44"/>
  </w:num>
  <w:num w:numId="56">
    <w:abstractNumId w:val="76"/>
  </w:num>
  <w:num w:numId="57">
    <w:abstractNumId w:val="19"/>
  </w:num>
  <w:num w:numId="58">
    <w:abstractNumId w:val="20"/>
  </w:num>
  <w:num w:numId="59">
    <w:abstractNumId w:val="38"/>
  </w:num>
  <w:num w:numId="60">
    <w:abstractNumId w:val="85"/>
  </w:num>
  <w:num w:numId="61">
    <w:abstractNumId w:val="72"/>
  </w:num>
  <w:num w:numId="62">
    <w:abstractNumId w:val="9"/>
  </w:num>
  <w:num w:numId="63">
    <w:abstractNumId w:val="111"/>
  </w:num>
  <w:num w:numId="64">
    <w:abstractNumId w:val="26"/>
  </w:num>
  <w:num w:numId="65">
    <w:abstractNumId w:val="52"/>
  </w:num>
  <w:num w:numId="66">
    <w:abstractNumId w:val="93"/>
  </w:num>
  <w:num w:numId="67">
    <w:abstractNumId w:val="0"/>
  </w:num>
  <w:num w:numId="68">
    <w:abstractNumId w:val="113"/>
  </w:num>
  <w:num w:numId="69">
    <w:abstractNumId w:val="95"/>
  </w:num>
  <w:num w:numId="70">
    <w:abstractNumId w:val="40"/>
  </w:num>
  <w:num w:numId="71">
    <w:abstractNumId w:val="88"/>
  </w:num>
  <w:num w:numId="72">
    <w:abstractNumId w:val="77"/>
  </w:num>
  <w:num w:numId="73">
    <w:abstractNumId w:val="66"/>
  </w:num>
  <w:num w:numId="74">
    <w:abstractNumId w:val="78"/>
  </w:num>
  <w:num w:numId="75">
    <w:abstractNumId w:val="47"/>
  </w:num>
  <w:num w:numId="76">
    <w:abstractNumId w:val="6"/>
  </w:num>
  <w:num w:numId="77">
    <w:abstractNumId w:val="24"/>
  </w:num>
  <w:num w:numId="78">
    <w:abstractNumId w:val="86"/>
  </w:num>
  <w:num w:numId="79">
    <w:abstractNumId w:val="108"/>
  </w:num>
  <w:num w:numId="80">
    <w:abstractNumId w:val="68"/>
  </w:num>
  <w:num w:numId="81">
    <w:abstractNumId w:val="29"/>
  </w:num>
  <w:num w:numId="82">
    <w:abstractNumId w:val="46"/>
  </w:num>
  <w:num w:numId="83">
    <w:abstractNumId w:val="33"/>
  </w:num>
  <w:num w:numId="84">
    <w:abstractNumId w:val="16"/>
  </w:num>
  <w:num w:numId="85">
    <w:abstractNumId w:val="60"/>
  </w:num>
  <w:num w:numId="86">
    <w:abstractNumId w:val="18"/>
  </w:num>
  <w:num w:numId="87">
    <w:abstractNumId w:val="45"/>
  </w:num>
  <w:num w:numId="88">
    <w:abstractNumId w:val="115"/>
  </w:num>
  <w:num w:numId="89">
    <w:abstractNumId w:val="23"/>
  </w:num>
  <w:num w:numId="90">
    <w:abstractNumId w:val="7"/>
  </w:num>
  <w:num w:numId="91">
    <w:abstractNumId w:val="1"/>
  </w:num>
  <w:num w:numId="92">
    <w:abstractNumId w:val="65"/>
  </w:num>
  <w:num w:numId="93">
    <w:abstractNumId w:val="3"/>
  </w:num>
  <w:num w:numId="94">
    <w:abstractNumId w:val="109"/>
  </w:num>
  <w:num w:numId="95">
    <w:abstractNumId w:val="74"/>
  </w:num>
  <w:num w:numId="96">
    <w:abstractNumId w:val="99"/>
  </w:num>
  <w:num w:numId="97">
    <w:abstractNumId w:val="73"/>
  </w:num>
  <w:num w:numId="98">
    <w:abstractNumId w:val="57"/>
  </w:num>
  <w:num w:numId="99">
    <w:abstractNumId w:val="32"/>
  </w:num>
  <w:num w:numId="100">
    <w:abstractNumId w:val="98"/>
  </w:num>
  <w:num w:numId="101">
    <w:abstractNumId w:val="84"/>
  </w:num>
  <w:num w:numId="102">
    <w:abstractNumId w:val="4"/>
  </w:num>
  <w:num w:numId="103">
    <w:abstractNumId w:val="36"/>
  </w:num>
  <w:num w:numId="104">
    <w:abstractNumId w:val="12"/>
  </w:num>
  <w:num w:numId="105">
    <w:abstractNumId w:val="51"/>
  </w:num>
  <w:num w:numId="106">
    <w:abstractNumId w:val="30"/>
  </w:num>
  <w:num w:numId="107">
    <w:abstractNumId w:val="97"/>
  </w:num>
  <w:num w:numId="108">
    <w:abstractNumId w:val="81"/>
  </w:num>
  <w:num w:numId="109">
    <w:abstractNumId w:val="114"/>
  </w:num>
  <w:num w:numId="110">
    <w:abstractNumId w:val="80"/>
  </w:num>
  <w:num w:numId="111">
    <w:abstractNumId w:val="94"/>
  </w:num>
  <w:num w:numId="112">
    <w:abstractNumId w:val="56"/>
  </w:num>
  <w:num w:numId="113">
    <w:abstractNumId w:val="100"/>
  </w:num>
  <w:num w:numId="114">
    <w:abstractNumId w:val="17"/>
  </w:num>
  <w:num w:numId="115">
    <w:abstractNumId w:val="67"/>
  </w:num>
  <w:num w:numId="116">
    <w:abstractNumId w:val="54"/>
  </w:num>
  <w:num w:numId="117">
    <w:abstractNumId w:val="102"/>
  </w:num>
  <w:num w:numId="118">
    <w:abstractNumId w:val="79"/>
  </w:num>
  <w:num w:numId="119">
    <w:abstractNumId w:val="11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adingStyles" w:val="||Heading|3|3|0|1|0|33||1|0|33||1|0|33||1|0|32||1|0|32||1|0|32||1|0|32||1|0|32||1|0|32||"/>
    <w:docVar w:name="strDocID" w:val="4130-3983-2086"/>
    <w:docVar w:name="zzmp10NoTrailerPromptID" w:val="NG-TKD98IZ4.4130-3983-2086.6"/>
    <w:docVar w:name="zzmpFixedCurScheme" w:val="ingStyles"/>
    <w:docVar w:name="zzmpFixedCurScheme_9.0" w:val="1HeadingStyles"/>
    <w:docVar w:name="zzmpnSession" w:val="0.6909449"/>
  </w:docVars>
  <w:rsids>
    <w:rsidRoot w:val="00786A14"/>
    <w:rsid w:val="00001368"/>
    <w:rsid w:val="00003224"/>
    <w:rsid w:val="000038D5"/>
    <w:rsid w:val="00003BD7"/>
    <w:rsid w:val="000040DE"/>
    <w:rsid w:val="00004F5E"/>
    <w:rsid w:val="00005378"/>
    <w:rsid w:val="00005C4D"/>
    <w:rsid w:val="00007326"/>
    <w:rsid w:val="00007F14"/>
    <w:rsid w:val="000105DF"/>
    <w:rsid w:val="0001070A"/>
    <w:rsid w:val="00010965"/>
    <w:rsid w:val="00013881"/>
    <w:rsid w:val="00014DC7"/>
    <w:rsid w:val="00014E5F"/>
    <w:rsid w:val="00014EDF"/>
    <w:rsid w:val="00016545"/>
    <w:rsid w:val="000168C4"/>
    <w:rsid w:val="00017A18"/>
    <w:rsid w:val="0002073C"/>
    <w:rsid w:val="00020A25"/>
    <w:rsid w:val="00020D83"/>
    <w:rsid w:val="000211EF"/>
    <w:rsid w:val="00021281"/>
    <w:rsid w:val="00022A7C"/>
    <w:rsid w:val="000246E0"/>
    <w:rsid w:val="00025133"/>
    <w:rsid w:val="0002533E"/>
    <w:rsid w:val="00025B1E"/>
    <w:rsid w:val="00027914"/>
    <w:rsid w:val="00030285"/>
    <w:rsid w:val="000307FF"/>
    <w:rsid w:val="00031147"/>
    <w:rsid w:val="00031975"/>
    <w:rsid w:val="00031F84"/>
    <w:rsid w:val="00031F98"/>
    <w:rsid w:val="000338ED"/>
    <w:rsid w:val="0003627B"/>
    <w:rsid w:val="000370A7"/>
    <w:rsid w:val="0004042E"/>
    <w:rsid w:val="00042803"/>
    <w:rsid w:val="0004294D"/>
    <w:rsid w:val="00043100"/>
    <w:rsid w:val="00044363"/>
    <w:rsid w:val="000443C0"/>
    <w:rsid w:val="00046198"/>
    <w:rsid w:val="0004795A"/>
    <w:rsid w:val="00047CF5"/>
    <w:rsid w:val="00050A87"/>
    <w:rsid w:val="00050B48"/>
    <w:rsid w:val="00051577"/>
    <w:rsid w:val="000515D4"/>
    <w:rsid w:val="00051F13"/>
    <w:rsid w:val="00052197"/>
    <w:rsid w:val="000535C9"/>
    <w:rsid w:val="00053791"/>
    <w:rsid w:val="00053A11"/>
    <w:rsid w:val="00053A5F"/>
    <w:rsid w:val="000553AD"/>
    <w:rsid w:val="0005584A"/>
    <w:rsid w:val="00056E7F"/>
    <w:rsid w:val="00060049"/>
    <w:rsid w:val="0006037B"/>
    <w:rsid w:val="00060C38"/>
    <w:rsid w:val="00062510"/>
    <w:rsid w:val="00064A82"/>
    <w:rsid w:val="00064CFF"/>
    <w:rsid w:val="000652D4"/>
    <w:rsid w:val="000653CF"/>
    <w:rsid w:val="00066547"/>
    <w:rsid w:val="000678E6"/>
    <w:rsid w:val="00070F98"/>
    <w:rsid w:val="0007186D"/>
    <w:rsid w:val="00071C35"/>
    <w:rsid w:val="000727A5"/>
    <w:rsid w:val="00074624"/>
    <w:rsid w:val="0007492F"/>
    <w:rsid w:val="000769D3"/>
    <w:rsid w:val="00077E79"/>
    <w:rsid w:val="00080628"/>
    <w:rsid w:val="00081198"/>
    <w:rsid w:val="00082259"/>
    <w:rsid w:val="00082970"/>
    <w:rsid w:val="00083189"/>
    <w:rsid w:val="00083CB2"/>
    <w:rsid w:val="000840E7"/>
    <w:rsid w:val="00084332"/>
    <w:rsid w:val="000850D1"/>
    <w:rsid w:val="00085F98"/>
    <w:rsid w:val="00086DAC"/>
    <w:rsid w:val="00086F65"/>
    <w:rsid w:val="00086FE2"/>
    <w:rsid w:val="000874BA"/>
    <w:rsid w:val="0009068E"/>
    <w:rsid w:val="00090FC7"/>
    <w:rsid w:val="000920CD"/>
    <w:rsid w:val="00093373"/>
    <w:rsid w:val="00093B76"/>
    <w:rsid w:val="00093F20"/>
    <w:rsid w:val="000959CC"/>
    <w:rsid w:val="00096B61"/>
    <w:rsid w:val="0009725A"/>
    <w:rsid w:val="000978A1"/>
    <w:rsid w:val="000979C8"/>
    <w:rsid w:val="00097BF8"/>
    <w:rsid w:val="00097EC5"/>
    <w:rsid w:val="000A0BF4"/>
    <w:rsid w:val="000A11DA"/>
    <w:rsid w:val="000A1A46"/>
    <w:rsid w:val="000A2784"/>
    <w:rsid w:val="000A37C8"/>
    <w:rsid w:val="000A4157"/>
    <w:rsid w:val="000A4B3A"/>
    <w:rsid w:val="000A583C"/>
    <w:rsid w:val="000A6CC4"/>
    <w:rsid w:val="000A7623"/>
    <w:rsid w:val="000A7A40"/>
    <w:rsid w:val="000A7FD2"/>
    <w:rsid w:val="000B0D14"/>
    <w:rsid w:val="000B0D76"/>
    <w:rsid w:val="000B1FA1"/>
    <w:rsid w:val="000B2B4A"/>
    <w:rsid w:val="000B4494"/>
    <w:rsid w:val="000B522C"/>
    <w:rsid w:val="000B6460"/>
    <w:rsid w:val="000B69B4"/>
    <w:rsid w:val="000C09EA"/>
    <w:rsid w:val="000C0F54"/>
    <w:rsid w:val="000C1BBA"/>
    <w:rsid w:val="000C1FAB"/>
    <w:rsid w:val="000C266E"/>
    <w:rsid w:val="000C31C9"/>
    <w:rsid w:val="000C3AF4"/>
    <w:rsid w:val="000C3EB8"/>
    <w:rsid w:val="000C55C6"/>
    <w:rsid w:val="000C63E2"/>
    <w:rsid w:val="000C7AC3"/>
    <w:rsid w:val="000D00B2"/>
    <w:rsid w:val="000D0AF1"/>
    <w:rsid w:val="000D0E3F"/>
    <w:rsid w:val="000D1EA5"/>
    <w:rsid w:val="000D2735"/>
    <w:rsid w:val="000D2DA5"/>
    <w:rsid w:val="000D3877"/>
    <w:rsid w:val="000D5B49"/>
    <w:rsid w:val="000E1B7A"/>
    <w:rsid w:val="000E1DEC"/>
    <w:rsid w:val="000E28CB"/>
    <w:rsid w:val="000E30DF"/>
    <w:rsid w:val="000E35A7"/>
    <w:rsid w:val="000E4B5D"/>
    <w:rsid w:val="000E4EB3"/>
    <w:rsid w:val="000E5684"/>
    <w:rsid w:val="000E6296"/>
    <w:rsid w:val="000E66B4"/>
    <w:rsid w:val="000E7E01"/>
    <w:rsid w:val="000F0FF2"/>
    <w:rsid w:val="000F371C"/>
    <w:rsid w:val="000F39FF"/>
    <w:rsid w:val="000F41FD"/>
    <w:rsid w:val="000F4665"/>
    <w:rsid w:val="000F51BD"/>
    <w:rsid w:val="000F5D03"/>
    <w:rsid w:val="000F5D48"/>
    <w:rsid w:val="000F775A"/>
    <w:rsid w:val="00100599"/>
    <w:rsid w:val="001013F9"/>
    <w:rsid w:val="00101BFB"/>
    <w:rsid w:val="001027D9"/>
    <w:rsid w:val="00102E9E"/>
    <w:rsid w:val="00103558"/>
    <w:rsid w:val="00105222"/>
    <w:rsid w:val="00105ED1"/>
    <w:rsid w:val="0010622F"/>
    <w:rsid w:val="00110938"/>
    <w:rsid w:val="0011098E"/>
    <w:rsid w:val="001112D8"/>
    <w:rsid w:val="001122EB"/>
    <w:rsid w:val="00112FF2"/>
    <w:rsid w:val="0011304D"/>
    <w:rsid w:val="0011322D"/>
    <w:rsid w:val="001142A9"/>
    <w:rsid w:val="00114B26"/>
    <w:rsid w:val="00114FAC"/>
    <w:rsid w:val="00115077"/>
    <w:rsid w:val="00116E9E"/>
    <w:rsid w:val="001201F7"/>
    <w:rsid w:val="001214C9"/>
    <w:rsid w:val="00122544"/>
    <w:rsid w:val="001225EA"/>
    <w:rsid w:val="00122A02"/>
    <w:rsid w:val="00122DC1"/>
    <w:rsid w:val="00122FD2"/>
    <w:rsid w:val="00124B58"/>
    <w:rsid w:val="001257BB"/>
    <w:rsid w:val="0012611D"/>
    <w:rsid w:val="0012651A"/>
    <w:rsid w:val="00126642"/>
    <w:rsid w:val="00126772"/>
    <w:rsid w:val="00126825"/>
    <w:rsid w:val="00126FC7"/>
    <w:rsid w:val="001271BA"/>
    <w:rsid w:val="001272FB"/>
    <w:rsid w:val="00127BC0"/>
    <w:rsid w:val="001301A4"/>
    <w:rsid w:val="00130671"/>
    <w:rsid w:val="00131A5E"/>
    <w:rsid w:val="001324AE"/>
    <w:rsid w:val="001332E6"/>
    <w:rsid w:val="00133D39"/>
    <w:rsid w:val="00133EB9"/>
    <w:rsid w:val="00134609"/>
    <w:rsid w:val="001377E5"/>
    <w:rsid w:val="00140A8F"/>
    <w:rsid w:val="00140B4A"/>
    <w:rsid w:val="00141A5E"/>
    <w:rsid w:val="00142460"/>
    <w:rsid w:val="0014251C"/>
    <w:rsid w:val="00144022"/>
    <w:rsid w:val="0014552F"/>
    <w:rsid w:val="0014712E"/>
    <w:rsid w:val="001501A0"/>
    <w:rsid w:val="0015055E"/>
    <w:rsid w:val="00151096"/>
    <w:rsid w:val="00151893"/>
    <w:rsid w:val="00152160"/>
    <w:rsid w:val="0015288F"/>
    <w:rsid w:val="00152BE4"/>
    <w:rsid w:val="001537B6"/>
    <w:rsid w:val="001544A3"/>
    <w:rsid w:val="00156276"/>
    <w:rsid w:val="0015727E"/>
    <w:rsid w:val="00157DA5"/>
    <w:rsid w:val="00160F60"/>
    <w:rsid w:val="00164684"/>
    <w:rsid w:val="00164F0C"/>
    <w:rsid w:val="00165479"/>
    <w:rsid w:val="0016586C"/>
    <w:rsid w:val="001669E6"/>
    <w:rsid w:val="00167045"/>
    <w:rsid w:val="00170593"/>
    <w:rsid w:val="001712CD"/>
    <w:rsid w:val="00171489"/>
    <w:rsid w:val="001725C9"/>
    <w:rsid w:val="00174220"/>
    <w:rsid w:val="00174F45"/>
    <w:rsid w:val="001754BB"/>
    <w:rsid w:val="00176B36"/>
    <w:rsid w:val="00177AB6"/>
    <w:rsid w:val="00177D33"/>
    <w:rsid w:val="00177F2F"/>
    <w:rsid w:val="00177F48"/>
    <w:rsid w:val="001803EF"/>
    <w:rsid w:val="00180601"/>
    <w:rsid w:val="00180B36"/>
    <w:rsid w:val="00181D53"/>
    <w:rsid w:val="00182114"/>
    <w:rsid w:val="00182DB6"/>
    <w:rsid w:val="00182F2B"/>
    <w:rsid w:val="00183249"/>
    <w:rsid w:val="0018382A"/>
    <w:rsid w:val="0018383A"/>
    <w:rsid w:val="00184DCC"/>
    <w:rsid w:val="00184EAC"/>
    <w:rsid w:val="0018549F"/>
    <w:rsid w:val="0018553C"/>
    <w:rsid w:val="0018584D"/>
    <w:rsid w:val="00185D44"/>
    <w:rsid w:val="001861F3"/>
    <w:rsid w:val="00186B58"/>
    <w:rsid w:val="0019079B"/>
    <w:rsid w:val="00190A12"/>
    <w:rsid w:val="00190DE7"/>
    <w:rsid w:val="00191BF1"/>
    <w:rsid w:val="001921B9"/>
    <w:rsid w:val="00192D67"/>
    <w:rsid w:val="00195D58"/>
    <w:rsid w:val="00196419"/>
    <w:rsid w:val="001A0235"/>
    <w:rsid w:val="001A1D8D"/>
    <w:rsid w:val="001A1E02"/>
    <w:rsid w:val="001A266D"/>
    <w:rsid w:val="001A33B0"/>
    <w:rsid w:val="001A5E21"/>
    <w:rsid w:val="001A75DA"/>
    <w:rsid w:val="001B025D"/>
    <w:rsid w:val="001B1577"/>
    <w:rsid w:val="001B3187"/>
    <w:rsid w:val="001B3255"/>
    <w:rsid w:val="001B3E89"/>
    <w:rsid w:val="001B519B"/>
    <w:rsid w:val="001B62DB"/>
    <w:rsid w:val="001B6B9C"/>
    <w:rsid w:val="001B6CD2"/>
    <w:rsid w:val="001B7CE6"/>
    <w:rsid w:val="001B7E08"/>
    <w:rsid w:val="001B7E66"/>
    <w:rsid w:val="001C07C5"/>
    <w:rsid w:val="001C0851"/>
    <w:rsid w:val="001C0EC6"/>
    <w:rsid w:val="001C39FA"/>
    <w:rsid w:val="001C3F57"/>
    <w:rsid w:val="001C3FE1"/>
    <w:rsid w:val="001C4203"/>
    <w:rsid w:val="001C436D"/>
    <w:rsid w:val="001C5C3F"/>
    <w:rsid w:val="001C5F17"/>
    <w:rsid w:val="001C7479"/>
    <w:rsid w:val="001C77E4"/>
    <w:rsid w:val="001C7A68"/>
    <w:rsid w:val="001C7C03"/>
    <w:rsid w:val="001C7CE7"/>
    <w:rsid w:val="001D0FF5"/>
    <w:rsid w:val="001D1540"/>
    <w:rsid w:val="001D271A"/>
    <w:rsid w:val="001D31EB"/>
    <w:rsid w:val="001D364F"/>
    <w:rsid w:val="001D40CC"/>
    <w:rsid w:val="001D6BBC"/>
    <w:rsid w:val="001D6C2F"/>
    <w:rsid w:val="001D6EDC"/>
    <w:rsid w:val="001E06A9"/>
    <w:rsid w:val="001E1030"/>
    <w:rsid w:val="001E1986"/>
    <w:rsid w:val="001E1C6A"/>
    <w:rsid w:val="001E1DCC"/>
    <w:rsid w:val="001E2AB6"/>
    <w:rsid w:val="001E35FF"/>
    <w:rsid w:val="001E3643"/>
    <w:rsid w:val="001E4271"/>
    <w:rsid w:val="001E4900"/>
    <w:rsid w:val="001E748F"/>
    <w:rsid w:val="001F0662"/>
    <w:rsid w:val="001F2B10"/>
    <w:rsid w:val="001F3162"/>
    <w:rsid w:val="001F3210"/>
    <w:rsid w:val="001F354B"/>
    <w:rsid w:val="001F3AB4"/>
    <w:rsid w:val="001F3DB6"/>
    <w:rsid w:val="001F541C"/>
    <w:rsid w:val="001F5D4A"/>
    <w:rsid w:val="001F6672"/>
    <w:rsid w:val="00200A79"/>
    <w:rsid w:val="00200FA4"/>
    <w:rsid w:val="0020210F"/>
    <w:rsid w:val="002043D1"/>
    <w:rsid w:val="00204564"/>
    <w:rsid w:val="0020465D"/>
    <w:rsid w:val="00204716"/>
    <w:rsid w:val="0020526A"/>
    <w:rsid w:val="00205598"/>
    <w:rsid w:val="0020669A"/>
    <w:rsid w:val="00206AE9"/>
    <w:rsid w:val="00207263"/>
    <w:rsid w:val="0020744F"/>
    <w:rsid w:val="00210824"/>
    <w:rsid w:val="0021147B"/>
    <w:rsid w:val="00211CE3"/>
    <w:rsid w:val="00213865"/>
    <w:rsid w:val="0021455B"/>
    <w:rsid w:val="0021499A"/>
    <w:rsid w:val="002163DA"/>
    <w:rsid w:val="002166DC"/>
    <w:rsid w:val="002167E9"/>
    <w:rsid w:val="00216BDB"/>
    <w:rsid w:val="00220F6D"/>
    <w:rsid w:val="00220FBF"/>
    <w:rsid w:val="0022135A"/>
    <w:rsid w:val="002221AB"/>
    <w:rsid w:val="002226AF"/>
    <w:rsid w:val="00222D4E"/>
    <w:rsid w:val="002239E2"/>
    <w:rsid w:val="0022453C"/>
    <w:rsid w:val="0022520F"/>
    <w:rsid w:val="00225375"/>
    <w:rsid w:val="00226D6C"/>
    <w:rsid w:val="002274FF"/>
    <w:rsid w:val="0022789C"/>
    <w:rsid w:val="00227A30"/>
    <w:rsid w:val="0023004F"/>
    <w:rsid w:val="002315AC"/>
    <w:rsid w:val="00232ACB"/>
    <w:rsid w:val="00233433"/>
    <w:rsid w:val="00233572"/>
    <w:rsid w:val="0023390F"/>
    <w:rsid w:val="002347E0"/>
    <w:rsid w:val="002350E6"/>
    <w:rsid w:val="00235671"/>
    <w:rsid w:val="00235A13"/>
    <w:rsid w:val="00235B63"/>
    <w:rsid w:val="00236783"/>
    <w:rsid w:val="002378F2"/>
    <w:rsid w:val="00241BCB"/>
    <w:rsid w:val="00242E9E"/>
    <w:rsid w:val="00245464"/>
    <w:rsid w:val="0025017A"/>
    <w:rsid w:val="0025069B"/>
    <w:rsid w:val="00250E71"/>
    <w:rsid w:val="002511DA"/>
    <w:rsid w:val="00251E15"/>
    <w:rsid w:val="00251EC9"/>
    <w:rsid w:val="00252326"/>
    <w:rsid w:val="002536F4"/>
    <w:rsid w:val="00254744"/>
    <w:rsid w:val="00255365"/>
    <w:rsid w:val="002553AD"/>
    <w:rsid w:val="00255DC1"/>
    <w:rsid w:val="002576AE"/>
    <w:rsid w:val="00257A16"/>
    <w:rsid w:val="00261702"/>
    <w:rsid w:val="00261D54"/>
    <w:rsid w:val="00261E52"/>
    <w:rsid w:val="00262FCA"/>
    <w:rsid w:val="00263564"/>
    <w:rsid w:val="00265737"/>
    <w:rsid w:val="00266F36"/>
    <w:rsid w:val="00267885"/>
    <w:rsid w:val="00267938"/>
    <w:rsid w:val="002777AD"/>
    <w:rsid w:val="002808C9"/>
    <w:rsid w:val="00281BBA"/>
    <w:rsid w:val="00282B8D"/>
    <w:rsid w:val="00284AA2"/>
    <w:rsid w:val="00284BD6"/>
    <w:rsid w:val="00284C45"/>
    <w:rsid w:val="00284F28"/>
    <w:rsid w:val="0028623B"/>
    <w:rsid w:val="00286659"/>
    <w:rsid w:val="00286BA7"/>
    <w:rsid w:val="00287EE3"/>
    <w:rsid w:val="002905F5"/>
    <w:rsid w:val="00290607"/>
    <w:rsid w:val="002907CC"/>
    <w:rsid w:val="00290B26"/>
    <w:rsid w:val="002910BC"/>
    <w:rsid w:val="002911E6"/>
    <w:rsid w:val="002914CA"/>
    <w:rsid w:val="002915AB"/>
    <w:rsid w:val="002922DD"/>
    <w:rsid w:val="002928EA"/>
    <w:rsid w:val="00293338"/>
    <w:rsid w:val="00293524"/>
    <w:rsid w:val="002937EA"/>
    <w:rsid w:val="00293E70"/>
    <w:rsid w:val="0029401F"/>
    <w:rsid w:val="002948F9"/>
    <w:rsid w:val="00295E64"/>
    <w:rsid w:val="00296F35"/>
    <w:rsid w:val="002977BC"/>
    <w:rsid w:val="002A00E0"/>
    <w:rsid w:val="002A12AB"/>
    <w:rsid w:val="002A1740"/>
    <w:rsid w:val="002A1A37"/>
    <w:rsid w:val="002A20C9"/>
    <w:rsid w:val="002A2315"/>
    <w:rsid w:val="002A3F9D"/>
    <w:rsid w:val="002A4486"/>
    <w:rsid w:val="002A4A97"/>
    <w:rsid w:val="002A72F4"/>
    <w:rsid w:val="002B1086"/>
    <w:rsid w:val="002B2020"/>
    <w:rsid w:val="002B43E6"/>
    <w:rsid w:val="002B4CEF"/>
    <w:rsid w:val="002B5BD8"/>
    <w:rsid w:val="002B5CC2"/>
    <w:rsid w:val="002B7358"/>
    <w:rsid w:val="002B7442"/>
    <w:rsid w:val="002C02A1"/>
    <w:rsid w:val="002C1603"/>
    <w:rsid w:val="002C160C"/>
    <w:rsid w:val="002C1C24"/>
    <w:rsid w:val="002C24EF"/>
    <w:rsid w:val="002C27F9"/>
    <w:rsid w:val="002C29D9"/>
    <w:rsid w:val="002C31AB"/>
    <w:rsid w:val="002C342A"/>
    <w:rsid w:val="002C3C50"/>
    <w:rsid w:val="002C43F9"/>
    <w:rsid w:val="002C4457"/>
    <w:rsid w:val="002C541A"/>
    <w:rsid w:val="002C5709"/>
    <w:rsid w:val="002C5DB8"/>
    <w:rsid w:val="002C65C6"/>
    <w:rsid w:val="002C6A17"/>
    <w:rsid w:val="002C6CA4"/>
    <w:rsid w:val="002C6EEB"/>
    <w:rsid w:val="002C76FE"/>
    <w:rsid w:val="002C7CA2"/>
    <w:rsid w:val="002C7ECC"/>
    <w:rsid w:val="002D155D"/>
    <w:rsid w:val="002D1FC4"/>
    <w:rsid w:val="002D3E86"/>
    <w:rsid w:val="002D4671"/>
    <w:rsid w:val="002D50B8"/>
    <w:rsid w:val="002D522E"/>
    <w:rsid w:val="002D5CB8"/>
    <w:rsid w:val="002D72F3"/>
    <w:rsid w:val="002E0290"/>
    <w:rsid w:val="002E0C80"/>
    <w:rsid w:val="002E1F2D"/>
    <w:rsid w:val="002E261E"/>
    <w:rsid w:val="002E2C18"/>
    <w:rsid w:val="002E2FF5"/>
    <w:rsid w:val="002E5C4C"/>
    <w:rsid w:val="002E5E1A"/>
    <w:rsid w:val="002E5F30"/>
    <w:rsid w:val="002E600C"/>
    <w:rsid w:val="002E6965"/>
    <w:rsid w:val="002E717D"/>
    <w:rsid w:val="002E756A"/>
    <w:rsid w:val="002F04C1"/>
    <w:rsid w:val="002F13D9"/>
    <w:rsid w:val="002F1CF5"/>
    <w:rsid w:val="002F2AD3"/>
    <w:rsid w:val="002F5201"/>
    <w:rsid w:val="002F6964"/>
    <w:rsid w:val="003000A4"/>
    <w:rsid w:val="00300AE9"/>
    <w:rsid w:val="0030115D"/>
    <w:rsid w:val="003041E4"/>
    <w:rsid w:val="00304299"/>
    <w:rsid w:val="00304DAE"/>
    <w:rsid w:val="003054A0"/>
    <w:rsid w:val="003058FA"/>
    <w:rsid w:val="00306390"/>
    <w:rsid w:val="00306AB8"/>
    <w:rsid w:val="00307758"/>
    <w:rsid w:val="00310776"/>
    <w:rsid w:val="0031234F"/>
    <w:rsid w:val="0031260E"/>
    <w:rsid w:val="0031266C"/>
    <w:rsid w:val="00313630"/>
    <w:rsid w:val="00313CC3"/>
    <w:rsid w:val="003144F4"/>
    <w:rsid w:val="003155B3"/>
    <w:rsid w:val="00316AEA"/>
    <w:rsid w:val="00317E77"/>
    <w:rsid w:val="00322EE6"/>
    <w:rsid w:val="00323FE4"/>
    <w:rsid w:val="00324F2F"/>
    <w:rsid w:val="00325CD5"/>
    <w:rsid w:val="00326C2C"/>
    <w:rsid w:val="00326C3C"/>
    <w:rsid w:val="00326FA4"/>
    <w:rsid w:val="00330405"/>
    <w:rsid w:val="003305A0"/>
    <w:rsid w:val="0033064C"/>
    <w:rsid w:val="0033073D"/>
    <w:rsid w:val="00332244"/>
    <w:rsid w:val="00333D8C"/>
    <w:rsid w:val="00334932"/>
    <w:rsid w:val="00334B57"/>
    <w:rsid w:val="00335B23"/>
    <w:rsid w:val="00337CED"/>
    <w:rsid w:val="003400F7"/>
    <w:rsid w:val="0034085B"/>
    <w:rsid w:val="00340BC9"/>
    <w:rsid w:val="003417F2"/>
    <w:rsid w:val="003425E6"/>
    <w:rsid w:val="00342B86"/>
    <w:rsid w:val="003431B5"/>
    <w:rsid w:val="00343D7B"/>
    <w:rsid w:val="00344650"/>
    <w:rsid w:val="0034590A"/>
    <w:rsid w:val="0034764A"/>
    <w:rsid w:val="00347895"/>
    <w:rsid w:val="00350576"/>
    <w:rsid w:val="00351763"/>
    <w:rsid w:val="00351796"/>
    <w:rsid w:val="003529B2"/>
    <w:rsid w:val="00353C38"/>
    <w:rsid w:val="003546C3"/>
    <w:rsid w:val="00354792"/>
    <w:rsid w:val="00355065"/>
    <w:rsid w:val="00355E02"/>
    <w:rsid w:val="00356038"/>
    <w:rsid w:val="003563A3"/>
    <w:rsid w:val="003563AF"/>
    <w:rsid w:val="00357C59"/>
    <w:rsid w:val="0036001C"/>
    <w:rsid w:val="00360835"/>
    <w:rsid w:val="00360B20"/>
    <w:rsid w:val="0036107A"/>
    <w:rsid w:val="003615AB"/>
    <w:rsid w:val="00361921"/>
    <w:rsid w:val="003639B9"/>
    <w:rsid w:val="00363A6A"/>
    <w:rsid w:val="00363B4F"/>
    <w:rsid w:val="00364828"/>
    <w:rsid w:val="00364A95"/>
    <w:rsid w:val="003651CA"/>
    <w:rsid w:val="0036610C"/>
    <w:rsid w:val="00367F44"/>
    <w:rsid w:val="00372481"/>
    <w:rsid w:val="00373315"/>
    <w:rsid w:val="0037342F"/>
    <w:rsid w:val="00373DFE"/>
    <w:rsid w:val="00374C1D"/>
    <w:rsid w:val="00375221"/>
    <w:rsid w:val="0037569D"/>
    <w:rsid w:val="00377EF9"/>
    <w:rsid w:val="00380945"/>
    <w:rsid w:val="00381C06"/>
    <w:rsid w:val="00381F3F"/>
    <w:rsid w:val="00381FB3"/>
    <w:rsid w:val="0038203E"/>
    <w:rsid w:val="00382539"/>
    <w:rsid w:val="003830F7"/>
    <w:rsid w:val="003830FF"/>
    <w:rsid w:val="0038352D"/>
    <w:rsid w:val="0038714B"/>
    <w:rsid w:val="003877F1"/>
    <w:rsid w:val="00390582"/>
    <w:rsid w:val="0039347F"/>
    <w:rsid w:val="00393CBE"/>
    <w:rsid w:val="00394670"/>
    <w:rsid w:val="0039560D"/>
    <w:rsid w:val="0039570D"/>
    <w:rsid w:val="003960AA"/>
    <w:rsid w:val="00397344"/>
    <w:rsid w:val="00397E74"/>
    <w:rsid w:val="003A1407"/>
    <w:rsid w:val="003A214C"/>
    <w:rsid w:val="003A2B16"/>
    <w:rsid w:val="003A2D17"/>
    <w:rsid w:val="003A324C"/>
    <w:rsid w:val="003A44CD"/>
    <w:rsid w:val="003A46D0"/>
    <w:rsid w:val="003A4A59"/>
    <w:rsid w:val="003A647C"/>
    <w:rsid w:val="003A671E"/>
    <w:rsid w:val="003A6DA2"/>
    <w:rsid w:val="003A7FD3"/>
    <w:rsid w:val="003B0DA1"/>
    <w:rsid w:val="003B19C4"/>
    <w:rsid w:val="003B30F7"/>
    <w:rsid w:val="003B3A3C"/>
    <w:rsid w:val="003B42B3"/>
    <w:rsid w:val="003B4386"/>
    <w:rsid w:val="003B4ABD"/>
    <w:rsid w:val="003B673A"/>
    <w:rsid w:val="003B7691"/>
    <w:rsid w:val="003C2255"/>
    <w:rsid w:val="003C2FAA"/>
    <w:rsid w:val="003C3BE8"/>
    <w:rsid w:val="003C571A"/>
    <w:rsid w:val="003C5EE9"/>
    <w:rsid w:val="003C6C9B"/>
    <w:rsid w:val="003C6EDE"/>
    <w:rsid w:val="003C77E2"/>
    <w:rsid w:val="003D0BBF"/>
    <w:rsid w:val="003D15DC"/>
    <w:rsid w:val="003D1767"/>
    <w:rsid w:val="003D1E9C"/>
    <w:rsid w:val="003D1F00"/>
    <w:rsid w:val="003D35B6"/>
    <w:rsid w:val="003D35BF"/>
    <w:rsid w:val="003D4069"/>
    <w:rsid w:val="003D4A14"/>
    <w:rsid w:val="003D5354"/>
    <w:rsid w:val="003D6450"/>
    <w:rsid w:val="003D6778"/>
    <w:rsid w:val="003D7ABB"/>
    <w:rsid w:val="003E0DB0"/>
    <w:rsid w:val="003E0E30"/>
    <w:rsid w:val="003E31C9"/>
    <w:rsid w:val="003E4AD7"/>
    <w:rsid w:val="003E4D38"/>
    <w:rsid w:val="003E5496"/>
    <w:rsid w:val="003E56AB"/>
    <w:rsid w:val="003E6402"/>
    <w:rsid w:val="003F023A"/>
    <w:rsid w:val="003F06F9"/>
    <w:rsid w:val="003F07E1"/>
    <w:rsid w:val="003F37C5"/>
    <w:rsid w:val="003F42BE"/>
    <w:rsid w:val="003F69C6"/>
    <w:rsid w:val="003F6D60"/>
    <w:rsid w:val="004005BA"/>
    <w:rsid w:val="00401B67"/>
    <w:rsid w:val="00401EFE"/>
    <w:rsid w:val="004021B6"/>
    <w:rsid w:val="00402404"/>
    <w:rsid w:val="0040289D"/>
    <w:rsid w:val="00402B54"/>
    <w:rsid w:val="00403616"/>
    <w:rsid w:val="00404D14"/>
    <w:rsid w:val="004053E1"/>
    <w:rsid w:val="00405DD6"/>
    <w:rsid w:val="00405FC1"/>
    <w:rsid w:val="00411B61"/>
    <w:rsid w:val="00411B6F"/>
    <w:rsid w:val="00411CB3"/>
    <w:rsid w:val="0041355E"/>
    <w:rsid w:val="00415061"/>
    <w:rsid w:val="0041572B"/>
    <w:rsid w:val="0041718D"/>
    <w:rsid w:val="004179A8"/>
    <w:rsid w:val="00417E41"/>
    <w:rsid w:val="0042018F"/>
    <w:rsid w:val="00420D6B"/>
    <w:rsid w:val="00421A86"/>
    <w:rsid w:val="00422081"/>
    <w:rsid w:val="00424B80"/>
    <w:rsid w:val="00425356"/>
    <w:rsid w:val="0042562A"/>
    <w:rsid w:val="004256DE"/>
    <w:rsid w:val="00425998"/>
    <w:rsid w:val="004269E7"/>
    <w:rsid w:val="0042701C"/>
    <w:rsid w:val="00427038"/>
    <w:rsid w:val="0042704B"/>
    <w:rsid w:val="00427771"/>
    <w:rsid w:val="004300B8"/>
    <w:rsid w:val="00430D6C"/>
    <w:rsid w:val="00430F54"/>
    <w:rsid w:val="0043247C"/>
    <w:rsid w:val="00432952"/>
    <w:rsid w:val="00432959"/>
    <w:rsid w:val="00432A08"/>
    <w:rsid w:val="00435387"/>
    <w:rsid w:val="0043540E"/>
    <w:rsid w:val="00436C7A"/>
    <w:rsid w:val="00436F08"/>
    <w:rsid w:val="00437322"/>
    <w:rsid w:val="00437351"/>
    <w:rsid w:val="00437F16"/>
    <w:rsid w:val="00442070"/>
    <w:rsid w:val="0044228A"/>
    <w:rsid w:val="00443357"/>
    <w:rsid w:val="004435F5"/>
    <w:rsid w:val="00443EAC"/>
    <w:rsid w:val="004448BB"/>
    <w:rsid w:val="00445753"/>
    <w:rsid w:val="00445887"/>
    <w:rsid w:val="00446739"/>
    <w:rsid w:val="00447432"/>
    <w:rsid w:val="00447662"/>
    <w:rsid w:val="00447B9D"/>
    <w:rsid w:val="00451559"/>
    <w:rsid w:val="004524CC"/>
    <w:rsid w:val="00452C48"/>
    <w:rsid w:val="00454F2E"/>
    <w:rsid w:val="0045572E"/>
    <w:rsid w:val="00457E4B"/>
    <w:rsid w:val="004601E3"/>
    <w:rsid w:val="00461A4B"/>
    <w:rsid w:val="00461B87"/>
    <w:rsid w:val="00462EEE"/>
    <w:rsid w:val="0046376E"/>
    <w:rsid w:val="004647B4"/>
    <w:rsid w:val="00464BA5"/>
    <w:rsid w:val="00464D83"/>
    <w:rsid w:val="004651F1"/>
    <w:rsid w:val="004661F1"/>
    <w:rsid w:val="004672AB"/>
    <w:rsid w:val="004738F8"/>
    <w:rsid w:val="004754F0"/>
    <w:rsid w:val="00475717"/>
    <w:rsid w:val="00475C74"/>
    <w:rsid w:val="00475F10"/>
    <w:rsid w:val="00476257"/>
    <w:rsid w:val="0047685D"/>
    <w:rsid w:val="00476E2A"/>
    <w:rsid w:val="00477B17"/>
    <w:rsid w:val="0048041C"/>
    <w:rsid w:val="00480520"/>
    <w:rsid w:val="004806AE"/>
    <w:rsid w:val="00480894"/>
    <w:rsid w:val="00480CBB"/>
    <w:rsid w:val="00480CE6"/>
    <w:rsid w:val="0048154A"/>
    <w:rsid w:val="00483867"/>
    <w:rsid w:val="0048410F"/>
    <w:rsid w:val="004851F2"/>
    <w:rsid w:val="00485B4D"/>
    <w:rsid w:val="00486095"/>
    <w:rsid w:val="004860EB"/>
    <w:rsid w:val="004874AA"/>
    <w:rsid w:val="00487856"/>
    <w:rsid w:val="004904D1"/>
    <w:rsid w:val="00492880"/>
    <w:rsid w:val="00492EC5"/>
    <w:rsid w:val="00493AC7"/>
    <w:rsid w:val="00493BA7"/>
    <w:rsid w:val="00496C37"/>
    <w:rsid w:val="00497177"/>
    <w:rsid w:val="004A1288"/>
    <w:rsid w:val="004A1384"/>
    <w:rsid w:val="004A1D52"/>
    <w:rsid w:val="004A1F6C"/>
    <w:rsid w:val="004A25DC"/>
    <w:rsid w:val="004A2838"/>
    <w:rsid w:val="004A3593"/>
    <w:rsid w:val="004A49C0"/>
    <w:rsid w:val="004A4C2F"/>
    <w:rsid w:val="004A5161"/>
    <w:rsid w:val="004A5704"/>
    <w:rsid w:val="004A655E"/>
    <w:rsid w:val="004A6C5F"/>
    <w:rsid w:val="004B0A2A"/>
    <w:rsid w:val="004B0ABB"/>
    <w:rsid w:val="004B14CC"/>
    <w:rsid w:val="004B1B0F"/>
    <w:rsid w:val="004B25D1"/>
    <w:rsid w:val="004B327E"/>
    <w:rsid w:val="004B4097"/>
    <w:rsid w:val="004B5316"/>
    <w:rsid w:val="004B6A22"/>
    <w:rsid w:val="004B710F"/>
    <w:rsid w:val="004B7CD0"/>
    <w:rsid w:val="004B7E9B"/>
    <w:rsid w:val="004C05E5"/>
    <w:rsid w:val="004C16A8"/>
    <w:rsid w:val="004C2259"/>
    <w:rsid w:val="004C3426"/>
    <w:rsid w:val="004C4FC3"/>
    <w:rsid w:val="004C593F"/>
    <w:rsid w:val="004C7EF6"/>
    <w:rsid w:val="004D007F"/>
    <w:rsid w:val="004D0569"/>
    <w:rsid w:val="004D10DB"/>
    <w:rsid w:val="004D131A"/>
    <w:rsid w:val="004D1419"/>
    <w:rsid w:val="004D1530"/>
    <w:rsid w:val="004D2A56"/>
    <w:rsid w:val="004D2AC4"/>
    <w:rsid w:val="004D2EE9"/>
    <w:rsid w:val="004D3206"/>
    <w:rsid w:val="004D4360"/>
    <w:rsid w:val="004D5526"/>
    <w:rsid w:val="004D552C"/>
    <w:rsid w:val="004D5A79"/>
    <w:rsid w:val="004D606C"/>
    <w:rsid w:val="004E131D"/>
    <w:rsid w:val="004E2199"/>
    <w:rsid w:val="004E2298"/>
    <w:rsid w:val="004E3FF6"/>
    <w:rsid w:val="004E5C72"/>
    <w:rsid w:val="004E6BE0"/>
    <w:rsid w:val="004E703D"/>
    <w:rsid w:val="004E7604"/>
    <w:rsid w:val="004E7F0D"/>
    <w:rsid w:val="004F0ABF"/>
    <w:rsid w:val="004F0DEA"/>
    <w:rsid w:val="004F2707"/>
    <w:rsid w:val="004F3B3C"/>
    <w:rsid w:val="004F473D"/>
    <w:rsid w:val="004F5AF2"/>
    <w:rsid w:val="004F633E"/>
    <w:rsid w:val="004F74B3"/>
    <w:rsid w:val="005009BE"/>
    <w:rsid w:val="00500D89"/>
    <w:rsid w:val="00503112"/>
    <w:rsid w:val="0050336E"/>
    <w:rsid w:val="00505BFC"/>
    <w:rsid w:val="0050733A"/>
    <w:rsid w:val="00507713"/>
    <w:rsid w:val="00507724"/>
    <w:rsid w:val="00510825"/>
    <w:rsid w:val="00511128"/>
    <w:rsid w:val="0051158E"/>
    <w:rsid w:val="00512368"/>
    <w:rsid w:val="005135A0"/>
    <w:rsid w:val="005137C2"/>
    <w:rsid w:val="005155ED"/>
    <w:rsid w:val="00515AFB"/>
    <w:rsid w:val="00516400"/>
    <w:rsid w:val="00517050"/>
    <w:rsid w:val="00517411"/>
    <w:rsid w:val="005206F4"/>
    <w:rsid w:val="00520BF4"/>
    <w:rsid w:val="00521715"/>
    <w:rsid w:val="00521AF0"/>
    <w:rsid w:val="005227F9"/>
    <w:rsid w:val="00522F8E"/>
    <w:rsid w:val="005237E1"/>
    <w:rsid w:val="005240DF"/>
    <w:rsid w:val="0052497C"/>
    <w:rsid w:val="00524EBD"/>
    <w:rsid w:val="0052717C"/>
    <w:rsid w:val="00527F79"/>
    <w:rsid w:val="00530EF4"/>
    <w:rsid w:val="00532C38"/>
    <w:rsid w:val="00532E3D"/>
    <w:rsid w:val="00534C22"/>
    <w:rsid w:val="0053625D"/>
    <w:rsid w:val="005375FF"/>
    <w:rsid w:val="00540756"/>
    <w:rsid w:val="00541085"/>
    <w:rsid w:val="005415CD"/>
    <w:rsid w:val="00541F2A"/>
    <w:rsid w:val="005420DA"/>
    <w:rsid w:val="00542C95"/>
    <w:rsid w:val="0054334D"/>
    <w:rsid w:val="0054372A"/>
    <w:rsid w:val="005445B2"/>
    <w:rsid w:val="00544DF0"/>
    <w:rsid w:val="00545936"/>
    <w:rsid w:val="00547F1D"/>
    <w:rsid w:val="00550F36"/>
    <w:rsid w:val="00551590"/>
    <w:rsid w:val="005516B8"/>
    <w:rsid w:val="005517D9"/>
    <w:rsid w:val="00551DE4"/>
    <w:rsid w:val="00552A57"/>
    <w:rsid w:val="00553542"/>
    <w:rsid w:val="00553784"/>
    <w:rsid w:val="00555273"/>
    <w:rsid w:val="00555C49"/>
    <w:rsid w:val="00556058"/>
    <w:rsid w:val="0055633C"/>
    <w:rsid w:val="00556559"/>
    <w:rsid w:val="00560B4B"/>
    <w:rsid w:val="0056259A"/>
    <w:rsid w:val="00562665"/>
    <w:rsid w:val="00562680"/>
    <w:rsid w:val="0056332E"/>
    <w:rsid w:val="00564859"/>
    <w:rsid w:val="0056535E"/>
    <w:rsid w:val="005654DA"/>
    <w:rsid w:val="00565706"/>
    <w:rsid w:val="005657E1"/>
    <w:rsid w:val="00565BD9"/>
    <w:rsid w:val="005665D6"/>
    <w:rsid w:val="00570081"/>
    <w:rsid w:val="00570469"/>
    <w:rsid w:val="005708C5"/>
    <w:rsid w:val="005724ED"/>
    <w:rsid w:val="00573624"/>
    <w:rsid w:val="005741B8"/>
    <w:rsid w:val="005746A4"/>
    <w:rsid w:val="00574980"/>
    <w:rsid w:val="0057593C"/>
    <w:rsid w:val="0057751F"/>
    <w:rsid w:val="00577E24"/>
    <w:rsid w:val="005809B7"/>
    <w:rsid w:val="00580A2A"/>
    <w:rsid w:val="00582011"/>
    <w:rsid w:val="005822A4"/>
    <w:rsid w:val="00584373"/>
    <w:rsid w:val="005847A8"/>
    <w:rsid w:val="00585BA6"/>
    <w:rsid w:val="00586FF9"/>
    <w:rsid w:val="00590968"/>
    <w:rsid w:val="00590E0E"/>
    <w:rsid w:val="00593039"/>
    <w:rsid w:val="00593DF2"/>
    <w:rsid w:val="00593EA6"/>
    <w:rsid w:val="0059502B"/>
    <w:rsid w:val="0059612E"/>
    <w:rsid w:val="0059695B"/>
    <w:rsid w:val="00596C53"/>
    <w:rsid w:val="00596CB8"/>
    <w:rsid w:val="00596FFE"/>
    <w:rsid w:val="00597087"/>
    <w:rsid w:val="005A1029"/>
    <w:rsid w:val="005A2F10"/>
    <w:rsid w:val="005A450A"/>
    <w:rsid w:val="005A4A80"/>
    <w:rsid w:val="005A6CF6"/>
    <w:rsid w:val="005A722C"/>
    <w:rsid w:val="005B0153"/>
    <w:rsid w:val="005B0F0C"/>
    <w:rsid w:val="005B20DD"/>
    <w:rsid w:val="005B34D0"/>
    <w:rsid w:val="005B3540"/>
    <w:rsid w:val="005B3693"/>
    <w:rsid w:val="005B3EAE"/>
    <w:rsid w:val="005B4315"/>
    <w:rsid w:val="005B59E3"/>
    <w:rsid w:val="005B71A2"/>
    <w:rsid w:val="005B72D1"/>
    <w:rsid w:val="005B7B31"/>
    <w:rsid w:val="005C04CC"/>
    <w:rsid w:val="005C05CC"/>
    <w:rsid w:val="005C4630"/>
    <w:rsid w:val="005C492D"/>
    <w:rsid w:val="005C4A57"/>
    <w:rsid w:val="005C59C8"/>
    <w:rsid w:val="005D0931"/>
    <w:rsid w:val="005D0B97"/>
    <w:rsid w:val="005D1D24"/>
    <w:rsid w:val="005D2885"/>
    <w:rsid w:val="005D2A24"/>
    <w:rsid w:val="005D2A50"/>
    <w:rsid w:val="005D3261"/>
    <w:rsid w:val="005D3B00"/>
    <w:rsid w:val="005D54CD"/>
    <w:rsid w:val="005D648B"/>
    <w:rsid w:val="005D68AB"/>
    <w:rsid w:val="005E13C1"/>
    <w:rsid w:val="005E1576"/>
    <w:rsid w:val="005E171A"/>
    <w:rsid w:val="005E2047"/>
    <w:rsid w:val="005E2E8F"/>
    <w:rsid w:val="005E362D"/>
    <w:rsid w:val="005E5179"/>
    <w:rsid w:val="005E5199"/>
    <w:rsid w:val="005E6C4D"/>
    <w:rsid w:val="005E710F"/>
    <w:rsid w:val="005F0946"/>
    <w:rsid w:val="005F1489"/>
    <w:rsid w:val="005F26AB"/>
    <w:rsid w:val="005F2816"/>
    <w:rsid w:val="005F3A8E"/>
    <w:rsid w:val="005F53E4"/>
    <w:rsid w:val="005F673E"/>
    <w:rsid w:val="005F71CE"/>
    <w:rsid w:val="005F7517"/>
    <w:rsid w:val="006008FF"/>
    <w:rsid w:val="00600E7E"/>
    <w:rsid w:val="00601196"/>
    <w:rsid w:val="00601B8B"/>
    <w:rsid w:val="00602EF4"/>
    <w:rsid w:val="00603294"/>
    <w:rsid w:val="006041AA"/>
    <w:rsid w:val="006045E4"/>
    <w:rsid w:val="0060545C"/>
    <w:rsid w:val="00605506"/>
    <w:rsid w:val="006059E3"/>
    <w:rsid w:val="00606B10"/>
    <w:rsid w:val="00610B22"/>
    <w:rsid w:val="00611744"/>
    <w:rsid w:val="006119AD"/>
    <w:rsid w:val="00612B78"/>
    <w:rsid w:val="00613385"/>
    <w:rsid w:val="00613731"/>
    <w:rsid w:val="00614415"/>
    <w:rsid w:val="00614448"/>
    <w:rsid w:val="00614782"/>
    <w:rsid w:val="00614E90"/>
    <w:rsid w:val="00616410"/>
    <w:rsid w:val="00616A9D"/>
    <w:rsid w:val="00616CFA"/>
    <w:rsid w:val="00616F8D"/>
    <w:rsid w:val="00620ECF"/>
    <w:rsid w:val="006217DD"/>
    <w:rsid w:val="0062191E"/>
    <w:rsid w:val="00622804"/>
    <w:rsid w:val="00622ACF"/>
    <w:rsid w:val="00623BAC"/>
    <w:rsid w:val="006258AF"/>
    <w:rsid w:val="00630A7A"/>
    <w:rsid w:val="00631A6D"/>
    <w:rsid w:val="00631B1A"/>
    <w:rsid w:val="00632682"/>
    <w:rsid w:val="00632B78"/>
    <w:rsid w:val="006357C4"/>
    <w:rsid w:val="00636824"/>
    <w:rsid w:val="006370D8"/>
    <w:rsid w:val="00637233"/>
    <w:rsid w:val="00637516"/>
    <w:rsid w:val="006401AF"/>
    <w:rsid w:val="00641A9D"/>
    <w:rsid w:val="00642868"/>
    <w:rsid w:val="00642C9E"/>
    <w:rsid w:val="00642CC9"/>
    <w:rsid w:val="006437B9"/>
    <w:rsid w:val="00644236"/>
    <w:rsid w:val="00644CF3"/>
    <w:rsid w:val="0064515C"/>
    <w:rsid w:val="00645CC8"/>
    <w:rsid w:val="006463AF"/>
    <w:rsid w:val="00646CDD"/>
    <w:rsid w:val="00650CF1"/>
    <w:rsid w:val="00652AA3"/>
    <w:rsid w:val="00652EC7"/>
    <w:rsid w:val="0065352E"/>
    <w:rsid w:val="00653663"/>
    <w:rsid w:val="00653E9E"/>
    <w:rsid w:val="00654749"/>
    <w:rsid w:val="00655062"/>
    <w:rsid w:val="00655134"/>
    <w:rsid w:val="00661260"/>
    <w:rsid w:val="00661417"/>
    <w:rsid w:val="00661D85"/>
    <w:rsid w:val="0066215A"/>
    <w:rsid w:val="00662290"/>
    <w:rsid w:val="006632FB"/>
    <w:rsid w:val="006639B6"/>
    <w:rsid w:val="006639D0"/>
    <w:rsid w:val="00666123"/>
    <w:rsid w:val="00667007"/>
    <w:rsid w:val="006671EC"/>
    <w:rsid w:val="00667AE0"/>
    <w:rsid w:val="006708B2"/>
    <w:rsid w:val="006719BD"/>
    <w:rsid w:val="006720A9"/>
    <w:rsid w:val="0067212D"/>
    <w:rsid w:val="00672722"/>
    <w:rsid w:val="00673C47"/>
    <w:rsid w:val="0067487E"/>
    <w:rsid w:val="00674CDA"/>
    <w:rsid w:val="00675F8F"/>
    <w:rsid w:val="00676A47"/>
    <w:rsid w:val="00676E62"/>
    <w:rsid w:val="00677F9F"/>
    <w:rsid w:val="00680FB4"/>
    <w:rsid w:val="00681231"/>
    <w:rsid w:val="006812F8"/>
    <w:rsid w:val="00681753"/>
    <w:rsid w:val="00683923"/>
    <w:rsid w:val="00683AE4"/>
    <w:rsid w:val="00684FE2"/>
    <w:rsid w:val="00686AC9"/>
    <w:rsid w:val="00686D9A"/>
    <w:rsid w:val="006870A0"/>
    <w:rsid w:val="00690F16"/>
    <w:rsid w:val="00691D87"/>
    <w:rsid w:val="0069259E"/>
    <w:rsid w:val="006938A1"/>
    <w:rsid w:val="00693E1C"/>
    <w:rsid w:val="00695960"/>
    <w:rsid w:val="00695F67"/>
    <w:rsid w:val="006A0167"/>
    <w:rsid w:val="006A0B73"/>
    <w:rsid w:val="006A212F"/>
    <w:rsid w:val="006A3567"/>
    <w:rsid w:val="006A3CE1"/>
    <w:rsid w:val="006A4B6C"/>
    <w:rsid w:val="006A5857"/>
    <w:rsid w:val="006A5D97"/>
    <w:rsid w:val="006A62D6"/>
    <w:rsid w:val="006A65FE"/>
    <w:rsid w:val="006A6A80"/>
    <w:rsid w:val="006A6D0D"/>
    <w:rsid w:val="006A71DB"/>
    <w:rsid w:val="006A71FF"/>
    <w:rsid w:val="006A7854"/>
    <w:rsid w:val="006A7D41"/>
    <w:rsid w:val="006B16B4"/>
    <w:rsid w:val="006B1D37"/>
    <w:rsid w:val="006B28DC"/>
    <w:rsid w:val="006B2C3B"/>
    <w:rsid w:val="006B2FBB"/>
    <w:rsid w:val="006B31A8"/>
    <w:rsid w:val="006B4A59"/>
    <w:rsid w:val="006B617B"/>
    <w:rsid w:val="006B69F0"/>
    <w:rsid w:val="006B6BE6"/>
    <w:rsid w:val="006C03D8"/>
    <w:rsid w:val="006C1095"/>
    <w:rsid w:val="006C3B91"/>
    <w:rsid w:val="006C550B"/>
    <w:rsid w:val="006C5EF6"/>
    <w:rsid w:val="006C6A86"/>
    <w:rsid w:val="006C6E91"/>
    <w:rsid w:val="006D1C5E"/>
    <w:rsid w:val="006D346C"/>
    <w:rsid w:val="006D443C"/>
    <w:rsid w:val="006D4C8C"/>
    <w:rsid w:val="006D4FF5"/>
    <w:rsid w:val="006D6F90"/>
    <w:rsid w:val="006D71D5"/>
    <w:rsid w:val="006E0F73"/>
    <w:rsid w:val="006E1648"/>
    <w:rsid w:val="006E1667"/>
    <w:rsid w:val="006E17C7"/>
    <w:rsid w:val="006E1F6E"/>
    <w:rsid w:val="006E2A0A"/>
    <w:rsid w:val="006E3207"/>
    <w:rsid w:val="006E4CD8"/>
    <w:rsid w:val="006E536F"/>
    <w:rsid w:val="006E57AE"/>
    <w:rsid w:val="006E5B68"/>
    <w:rsid w:val="006E69F6"/>
    <w:rsid w:val="006E7367"/>
    <w:rsid w:val="006F0880"/>
    <w:rsid w:val="006F226D"/>
    <w:rsid w:val="006F427F"/>
    <w:rsid w:val="006F5255"/>
    <w:rsid w:val="006F5D56"/>
    <w:rsid w:val="006F5F18"/>
    <w:rsid w:val="006F63DA"/>
    <w:rsid w:val="006F6589"/>
    <w:rsid w:val="00700038"/>
    <w:rsid w:val="00700426"/>
    <w:rsid w:val="00701E50"/>
    <w:rsid w:val="00703995"/>
    <w:rsid w:val="00705CF3"/>
    <w:rsid w:val="00706D09"/>
    <w:rsid w:val="00707493"/>
    <w:rsid w:val="007104AB"/>
    <w:rsid w:val="007118A6"/>
    <w:rsid w:val="007127E4"/>
    <w:rsid w:val="007136DE"/>
    <w:rsid w:val="00714250"/>
    <w:rsid w:val="00715694"/>
    <w:rsid w:val="00716C99"/>
    <w:rsid w:val="00716FAF"/>
    <w:rsid w:val="00722B6A"/>
    <w:rsid w:val="00723A33"/>
    <w:rsid w:val="007249BC"/>
    <w:rsid w:val="00724EAD"/>
    <w:rsid w:val="00725033"/>
    <w:rsid w:val="007252A3"/>
    <w:rsid w:val="00725D96"/>
    <w:rsid w:val="0072767B"/>
    <w:rsid w:val="007276EC"/>
    <w:rsid w:val="00727A05"/>
    <w:rsid w:val="00727F56"/>
    <w:rsid w:val="00730315"/>
    <w:rsid w:val="0073125C"/>
    <w:rsid w:val="00731EE1"/>
    <w:rsid w:val="007322CE"/>
    <w:rsid w:val="00732F77"/>
    <w:rsid w:val="007352D7"/>
    <w:rsid w:val="0073559A"/>
    <w:rsid w:val="00736223"/>
    <w:rsid w:val="00736E3A"/>
    <w:rsid w:val="00737C30"/>
    <w:rsid w:val="00737F66"/>
    <w:rsid w:val="00740354"/>
    <w:rsid w:val="0074099B"/>
    <w:rsid w:val="00740DAB"/>
    <w:rsid w:val="00741262"/>
    <w:rsid w:val="007415CC"/>
    <w:rsid w:val="0074208A"/>
    <w:rsid w:val="00742C2C"/>
    <w:rsid w:val="0074306C"/>
    <w:rsid w:val="007431E5"/>
    <w:rsid w:val="00743556"/>
    <w:rsid w:val="007438C4"/>
    <w:rsid w:val="00744078"/>
    <w:rsid w:val="007440F2"/>
    <w:rsid w:val="0074452A"/>
    <w:rsid w:val="00745023"/>
    <w:rsid w:val="00746181"/>
    <w:rsid w:val="00746C9F"/>
    <w:rsid w:val="007470F1"/>
    <w:rsid w:val="007477B3"/>
    <w:rsid w:val="00750B50"/>
    <w:rsid w:val="00750B91"/>
    <w:rsid w:val="00750E76"/>
    <w:rsid w:val="0075138C"/>
    <w:rsid w:val="007538BD"/>
    <w:rsid w:val="00753C34"/>
    <w:rsid w:val="0075467C"/>
    <w:rsid w:val="00754B03"/>
    <w:rsid w:val="007562A1"/>
    <w:rsid w:val="00756797"/>
    <w:rsid w:val="007569C7"/>
    <w:rsid w:val="00756D1C"/>
    <w:rsid w:val="00760F75"/>
    <w:rsid w:val="00761E59"/>
    <w:rsid w:val="0076277D"/>
    <w:rsid w:val="007639B9"/>
    <w:rsid w:val="00763DFC"/>
    <w:rsid w:val="00763ED5"/>
    <w:rsid w:val="00765869"/>
    <w:rsid w:val="007670B1"/>
    <w:rsid w:val="007670EE"/>
    <w:rsid w:val="00771461"/>
    <w:rsid w:val="00772155"/>
    <w:rsid w:val="0077381E"/>
    <w:rsid w:val="00773AA3"/>
    <w:rsid w:val="00774D92"/>
    <w:rsid w:val="0077560E"/>
    <w:rsid w:val="00775897"/>
    <w:rsid w:val="00775A12"/>
    <w:rsid w:val="007761E0"/>
    <w:rsid w:val="007772D4"/>
    <w:rsid w:val="00780725"/>
    <w:rsid w:val="007807D1"/>
    <w:rsid w:val="0078194A"/>
    <w:rsid w:val="00781D33"/>
    <w:rsid w:val="00781F28"/>
    <w:rsid w:val="00782E31"/>
    <w:rsid w:val="0078365D"/>
    <w:rsid w:val="00785BC0"/>
    <w:rsid w:val="00786443"/>
    <w:rsid w:val="007867B1"/>
    <w:rsid w:val="00786A14"/>
    <w:rsid w:val="00786CC0"/>
    <w:rsid w:val="0078750C"/>
    <w:rsid w:val="007900B0"/>
    <w:rsid w:val="00790643"/>
    <w:rsid w:val="00792DAA"/>
    <w:rsid w:val="00792FA2"/>
    <w:rsid w:val="00793B3B"/>
    <w:rsid w:val="0079466A"/>
    <w:rsid w:val="00794B21"/>
    <w:rsid w:val="00795D15"/>
    <w:rsid w:val="00796391"/>
    <w:rsid w:val="00796FBC"/>
    <w:rsid w:val="007A0720"/>
    <w:rsid w:val="007A0EA6"/>
    <w:rsid w:val="007A18A4"/>
    <w:rsid w:val="007A1D0C"/>
    <w:rsid w:val="007A32B4"/>
    <w:rsid w:val="007A370E"/>
    <w:rsid w:val="007A5FD1"/>
    <w:rsid w:val="007A614E"/>
    <w:rsid w:val="007B046A"/>
    <w:rsid w:val="007B17D9"/>
    <w:rsid w:val="007B1952"/>
    <w:rsid w:val="007B1C29"/>
    <w:rsid w:val="007B4136"/>
    <w:rsid w:val="007B5983"/>
    <w:rsid w:val="007B7F09"/>
    <w:rsid w:val="007C02A7"/>
    <w:rsid w:val="007C063F"/>
    <w:rsid w:val="007C0E24"/>
    <w:rsid w:val="007C1BEB"/>
    <w:rsid w:val="007C2CE3"/>
    <w:rsid w:val="007C2DFE"/>
    <w:rsid w:val="007C4377"/>
    <w:rsid w:val="007C4CB4"/>
    <w:rsid w:val="007C5E6C"/>
    <w:rsid w:val="007C612E"/>
    <w:rsid w:val="007C65D5"/>
    <w:rsid w:val="007C6A0B"/>
    <w:rsid w:val="007C6BE7"/>
    <w:rsid w:val="007C793A"/>
    <w:rsid w:val="007D06CF"/>
    <w:rsid w:val="007D0892"/>
    <w:rsid w:val="007D0E65"/>
    <w:rsid w:val="007D22F3"/>
    <w:rsid w:val="007D3071"/>
    <w:rsid w:val="007D3439"/>
    <w:rsid w:val="007D3D3C"/>
    <w:rsid w:val="007D3FBF"/>
    <w:rsid w:val="007D48F9"/>
    <w:rsid w:val="007D4B72"/>
    <w:rsid w:val="007D5253"/>
    <w:rsid w:val="007D5599"/>
    <w:rsid w:val="007D55C8"/>
    <w:rsid w:val="007D5918"/>
    <w:rsid w:val="007D5E24"/>
    <w:rsid w:val="007D6105"/>
    <w:rsid w:val="007D66EA"/>
    <w:rsid w:val="007D66F3"/>
    <w:rsid w:val="007D6792"/>
    <w:rsid w:val="007D77FA"/>
    <w:rsid w:val="007E1B94"/>
    <w:rsid w:val="007E20D0"/>
    <w:rsid w:val="007E239B"/>
    <w:rsid w:val="007E3512"/>
    <w:rsid w:val="007E3B08"/>
    <w:rsid w:val="007E40CE"/>
    <w:rsid w:val="007E53AB"/>
    <w:rsid w:val="007E79B4"/>
    <w:rsid w:val="007E7D2F"/>
    <w:rsid w:val="007E7FBB"/>
    <w:rsid w:val="007F0588"/>
    <w:rsid w:val="007F0F1E"/>
    <w:rsid w:val="007F11CE"/>
    <w:rsid w:val="007F1F58"/>
    <w:rsid w:val="007F44BD"/>
    <w:rsid w:val="007F6176"/>
    <w:rsid w:val="007F6511"/>
    <w:rsid w:val="007F6BCE"/>
    <w:rsid w:val="007F6C63"/>
    <w:rsid w:val="007F7824"/>
    <w:rsid w:val="007F7DF3"/>
    <w:rsid w:val="007F7F15"/>
    <w:rsid w:val="0080121D"/>
    <w:rsid w:val="00801AF6"/>
    <w:rsid w:val="008049DB"/>
    <w:rsid w:val="008067B1"/>
    <w:rsid w:val="00807750"/>
    <w:rsid w:val="008103DE"/>
    <w:rsid w:val="00810D27"/>
    <w:rsid w:val="00811591"/>
    <w:rsid w:val="00811B96"/>
    <w:rsid w:val="00811FD4"/>
    <w:rsid w:val="008139FF"/>
    <w:rsid w:val="008146EC"/>
    <w:rsid w:val="00814737"/>
    <w:rsid w:val="00814A43"/>
    <w:rsid w:val="0081582B"/>
    <w:rsid w:val="008160A6"/>
    <w:rsid w:val="0081673A"/>
    <w:rsid w:val="00817046"/>
    <w:rsid w:val="00817492"/>
    <w:rsid w:val="00817C7F"/>
    <w:rsid w:val="008208F0"/>
    <w:rsid w:val="00820F5A"/>
    <w:rsid w:val="00823E8E"/>
    <w:rsid w:val="00825577"/>
    <w:rsid w:val="008277FF"/>
    <w:rsid w:val="00831301"/>
    <w:rsid w:val="00832926"/>
    <w:rsid w:val="00833503"/>
    <w:rsid w:val="00833716"/>
    <w:rsid w:val="00833CA4"/>
    <w:rsid w:val="00834E3E"/>
    <w:rsid w:val="008375FC"/>
    <w:rsid w:val="00837605"/>
    <w:rsid w:val="0084049F"/>
    <w:rsid w:val="0084055D"/>
    <w:rsid w:val="00840FE0"/>
    <w:rsid w:val="0084210E"/>
    <w:rsid w:val="008421CA"/>
    <w:rsid w:val="00842A40"/>
    <w:rsid w:val="00842BA3"/>
    <w:rsid w:val="00842D1B"/>
    <w:rsid w:val="00842F0E"/>
    <w:rsid w:val="00843618"/>
    <w:rsid w:val="00843E87"/>
    <w:rsid w:val="008443EA"/>
    <w:rsid w:val="00844E66"/>
    <w:rsid w:val="0084578A"/>
    <w:rsid w:val="00845D38"/>
    <w:rsid w:val="008464A1"/>
    <w:rsid w:val="008511A8"/>
    <w:rsid w:val="00852598"/>
    <w:rsid w:val="0085282F"/>
    <w:rsid w:val="0085308C"/>
    <w:rsid w:val="00853863"/>
    <w:rsid w:val="00853CFB"/>
    <w:rsid w:val="00855062"/>
    <w:rsid w:val="00855B0E"/>
    <w:rsid w:val="008579AA"/>
    <w:rsid w:val="00857D5D"/>
    <w:rsid w:val="00857E84"/>
    <w:rsid w:val="0086015D"/>
    <w:rsid w:val="00860989"/>
    <w:rsid w:val="00860C20"/>
    <w:rsid w:val="00861513"/>
    <w:rsid w:val="008615F0"/>
    <w:rsid w:val="008623A6"/>
    <w:rsid w:val="00864194"/>
    <w:rsid w:val="00864B10"/>
    <w:rsid w:val="0086501C"/>
    <w:rsid w:val="00865063"/>
    <w:rsid w:val="008652DB"/>
    <w:rsid w:val="00865993"/>
    <w:rsid w:val="00865CFC"/>
    <w:rsid w:val="00865E93"/>
    <w:rsid w:val="0086609D"/>
    <w:rsid w:val="0087007C"/>
    <w:rsid w:val="00871059"/>
    <w:rsid w:val="00871EB9"/>
    <w:rsid w:val="0087284A"/>
    <w:rsid w:val="00872C70"/>
    <w:rsid w:val="00874964"/>
    <w:rsid w:val="0087539A"/>
    <w:rsid w:val="008753D4"/>
    <w:rsid w:val="008759F7"/>
    <w:rsid w:val="00876F50"/>
    <w:rsid w:val="00877DAA"/>
    <w:rsid w:val="00883338"/>
    <w:rsid w:val="008833D3"/>
    <w:rsid w:val="0088490A"/>
    <w:rsid w:val="00884BA7"/>
    <w:rsid w:val="008851AE"/>
    <w:rsid w:val="008870C6"/>
    <w:rsid w:val="008919BF"/>
    <w:rsid w:val="0089205C"/>
    <w:rsid w:val="00893DF2"/>
    <w:rsid w:val="00895B61"/>
    <w:rsid w:val="00895BAB"/>
    <w:rsid w:val="00896601"/>
    <w:rsid w:val="00897822"/>
    <w:rsid w:val="00897D18"/>
    <w:rsid w:val="00897EAD"/>
    <w:rsid w:val="008A0539"/>
    <w:rsid w:val="008A0D46"/>
    <w:rsid w:val="008A20E4"/>
    <w:rsid w:val="008A34CF"/>
    <w:rsid w:val="008A4338"/>
    <w:rsid w:val="008A4919"/>
    <w:rsid w:val="008A54A7"/>
    <w:rsid w:val="008A5A16"/>
    <w:rsid w:val="008A5D51"/>
    <w:rsid w:val="008A6895"/>
    <w:rsid w:val="008A6FF4"/>
    <w:rsid w:val="008B1235"/>
    <w:rsid w:val="008B2D37"/>
    <w:rsid w:val="008B2FA1"/>
    <w:rsid w:val="008B31F3"/>
    <w:rsid w:val="008B4B1E"/>
    <w:rsid w:val="008B5EA5"/>
    <w:rsid w:val="008B6222"/>
    <w:rsid w:val="008B66A6"/>
    <w:rsid w:val="008B7405"/>
    <w:rsid w:val="008B7910"/>
    <w:rsid w:val="008B7C74"/>
    <w:rsid w:val="008C0BD5"/>
    <w:rsid w:val="008C0CD9"/>
    <w:rsid w:val="008C1971"/>
    <w:rsid w:val="008C2545"/>
    <w:rsid w:val="008C6082"/>
    <w:rsid w:val="008C64EA"/>
    <w:rsid w:val="008C6953"/>
    <w:rsid w:val="008C7524"/>
    <w:rsid w:val="008D018C"/>
    <w:rsid w:val="008D05C2"/>
    <w:rsid w:val="008D0C13"/>
    <w:rsid w:val="008D1956"/>
    <w:rsid w:val="008D1B77"/>
    <w:rsid w:val="008D1BE2"/>
    <w:rsid w:val="008D1E03"/>
    <w:rsid w:val="008D21CB"/>
    <w:rsid w:val="008D33BD"/>
    <w:rsid w:val="008D3BA9"/>
    <w:rsid w:val="008D3CE1"/>
    <w:rsid w:val="008D3D31"/>
    <w:rsid w:val="008D3DF7"/>
    <w:rsid w:val="008D3EB1"/>
    <w:rsid w:val="008D4622"/>
    <w:rsid w:val="008D61A2"/>
    <w:rsid w:val="008D61AF"/>
    <w:rsid w:val="008D670D"/>
    <w:rsid w:val="008D7501"/>
    <w:rsid w:val="008E1F0F"/>
    <w:rsid w:val="008E2C6B"/>
    <w:rsid w:val="008E35DD"/>
    <w:rsid w:val="008E3BE3"/>
    <w:rsid w:val="008E4ADF"/>
    <w:rsid w:val="008E4F76"/>
    <w:rsid w:val="008E50EB"/>
    <w:rsid w:val="008E56B2"/>
    <w:rsid w:val="008E6102"/>
    <w:rsid w:val="008E6B38"/>
    <w:rsid w:val="008E761C"/>
    <w:rsid w:val="008E7A75"/>
    <w:rsid w:val="008F0E55"/>
    <w:rsid w:val="008F2898"/>
    <w:rsid w:val="008F28A3"/>
    <w:rsid w:val="008F3702"/>
    <w:rsid w:val="008F3E5F"/>
    <w:rsid w:val="008F440C"/>
    <w:rsid w:val="008F48B6"/>
    <w:rsid w:val="008F4B7D"/>
    <w:rsid w:val="008F4C93"/>
    <w:rsid w:val="008F6020"/>
    <w:rsid w:val="008F613B"/>
    <w:rsid w:val="008F6BDB"/>
    <w:rsid w:val="008F72A2"/>
    <w:rsid w:val="008F7798"/>
    <w:rsid w:val="0090001F"/>
    <w:rsid w:val="009008DF"/>
    <w:rsid w:val="00900CD4"/>
    <w:rsid w:val="00902C1A"/>
    <w:rsid w:val="00904392"/>
    <w:rsid w:val="00904FA8"/>
    <w:rsid w:val="00905DF4"/>
    <w:rsid w:val="0090621F"/>
    <w:rsid w:val="00907CE6"/>
    <w:rsid w:val="00907D75"/>
    <w:rsid w:val="00907F2E"/>
    <w:rsid w:val="00910110"/>
    <w:rsid w:val="0091115D"/>
    <w:rsid w:val="00911D7A"/>
    <w:rsid w:val="009126FC"/>
    <w:rsid w:val="00913A70"/>
    <w:rsid w:val="00917012"/>
    <w:rsid w:val="00917C14"/>
    <w:rsid w:val="00920D4C"/>
    <w:rsid w:val="009241AF"/>
    <w:rsid w:val="009243A2"/>
    <w:rsid w:val="00924FF5"/>
    <w:rsid w:val="0092688E"/>
    <w:rsid w:val="009308EA"/>
    <w:rsid w:val="0093166D"/>
    <w:rsid w:val="009336D6"/>
    <w:rsid w:val="00933A5B"/>
    <w:rsid w:val="0093480B"/>
    <w:rsid w:val="00934EFB"/>
    <w:rsid w:val="009357D9"/>
    <w:rsid w:val="00935A0B"/>
    <w:rsid w:val="00936146"/>
    <w:rsid w:val="0093717C"/>
    <w:rsid w:val="00937D81"/>
    <w:rsid w:val="00940E52"/>
    <w:rsid w:val="0094294F"/>
    <w:rsid w:val="00942F3B"/>
    <w:rsid w:val="009438FC"/>
    <w:rsid w:val="009439FC"/>
    <w:rsid w:val="00944C7C"/>
    <w:rsid w:val="0094559E"/>
    <w:rsid w:val="00946313"/>
    <w:rsid w:val="00946322"/>
    <w:rsid w:val="00947164"/>
    <w:rsid w:val="009472CC"/>
    <w:rsid w:val="0094763B"/>
    <w:rsid w:val="0095030A"/>
    <w:rsid w:val="009516E4"/>
    <w:rsid w:val="00951C0B"/>
    <w:rsid w:val="00951CC5"/>
    <w:rsid w:val="009539F3"/>
    <w:rsid w:val="00954244"/>
    <w:rsid w:val="00955793"/>
    <w:rsid w:val="00956560"/>
    <w:rsid w:val="00960CEA"/>
    <w:rsid w:val="00962977"/>
    <w:rsid w:val="0096352C"/>
    <w:rsid w:val="00964612"/>
    <w:rsid w:val="00964704"/>
    <w:rsid w:val="00964D41"/>
    <w:rsid w:val="00965DC3"/>
    <w:rsid w:val="0096694C"/>
    <w:rsid w:val="00966CC7"/>
    <w:rsid w:val="00967043"/>
    <w:rsid w:val="00967759"/>
    <w:rsid w:val="00967DE7"/>
    <w:rsid w:val="00967E6C"/>
    <w:rsid w:val="00967EED"/>
    <w:rsid w:val="0097046A"/>
    <w:rsid w:val="0097349C"/>
    <w:rsid w:val="00973BAD"/>
    <w:rsid w:val="00974386"/>
    <w:rsid w:val="00975F12"/>
    <w:rsid w:val="00976369"/>
    <w:rsid w:val="009801C3"/>
    <w:rsid w:val="00980EEC"/>
    <w:rsid w:val="00982C7B"/>
    <w:rsid w:val="009843CF"/>
    <w:rsid w:val="00984572"/>
    <w:rsid w:val="0098516D"/>
    <w:rsid w:val="009866F5"/>
    <w:rsid w:val="009879D7"/>
    <w:rsid w:val="009901AF"/>
    <w:rsid w:val="00990CB1"/>
    <w:rsid w:val="009915B3"/>
    <w:rsid w:val="009926D3"/>
    <w:rsid w:val="0099285A"/>
    <w:rsid w:val="00992C4A"/>
    <w:rsid w:val="00992ED0"/>
    <w:rsid w:val="009930D9"/>
    <w:rsid w:val="00993C81"/>
    <w:rsid w:val="00993FDE"/>
    <w:rsid w:val="00994992"/>
    <w:rsid w:val="00994A65"/>
    <w:rsid w:val="0099557E"/>
    <w:rsid w:val="00995F2C"/>
    <w:rsid w:val="00996212"/>
    <w:rsid w:val="0099658F"/>
    <w:rsid w:val="009970CF"/>
    <w:rsid w:val="00997D91"/>
    <w:rsid w:val="009A07EF"/>
    <w:rsid w:val="009A0C66"/>
    <w:rsid w:val="009A2FFD"/>
    <w:rsid w:val="009A39E1"/>
    <w:rsid w:val="009A3D23"/>
    <w:rsid w:val="009A5A17"/>
    <w:rsid w:val="009A6290"/>
    <w:rsid w:val="009A63A0"/>
    <w:rsid w:val="009A7685"/>
    <w:rsid w:val="009B058C"/>
    <w:rsid w:val="009B0768"/>
    <w:rsid w:val="009B07C9"/>
    <w:rsid w:val="009B14D1"/>
    <w:rsid w:val="009B2B50"/>
    <w:rsid w:val="009B2DFE"/>
    <w:rsid w:val="009B3400"/>
    <w:rsid w:val="009B3F52"/>
    <w:rsid w:val="009B4475"/>
    <w:rsid w:val="009B4533"/>
    <w:rsid w:val="009B4A7C"/>
    <w:rsid w:val="009B5C4B"/>
    <w:rsid w:val="009B6881"/>
    <w:rsid w:val="009C04FC"/>
    <w:rsid w:val="009C0CF0"/>
    <w:rsid w:val="009C17D6"/>
    <w:rsid w:val="009C1A5B"/>
    <w:rsid w:val="009C295F"/>
    <w:rsid w:val="009C339F"/>
    <w:rsid w:val="009C33C0"/>
    <w:rsid w:val="009C448D"/>
    <w:rsid w:val="009C4E95"/>
    <w:rsid w:val="009C6601"/>
    <w:rsid w:val="009C6838"/>
    <w:rsid w:val="009C6893"/>
    <w:rsid w:val="009C7279"/>
    <w:rsid w:val="009D1D96"/>
    <w:rsid w:val="009D2857"/>
    <w:rsid w:val="009D360B"/>
    <w:rsid w:val="009D4705"/>
    <w:rsid w:val="009D516B"/>
    <w:rsid w:val="009D51A6"/>
    <w:rsid w:val="009D57EE"/>
    <w:rsid w:val="009D5853"/>
    <w:rsid w:val="009D6116"/>
    <w:rsid w:val="009D61F8"/>
    <w:rsid w:val="009D6BE0"/>
    <w:rsid w:val="009E077E"/>
    <w:rsid w:val="009E1FC5"/>
    <w:rsid w:val="009E56E1"/>
    <w:rsid w:val="009E5959"/>
    <w:rsid w:val="009E60E4"/>
    <w:rsid w:val="009E673F"/>
    <w:rsid w:val="009E7520"/>
    <w:rsid w:val="009E794F"/>
    <w:rsid w:val="009F0BB0"/>
    <w:rsid w:val="009F18CF"/>
    <w:rsid w:val="009F1A59"/>
    <w:rsid w:val="009F1A78"/>
    <w:rsid w:val="009F1C06"/>
    <w:rsid w:val="009F222D"/>
    <w:rsid w:val="009F2442"/>
    <w:rsid w:val="009F2DA1"/>
    <w:rsid w:val="009F33AB"/>
    <w:rsid w:val="009F3A6E"/>
    <w:rsid w:val="009F53F6"/>
    <w:rsid w:val="009F5421"/>
    <w:rsid w:val="009F7259"/>
    <w:rsid w:val="009F7EBA"/>
    <w:rsid w:val="00A01CFE"/>
    <w:rsid w:val="00A0378F"/>
    <w:rsid w:val="00A04CDC"/>
    <w:rsid w:val="00A04FC1"/>
    <w:rsid w:val="00A05B53"/>
    <w:rsid w:val="00A066C1"/>
    <w:rsid w:val="00A06D99"/>
    <w:rsid w:val="00A06F00"/>
    <w:rsid w:val="00A06FE8"/>
    <w:rsid w:val="00A1197D"/>
    <w:rsid w:val="00A11E3F"/>
    <w:rsid w:val="00A1249F"/>
    <w:rsid w:val="00A12A64"/>
    <w:rsid w:val="00A134FB"/>
    <w:rsid w:val="00A13AE6"/>
    <w:rsid w:val="00A13DE8"/>
    <w:rsid w:val="00A14506"/>
    <w:rsid w:val="00A15750"/>
    <w:rsid w:val="00A16155"/>
    <w:rsid w:val="00A1724B"/>
    <w:rsid w:val="00A179C3"/>
    <w:rsid w:val="00A21ABE"/>
    <w:rsid w:val="00A21CA8"/>
    <w:rsid w:val="00A22D72"/>
    <w:rsid w:val="00A22EF2"/>
    <w:rsid w:val="00A23D2E"/>
    <w:rsid w:val="00A2543B"/>
    <w:rsid w:val="00A254DD"/>
    <w:rsid w:val="00A25ED9"/>
    <w:rsid w:val="00A2642C"/>
    <w:rsid w:val="00A273D0"/>
    <w:rsid w:val="00A30999"/>
    <w:rsid w:val="00A30CEB"/>
    <w:rsid w:val="00A313EC"/>
    <w:rsid w:val="00A3240E"/>
    <w:rsid w:val="00A328A2"/>
    <w:rsid w:val="00A33549"/>
    <w:rsid w:val="00A33CBD"/>
    <w:rsid w:val="00A34C31"/>
    <w:rsid w:val="00A34CBD"/>
    <w:rsid w:val="00A35713"/>
    <w:rsid w:val="00A35E3C"/>
    <w:rsid w:val="00A368E4"/>
    <w:rsid w:val="00A373D1"/>
    <w:rsid w:val="00A40068"/>
    <w:rsid w:val="00A41043"/>
    <w:rsid w:val="00A4200D"/>
    <w:rsid w:val="00A42724"/>
    <w:rsid w:val="00A443B6"/>
    <w:rsid w:val="00A47110"/>
    <w:rsid w:val="00A500F5"/>
    <w:rsid w:val="00A507A1"/>
    <w:rsid w:val="00A50F49"/>
    <w:rsid w:val="00A51012"/>
    <w:rsid w:val="00A517E2"/>
    <w:rsid w:val="00A522D6"/>
    <w:rsid w:val="00A53452"/>
    <w:rsid w:val="00A53DAD"/>
    <w:rsid w:val="00A543AD"/>
    <w:rsid w:val="00A547CF"/>
    <w:rsid w:val="00A552FC"/>
    <w:rsid w:val="00A55C18"/>
    <w:rsid w:val="00A56785"/>
    <w:rsid w:val="00A57352"/>
    <w:rsid w:val="00A60077"/>
    <w:rsid w:val="00A60701"/>
    <w:rsid w:val="00A618D4"/>
    <w:rsid w:val="00A63879"/>
    <w:rsid w:val="00A652F1"/>
    <w:rsid w:val="00A666C0"/>
    <w:rsid w:val="00A67095"/>
    <w:rsid w:val="00A71756"/>
    <w:rsid w:val="00A72737"/>
    <w:rsid w:val="00A7333C"/>
    <w:rsid w:val="00A73587"/>
    <w:rsid w:val="00A73838"/>
    <w:rsid w:val="00A73CE3"/>
    <w:rsid w:val="00A73FFF"/>
    <w:rsid w:val="00A74CD0"/>
    <w:rsid w:val="00A74D9A"/>
    <w:rsid w:val="00A7543E"/>
    <w:rsid w:val="00A75847"/>
    <w:rsid w:val="00A7674E"/>
    <w:rsid w:val="00A770A5"/>
    <w:rsid w:val="00A77933"/>
    <w:rsid w:val="00A77E18"/>
    <w:rsid w:val="00A82ED9"/>
    <w:rsid w:val="00A84DFE"/>
    <w:rsid w:val="00A855B4"/>
    <w:rsid w:val="00A86CCB"/>
    <w:rsid w:val="00A86E10"/>
    <w:rsid w:val="00A8781C"/>
    <w:rsid w:val="00A919ED"/>
    <w:rsid w:val="00A92524"/>
    <w:rsid w:val="00A9271F"/>
    <w:rsid w:val="00A929AB"/>
    <w:rsid w:val="00A92AED"/>
    <w:rsid w:val="00A931AA"/>
    <w:rsid w:val="00A95536"/>
    <w:rsid w:val="00A96F1B"/>
    <w:rsid w:val="00AA0042"/>
    <w:rsid w:val="00AA0104"/>
    <w:rsid w:val="00AA1428"/>
    <w:rsid w:val="00AA2727"/>
    <w:rsid w:val="00AA3935"/>
    <w:rsid w:val="00AA50BE"/>
    <w:rsid w:val="00AA5384"/>
    <w:rsid w:val="00AA61CC"/>
    <w:rsid w:val="00AA664D"/>
    <w:rsid w:val="00AA7E40"/>
    <w:rsid w:val="00AB0579"/>
    <w:rsid w:val="00AB39BC"/>
    <w:rsid w:val="00AB3AD4"/>
    <w:rsid w:val="00AB52A8"/>
    <w:rsid w:val="00AB53FC"/>
    <w:rsid w:val="00AB5832"/>
    <w:rsid w:val="00AB620F"/>
    <w:rsid w:val="00AC0748"/>
    <w:rsid w:val="00AC1A63"/>
    <w:rsid w:val="00AC1B07"/>
    <w:rsid w:val="00AC1F07"/>
    <w:rsid w:val="00AC263C"/>
    <w:rsid w:val="00AC28B1"/>
    <w:rsid w:val="00AC2A6B"/>
    <w:rsid w:val="00AC3512"/>
    <w:rsid w:val="00AC3625"/>
    <w:rsid w:val="00AC41D3"/>
    <w:rsid w:val="00AC4428"/>
    <w:rsid w:val="00AC4FA9"/>
    <w:rsid w:val="00AC5FC4"/>
    <w:rsid w:val="00AC78AA"/>
    <w:rsid w:val="00AD0D97"/>
    <w:rsid w:val="00AD1014"/>
    <w:rsid w:val="00AD11FD"/>
    <w:rsid w:val="00AD2DC3"/>
    <w:rsid w:val="00AD43EF"/>
    <w:rsid w:val="00AD613A"/>
    <w:rsid w:val="00AD7068"/>
    <w:rsid w:val="00AD729D"/>
    <w:rsid w:val="00AD78E2"/>
    <w:rsid w:val="00AE3E23"/>
    <w:rsid w:val="00AE5A7E"/>
    <w:rsid w:val="00AE60D2"/>
    <w:rsid w:val="00AE6AF4"/>
    <w:rsid w:val="00AE6FEE"/>
    <w:rsid w:val="00AE7011"/>
    <w:rsid w:val="00AE7083"/>
    <w:rsid w:val="00AE7587"/>
    <w:rsid w:val="00AE78D1"/>
    <w:rsid w:val="00AF074E"/>
    <w:rsid w:val="00AF19C9"/>
    <w:rsid w:val="00AF2E44"/>
    <w:rsid w:val="00AF358E"/>
    <w:rsid w:val="00AF4191"/>
    <w:rsid w:val="00AF4F19"/>
    <w:rsid w:val="00AF57CE"/>
    <w:rsid w:val="00AF757C"/>
    <w:rsid w:val="00AF7956"/>
    <w:rsid w:val="00B008DF"/>
    <w:rsid w:val="00B00AAE"/>
    <w:rsid w:val="00B0102C"/>
    <w:rsid w:val="00B01F88"/>
    <w:rsid w:val="00B02B64"/>
    <w:rsid w:val="00B02E1C"/>
    <w:rsid w:val="00B02F4E"/>
    <w:rsid w:val="00B03360"/>
    <w:rsid w:val="00B03393"/>
    <w:rsid w:val="00B043F9"/>
    <w:rsid w:val="00B046FF"/>
    <w:rsid w:val="00B04969"/>
    <w:rsid w:val="00B04B10"/>
    <w:rsid w:val="00B04B5B"/>
    <w:rsid w:val="00B05614"/>
    <w:rsid w:val="00B05749"/>
    <w:rsid w:val="00B05836"/>
    <w:rsid w:val="00B06400"/>
    <w:rsid w:val="00B06A0A"/>
    <w:rsid w:val="00B06D3F"/>
    <w:rsid w:val="00B07110"/>
    <w:rsid w:val="00B10B88"/>
    <w:rsid w:val="00B11A51"/>
    <w:rsid w:val="00B150CC"/>
    <w:rsid w:val="00B212BC"/>
    <w:rsid w:val="00B21694"/>
    <w:rsid w:val="00B21E6E"/>
    <w:rsid w:val="00B21F32"/>
    <w:rsid w:val="00B23E75"/>
    <w:rsid w:val="00B2423C"/>
    <w:rsid w:val="00B247FA"/>
    <w:rsid w:val="00B24FD5"/>
    <w:rsid w:val="00B260A5"/>
    <w:rsid w:val="00B269E4"/>
    <w:rsid w:val="00B26ACC"/>
    <w:rsid w:val="00B335FB"/>
    <w:rsid w:val="00B346C4"/>
    <w:rsid w:val="00B34CE5"/>
    <w:rsid w:val="00B34F16"/>
    <w:rsid w:val="00B3560B"/>
    <w:rsid w:val="00B35C7E"/>
    <w:rsid w:val="00B375C0"/>
    <w:rsid w:val="00B37C73"/>
    <w:rsid w:val="00B37F70"/>
    <w:rsid w:val="00B42717"/>
    <w:rsid w:val="00B42BC1"/>
    <w:rsid w:val="00B43544"/>
    <w:rsid w:val="00B4375C"/>
    <w:rsid w:val="00B43BDA"/>
    <w:rsid w:val="00B43D23"/>
    <w:rsid w:val="00B44F9F"/>
    <w:rsid w:val="00B45B10"/>
    <w:rsid w:val="00B45CAC"/>
    <w:rsid w:val="00B46751"/>
    <w:rsid w:val="00B5080C"/>
    <w:rsid w:val="00B50C0C"/>
    <w:rsid w:val="00B510E9"/>
    <w:rsid w:val="00B51D2E"/>
    <w:rsid w:val="00B52697"/>
    <w:rsid w:val="00B52FC7"/>
    <w:rsid w:val="00B53CF7"/>
    <w:rsid w:val="00B53EEB"/>
    <w:rsid w:val="00B54032"/>
    <w:rsid w:val="00B54582"/>
    <w:rsid w:val="00B54EC7"/>
    <w:rsid w:val="00B559F5"/>
    <w:rsid w:val="00B5732A"/>
    <w:rsid w:val="00B60814"/>
    <w:rsid w:val="00B60A76"/>
    <w:rsid w:val="00B6181B"/>
    <w:rsid w:val="00B61A6D"/>
    <w:rsid w:val="00B620B6"/>
    <w:rsid w:val="00B6322B"/>
    <w:rsid w:val="00B63D44"/>
    <w:rsid w:val="00B654C9"/>
    <w:rsid w:val="00B65702"/>
    <w:rsid w:val="00B6650F"/>
    <w:rsid w:val="00B666E1"/>
    <w:rsid w:val="00B66746"/>
    <w:rsid w:val="00B668BB"/>
    <w:rsid w:val="00B6690F"/>
    <w:rsid w:val="00B66F96"/>
    <w:rsid w:val="00B67BCA"/>
    <w:rsid w:val="00B703F7"/>
    <w:rsid w:val="00B70F0B"/>
    <w:rsid w:val="00B715A6"/>
    <w:rsid w:val="00B718DA"/>
    <w:rsid w:val="00B74423"/>
    <w:rsid w:val="00B74AC4"/>
    <w:rsid w:val="00B75918"/>
    <w:rsid w:val="00B7598D"/>
    <w:rsid w:val="00B76524"/>
    <w:rsid w:val="00B77EF0"/>
    <w:rsid w:val="00B77FAA"/>
    <w:rsid w:val="00B801E0"/>
    <w:rsid w:val="00B802B1"/>
    <w:rsid w:val="00B815F0"/>
    <w:rsid w:val="00B81828"/>
    <w:rsid w:val="00B82129"/>
    <w:rsid w:val="00B82E91"/>
    <w:rsid w:val="00B84913"/>
    <w:rsid w:val="00B854F5"/>
    <w:rsid w:val="00B8557E"/>
    <w:rsid w:val="00B86AC3"/>
    <w:rsid w:val="00B87053"/>
    <w:rsid w:val="00B87125"/>
    <w:rsid w:val="00B87E78"/>
    <w:rsid w:val="00B9041C"/>
    <w:rsid w:val="00B909EC"/>
    <w:rsid w:val="00B911EF"/>
    <w:rsid w:val="00B93003"/>
    <w:rsid w:val="00B93436"/>
    <w:rsid w:val="00B93971"/>
    <w:rsid w:val="00B95A52"/>
    <w:rsid w:val="00B95B1D"/>
    <w:rsid w:val="00B962E3"/>
    <w:rsid w:val="00B9632B"/>
    <w:rsid w:val="00B96479"/>
    <w:rsid w:val="00B96879"/>
    <w:rsid w:val="00B96A73"/>
    <w:rsid w:val="00B96BE8"/>
    <w:rsid w:val="00B97B72"/>
    <w:rsid w:val="00B97C3E"/>
    <w:rsid w:val="00B97DDB"/>
    <w:rsid w:val="00BA0631"/>
    <w:rsid w:val="00BA0B89"/>
    <w:rsid w:val="00BA0D52"/>
    <w:rsid w:val="00BA13C9"/>
    <w:rsid w:val="00BA2259"/>
    <w:rsid w:val="00BA47D8"/>
    <w:rsid w:val="00BA5BAC"/>
    <w:rsid w:val="00BA636C"/>
    <w:rsid w:val="00BA6609"/>
    <w:rsid w:val="00BA7827"/>
    <w:rsid w:val="00BB0039"/>
    <w:rsid w:val="00BB0AD0"/>
    <w:rsid w:val="00BB0B7B"/>
    <w:rsid w:val="00BB0F03"/>
    <w:rsid w:val="00BB1390"/>
    <w:rsid w:val="00BB15EE"/>
    <w:rsid w:val="00BB2547"/>
    <w:rsid w:val="00BB71DD"/>
    <w:rsid w:val="00BB7910"/>
    <w:rsid w:val="00BB7F69"/>
    <w:rsid w:val="00BC2688"/>
    <w:rsid w:val="00BC2801"/>
    <w:rsid w:val="00BC35E8"/>
    <w:rsid w:val="00BC4295"/>
    <w:rsid w:val="00BC438F"/>
    <w:rsid w:val="00BC4AC1"/>
    <w:rsid w:val="00BC5662"/>
    <w:rsid w:val="00BC5FB1"/>
    <w:rsid w:val="00BC6669"/>
    <w:rsid w:val="00BC6E6E"/>
    <w:rsid w:val="00BD39D3"/>
    <w:rsid w:val="00BD3BAE"/>
    <w:rsid w:val="00BD3E0F"/>
    <w:rsid w:val="00BD4B29"/>
    <w:rsid w:val="00BD5A62"/>
    <w:rsid w:val="00BE005F"/>
    <w:rsid w:val="00BE0708"/>
    <w:rsid w:val="00BE0799"/>
    <w:rsid w:val="00BE1438"/>
    <w:rsid w:val="00BE18FF"/>
    <w:rsid w:val="00BE238C"/>
    <w:rsid w:val="00BE32F0"/>
    <w:rsid w:val="00BE3692"/>
    <w:rsid w:val="00BE3853"/>
    <w:rsid w:val="00BE3C66"/>
    <w:rsid w:val="00BE3F5A"/>
    <w:rsid w:val="00BE3FD2"/>
    <w:rsid w:val="00BE4560"/>
    <w:rsid w:val="00BE4F32"/>
    <w:rsid w:val="00BE533B"/>
    <w:rsid w:val="00BE5943"/>
    <w:rsid w:val="00BE6F14"/>
    <w:rsid w:val="00BE70B1"/>
    <w:rsid w:val="00BE79D1"/>
    <w:rsid w:val="00BF0021"/>
    <w:rsid w:val="00BF0CDE"/>
    <w:rsid w:val="00BF2FF3"/>
    <w:rsid w:val="00BF430A"/>
    <w:rsid w:val="00BF4904"/>
    <w:rsid w:val="00BF4C58"/>
    <w:rsid w:val="00BF4F70"/>
    <w:rsid w:val="00C00019"/>
    <w:rsid w:val="00C01E42"/>
    <w:rsid w:val="00C0213F"/>
    <w:rsid w:val="00C02922"/>
    <w:rsid w:val="00C04C6A"/>
    <w:rsid w:val="00C04CCC"/>
    <w:rsid w:val="00C06B01"/>
    <w:rsid w:val="00C1037A"/>
    <w:rsid w:val="00C165AA"/>
    <w:rsid w:val="00C16C0D"/>
    <w:rsid w:val="00C16E9C"/>
    <w:rsid w:val="00C210D2"/>
    <w:rsid w:val="00C21227"/>
    <w:rsid w:val="00C215E1"/>
    <w:rsid w:val="00C22881"/>
    <w:rsid w:val="00C230BB"/>
    <w:rsid w:val="00C246AF"/>
    <w:rsid w:val="00C249B3"/>
    <w:rsid w:val="00C24A0C"/>
    <w:rsid w:val="00C251A7"/>
    <w:rsid w:val="00C253DD"/>
    <w:rsid w:val="00C25FBC"/>
    <w:rsid w:val="00C269B8"/>
    <w:rsid w:val="00C2760E"/>
    <w:rsid w:val="00C27B6A"/>
    <w:rsid w:val="00C3049B"/>
    <w:rsid w:val="00C308A2"/>
    <w:rsid w:val="00C30D7C"/>
    <w:rsid w:val="00C31068"/>
    <w:rsid w:val="00C31385"/>
    <w:rsid w:val="00C3151D"/>
    <w:rsid w:val="00C32C9A"/>
    <w:rsid w:val="00C32F8A"/>
    <w:rsid w:val="00C3305C"/>
    <w:rsid w:val="00C335D3"/>
    <w:rsid w:val="00C33CBF"/>
    <w:rsid w:val="00C346C3"/>
    <w:rsid w:val="00C36092"/>
    <w:rsid w:val="00C36133"/>
    <w:rsid w:val="00C363C1"/>
    <w:rsid w:val="00C36956"/>
    <w:rsid w:val="00C36BDB"/>
    <w:rsid w:val="00C3734C"/>
    <w:rsid w:val="00C40BFD"/>
    <w:rsid w:val="00C41FC6"/>
    <w:rsid w:val="00C4328B"/>
    <w:rsid w:val="00C4342E"/>
    <w:rsid w:val="00C440B4"/>
    <w:rsid w:val="00C44329"/>
    <w:rsid w:val="00C449B6"/>
    <w:rsid w:val="00C44D35"/>
    <w:rsid w:val="00C44F10"/>
    <w:rsid w:val="00C45574"/>
    <w:rsid w:val="00C45773"/>
    <w:rsid w:val="00C45FF4"/>
    <w:rsid w:val="00C46000"/>
    <w:rsid w:val="00C4738C"/>
    <w:rsid w:val="00C50607"/>
    <w:rsid w:val="00C50A0E"/>
    <w:rsid w:val="00C510DD"/>
    <w:rsid w:val="00C51D50"/>
    <w:rsid w:val="00C526B7"/>
    <w:rsid w:val="00C52A6F"/>
    <w:rsid w:val="00C53212"/>
    <w:rsid w:val="00C532FF"/>
    <w:rsid w:val="00C53976"/>
    <w:rsid w:val="00C53A4A"/>
    <w:rsid w:val="00C54D87"/>
    <w:rsid w:val="00C55360"/>
    <w:rsid w:val="00C55EE6"/>
    <w:rsid w:val="00C579F9"/>
    <w:rsid w:val="00C613F9"/>
    <w:rsid w:val="00C61607"/>
    <w:rsid w:val="00C618CC"/>
    <w:rsid w:val="00C6292D"/>
    <w:rsid w:val="00C6447B"/>
    <w:rsid w:val="00C653DB"/>
    <w:rsid w:val="00C65A8F"/>
    <w:rsid w:val="00C66D39"/>
    <w:rsid w:val="00C725ED"/>
    <w:rsid w:val="00C73D2D"/>
    <w:rsid w:val="00C73EE4"/>
    <w:rsid w:val="00C7494C"/>
    <w:rsid w:val="00C74D5C"/>
    <w:rsid w:val="00C74E1B"/>
    <w:rsid w:val="00C75AB8"/>
    <w:rsid w:val="00C76346"/>
    <w:rsid w:val="00C77E19"/>
    <w:rsid w:val="00C80531"/>
    <w:rsid w:val="00C808D9"/>
    <w:rsid w:val="00C810F1"/>
    <w:rsid w:val="00C852EA"/>
    <w:rsid w:val="00C85F10"/>
    <w:rsid w:val="00C87532"/>
    <w:rsid w:val="00C875AC"/>
    <w:rsid w:val="00C87D93"/>
    <w:rsid w:val="00C93555"/>
    <w:rsid w:val="00C94620"/>
    <w:rsid w:val="00C946E9"/>
    <w:rsid w:val="00C95593"/>
    <w:rsid w:val="00C95DE1"/>
    <w:rsid w:val="00C9623E"/>
    <w:rsid w:val="00C963E3"/>
    <w:rsid w:val="00C96A84"/>
    <w:rsid w:val="00C97C1A"/>
    <w:rsid w:val="00C97F33"/>
    <w:rsid w:val="00CA0593"/>
    <w:rsid w:val="00CA0957"/>
    <w:rsid w:val="00CA1358"/>
    <w:rsid w:val="00CA4AF4"/>
    <w:rsid w:val="00CA5C69"/>
    <w:rsid w:val="00CA62A1"/>
    <w:rsid w:val="00CA79D1"/>
    <w:rsid w:val="00CA7D1B"/>
    <w:rsid w:val="00CB0657"/>
    <w:rsid w:val="00CB1640"/>
    <w:rsid w:val="00CB17F0"/>
    <w:rsid w:val="00CB2E79"/>
    <w:rsid w:val="00CB2F9A"/>
    <w:rsid w:val="00CB37E7"/>
    <w:rsid w:val="00CB3A73"/>
    <w:rsid w:val="00CB48F7"/>
    <w:rsid w:val="00CB4BE0"/>
    <w:rsid w:val="00CB5629"/>
    <w:rsid w:val="00CB6D4E"/>
    <w:rsid w:val="00CB7CE6"/>
    <w:rsid w:val="00CC0191"/>
    <w:rsid w:val="00CC01CB"/>
    <w:rsid w:val="00CC0547"/>
    <w:rsid w:val="00CC09C1"/>
    <w:rsid w:val="00CC09D8"/>
    <w:rsid w:val="00CC0B9C"/>
    <w:rsid w:val="00CC1DA0"/>
    <w:rsid w:val="00CC38D4"/>
    <w:rsid w:val="00CC3B2B"/>
    <w:rsid w:val="00CC4EA3"/>
    <w:rsid w:val="00CC739A"/>
    <w:rsid w:val="00CC73B4"/>
    <w:rsid w:val="00CC73EE"/>
    <w:rsid w:val="00CC7AEF"/>
    <w:rsid w:val="00CD0D05"/>
    <w:rsid w:val="00CD1EB8"/>
    <w:rsid w:val="00CD2326"/>
    <w:rsid w:val="00CD25CF"/>
    <w:rsid w:val="00CD26E4"/>
    <w:rsid w:val="00CD31BA"/>
    <w:rsid w:val="00CD3DD1"/>
    <w:rsid w:val="00CD3FBF"/>
    <w:rsid w:val="00CD44B6"/>
    <w:rsid w:val="00CD534B"/>
    <w:rsid w:val="00CD63FF"/>
    <w:rsid w:val="00CD69BB"/>
    <w:rsid w:val="00CD7477"/>
    <w:rsid w:val="00CE004E"/>
    <w:rsid w:val="00CE03BF"/>
    <w:rsid w:val="00CE0B3B"/>
    <w:rsid w:val="00CE0DCC"/>
    <w:rsid w:val="00CE1B57"/>
    <w:rsid w:val="00CE45F7"/>
    <w:rsid w:val="00CE4B38"/>
    <w:rsid w:val="00CE52D2"/>
    <w:rsid w:val="00CE5A63"/>
    <w:rsid w:val="00CF0F4D"/>
    <w:rsid w:val="00CF0FA7"/>
    <w:rsid w:val="00CF119F"/>
    <w:rsid w:val="00CF3398"/>
    <w:rsid w:val="00CF3796"/>
    <w:rsid w:val="00CF3861"/>
    <w:rsid w:val="00CF5DE7"/>
    <w:rsid w:val="00CF78EF"/>
    <w:rsid w:val="00CF7DDD"/>
    <w:rsid w:val="00D00AE6"/>
    <w:rsid w:val="00D015C0"/>
    <w:rsid w:val="00D01B3E"/>
    <w:rsid w:val="00D027F0"/>
    <w:rsid w:val="00D03529"/>
    <w:rsid w:val="00D04C86"/>
    <w:rsid w:val="00D067C0"/>
    <w:rsid w:val="00D10873"/>
    <w:rsid w:val="00D114D8"/>
    <w:rsid w:val="00D1203E"/>
    <w:rsid w:val="00D12FE8"/>
    <w:rsid w:val="00D141F4"/>
    <w:rsid w:val="00D15622"/>
    <w:rsid w:val="00D15990"/>
    <w:rsid w:val="00D15A2B"/>
    <w:rsid w:val="00D15DFB"/>
    <w:rsid w:val="00D160FE"/>
    <w:rsid w:val="00D1713B"/>
    <w:rsid w:val="00D2107B"/>
    <w:rsid w:val="00D212AD"/>
    <w:rsid w:val="00D21E40"/>
    <w:rsid w:val="00D22ACF"/>
    <w:rsid w:val="00D23600"/>
    <w:rsid w:val="00D24174"/>
    <w:rsid w:val="00D24EB4"/>
    <w:rsid w:val="00D26332"/>
    <w:rsid w:val="00D26D78"/>
    <w:rsid w:val="00D3193F"/>
    <w:rsid w:val="00D32566"/>
    <w:rsid w:val="00D33AD0"/>
    <w:rsid w:val="00D33FD9"/>
    <w:rsid w:val="00D34576"/>
    <w:rsid w:val="00D34881"/>
    <w:rsid w:val="00D35899"/>
    <w:rsid w:val="00D35DE2"/>
    <w:rsid w:val="00D364D2"/>
    <w:rsid w:val="00D40560"/>
    <w:rsid w:val="00D405E4"/>
    <w:rsid w:val="00D41DC7"/>
    <w:rsid w:val="00D4327F"/>
    <w:rsid w:val="00D43D12"/>
    <w:rsid w:val="00D44111"/>
    <w:rsid w:val="00D44169"/>
    <w:rsid w:val="00D4501B"/>
    <w:rsid w:val="00D4574A"/>
    <w:rsid w:val="00D45C45"/>
    <w:rsid w:val="00D45D3B"/>
    <w:rsid w:val="00D4622D"/>
    <w:rsid w:val="00D50A5D"/>
    <w:rsid w:val="00D51842"/>
    <w:rsid w:val="00D52547"/>
    <w:rsid w:val="00D53294"/>
    <w:rsid w:val="00D53CA2"/>
    <w:rsid w:val="00D54395"/>
    <w:rsid w:val="00D549E3"/>
    <w:rsid w:val="00D55366"/>
    <w:rsid w:val="00D55806"/>
    <w:rsid w:val="00D55EF0"/>
    <w:rsid w:val="00D5601A"/>
    <w:rsid w:val="00D56B48"/>
    <w:rsid w:val="00D56CD2"/>
    <w:rsid w:val="00D56F76"/>
    <w:rsid w:val="00D5743B"/>
    <w:rsid w:val="00D60313"/>
    <w:rsid w:val="00D6091E"/>
    <w:rsid w:val="00D613D5"/>
    <w:rsid w:val="00D61973"/>
    <w:rsid w:val="00D637CF"/>
    <w:rsid w:val="00D64FC8"/>
    <w:rsid w:val="00D70278"/>
    <w:rsid w:val="00D729EA"/>
    <w:rsid w:val="00D735DD"/>
    <w:rsid w:val="00D739F0"/>
    <w:rsid w:val="00D74579"/>
    <w:rsid w:val="00D74918"/>
    <w:rsid w:val="00D77A71"/>
    <w:rsid w:val="00D82502"/>
    <w:rsid w:val="00D82D8B"/>
    <w:rsid w:val="00D835D3"/>
    <w:rsid w:val="00D8372E"/>
    <w:rsid w:val="00D855B9"/>
    <w:rsid w:val="00D86674"/>
    <w:rsid w:val="00D86DB5"/>
    <w:rsid w:val="00D87188"/>
    <w:rsid w:val="00D872B1"/>
    <w:rsid w:val="00D878F0"/>
    <w:rsid w:val="00D87BF9"/>
    <w:rsid w:val="00D87E73"/>
    <w:rsid w:val="00D9020D"/>
    <w:rsid w:val="00D903FD"/>
    <w:rsid w:val="00D914BC"/>
    <w:rsid w:val="00D91A5D"/>
    <w:rsid w:val="00D91B99"/>
    <w:rsid w:val="00D92204"/>
    <w:rsid w:val="00D93500"/>
    <w:rsid w:val="00D94F0A"/>
    <w:rsid w:val="00D95589"/>
    <w:rsid w:val="00D95F4B"/>
    <w:rsid w:val="00D97019"/>
    <w:rsid w:val="00D97355"/>
    <w:rsid w:val="00D97C83"/>
    <w:rsid w:val="00DA0668"/>
    <w:rsid w:val="00DA0939"/>
    <w:rsid w:val="00DA2547"/>
    <w:rsid w:val="00DA27F0"/>
    <w:rsid w:val="00DA2EB6"/>
    <w:rsid w:val="00DA3F11"/>
    <w:rsid w:val="00DA41F0"/>
    <w:rsid w:val="00DA4945"/>
    <w:rsid w:val="00DA5E8A"/>
    <w:rsid w:val="00DA6F27"/>
    <w:rsid w:val="00DA7CF4"/>
    <w:rsid w:val="00DB03AF"/>
    <w:rsid w:val="00DB153C"/>
    <w:rsid w:val="00DB33C8"/>
    <w:rsid w:val="00DB3846"/>
    <w:rsid w:val="00DB41EF"/>
    <w:rsid w:val="00DB46FC"/>
    <w:rsid w:val="00DB5389"/>
    <w:rsid w:val="00DB584E"/>
    <w:rsid w:val="00DB59F6"/>
    <w:rsid w:val="00DB5D22"/>
    <w:rsid w:val="00DB75DB"/>
    <w:rsid w:val="00DC1563"/>
    <w:rsid w:val="00DC2EE2"/>
    <w:rsid w:val="00DC3ABF"/>
    <w:rsid w:val="00DC5543"/>
    <w:rsid w:val="00DC5B02"/>
    <w:rsid w:val="00DC6253"/>
    <w:rsid w:val="00DD037C"/>
    <w:rsid w:val="00DD26FD"/>
    <w:rsid w:val="00DD2C71"/>
    <w:rsid w:val="00DD32D4"/>
    <w:rsid w:val="00DD3387"/>
    <w:rsid w:val="00DD3514"/>
    <w:rsid w:val="00DD36F7"/>
    <w:rsid w:val="00DD402F"/>
    <w:rsid w:val="00DD4640"/>
    <w:rsid w:val="00DD5280"/>
    <w:rsid w:val="00DD54F7"/>
    <w:rsid w:val="00DD6275"/>
    <w:rsid w:val="00DD7499"/>
    <w:rsid w:val="00DD7638"/>
    <w:rsid w:val="00DD7958"/>
    <w:rsid w:val="00DD7B01"/>
    <w:rsid w:val="00DE00CF"/>
    <w:rsid w:val="00DE1DCC"/>
    <w:rsid w:val="00DE21F8"/>
    <w:rsid w:val="00DE28FD"/>
    <w:rsid w:val="00DE2BBD"/>
    <w:rsid w:val="00DE4049"/>
    <w:rsid w:val="00DE42B6"/>
    <w:rsid w:val="00DE43D7"/>
    <w:rsid w:val="00DE445A"/>
    <w:rsid w:val="00DE4AC1"/>
    <w:rsid w:val="00DE547A"/>
    <w:rsid w:val="00DE55F9"/>
    <w:rsid w:val="00DE5734"/>
    <w:rsid w:val="00DE5A90"/>
    <w:rsid w:val="00DE6489"/>
    <w:rsid w:val="00DE671D"/>
    <w:rsid w:val="00DE67C0"/>
    <w:rsid w:val="00DE6F4B"/>
    <w:rsid w:val="00DE7EC2"/>
    <w:rsid w:val="00DE7FD7"/>
    <w:rsid w:val="00DF0405"/>
    <w:rsid w:val="00DF08DB"/>
    <w:rsid w:val="00DF0CB2"/>
    <w:rsid w:val="00DF0E4F"/>
    <w:rsid w:val="00DF14A8"/>
    <w:rsid w:val="00DF1F7A"/>
    <w:rsid w:val="00DF52C9"/>
    <w:rsid w:val="00DF599A"/>
    <w:rsid w:val="00DF71A0"/>
    <w:rsid w:val="00E008D6"/>
    <w:rsid w:val="00E01411"/>
    <w:rsid w:val="00E01CE5"/>
    <w:rsid w:val="00E02068"/>
    <w:rsid w:val="00E03A88"/>
    <w:rsid w:val="00E06030"/>
    <w:rsid w:val="00E06125"/>
    <w:rsid w:val="00E073E9"/>
    <w:rsid w:val="00E07470"/>
    <w:rsid w:val="00E07A57"/>
    <w:rsid w:val="00E10DC7"/>
    <w:rsid w:val="00E1199D"/>
    <w:rsid w:val="00E12ACF"/>
    <w:rsid w:val="00E1353B"/>
    <w:rsid w:val="00E151ED"/>
    <w:rsid w:val="00E15291"/>
    <w:rsid w:val="00E15779"/>
    <w:rsid w:val="00E15F89"/>
    <w:rsid w:val="00E16D4D"/>
    <w:rsid w:val="00E2283A"/>
    <w:rsid w:val="00E22D3C"/>
    <w:rsid w:val="00E233BA"/>
    <w:rsid w:val="00E23887"/>
    <w:rsid w:val="00E241BC"/>
    <w:rsid w:val="00E255B1"/>
    <w:rsid w:val="00E256CC"/>
    <w:rsid w:val="00E26777"/>
    <w:rsid w:val="00E27974"/>
    <w:rsid w:val="00E30738"/>
    <w:rsid w:val="00E30D99"/>
    <w:rsid w:val="00E310E9"/>
    <w:rsid w:val="00E326A9"/>
    <w:rsid w:val="00E32B19"/>
    <w:rsid w:val="00E332B0"/>
    <w:rsid w:val="00E3372E"/>
    <w:rsid w:val="00E34851"/>
    <w:rsid w:val="00E34B02"/>
    <w:rsid w:val="00E35139"/>
    <w:rsid w:val="00E351CC"/>
    <w:rsid w:val="00E36D36"/>
    <w:rsid w:val="00E37C8E"/>
    <w:rsid w:val="00E400DD"/>
    <w:rsid w:val="00E41A97"/>
    <w:rsid w:val="00E41B56"/>
    <w:rsid w:val="00E4217C"/>
    <w:rsid w:val="00E43064"/>
    <w:rsid w:val="00E4342B"/>
    <w:rsid w:val="00E441CC"/>
    <w:rsid w:val="00E44978"/>
    <w:rsid w:val="00E44CFB"/>
    <w:rsid w:val="00E44E26"/>
    <w:rsid w:val="00E450D8"/>
    <w:rsid w:val="00E454D3"/>
    <w:rsid w:val="00E46B91"/>
    <w:rsid w:val="00E46E0E"/>
    <w:rsid w:val="00E504CC"/>
    <w:rsid w:val="00E51752"/>
    <w:rsid w:val="00E51CA0"/>
    <w:rsid w:val="00E52FB4"/>
    <w:rsid w:val="00E535A0"/>
    <w:rsid w:val="00E56267"/>
    <w:rsid w:val="00E56FC1"/>
    <w:rsid w:val="00E571DF"/>
    <w:rsid w:val="00E60157"/>
    <w:rsid w:val="00E61CDD"/>
    <w:rsid w:val="00E61D92"/>
    <w:rsid w:val="00E62CA9"/>
    <w:rsid w:val="00E64503"/>
    <w:rsid w:val="00E65ECD"/>
    <w:rsid w:val="00E663A4"/>
    <w:rsid w:val="00E66E24"/>
    <w:rsid w:val="00E7027C"/>
    <w:rsid w:val="00E71E54"/>
    <w:rsid w:val="00E7325A"/>
    <w:rsid w:val="00E7600E"/>
    <w:rsid w:val="00E76DD0"/>
    <w:rsid w:val="00E76F9D"/>
    <w:rsid w:val="00E77EA0"/>
    <w:rsid w:val="00E8206C"/>
    <w:rsid w:val="00E831C9"/>
    <w:rsid w:val="00E83450"/>
    <w:rsid w:val="00E8571D"/>
    <w:rsid w:val="00E8652D"/>
    <w:rsid w:val="00E86663"/>
    <w:rsid w:val="00E8687D"/>
    <w:rsid w:val="00E8786B"/>
    <w:rsid w:val="00E9009C"/>
    <w:rsid w:val="00E90D10"/>
    <w:rsid w:val="00E91832"/>
    <w:rsid w:val="00E9253E"/>
    <w:rsid w:val="00E934BE"/>
    <w:rsid w:val="00E94147"/>
    <w:rsid w:val="00E946C3"/>
    <w:rsid w:val="00E951A1"/>
    <w:rsid w:val="00E956A4"/>
    <w:rsid w:val="00E95E60"/>
    <w:rsid w:val="00E963CB"/>
    <w:rsid w:val="00E96692"/>
    <w:rsid w:val="00E96DA6"/>
    <w:rsid w:val="00E9796E"/>
    <w:rsid w:val="00E97979"/>
    <w:rsid w:val="00E97B70"/>
    <w:rsid w:val="00EA0549"/>
    <w:rsid w:val="00EA061F"/>
    <w:rsid w:val="00EA06BC"/>
    <w:rsid w:val="00EA0AD2"/>
    <w:rsid w:val="00EA0BC6"/>
    <w:rsid w:val="00EA16B5"/>
    <w:rsid w:val="00EA1905"/>
    <w:rsid w:val="00EA1A18"/>
    <w:rsid w:val="00EA20DA"/>
    <w:rsid w:val="00EA27BB"/>
    <w:rsid w:val="00EA3304"/>
    <w:rsid w:val="00EA3F75"/>
    <w:rsid w:val="00EA40E1"/>
    <w:rsid w:val="00EA45D3"/>
    <w:rsid w:val="00EA656A"/>
    <w:rsid w:val="00EA673E"/>
    <w:rsid w:val="00EB0167"/>
    <w:rsid w:val="00EB0B8F"/>
    <w:rsid w:val="00EB10C7"/>
    <w:rsid w:val="00EB155D"/>
    <w:rsid w:val="00EB37C2"/>
    <w:rsid w:val="00EB37DF"/>
    <w:rsid w:val="00EB4688"/>
    <w:rsid w:val="00EB49B9"/>
    <w:rsid w:val="00EB6B97"/>
    <w:rsid w:val="00EB6EA3"/>
    <w:rsid w:val="00EB71F0"/>
    <w:rsid w:val="00EB7B72"/>
    <w:rsid w:val="00EB7E3F"/>
    <w:rsid w:val="00EC0BAA"/>
    <w:rsid w:val="00EC1BC6"/>
    <w:rsid w:val="00EC29F5"/>
    <w:rsid w:val="00EC4A14"/>
    <w:rsid w:val="00EC4CE3"/>
    <w:rsid w:val="00EC4EA8"/>
    <w:rsid w:val="00EC5144"/>
    <w:rsid w:val="00EC78F1"/>
    <w:rsid w:val="00EC7FB8"/>
    <w:rsid w:val="00ED006D"/>
    <w:rsid w:val="00ED0E1C"/>
    <w:rsid w:val="00ED1B79"/>
    <w:rsid w:val="00ED22E6"/>
    <w:rsid w:val="00ED256F"/>
    <w:rsid w:val="00ED43FB"/>
    <w:rsid w:val="00ED514D"/>
    <w:rsid w:val="00ED540B"/>
    <w:rsid w:val="00ED6980"/>
    <w:rsid w:val="00ED6B1E"/>
    <w:rsid w:val="00ED6EC6"/>
    <w:rsid w:val="00EE0B21"/>
    <w:rsid w:val="00EE23C3"/>
    <w:rsid w:val="00EE2B4D"/>
    <w:rsid w:val="00EE334B"/>
    <w:rsid w:val="00EE36FA"/>
    <w:rsid w:val="00EE372C"/>
    <w:rsid w:val="00EE3B44"/>
    <w:rsid w:val="00EE408A"/>
    <w:rsid w:val="00EE4C66"/>
    <w:rsid w:val="00EE5165"/>
    <w:rsid w:val="00EE7584"/>
    <w:rsid w:val="00EF07ED"/>
    <w:rsid w:val="00EF104D"/>
    <w:rsid w:val="00EF11AB"/>
    <w:rsid w:val="00EF1866"/>
    <w:rsid w:val="00EF1CED"/>
    <w:rsid w:val="00EF27B2"/>
    <w:rsid w:val="00EF2B28"/>
    <w:rsid w:val="00F00496"/>
    <w:rsid w:val="00F00583"/>
    <w:rsid w:val="00F006CE"/>
    <w:rsid w:val="00F013BD"/>
    <w:rsid w:val="00F017AA"/>
    <w:rsid w:val="00F03F5E"/>
    <w:rsid w:val="00F04975"/>
    <w:rsid w:val="00F04E00"/>
    <w:rsid w:val="00F05329"/>
    <w:rsid w:val="00F0597B"/>
    <w:rsid w:val="00F06681"/>
    <w:rsid w:val="00F06989"/>
    <w:rsid w:val="00F07013"/>
    <w:rsid w:val="00F07D8C"/>
    <w:rsid w:val="00F10039"/>
    <w:rsid w:val="00F10EF1"/>
    <w:rsid w:val="00F1278E"/>
    <w:rsid w:val="00F12889"/>
    <w:rsid w:val="00F13BCB"/>
    <w:rsid w:val="00F15CB0"/>
    <w:rsid w:val="00F166F0"/>
    <w:rsid w:val="00F16F99"/>
    <w:rsid w:val="00F2168E"/>
    <w:rsid w:val="00F219C3"/>
    <w:rsid w:val="00F220DF"/>
    <w:rsid w:val="00F22954"/>
    <w:rsid w:val="00F22F2B"/>
    <w:rsid w:val="00F236D9"/>
    <w:rsid w:val="00F2370D"/>
    <w:rsid w:val="00F237F1"/>
    <w:rsid w:val="00F24799"/>
    <w:rsid w:val="00F249C8"/>
    <w:rsid w:val="00F24B27"/>
    <w:rsid w:val="00F25431"/>
    <w:rsid w:val="00F25447"/>
    <w:rsid w:val="00F25BB2"/>
    <w:rsid w:val="00F25ED4"/>
    <w:rsid w:val="00F2669F"/>
    <w:rsid w:val="00F2677D"/>
    <w:rsid w:val="00F267E6"/>
    <w:rsid w:val="00F30495"/>
    <w:rsid w:val="00F317F9"/>
    <w:rsid w:val="00F32D7A"/>
    <w:rsid w:val="00F32EA2"/>
    <w:rsid w:val="00F33694"/>
    <w:rsid w:val="00F342B4"/>
    <w:rsid w:val="00F344F3"/>
    <w:rsid w:val="00F34BE6"/>
    <w:rsid w:val="00F3515A"/>
    <w:rsid w:val="00F35532"/>
    <w:rsid w:val="00F36C32"/>
    <w:rsid w:val="00F3717E"/>
    <w:rsid w:val="00F37AF1"/>
    <w:rsid w:val="00F4022F"/>
    <w:rsid w:val="00F40653"/>
    <w:rsid w:val="00F40971"/>
    <w:rsid w:val="00F413B7"/>
    <w:rsid w:val="00F41452"/>
    <w:rsid w:val="00F41A85"/>
    <w:rsid w:val="00F41B76"/>
    <w:rsid w:val="00F41BBC"/>
    <w:rsid w:val="00F41F03"/>
    <w:rsid w:val="00F43467"/>
    <w:rsid w:val="00F444C9"/>
    <w:rsid w:val="00F44E78"/>
    <w:rsid w:val="00F45225"/>
    <w:rsid w:val="00F462F9"/>
    <w:rsid w:val="00F46DE7"/>
    <w:rsid w:val="00F47462"/>
    <w:rsid w:val="00F47868"/>
    <w:rsid w:val="00F500DE"/>
    <w:rsid w:val="00F50101"/>
    <w:rsid w:val="00F50586"/>
    <w:rsid w:val="00F517ED"/>
    <w:rsid w:val="00F52513"/>
    <w:rsid w:val="00F54AF1"/>
    <w:rsid w:val="00F552F7"/>
    <w:rsid w:val="00F55591"/>
    <w:rsid w:val="00F558C4"/>
    <w:rsid w:val="00F560F8"/>
    <w:rsid w:val="00F5719F"/>
    <w:rsid w:val="00F571D0"/>
    <w:rsid w:val="00F60144"/>
    <w:rsid w:val="00F60DCA"/>
    <w:rsid w:val="00F6176A"/>
    <w:rsid w:val="00F61E44"/>
    <w:rsid w:val="00F635A5"/>
    <w:rsid w:val="00F63E5F"/>
    <w:rsid w:val="00F63EA7"/>
    <w:rsid w:val="00F64407"/>
    <w:rsid w:val="00F64433"/>
    <w:rsid w:val="00F64C49"/>
    <w:rsid w:val="00F64F4B"/>
    <w:rsid w:val="00F653F5"/>
    <w:rsid w:val="00F6684E"/>
    <w:rsid w:val="00F66DAE"/>
    <w:rsid w:val="00F66E6B"/>
    <w:rsid w:val="00F67C3D"/>
    <w:rsid w:val="00F7167A"/>
    <w:rsid w:val="00F72772"/>
    <w:rsid w:val="00F731B9"/>
    <w:rsid w:val="00F731C5"/>
    <w:rsid w:val="00F7392D"/>
    <w:rsid w:val="00F745A0"/>
    <w:rsid w:val="00F74617"/>
    <w:rsid w:val="00F74640"/>
    <w:rsid w:val="00F7534F"/>
    <w:rsid w:val="00F753C2"/>
    <w:rsid w:val="00F769E3"/>
    <w:rsid w:val="00F7719D"/>
    <w:rsid w:val="00F77365"/>
    <w:rsid w:val="00F77746"/>
    <w:rsid w:val="00F77AFA"/>
    <w:rsid w:val="00F817A0"/>
    <w:rsid w:val="00F817AD"/>
    <w:rsid w:val="00F82883"/>
    <w:rsid w:val="00F82E05"/>
    <w:rsid w:val="00F830AB"/>
    <w:rsid w:val="00F833F5"/>
    <w:rsid w:val="00F8441D"/>
    <w:rsid w:val="00F84495"/>
    <w:rsid w:val="00F84837"/>
    <w:rsid w:val="00F85A82"/>
    <w:rsid w:val="00F85B08"/>
    <w:rsid w:val="00F86B2F"/>
    <w:rsid w:val="00F87D0C"/>
    <w:rsid w:val="00F87E48"/>
    <w:rsid w:val="00F906C4"/>
    <w:rsid w:val="00F92626"/>
    <w:rsid w:val="00F93310"/>
    <w:rsid w:val="00F94DD8"/>
    <w:rsid w:val="00F952D5"/>
    <w:rsid w:val="00F96785"/>
    <w:rsid w:val="00F969B0"/>
    <w:rsid w:val="00F97A32"/>
    <w:rsid w:val="00FA0FB8"/>
    <w:rsid w:val="00FA2A73"/>
    <w:rsid w:val="00FA2F37"/>
    <w:rsid w:val="00FA35E6"/>
    <w:rsid w:val="00FA3F32"/>
    <w:rsid w:val="00FA5185"/>
    <w:rsid w:val="00FA56C8"/>
    <w:rsid w:val="00FA5923"/>
    <w:rsid w:val="00FA5FE9"/>
    <w:rsid w:val="00FA6A6A"/>
    <w:rsid w:val="00FB2A91"/>
    <w:rsid w:val="00FB35A6"/>
    <w:rsid w:val="00FB402E"/>
    <w:rsid w:val="00FB4D25"/>
    <w:rsid w:val="00FB6979"/>
    <w:rsid w:val="00FB70C2"/>
    <w:rsid w:val="00FB7803"/>
    <w:rsid w:val="00FB7891"/>
    <w:rsid w:val="00FC048E"/>
    <w:rsid w:val="00FC0617"/>
    <w:rsid w:val="00FC0692"/>
    <w:rsid w:val="00FC2C56"/>
    <w:rsid w:val="00FC37EC"/>
    <w:rsid w:val="00FC411F"/>
    <w:rsid w:val="00FC534C"/>
    <w:rsid w:val="00FC5442"/>
    <w:rsid w:val="00FC633A"/>
    <w:rsid w:val="00FC6E96"/>
    <w:rsid w:val="00FC7C13"/>
    <w:rsid w:val="00FD0286"/>
    <w:rsid w:val="00FD397D"/>
    <w:rsid w:val="00FD46D5"/>
    <w:rsid w:val="00FD5C91"/>
    <w:rsid w:val="00FD6278"/>
    <w:rsid w:val="00FD7534"/>
    <w:rsid w:val="00FD79F4"/>
    <w:rsid w:val="00FD7E5D"/>
    <w:rsid w:val="00FE0C72"/>
    <w:rsid w:val="00FE0F23"/>
    <w:rsid w:val="00FE1B9F"/>
    <w:rsid w:val="00FE3F5E"/>
    <w:rsid w:val="00FE4442"/>
    <w:rsid w:val="00FE5625"/>
    <w:rsid w:val="00FE5B9C"/>
    <w:rsid w:val="00FE5CEC"/>
    <w:rsid w:val="00FE6B08"/>
    <w:rsid w:val="00FF1AA6"/>
    <w:rsid w:val="00FF2CC5"/>
    <w:rsid w:val="00FF31B5"/>
    <w:rsid w:val="00FF5153"/>
    <w:rsid w:val="00FF5B2D"/>
    <w:rsid w:val="00FF5F5F"/>
    <w:rsid w:val="00FF60BE"/>
    <w:rsid w:val="00FF6402"/>
    <w:rsid w:val="00FF64C4"/>
    <w:rsid w:val="00FF721D"/>
    <w:rsid w:val="00FF7461"/>
    <w:rsid w:val="00FF7923"/>
    <w:rsid w:val="00FF7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4084A"/>
  <w15:docId w15:val="{07853BDA-5E0B-40C0-A4B6-80CCDA3E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5">
    <w:lsdException w:name="Normal" w:uiPriority="47" w:qFormat="1"/>
    <w:lsdException w:name="heading 1" w:uiPriority="4" w:qFormat="1"/>
    <w:lsdException w:name="heading 2" w:semiHidden="1" w:uiPriority="4" w:qFormat="1"/>
    <w:lsdException w:name="heading 3" w:semiHidden="1" w:uiPriority="4" w:qFormat="1"/>
    <w:lsdException w:name="heading 4" w:semiHidden="1" w:uiPriority="4" w:qFormat="1"/>
    <w:lsdException w:name="heading 5" w:semiHidden="1" w:uiPriority="4" w:qFormat="1"/>
    <w:lsdException w:name="heading 6" w:semiHidden="1"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9" w:unhideWhenUsed="1"/>
    <w:lsdException w:name="toc 2" w:semiHidden="1" w:uiPriority="49" w:unhideWhenUsed="1"/>
    <w:lsdException w:name="toc 3" w:semiHidden="1" w:uiPriority="4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lsdException w:name="List Number 4" w:semiHidden="1" w:uiPriority="7" w:unhideWhenUsed="1"/>
    <w:lsdException w:name="List Number 5" w:semiHidden="1" w:uiPriority="7"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47"/>
    <w:qFormat/>
    <w:pPr>
      <w:spacing w:after="0"/>
    </w:pPr>
    <w:rPr>
      <w:rFonts w:ascii="Arial" w:hAnsi="Arial" w:cs="Arial"/>
      <w:sz w:val="20"/>
      <w:szCs w:val="20"/>
    </w:rPr>
  </w:style>
  <w:style w:type="paragraph" w:styleId="Heading1">
    <w:name w:val="heading 1"/>
    <w:basedOn w:val="Normal"/>
    <w:link w:val="Heading1Char"/>
    <w:uiPriority w:val="4"/>
    <w:qFormat/>
    <w:rsid w:val="00BA6609"/>
    <w:pPr>
      <w:numPr>
        <w:numId w:val="9"/>
      </w:numPr>
      <w:spacing w:after="240"/>
      <w:outlineLvl w:val="0"/>
    </w:pPr>
    <w:rPr>
      <w:rFonts w:eastAsiaTheme="majorEastAsia"/>
      <w:b/>
      <w:bCs/>
      <w:sz w:val="72"/>
      <w:szCs w:val="28"/>
    </w:rPr>
  </w:style>
  <w:style w:type="paragraph" w:styleId="Heading2">
    <w:name w:val="heading 2"/>
    <w:basedOn w:val="Normal"/>
    <w:link w:val="Heading2Char"/>
    <w:uiPriority w:val="4"/>
    <w:qFormat/>
    <w:rsid w:val="00BA6609"/>
    <w:pPr>
      <w:numPr>
        <w:ilvl w:val="1"/>
        <w:numId w:val="9"/>
      </w:numPr>
      <w:spacing w:after="240"/>
      <w:outlineLvl w:val="1"/>
    </w:pPr>
    <w:rPr>
      <w:rFonts w:eastAsiaTheme="majorEastAsia"/>
      <w:b/>
      <w:bCs/>
      <w:sz w:val="48"/>
      <w:szCs w:val="26"/>
    </w:rPr>
  </w:style>
  <w:style w:type="paragraph" w:styleId="Heading3">
    <w:name w:val="heading 3"/>
    <w:basedOn w:val="Normal"/>
    <w:link w:val="Heading3Char"/>
    <w:uiPriority w:val="4"/>
    <w:qFormat/>
    <w:rsid w:val="00BA6609"/>
    <w:pPr>
      <w:numPr>
        <w:ilvl w:val="2"/>
        <w:numId w:val="9"/>
      </w:numPr>
      <w:spacing w:after="240"/>
      <w:outlineLvl w:val="2"/>
    </w:pPr>
    <w:rPr>
      <w:rFonts w:eastAsiaTheme="majorEastAsia"/>
      <w:b/>
      <w:bCs/>
      <w:sz w:val="36"/>
      <w:szCs w:val="24"/>
    </w:rPr>
  </w:style>
  <w:style w:type="paragraph" w:styleId="Heading4">
    <w:name w:val="heading 4"/>
    <w:basedOn w:val="Normal"/>
    <w:link w:val="Heading4Char"/>
    <w:uiPriority w:val="4"/>
    <w:qFormat/>
    <w:rsid w:val="00BA6609"/>
    <w:pPr>
      <w:numPr>
        <w:ilvl w:val="3"/>
        <w:numId w:val="9"/>
      </w:numPr>
      <w:spacing w:after="240"/>
      <w:outlineLvl w:val="3"/>
    </w:pPr>
    <w:rPr>
      <w:rFonts w:eastAsiaTheme="majorEastAsia"/>
      <w:bCs/>
      <w:iCs/>
      <w:sz w:val="24"/>
      <w:szCs w:val="24"/>
    </w:rPr>
  </w:style>
  <w:style w:type="paragraph" w:styleId="Heading5">
    <w:name w:val="heading 5"/>
    <w:basedOn w:val="Normal"/>
    <w:link w:val="Heading5Char"/>
    <w:uiPriority w:val="4"/>
    <w:qFormat/>
    <w:rsid w:val="00BA6609"/>
    <w:pPr>
      <w:numPr>
        <w:ilvl w:val="4"/>
        <w:numId w:val="9"/>
      </w:numPr>
      <w:spacing w:after="240"/>
      <w:outlineLvl w:val="4"/>
    </w:pPr>
    <w:rPr>
      <w:rFonts w:asciiTheme="majorHAnsi" w:eastAsiaTheme="majorEastAsia" w:hAnsiTheme="majorHAnsi" w:cstheme="majorBidi"/>
      <w:sz w:val="24"/>
      <w:szCs w:val="24"/>
    </w:rPr>
  </w:style>
  <w:style w:type="paragraph" w:styleId="Heading6">
    <w:name w:val="heading 6"/>
    <w:basedOn w:val="Normal"/>
    <w:link w:val="Heading6Char"/>
    <w:uiPriority w:val="4"/>
    <w:qFormat/>
    <w:rsid w:val="00BA6609"/>
    <w:pPr>
      <w:numPr>
        <w:ilvl w:val="5"/>
        <w:numId w:val="9"/>
      </w:numPr>
      <w:spacing w:after="240"/>
      <w:outlineLvl w:val="5"/>
    </w:pPr>
    <w:rPr>
      <w:rFonts w:asciiTheme="majorHAnsi" w:eastAsiaTheme="majorEastAsia" w:hAnsiTheme="majorHAnsi" w:cstheme="majorBidi"/>
      <w:iCs/>
      <w:sz w:val="24"/>
      <w:szCs w:val="24"/>
    </w:rPr>
  </w:style>
  <w:style w:type="paragraph" w:styleId="Heading7">
    <w:name w:val="heading 7"/>
    <w:basedOn w:val="Normal"/>
    <w:link w:val="Heading7Char"/>
    <w:uiPriority w:val="4"/>
    <w:qFormat/>
    <w:rsid w:val="00BA6609"/>
    <w:pPr>
      <w:numPr>
        <w:ilvl w:val="6"/>
        <w:numId w:val="9"/>
      </w:numPr>
      <w:spacing w:after="240"/>
      <w:outlineLvl w:val="6"/>
    </w:pPr>
    <w:rPr>
      <w:rFonts w:asciiTheme="majorHAnsi" w:eastAsiaTheme="majorEastAsia" w:hAnsiTheme="majorHAnsi" w:cstheme="majorBidi"/>
      <w:iCs/>
      <w:sz w:val="24"/>
      <w:szCs w:val="24"/>
    </w:rPr>
  </w:style>
  <w:style w:type="paragraph" w:styleId="Heading8">
    <w:name w:val="heading 8"/>
    <w:basedOn w:val="Normal"/>
    <w:link w:val="Heading8Char"/>
    <w:uiPriority w:val="4"/>
    <w:qFormat/>
    <w:rsid w:val="00BA6609"/>
    <w:pPr>
      <w:numPr>
        <w:ilvl w:val="7"/>
        <w:numId w:val="9"/>
      </w:numPr>
      <w:spacing w:after="240"/>
      <w:outlineLvl w:val="7"/>
    </w:pPr>
    <w:rPr>
      <w:rFonts w:asciiTheme="majorHAnsi" w:eastAsiaTheme="majorEastAsia" w:hAnsiTheme="majorHAnsi" w:cstheme="majorBidi"/>
      <w:sz w:val="24"/>
    </w:rPr>
  </w:style>
  <w:style w:type="paragraph" w:styleId="Heading9">
    <w:name w:val="heading 9"/>
    <w:basedOn w:val="Normal"/>
    <w:link w:val="Heading9Char"/>
    <w:uiPriority w:val="4"/>
    <w:qFormat/>
    <w:rsid w:val="00BA6609"/>
    <w:pPr>
      <w:numPr>
        <w:ilvl w:val="8"/>
        <w:numId w:val="9"/>
      </w:numPr>
      <w:spacing w:after="240"/>
      <w:outlineLvl w:val="8"/>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
    <w:name w:val="O-Body Text ()"/>
    <w:aliases w:val="1Body,s1"/>
    <w:basedOn w:val="Normal"/>
    <w:link w:val="O-BodyTextChar"/>
    <w:qFormat/>
    <w:rPr>
      <w:rFonts w:eastAsia="Times New Roman"/>
    </w:rPr>
  </w:style>
  <w:style w:type="paragraph" w:customStyle="1" w:styleId="O-BodyTextDS">
    <w:name w:val="O-Body Text (DS)"/>
    <w:aliases w:val="2Body,s28"/>
    <w:basedOn w:val="Normal"/>
    <w:uiPriority w:val="4"/>
    <w:qFormat/>
    <w:pPr>
      <w:spacing w:line="480" w:lineRule="auto"/>
    </w:pPr>
    <w:rPr>
      <w:rFonts w:eastAsia="Times New Roman"/>
    </w:rPr>
  </w:style>
  <w:style w:type="paragraph" w:customStyle="1" w:styleId="O-BodyTextJ">
    <w:name w:val="O-Body Text (J)"/>
    <w:aliases w:val="3Body,s13"/>
    <w:basedOn w:val="Normal"/>
    <w:uiPriority w:val="7"/>
    <w:qFormat/>
    <w:pPr>
      <w:jc w:val="both"/>
    </w:pPr>
    <w:rPr>
      <w:rFonts w:eastAsia="Times New Roman"/>
    </w:rPr>
  </w:style>
  <w:style w:type="paragraph" w:customStyle="1" w:styleId="O-BodyText5">
    <w:name w:val="O-Body Text .5&quot;"/>
    <w:aliases w:val="1Half,s2"/>
    <w:uiPriority w:val="1"/>
    <w:qFormat/>
    <w:pPr>
      <w:ind w:firstLine="720"/>
    </w:pPr>
    <w:rPr>
      <w:rFonts w:eastAsia="Times New Roman"/>
    </w:rPr>
  </w:style>
  <w:style w:type="paragraph" w:customStyle="1" w:styleId="O-BodyText5DS">
    <w:name w:val="O-Body Text .5” (DS)"/>
    <w:aliases w:val="2Half,s29"/>
    <w:basedOn w:val="Normal"/>
    <w:uiPriority w:val="5"/>
    <w:qFormat/>
    <w:pPr>
      <w:spacing w:line="480" w:lineRule="auto"/>
      <w:ind w:firstLine="720"/>
    </w:pPr>
    <w:rPr>
      <w:rFonts w:eastAsia="Times New Roman"/>
    </w:rPr>
  </w:style>
  <w:style w:type="paragraph" w:customStyle="1" w:styleId="O-BodyText5J">
    <w:name w:val="O-Body Text .5” (J)"/>
    <w:aliases w:val="3Half,s14"/>
    <w:basedOn w:val="Normal"/>
    <w:uiPriority w:val="7"/>
    <w:qFormat/>
    <w:pPr>
      <w:ind w:firstLine="720"/>
      <w:jc w:val="both"/>
    </w:pPr>
    <w:rPr>
      <w:rFonts w:eastAsia="Times New Roman"/>
    </w:rPr>
  </w:style>
  <w:style w:type="paragraph" w:customStyle="1" w:styleId="O-BodyText1">
    <w:name w:val="O-Body Text 1&quot;"/>
    <w:aliases w:val="1Full,s3"/>
    <w:basedOn w:val="Normal"/>
    <w:uiPriority w:val="2"/>
    <w:qFormat/>
    <w:pPr>
      <w:ind w:firstLine="1440"/>
    </w:pPr>
    <w:rPr>
      <w:rFonts w:eastAsia="Times New Roman"/>
    </w:rPr>
  </w:style>
  <w:style w:type="paragraph" w:customStyle="1" w:styleId="O-BodyText1DS">
    <w:name w:val="O-Body Text 1” (DS)"/>
    <w:aliases w:val="2Full,s30"/>
    <w:basedOn w:val="Normal"/>
    <w:uiPriority w:val="6"/>
    <w:qFormat/>
    <w:pPr>
      <w:spacing w:line="480" w:lineRule="auto"/>
      <w:ind w:firstLine="1440"/>
    </w:pPr>
    <w:rPr>
      <w:rFonts w:eastAsia="Times New Roman"/>
    </w:rPr>
  </w:style>
  <w:style w:type="paragraph" w:customStyle="1" w:styleId="O-BodyText1J">
    <w:name w:val="O-Body Text 1” (J)"/>
    <w:aliases w:val="3Full,s15"/>
    <w:basedOn w:val="Normal"/>
    <w:uiPriority w:val="7"/>
    <w:qFormat/>
    <w:pPr>
      <w:ind w:firstLine="1440"/>
      <w:jc w:val="both"/>
    </w:pPr>
    <w:rPr>
      <w:rFonts w:eastAsia="Times New Roman"/>
    </w:rPr>
  </w:style>
  <w:style w:type="paragraph" w:customStyle="1" w:styleId="O-Bullet">
    <w:name w:val="O-Bullet ()"/>
    <w:aliases w:val="1Bullet,s4"/>
    <w:uiPriority w:val="32"/>
    <w:qFormat/>
    <w:pPr>
      <w:numPr>
        <w:numId w:val="1"/>
      </w:numPr>
    </w:pPr>
    <w:rPr>
      <w:rFonts w:eastAsia="Times New Roman"/>
    </w:rPr>
  </w:style>
  <w:style w:type="paragraph" w:customStyle="1" w:styleId="O-Bullet5">
    <w:name w:val="O-Bullet .5&quot;"/>
    <w:aliases w:val="2Bullet,s26"/>
    <w:uiPriority w:val="32"/>
    <w:pPr>
      <w:numPr>
        <w:numId w:val="2"/>
      </w:numPr>
    </w:pPr>
    <w:rPr>
      <w:rFonts w:eastAsia="Times New Roman"/>
    </w:rPr>
  </w:style>
  <w:style w:type="paragraph" w:customStyle="1" w:styleId="O-Bullet1">
    <w:name w:val="O-Bullet 1&quot;"/>
    <w:aliases w:val="3Bullet,s27"/>
    <w:uiPriority w:val="32"/>
    <w:pPr>
      <w:numPr>
        <w:numId w:val="3"/>
      </w:numPr>
    </w:pPr>
    <w:rPr>
      <w:rFonts w:eastAsia="Times New Roman"/>
    </w:rPr>
  </w:style>
  <w:style w:type="paragraph" w:customStyle="1" w:styleId="O-Indent5">
    <w:name w:val="O-Indent .5&quot;"/>
    <w:aliases w:val="Half Indent,s5"/>
    <w:basedOn w:val="Normal"/>
    <w:uiPriority w:val="10"/>
    <w:qFormat/>
    <w:pPr>
      <w:ind w:left="720"/>
    </w:pPr>
    <w:rPr>
      <w:rFonts w:eastAsia="Times New Roman"/>
    </w:rPr>
  </w:style>
  <w:style w:type="paragraph" w:customStyle="1" w:styleId="O-Indent1">
    <w:name w:val="O-Indent 1&quot;"/>
    <w:aliases w:val="Full Indent,s6"/>
    <w:basedOn w:val="Normal"/>
    <w:uiPriority w:val="11"/>
    <w:qFormat/>
    <w:pPr>
      <w:ind w:left="1440"/>
    </w:pPr>
    <w:rPr>
      <w:rFonts w:eastAsia="Times New Roman"/>
    </w:rPr>
  </w:style>
  <w:style w:type="paragraph" w:customStyle="1" w:styleId="O-Quote">
    <w:name w:val="O-Quote ()"/>
    <w:aliases w:val="1Quote,s7"/>
    <w:basedOn w:val="Normal"/>
    <w:uiPriority w:val="33"/>
    <w:pPr>
      <w:ind w:left="1440" w:right="1440"/>
    </w:pPr>
    <w:rPr>
      <w:rFonts w:eastAsia="Times New Roman"/>
    </w:rPr>
  </w:style>
  <w:style w:type="paragraph" w:customStyle="1" w:styleId="O-QuoteDS">
    <w:name w:val="O-Quote (DS)"/>
    <w:aliases w:val="2Quote,s17"/>
    <w:basedOn w:val="Normal"/>
    <w:uiPriority w:val="33"/>
    <w:pPr>
      <w:spacing w:line="480" w:lineRule="auto"/>
      <w:ind w:left="1440" w:right="1440"/>
    </w:pPr>
    <w:rPr>
      <w:rFonts w:eastAsia="Times New Roman"/>
    </w:rPr>
  </w:style>
  <w:style w:type="paragraph" w:customStyle="1" w:styleId="O-QuoteJ">
    <w:name w:val="O-Quote (J)"/>
    <w:aliases w:val="3Quote,s16"/>
    <w:basedOn w:val="Normal"/>
    <w:uiPriority w:val="33"/>
    <w:pPr>
      <w:ind w:left="1440" w:right="1440"/>
      <w:jc w:val="both"/>
    </w:pPr>
    <w:rPr>
      <w:rFonts w:eastAsia="Times New Roman"/>
    </w:rPr>
  </w:style>
  <w:style w:type="paragraph" w:customStyle="1" w:styleId="O-SignatureLA">
    <w:name w:val="O-Signature (LA)"/>
    <w:aliases w:val="Sig (LA),s18"/>
    <w:basedOn w:val="Normal"/>
    <w:uiPriority w:val="45"/>
    <w:pPr>
      <w:keepLines/>
      <w:tabs>
        <w:tab w:val="right" w:pos="2880"/>
      </w:tabs>
      <w:spacing w:before="720"/>
      <w:ind w:left="547" w:hanging="547"/>
    </w:pPr>
    <w:rPr>
      <w:rFonts w:eastAsia="Times New Roman"/>
    </w:rPr>
  </w:style>
  <w:style w:type="paragraph" w:customStyle="1" w:styleId="O-Signature">
    <w:name w:val="O-Signature"/>
    <w:aliases w:val="Sigs,s12"/>
    <w:basedOn w:val="Normal"/>
    <w:next w:val="Normal"/>
    <w:uiPriority w:val="45"/>
    <w:pPr>
      <w:keepNext/>
      <w:keepLines/>
      <w:ind w:left="4320"/>
    </w:pPr>
    <w:rPr>
      <w:rFonts w:eastAsia="Times New Roman"/>
    </w:rPr>
  </w:style>
  <w:style w:type="paragraph" w:customStyle="1" w:styleId="O-Title3">
    <w:name w:val="O-Title 3"/>
    <w:aliases w:val="3Title,s22"/>
    <w:next w:val="O-BodyText"/>
    <w:uiPriority w:val="37"/>
    <w:qFormat/>
    <w:pPr>
      <w:keepNext/>
      <w:keepLines/>
      <w:jc w:val="center"/>
    </w:pPr>
    <w:rPr>
      <w:rFonts w:eastAsia="Times New Roman"/>
      <w:b/>
      <w:bCs/>
      <w:u w:val="single"/>
    </w:rPr>
  </w:style>
  <w:style w:type="paragraph" w:customStyle="1" w:styleId="O-TITLE">
    <w:name w:val="O-TITLE"/>
    <w:aliases w:val="1Title,s10"/>
    <w:basedOn w:val="Normal"/>
    <w:next w:val="O-BodyText"/>
    <w:uiPriority w:val="35"/>
    <w:qFormat/>
    <w:pPr>
      <w:keepNext/>
      <w:keepLines/>
      <w:jc w:val="center"/>
    </w:pPr>
    <w:rPr>
      <w:rFonts w:eastAsia="Times New Roman"/>
      <w:b/>
      <w:caps/>
    </w:rPr>
  </w:style>
  <w:style w:type="paragraph" w:customStyle="1" w:styleId="O-Title6">
    <w:name w:val="O-Title 6"/>
    <w:aliases w:val="6Title,s11"/>
    <w:next w:val="O-BodyText"/>
    <w:uiPriority w:val="40"/>
    <w:qFormat/>
    <w:pPr>
      <w:keepNext/>
      <w:keepLines/>
    </w:pPr>
    <w:rPr>
      <w:rFonts w:eastAsia="Times New Roman"/>
      <w:b/>
    </w:rPr>
  </w:style>
  <w:style w:type="paragraph" w:customStyle="1" w:styleId="O-Title7">
    <w:name w:val="O-Title 7"/>
    <w:aliases w:val="7Title,s19"/>
    <w:next w:val="O-BodyText"/>
    <w:uiPriority w:val="41"/>
    <w:qFormat/>
    <w:pPr>
      <w:keepNext/>
      <w:keepLines/>
    </w:pPr>
    <w:rPr>
      <w:rFonts w:eastAsia="Times New Roman"/>
      <w:b/>
      <w:bCs/>
      <w:u w:val="single"/>
    </w:rPr>
  </w:style>
  <w:style w:type="paragraph" w:customStyle="1" w:styleId="O-Title5">
    <w:name w:val="O-Title 5"/>
    <w:aliases w:val="5Title,s8"/>
    <w:basedOn w:val="Normal"/>
    <w:next w:val="O-BodyText"/>
    <w:uiPriority w:val="39"/>
    <w:qFormat/>
    <w:pPr>
      <w:keepNext/>
      <w:keepLines/>
      <w:jc w:val="center"/>
    </w:pPr>
    <w:rPr>
      <w:rFonts w:eastAsia="Times New Roman"/>
      <w:b/>
      <w:bCs/>
      <w:iCs/>
      <w:caps/>
      <w:u w:val="single"/>
    </w:rPr>
  </w:style>
  <w:style w:type="paragraph" w:customStyle="1" w:styleId="O-Title2">
    <w:name w:val="O-Title 2"/>
    <w:aliases w:val="2Title,s20"/>
    <w:basedOn w:val="Normal"/>
    <w:next w:val="O-BodyText"/>
    <w:uiPriority w:val="36"/>
    <w:qFormat/>
    <w:pPr>
      <w:keepNext/>
      <w:keepLines/>
      <w:jc w:val="center"/>
    </w:pPr>
    <w:rPr>
      <w:rFonts w:eastAsia="Times New Roman"/>
      <w:b/>
      <w:bCs/>
    </w:rPr>
  </w:style>
  <w:style w:type="paragraph" w:styleId="NoSpacing">
    <w:name w:val="No Spacing"/>
    <w:uiPriority w:val="8"/>
    <w:pPr>
      <w:spacing w:after="0"/>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sz w:val="20"/>
      <w:szCs w:val="20"/>
      <w:lang w:val="en-US"/>
    </w:rPr>
  </w:style>
  <w:style w:type="character" w:styleId="FootnoteReference">
    <w:name w:val="footnote reference"/>
    <w:basedOn w:val="DefaultParagraphFont"/>
    <w:uiPriority w:val="99"/>
    <w:semiHidden/>
    <w:unhideWhenUsed/>
    <w:rPr>
      <w:vertAlign w:val="superscript"/>
      <w:lang w:val="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customStyle="1" w:styleId="Parties">
    <w:name w:val="Parties"/>
    <w:uiPriority w:val="34"/>
    <w:pPr>
      <w:numPr>
        <w:numId w:val="4"/>
      </w:numPr>
      <w:spacing w:line="300" w:lineRule="exact"/>
      <w:jc w:val="both"/>
    </w:pPr>
    <w:rPr>
      <w:rFonts w:eastAsia="Times New Roman"/>
      <w:szCs w:val="21"/>
      <w:lang w:val="en-GB"/>
    </w:rPr>
  </w:style>
  <w:style w:type="paragraph" w:customStyle="1" w:styleId="Background">
    <w:name w:val="Background"/>
    <w:uiPriority w:val="34"/>
    <w:pPr>
      <w:numPr>
        <w:numId w:val="5"/>
      </w:numPr>
      <w:spacing w:line="300" w:lineRule="exact"/>
      <w:jc w:val="both"/>
    </w:pPr>
    <w:rPr>
      <w:rFonts w:eastAsia="Times New Roman"/>
      <w:szCs w:val="21"/>
      <w:lang w:val="en-GB"/>
    </w:rPr>
  </w:style>
  <w:style w:type="paragraph" w:customStyle="1" w:styleId="OPDFooter">
    <w:name w:val="O PD Footer"/>
    <w:uiPriority w:val="46"/>
    <w:pPr>
      <w:tabs>
        <w:tab w:val="right" w:pos="7200"/>
      </w:tabs>
      <w:spacing w:after="0"/>
      <w:jc w:val="right"/>
    </w:pPr>
    <w:rPr>
      <w:rFonts w:ascii="Arial Narrow" w:eastAsia="Times New Roman" w:hAnsi="Arial Narrow"/>
      <w:sz w:val="18"/>
      <w:szCs w:val="20"/>
    </w:rPr>
  </w:style>
  <w:style w:type="paragraph" w:customStyle="1" w:styleId="OResumeArticlesNoBullets">
    <w:name w:val="O Resume Articles No Bullets"/>
    <w:basedOn w:val="Normal"/>
    <w:uiPriority w:val="46"/>
    <w:rPr>
      <w:rFonts w:ascii="Garamond" w:eastAsia="Times" w:hAnsi="Garamond"/>
    </w:rPr>
  </w:style>
  <w:style w:type="paragraph" w:customStyle="1" w:styleId="OResumeArticlesBullets">
    <w:name w:val="O Resume Articles Bullets"/>
    <w:basedOn w:val="OResumeArticlesNoBullets"/>
    <w:uiPriority w:val="46"/>
    <w:pPr>
      <w:numPr>
        <w:numId w:val="6"/>
      </w:numPr>
      <w:spacing w:after="60"/>
    </w:pPr>
  </w:style>
  <w:style w:type="paragraph" w:customStyle="1" w:styleId="OResumeArticlesHeading">
    <w:name w:val="O Resume Articles Heading"/>
    <w:basedOn w:val="OResumeArticlesNoBullets"/>
    <w:uiPriority w:val="46"/>
    <w:pPr>
      <w:spacing w:before="240"/>
    </w:pPr>
    <w:rPr>
      <w:b/>
    </w:rPr>
  </w:style>
  <w:style w:type="paragraph" w:customStyle="1" w:styleId="OResumeArticlesLeadin">
    <w:name w:val="O Resume Articles Leadin"/>
    <w:next w:val="Normal"/>
    <w:uiPriority w:val="46"/>
    <w:pPr>
      <w:keepNext/>
      <w:tabs>
        <w:tab w:val="left" w:pos="180"/>
        <w:tab w:val="left" w:pos="2520"/>
        <w:tab w:val="left" w:pos="2779"/>
        <w:tab w:val="left" w:pos="9979"/>
      </w:tabs>
      <w:spacing w:after="60"/>
      <w:ind w:firstLine="180"/>
    </w:pPr>
    <w:rPr>
      <w:rFonts w:ascii="Garamond" w:eastAsia="Times" w:hAnsi="Garamond"/>
      <w:noProof/>
      <w:sz w:val="22"/>
      <w:szCs w:val="20"/>
    </w:rPr>
  </w:style>
  <w:style w:type="paragraph" w:customStyle="1" w:styleId="OResumeAttorneyID">
    <w:name w:val="O Resume Attorney ID"/>
    <w:basedOn w:val="Normal"/>
    <w:uiPriority w:val="46"/>
    <w:rPr>
      <w:rFonts w:eastAsia="Times New Roman"/>
      <w:sz w:val="16"/>
    </w:rPr>
  </w:style>
  <w:style w:type="paragraph" w:customStyle="1" w:styleId="OResumeBodyText">
    <w:name w:val="O Resume Body Text"/>
    <w:uiPriority w:val="46"/>
    <w:pPr>
      <w:spacing w:before="240" w:after="0"/>
    </w:pPr>
    <w:rPr>
      <w:rFonts w:ascii="Garamond" w:eastAsia="Times" w:hAnsi="Garamond"/>
      <w:szCs w:val="20"/>
    </w:rPr>
  </w:style>
  <w:style w:type="paragraph" w:customStyle="1" w:styleId="OResumeBulletQualification">
    <w:name w:val="O Resume Bullet Qualification"/>
    <w:uiPriority w:val="46"/>
    <w:pPr>
      <w:tabs>
        <w:tab w:val="num" w:pos="360"/>
      </w:tabs>
      <w:spacing w:after="120"/>
      <w:ind w:left="180" w:hanging="180"/>
    </w:pPr>
    <w:rPr>
      <w:rFonts w:ascii="Garamond" w:eastAsia="Times" w:hAnsi="Garamond"/>
      <w:noProof/>
      <w:sz w:val="22"/>
      <w:szCs w:val="20"/>
    </w:rPr>
  </w:style>
  <w:style w:type="character" w:customStyle="1" w:styleId="OResumeClientCaseProjectName">
    <w:name w:val="O Resume Client/Case/Project Name"/>
    <w:uiPriority w:val="46"/>
    <w:rPr>
      <w:rFonts w:ascii="Arial" w:hAnsi="Arial"/>
      <w:b/>
      <w:sz w:val="20"/>
    </w:rPr>
  </w:style>
  <w:style w:type="paragraph" w:customStyle="1" w:styleId="OResumeContactInformation">
    <w:name w:val="O Resume Contact Information"/>
    <w:next w:val="Normal"/>
    <w:uiPriority w:val="46"/>
    <w:pPr>
      <w:spacing w:after="0"/>
      <w:ind w:left="187"/>
    </w:pPr>
    <w:rPr>
      <w:rFonts w:ascii="Arial" w:eastAsia="Times" w:hAnsi="Arial"/>
      <w:noProof/>
      <w:sz w:val="16"/>
      <w:szCs w:val="20"/>
    </w:rPr>
  </w:style>
  <w:style w:type="paragraph" w:customStyle="1" w:styleId="OResumeEmail">
    <w:name w:val="O Resume Email"/>
    <w:uiPriority w:val="46"/>
    <w:pPr>
      <w:spacing w:after="360"/>
    </w:pPr>
    <w:rPr>
      <w:rFonts w:ascii="Arial" w:eastAsia="Times" w:hAnsi="Arial"/>
      <w:i/>
      <w:iCs/>
      <w:sz w:val="16"/>
      <w:szCs w:val="20"/>
    </w:rPr>
  </w:style>
  <w:style w:type="paragraph" w:customStyle="1" w:styleId="OResumeFooter">
    <w:name w:val="O Resume Footer"/>
    <w:uiPriority w:val="46"/>
    <w:pPr>
      <w:spacing w:after="0" w:line="200" w:lineRule="exact"/>
      <w:jc w:val="right"/>
    </w:pPr>
    <w:rPr>
      <w:rFonts w:ascii="Arial Narrow" w:eastAsia="Times" w:hAnsi="Arial Narrow"/>
      <w:noProof/>
      <w:sz w:val="18"/>
      <w:szCs w:val="20"/>
    </w:rPr>
  </w:style>
  <w:style w:type="paragraph" w:customStyle="1" w:styleId="OResumeName">
    <w:name w:val="O Resume Name"/>
    <w:next w:val="OResumeContactInformation"/>
    <w:uiPriority w:val="46"/>
    <w:pPr>
      <w:spacing w:after="120"/>
    </w:pPr>
    <w:rPr>
      <w:rFonts w:ascii="Arial" w:eastAsia="Times" w:hAnsi="Arial"/>
      <w:b/>
      <w:noProof/>
      <w:sz w:val="32"/>
      <w:szCs w:val="20"/>
    </w:rPr>
  </w:style>
  <w:style w:type="paragraph" w:customStyle="1" w:styleId="OResumeSidebar">
    <w:name w:val="O Resume Sidebar"/>
    <w:uiPriority w:val="46"/>
    <w:pPr>
      <w:spacing w:after="120"/>
    </w:pPr>
    <w:rPr>
      <w:rFonts w:ascii="Arial" w:eastAsia="Times" w:hAnsi="Arial"/>
      <w:noProof/>
      <w:sz w:val="16"/>
      <w:szCs w:val="20"/>
    </w:rPr>
  </w:style>
  <w:style w:type="paragraph" w:customStyle="1" w:styleId="OResumeSidebarBullet">
    <w:name w:val="O Resume Sidebar Bullet"/>
    <w:basedOn w:val="Normal"/>
    <w:uiPriority w:val="46"/>
    <w:pPr>
      <w:numPr>
        <w:numId w:val="7"/>
      </w:numPr>
    </w:pPr>
    <w:rPr>
      <w:rFonts w:eastAsia="Times"/>
      <w:sz w:val="16"/>
    </w:rPr>
  </w:style>
  <w:style w:type="paragraph" w:customStyle="1" w:styleId="OResumeSidebarHead">
    <w:name w:val="O Resume Sidebar Head"/>
    <w:basedOn w:val="Normal"/>
    <w:uiPriority w:val="46"/>
    <w:rPr>
      <w:rFonts w:eastAsia="Times"/>
      <w:b/>
      <w:noProof/>
      <w:sz w:val="18"/>
    </w:rPr>
  </w:style>
  <w:style w:type="paragraph" w:customStyle="1" w:styleId="O-Title4">
    <w:name w:val="O-Title 4"/>
    <w:aliases w:val="4Title,s9"/>
    <w:basedOn w:val="Normal"/>
    <w:next w:val="O-BodyText"/>
    <w:uiPriority w:val="38"/>
    <w:rPr>
      <w:rFonts w:eastAsia="Times New Roman"/>
      <w:u w:val="single"/>
    </w:rPr>
  </w:style>
  <w:style w:type="paragraph" w:customStyle="1" w:styleId="O-Title8">
    <w:name w:val="O-Title 8"/>
    <w:aliases w:val="8Title,s23"/>
    <w:next w:val="O-BodyText"/>
    <w:uiPriority w:val="42"/>
    <w:rPr>
      <w:rFonts w:eastAsia="Times New Roman"/>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O-Center">
    <w:name w:val="O-Center"/>
    <w:aliases w:val="Center,s21"/>
    <w:basedOn w:val="Normal"/>
    <w:next w:val="O-BodyText"/>
    <w:uiPriority w:val="35"/>
    <w:pPr>
      <w:keepNext/>
      <w:keepLines/>
      <w:jc w:val="center"/>
    </w:pPr>
  </w:style>
  <w:style w:type="paragraph" w:customStyle="1" w:styleId="O-TITLE9">
    <w:name w:val="O-TITLE 9"/>
    <w:aliases w:val="9TITLE,s31"/>
    <w:basedOn w:val="Normal"/>
    <w:next w:val="O-BodyText"/>
    <w:uiPriority w:val="43"/>
    <w:qFormat/>
    <w:pPr>
      <w:keepNext/>
      <w:keepLines/>
    </w:pPr>
    <w:rPr>
      <w:rFonts w:eastAsia="Times New Roman"/>
      <w:b/>
      <w:caps/>
    </w:rPr>
  </w:style>
  <w:style w:type="paragraph" w:styleId="ListParagraph">
    <w:name w:val="List Paragraph"/>
    <w:basedOn w:val="Normal"/>
    <w:uiPriority w:val="99"/>
    <w:qFormat/>
    <w:pPr>
      <w:ind w:left="720"/>
    </w:pPr>
  </w:style>
  <w:style w:type="paragraph" w:styleId="EndnoteText">
    <w:name w:val="endnote text"/>
    <w:basedOn w:val="Normal"/>
    <w:link w:val="EndnoteTextChar"/>
    <w:rPr>
      <w:rFonts w:ascii="Times New Roman" w:hAnsi="Times New Roman" w:cs="Times New Roman"/>
    </w:rPr>
  </w:style>
  <w:style w:type="character" w:customStyle="1" w:styleId="EndnoteTextChar">
    <w:name w:val="Endnote Text Char"/>
    <w:basedOn w:val="DefaultParagraphFont"/>
    <w:link w:val="EndnoteText"/>
    <w:rPr>
      <w:sz w:val="20"/>
      <w:szCs w:val="20"/>
    </w:rPr>
  </w:style>
  <w:style w:type="character" w:styleId="EndnoteReference">
    <w:name w:val="endnote reference"/>
    <w:basedOn w:val="DefaultParagraphFont"/>
    <w:unhideWhenUsed/>
    <w:rPr>
      <w:vertAlign w:val="superscript"/>
    </w:rPr>
  </w:style>
  <w:style w:type="paragraph" w:styleId="ListNumber">
    <w:name w:val="List Number"/>
    <w:basedOn w:val="Normal"/>
    <w:uiPriority w:val="7"/>
    <w:qFormat/>
    <w:pPr>
      <w:numPr>
        <w:numId w:val="8"/>
      </w:numPr>
      <w:spacing w:after="240"/>
    </w:pPr>
    <w:rPr>
      <w:rFonts w:asciiTheme="minorHAnsi" w:hAnsiTheme="minorHAnsi" w:cstheme="minorBidi"/>
      <w:sz w:val="24"/>
      <w:szCs w:val="24"/>
    </w:rPr>
  </w:style>
  <w:style w:type="paragraph" w:styleId="ListNumber2">
    <w:name w:val="List Number 2"/>
    <w:basedOn w:val="Normal"/>
    <w:uiPriority w:val="7"/>
    <w:qFormat/>
    <w:pPr>
      <w:numPr>
        <w:ilvl w:val="1"/>
        <w:numId w:val="8"/>
      </w:numPr>
      <w:spacing w:after="240"/>
    </w:pPr>
    <w:rPr>
      <w:rFonts w:asciiTheme="minorHAnsi" w:hAnsiTheme="minorHAnsi" w:cstheme="minorBidi"/>
      <w:sz w:val="24"/>
      <w:szCs w:val="24"/>
    </w:rPr>
  </w:style>
  <w:style w:type="paragraph" w:styleId="ListNumber3">
    <w:name w:val="List Number 3"/>
    <w:basedOn w:val="Normal"/>
    <w:uiPriority w:val="7"/>
    <w:pPr>
      <w:numPr>
        <w:ilvl w:val="2"/>
        <w:numId w:val="8"/>
      </w:numPr>
      <w:spacing w:after="240"/>
    </w:pPr>
    <w:rPr>
      <w:rFonts w:asciiTheme="minorHAnsi" w:hAnsiTheme="minorHAnsi" w:cstheme="minorBidi"/>
      <w:sz w:val="24"/>
      <w:szCs w:val="24"/>
    </w:rPr>
  </w:style>
  <w:style w:type="paragraph" w:styleId="ListNumber4">
    <w:name w:val="List Number 4"/>
    <w:basedOn w:val="Normal"/>
    <w:uiPriority w:val="7"/>
    <w:pPr>
      <w:numPr>
        <w:ilvl w:val="3"/>
        <w:numId w:val="8"/>
      </w:numPr>
      <w:spacing w:after="240"/>
    </w:pPr>
    <w:rPr>
      <w:rFonts w:asciiTheme="minorHAnsi" w:hAnsiTheme="minorHAnsi" w:cstheme="minorBidi"/>
      <w:sz w:val="24"/>
      <w:szCs w:val="24"/>
    </w:rPr>
  </w:style>
  <w:style w:type="paragraph" w:styleId="ListNumber5">
    <w:name w:val="List Number 5"/>
    <w:basedOn w:val="Normal"/>
    <w:uiPriority w:val="7"/>
    <w:pPr>
      <w:numPr>
        <w:ilvl w:val="4"/>
        <w:numId w:val="8"/>
      </w:numPr>
      <w:spacing w:after="240"/>
    </w:pPr>
    <w:rPr>
      <w:rFonts w:asciiTheme="minorHAnsi" w:hAnsiTheme="minorHAnsi" w:cstheme="minorBidi"/>
      <w:sz w:val="24"/>
      <w:szCs w:val="24"/>
    </w:rPr>
  </w:style>
  <w:style w:type="character" w:customStyle="1" w:styleId="Heading1Char">
    <w:name w:val="Heading 1 Char"/>
    <w:basedOn w:val="DefaultParagraphFont"/>
    <w:link w:val="Heading1"/>
    <w:uiPriority w:val="4"/>
    <w:rsid w:val="00BA6609"/>
    <w:rPr>
      <w:rFonts w:ascii="Arial" w:eastAsiaTheme="majorEastAsia" w:hAnsi="Arial" w:cs="Arial"/>
      <w:b/>
      <w:bCs/>
      <w:sz w:val="72"/>
      <w:szCs w:val="28"/>
    </w:rPr>
  </w:style>
  <w:style w:type="character" w:customStyle="1" w:styleId="Heading2Char">
    <w:name w:val="Heading 2 Char"/>
    <w:basedOn w:val="DefaultParagraphFont"/>
    <w:link w:val="Heading2"/>
    <w:uiPriority w:val="4"/>
    <w:rsid w:val="00BA6609"/>
    <w:rPr>
      <w:rFonts w:ascii="Arial" w:eastAsiaTheme="majorEastAsia" w:hAnsi="Arial" w:cs="Arial"/>
      <w:b/>
      <w:bCs/>
      <w:sz w:val="48"/>
      <w:szCs w:val="26"/>
    </w:rPr>
  </w:style>
  <w:style w:type="character" w:customStyle="1" w:styleId="Heading3Char">
    <w:name w:val="Heading 3 Char"/>
    <w:basedOn w:val="DefaultParagraphFont"/>
    <w:link w:val="Heading3"/>
    <w:uiPriority w:val="4"/>
    <w:rsid w:val="00BA6609"/>
    <w:rPr>
      <w:rFonts w:ascii="Arial" w:eastAsiaTheme="majorEastAsia" w:hAnsi="Arial" w:cs="Arial"/>
      <w:b/>
      <w:bCs/>
      <w:sz w:val="36"/>
    </w:rPr>
  </w:style>
  <w:style w:type="character" w:customStyle="1" w:styleId="Heading4Char">
    <w:name w:val="Heading 4 Char"/>
    <w:basedOn w:val="DefaultParagraphFont"/>
    <w:link w:val="Heading4"/>
    <w:uiPriority w:val="4"/>
    <w:rsid w:val="00BA6609"/>
    <w:rPr>
      <w:rFonts w:ascii="Arial" w:eastAsiaTheme="majorEastAsia" w:hAnsi="Arial" w:cs="Arial"/>
      <w:bCs/>
      <w:iCs/>
    </w:rPr>
  </w:style>
  <w:style w:type="character" w:customStyle="1" w:styleId="Heading5Char">
    <w:name w:val="Heading 5 Char"/>
    <w:basedOn w:val="DefaultParagraphFont"/>
    <w:link w:val="Heading5"/>
    <w:uiPriority w:val="4"/>
    <w:rsid w:val="00BA6609"/>
    <w:rPr>
      <w:rFonts w:asciiTheme="majorHAnsi" w:eastAsiaTheme="majorEastAsia" w:hAnsiTheme="majorHAnsi" w:cstheme="majorBidi"/>
    </w:rPr>
  </w:style>
  <w:style w:type="character" w:customStyle="1" w:styleId="Heading6Char">
    <w:name w:val="Heading 6 Char"/>
    <w:basedOn w:val="DefaultParagraphFont"/>
    <w:link w:val="Heading6"/>
    <w:uiPriority w:val="4"/>
    <w:rsid w:val="00BA6609"/>
    <w:rPr>
      <w:rFonts w:asciiTheme="majorHAnsi" w:eastAsiaTheme="majorEastAsia" w:hAnsiTheme="majorHAnsi" w:cstheme="majorBidi"/>
      <w:iCs/>
    </w:rPr>
  </w:style>
  <w:style w:type="character" w:customStyle="1" w:styleId="Heading7Char">
    <w:name w:val="Heading 7 Char"/>
    <w:basedOn w:val="DefaultParagraphFont"/>
    <w:link w:val="Heading7"/>
    <w:uiPriority w:val="4"/>
    <w:rsid w:val="00BA6609"/>
    <w:rPr>
      <w:rFonts w:asciiTheme="majorHAnsi" w:eastAsiaTheme="majorEastAsia" w:hAnsiTheme="majorHAnsi" w:cstheme="majorBidi"/>
      <w:iCs/>
    </w:rPr>
  </w:style>
  <w:style w:type="character" w:customStyle="1" w:styleId="Heading8Char">
    <w:name w:val="Heading 8 Char"/>
    <w:basedOn w:val="DefaultParagraphFont"/>
    <w:link w:val="Heading8"/>
    <w:uiPriority w:val="4"/>
    <w:rsid w:val="00BA6609"/>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4"/>
    <w:rsid w:val="00BA6609"/>
    <w:rPr>
      <w:rFonts w:asciiTheme="majorHAnsi" w:eastAsiaTheme="majorEastAsia" w:hAnsiTheme="majorHAnsi" w:cstheme="majorBidi"/>
      <w:iCs/>
      <w:szCs w:val="20"/>
    </w:rPr>
  </w:style>
  <w:style w:type="numbering" w:customStyle="1" w:styleId="CovingtonHeadings">
    <w:name w:val="Covington Headings"/>
    <w:uiPriority w:val="99"/>
  </w:style>
  <w:style w:type="character" w:styleId="Hyperlink">
    <w:name w:val="Hyperlink"/>
    <w:basedOn w:val="DefaultParagraphFont"/>
    <w:uiPriority w:val="99"/>
    <w:unhideWhenUsed/>
    <w:rPr>
      <w:color w:val="009966"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table" w:styleId="TableGrid">
    <w:name w:val="Table Grid"/>
    <w:basedOn w:val="TableNormal"/>
    <w:uiPriority w:val="59"/>
    <w:rsid w:val="003621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1">
    <w:name w:val="standardl1"/>
    <w:basedOn w:val="Normal"/>
    <w:rsid w:val="00994A65"/>
    <w:pPr>
      <w:spacing w:after="240"/>
      <w:ind w:left="720" w:hanging="720"/>
    </w:pPr>
    <w:rPr>
      <w:rFonts w:ascii="Times New Roman" w:hAnsi="Times New Roman" w:cs="Times New Roman"/>
    </w:rPr>
  </w:style>
  <w:style w:type="paragraph" w:customStyle="1" w:styleId="para">
    <w:name w:val="para"/>
    <w:basedOn w:val="Normal"/>
    <w:rsid w:val="00994A65"/>
    <w:pPr>
      <w:spacing w:before="100" w:beforeAutospacing="1" w:after="100" w:afterAutospacing="1"/>
    </w:pPr>
    <w:rPr>
      <w:rFonts w:ascii="Times New Roman" w:eastAsia="Times New Roman" w:hAnsi="Times New Roman" w:cs="Times New Roman"/>
      <w:sz w:val="24"/>
      <w:szCs w:val="24"/>
    </w:rPr>
  </w:style>
  <w:style w:type="character" w:customStyle="1" w:styleId="leadinphrasesummary">
    <w:name w:val="leadinphrase_summary"/>
    <w:basedOn w:val="DefaultParagraphFont"/>
    <w:rsid w:val="00994A65"/>
  </w:style>
  <w:style w:type="paragraph" w:customStyle="1" w:styleId="HeadingL1">
    <w:name w:val="Heading_L1"/>
    <w:basedOn w:val="Heading1"/>
    <w:link w:val="HeadingL1Char"/>
    <w:rsid w:val="00D9020D"/>
    <w:pPr>
      <w:spacing w:after="0" w:line="288" w:lineRule="auto"/>
      <w:ind w:left="0" w:firstLine="0"/>
      <w:outlineLvl w:val="9"/>
    </w:pPr>
    <w:rPr>
      <w:rFonts w:eastAsiaTheme="minorHAnsi" w:cs="Times New Roman"/>
      <w:b w:val="0"/>
      <w:bCs w:val="0"/>
      <w:sz w:val="20"/>
      <w:szCs w:val="20"/>
    </w:rPr>
  </w:style>
  <w:style w:type="character" w:customStyle="1" w:styleId="HeadingL1Char">
    <w:name w:val="Heading_L1 Char"/>
    <w:basedOn w:val="Heading1Char"/>
    <w:link w:val="HeadingL1"/>
    <w:rsid w:val="00D9020D"/>
    <w:rPr>
      <w:rFonts w:ascii="Arial" w:eastAsiaTheme="majorEastAsia" w:hAnsi="Arial" w:cs="Arial"/>
      <w:b w:val="0"/>
      <w:bCs w:val="0"/>
      <w:sz w:val="20"/>
      <w:szCs w:val="20"/>
    </w:rPr>
  </w:style>
  <w:style w:type="paragraph" w:customStyle="1" w:styleId="HeadingL2">
    <w:name w:val="Heading_L2"/>
    <w:basedOn w:val="HeadingL1"/>
    <w:link w:val="HeadingL2Char"/>
    <w:rsid w:val="00D9020D"/>
  </w:style>
  <w:style w:type="character" w:customStyle="1" w:styleId="HeadingL2Char">
    <w:name w:val="Heading_L2 Char"/>
    <w:basedOn w:val="Heading1Char"/>
    <w:link w:val="HeadingL2"/>
    <w:rsid w:val="00D9020D"/>
    <w:rPr>
      <w:rFonts w:ascii="Arial" w:eastAsiaTheme="majorEastAsia" w:hAnsi="Arial" w:cs="Arial"/>
      <w:b w:val="0"/>
      <w:bCs w:val="0"/>
      <w:sz w:val="20"/>
      <w:szCs w:val="20"/>
    </w:rPr>
  </w:style>
  <w:style w:type="paragraph" w:customStyle="1" w:styleId="HeadingL3">
    <w:name w:val="Heading_L3"/>
    <w:basedOn w:val="HeadingL2"/>
    <w:link w:val="HeadingL3Char"/>
    <w:rsid w:val="00D9020D"/>
  </w:style>
  <w:style w:type="character" w:customStyle="1" w:styleId="HeadingL3Char">
    <w:name w:val="Heading_L3 Char"/>
    <w:basedOn w:val="Heading1Char"/>
    <w:link w:val="HeadingL3"/>
    <w:rsid w:val="00D9020D"/>
    <w:rPr>
      <w:rFonts w:ascii="Arial" w:eastAsiaTheme="majorEastAsia" w:hAnsi="Arial" w:cs="Arial"/>
      <w:b w:val="0"/>
      <w:bCs w:val="0"/>
      <w:sz w:val="20"/>
      <w:szCs w:val="20"/>
    </w:rPr>
  </w:style>
  <w:style w:type="paragraph" w:customStyle="1" w:styleId="HeadingL4">
    <w:name w:val="Heading_L4"/>
    <w:basedOn w:val="HeadingL3"/>
    <w:next w:val="HeadingL3"/>
    <w:link w:val="HeadingL4Char"/>
    <w:rsid w:val="00D9020D"/>
  </w:style>
  <w:style w:type="character" w:customStyle="1" w:styleId="HeadingL4Char">
    <w:name w:val="Heading_L4 Char"/>
    <w:basedOn w:val="Heading1Char"/>
    <w:link w:val="HeadingL4"/>
    <w:rsid w:val="00D9020D"/>
    <w:rPr>
      <w:rFonts w:ascii="Arial" w:eastAsiaTheme="majorEastAsia" w:hAnsi="Arial" w:cs="Arial"/>
      <w:b w:val="0"/>
      <w:bCs w:val="0"/>
      <w:sz w:val="20"/>
      <w:szCs w:val="20"/>
    </w:rPr>
  </w:style>
  <w:style w:type="paragraph" w:customStyle="1" w:styleId="HeadingL5">
    <w:name w:val="Heading_L5"/>
    <w:basedOn w:val="HeadingL4"/>
    <w:next w:val="HeadingL3"/>
    <w:link w:val="HeadingL5Char"/>
    <w:rsid w:val="00BA6609"/>
  </w:style>
  <w:style w:type="character" w:customStyle="1" w:styleId="HeadingL5Char">
    <w:name w:val="Heading_L5 Char"/>
    <w:basedOn w:val="Heading3Char"/>
    <w:link w:val="HeadingL5"/>
    <w:rsid w:val="00BA6609"/>
    <w:rPr>
      <w:rFonts w:ascii="Arial" w:eastAsiaTheme="majorEastAsia" w:hAnsi="Arial" w:cs="Arial"/>
      <w:b w:val="0"/>
      <w:bCs w:val="0"/>
      <w:sz w:val="20"/>
      <w:szCs w:val="20"/>
    </w:rPr>
  </w:style>
  <w:style w:type="numbering" w:customStyle="1" w:styleId="CovingtonHeadings1">
    <w:name w:val="Covington Headings1"/>
    <w:uiPriority w:val="99"/>
    <w:rsid w:val="00C32F8A"/>
  </w:style>
  <w:style w:type="paragraph" w:styleId="Revision">
    <w:name w:val="Revision"/>
    <w:hidden/>
    <w:uiPriority w:val="99"/>
    <w:semiHidden/>
    <w:rsid w:val="00C32F8A"/>
    <w:pPr>
      <w:spacing w:after="0"/>
    </w:pPr>
    <w:rPr>
      <w:rFonts w:ascii="Arial" w:hAnsi="Arial" w:cs="Arial"/>
      <w:sz w:val="20"/>
      <w:szCs w:val="20"/>
    </w:rPr>
  </w:style>
  <w:style w:type="paragraph" w:styleId="BodyText">
    <w:name w:val="Body Text"/>
    <w:basedOn w:val="Normal"/>
    <w:link w:val="BodyTextChar"/>
    <w:rsid w:val="00C32F8A"/>
    <w:pPr>
      <w:widowControl w:val="0"/>
      <w:spacing w:after="240"/>
      <w:ind w:firstLine="720"/>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C32F8A"/>
    <w:rPr>
      <w:rFonts w:eastAsia="SimSun"/>
      <w:lang w:eastAsia="zh-CN"/>
    </w:rPr>
  </w:style>
  <w:style w:type="character" w:customStyle="1" w:styleId="O-BodyTextChar">
    <w:name w:val="O-Body Text () Char"/>
    <w:aliases w:val="s1 Char,1Body Char"/>
    <w:basedOn w:val="DefaultParagraphFont"/>
    <w:link w:val="O-BodyText"/>
    <w:rsid w:val="00C32F8A"/>
    <w:rPr>
      <w:rFonts w:ascii="Arial" w:eastAsia="Times New Roman" w:hAnsi="Arial" w:cs="Arial"/>
      <w:sz w:val="20"/>
      <w:szCs w:val="20"/>
    </w:rPr>
  </w:style>
  <w:style w:type="character" w:customStyle="1" w:styleId="tx">
    <w:name w:val="tx"/>
    <w:basedOn w:val="DefaultParagraphFont"/>
    <w:rsid w:val="00C32F8A"/>
  </w:style>
  <w:style w:type="character" w:styleId="PlaceholderText">
    <w:name w:val="Placeholder Text"/>
    <w:basedOn w:val="DefaultParagraphFont"/>
    <w:uiPriority w:val="99"/>
    <w:semiHidden/>
    <w:rsid w:val="00C32F8A"/>
    <w:rPr>
      <w:color w:val="808080"/>
    </w:rPr>
  </w:style>
  <w:style w:type="numbering" w:customStyle="1" w:styleId="CovingtonHeadings11">
    <w:name w:val="Covington Headings11"/>
    <w:uiPriority w:val="99"/>
    <w:rsid w:val="00C32F8A"/>
  </w:style>
  <w:style w:type="paragraph" w:customStyle="1" w:styleId="sctext">
    <w:name w:val="sctext"/>
    <w:basedOn w:val="Normal"/>
    <w:link w:val="sctextChar"/>
    <w:qFormat/>
    <w:rsid w:val="00C32F8A"/>
    <w:pPr>
      <w:spacing w:after="240"/>
      <w:ind w:firstLine="432"/>
      <w:jc w:val="both"/>
    </w:pPr>
    <w:rPr>
      <w:rFonts w:ascii="Century Schoolbook" w:eastAsia="Times New Roman" w:hAnsi="Century Schoolbook" w:cs="Times New Roman"/>
      <w:sz w:val="24"/>
    </w:rPr>
  </w:style>
  <w:style w:type="character" w:customStyle="1" w:styleId="sctextChar">
    <w:name w:val="sctext Char"/>
    <w:basedOn w:val="DefaultParagraphFont"/>
    <w:link w:val="sctext"/>
    <w:rsid w:val="00C32F8A"/>
    <w:rPr>
      <w:rFonts w:ascii="Century Schoolbook" w:eastAsia="Times New Roman" w:hAnsi="Century Schoolbook"/>
      <w:szCs w:val="20"/>
    </w:rPr>
  </w:style>
  <w:style w:type="paragraph" w:customStyle="1" w:styleId="JeremysSchL1">
    <w:name w:val="JeremysSch_L1"/>
    <w:basedOn w:val="Normal"/>
    <w:next w:val="BodyText"/>
    <w:rsid w:val="00C32F8A"/>
    <w:pPr>
      <w:widowControl w:val="0"/>
      <w:numPr>
        <w:numId w:val="69"/>
      </w:numPr>
      <w:spacing w:after="240"/>
      <w:outlineLvl w:val="0"/>
    </w:pPr>
    <w:rPr>
      <w:rFonts w:ascii="Times New Roman" w:eastAsia="Times New Roman" w:hAnsi="Times New Roman" w:cs="Times New Roman"/>
      <w:sz w:val="24"/>
    </w:rPr>
  </w:style>
  <w:style w:type="paragraph" w:customStyle="1" w:styleId="JeremysSchL2">
    <w:name w:val="JeremysSch_L2"/>
    <w:basedOn w:val="JeremysSchL1"/>
    <w:next w:val="BodyText"/>
    <w:rsid w:val="00C32F8A"/>
    <w:pPr>
      <w:numPr>
        <w:ilvl w:val="1"/>
      </w:numPr>
      <w:outlineLvl w:val="1"/>
    </w:pPr>
  </w:style>
  <w:style w:type="paragraph" w:customStyle="1" w:styleId="JeremysSchL3">
    <w:name w:val="JeremysSch_L3"/>
    <w:basedOn w:val="JeremysSchL2"/>
    <w:next w:val="BodyText"/>
    <w:rsid w:val="00C32F8A"/>
    <w:pPr>
      <w:numPr>
        <w:ilvl w:val="2"/>
      </w:numPr>
      <w:outlineLvl w:val="2"/>
    </w:pPr>
  </w:style>
  <w:style w:type="paragraph" w:customStyle="1" w:styleId="JeremysSchL4">
    <w:name w:val="JeremysSch_L4"/>
    <w:basedOn w:val="JeremysSchL3"/>
    <w:next w:val="BodyText"/>
    <w:rsid w:val="00C32F8A"/>
    <w:pPr>
      <w:numPr>
        <w:ilvl w:val="3"/>
      </w:numPr>
      <w:outlineLvl w:val="3"/>
    </w:pPr>
  </w:style>
  <w:style w:type="paragraph" w:customStyle="1" w:styleId="JeremysSchL5">
    <w:name w:val="JeremysSch_L5"/>
    <w:basedOn w:val="JeremysSchL4"/>
    <w:next w:val="BodyText"/>
    <w:rsid w:val="00C32F8A"/>
    <w:pPr>
      <w:numPr>
        <w:ilvl w:val="4"/>
      </w:numPr>
      <w:outlineLvl w:val="4"/>
    </w:pPr>
  </w:style>
  <w:style w:type="paragraph" w:customStyle="1" w:styleId="JeremysSchL6">
    <w:name w:val="JeremysSch_L6"/>
    <w:basedOn w:val="JeremysSchL5"/>
    <w:next w:val="BodyText"/>
    <w:rsid w:val="00C32F8A"/>
    <w:pPr>
      <w:keepNext/>
      <w:keepLines/>
      <w:widowControl/>
      <w:numPr>
        <w:ilvl w:val="5"/>
      </w:numPr>
      <w:outlineLvl w:val="5"/>
    </w:pPr>
    <w:rPr>
      <w:b/>
      <w:u w:val="single"/>
    </w:rPr>
  </w:style>
  <w:style w:type="paragraph" w:customStyle="1" w:styleId="JeremysSchL7">
    <w:name w:val="JeremysSch_L7"/>
    <w:basedOn w:val="JeremysSchL6"/>
    <w:next w:val="BodyText"/>
    <w:rsid w:val="00C32F8A"/>
    <w:pPr>
      <w:numPr>
        <w:ilvl w:val="6"/>
      </w:numPr>
      <w:outlineLvl w:val="6"/>
    </w:pPr>
  </w:style>
  <w:style w:type="paragraph" w:customStyle="1" w:styleId="JeremysSchL8">
    <w:name w:val="JeremysSch_L8"/>
    <w:basedOn w:val="JeremysSchL7"/>
    <w:next w:val="BodyText"/>
    <w:rsid w:val="00C32F8A"/>
    <w:pPr>
      <w:numPr>
        <w:ilvl w:val="7"/>
      </w:numPr>
      <w:outlineLvl w:val="7"/>
    </w:pPr>
  </w:style>
  <w:style w:type="paragraph" w:customStyle="1" w:styleId="JeremysSchL9">
    <w:name w:val="JeremysSch_L9"/>
    <w:basedOn w:val="JeremysSchL8"/>
    <w:next w:val="BodyText"/>
    <w:rsid w:val="00C32F8A"/>
    <w:pPr>
      <w:numPr>
        <w:ilvl w:val="8"/>
      </w:numPr>
      <w:outlineLvl w:val="8"/>
    </w:pPr>
  </w:style>
  <w:style w:type="numbering" w:customStyle="1" w:styleId="CovingtonHeadings2">
    <w:name w:val="Covington Headings2"/>
    <w:uiPriority w:val="99"/>
    <w:rsid w:val="00C36BDB"/>
  </w:style>
  <w:style w:type="numbering" w:customStyle="1" w:styleId="CovingtonHeadings12">
    <w:name w:val="Covington Headings12"/>
    <w:uiPriority w:val="99"/>
    <w:rsid w:val="00C36BDB"/>
    <w:pPr>
      <w:numPr>
        <w:numId w:val="9"/>
      </w:numPr>
    </w:pPr>
  </w:style>
  <w:style w:type="paragraph" w:styleId="TOC1">
    <w:name w:val="toc 1"/>
    <w:basedOn w:val="Normal"/>
    <w:next w:val="Normal"/>
    <w:autoRedefine/>
    <w:uiPriority w:val="49"/>
    <w:semiHidden/>
    <w:unhideWhenUsed/>
    <w:rsid w:val="00BE45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765">
      <w:bodyDiv w:val="1"/>
      <w:marLeft w:val="0"/>
      <w:marRight w:val="0"/>
      <w:marTop w:val="0"/>
      <w:marBottom w:val="0"/>
      <w:divBdr>
        <w:top w:val="none" w:sz="0" w:space="0" w:color="auto"/>
        <w:left w:val="none" w:sz="0" w:space="0" w:color="auto"/>
        <w:bottom w:val="none" w:sz="0" w:space="0" w:color="auto"/>
        <w:right w:val="none" w:sz="0" w:space="0" w:color="auto"/>
      </w:divBdr>
    </w:div>
    <w:div w:id="19014750">
      <w:bodyDiv w:val="1"/>
      <w:marLeft w:val="0"/>
      <w:marRight w:val="0"/>
      <w:marTop w:val="0"/>
      <w:marBottom w:val="0"/>
      <w:divBdr>
        <w:top w:val="none" w:sz="0" w:space="0" w:color="auto"/>
        <w:left w:val="none" w:sz="0" w:space="0" w:color="auto"/>
        <w:bottom w:val="none" w:sz="0" w:space="0" w:color="auto"/>
        <w:right w:val="none" w:sz="0" w:space="0" w:color="auto"/>
      </w:divBdr>
    </w:div>
    <w:div w:id="66080070">
      <w:bodyDiv w:val="1"/>
      <w:marLeft w:val="0"/>
      <w:marRight w:val="0"/>
      <w:marTop w:val="0"/>
      <w:marBottom w:val="0"/>
      <w:divBdr>
        <w:top w:val="none" w:sz="0" w:space="0" w:color="auto"/>
        <w:left w:val="none" w:sz="0" w:space="0" w:color="auto"/>
        <w:bottom w:val="none" w:sz="0" w:space="0" w:color="auto"/>
        <w:right w:val="none" w:sz="0" w:space="0" w:color="auto"/>
      </w:divBdr>
    </w:div>
    <w:div w:id="123084766">
      <w:bodyDiv w:val="1"/>
      <w:marLeft w:val="0"/>
      <w:marRight w:val="0"/>
      <w:marTop w:val="0"/>
      <w:marBottom w:val="0"/>
      <w:divBdr>
        <w:top w:val="none" w:sz="0" w:space="0" w:color="auto"/>
        <w:left w:val="none" w:sz="0" w:space="0" w:color="auto"/>
        <w:bottom w:val="none" w:sz="0" w:space="0" w:color="auto"/>
        <w:right w:val="none" w:sz="0" w:space="0" w:color="auto"/>
      </w:divBdr>
    </w:div>
    <w:div w:id="142897115">
      <w:bodyDiv w:val="1"/>
      <w:marLeft w:val="0"/>
      <w:marRight w:val="0"/>
      <w:marTop w:val="0"/>
      <w:marBottom w:val="0"/>
      <w:divBdr>
        <w:top w:val="none" w:sz="0" w:space="0" w:color="auto"/>
        <w:left w:val="none" w:sz="0" w:space="0" w:color="auto"/>
        <w:bottom w:val="none" w:sz="0" w:space="0" w:color="auto"/>
        <w:right w:val="none" w:sz="0" w:space="0" w:color="auto"/>
      </w:divBdr>
    </w:div>
    <w:div w:id="169296429">
      <w:bodyDiv w:val="1"/>
      <w:marLeft w:val="0"/>
      <w:marRight w:val="0"/>
      <w:marTop w:val="0"/>
      <w:marBottom w:val="0"/>
      <w:divBdr>
        <w:top w:val="none" w:sz="0" w:space="0" w:color="auto"/>
        <w:left w:val="none" w:sz="0" w:space="0" w:color="auto"/>
        <w:bottom w:val="none" w:sz="0" w:space="0" w:color="auto"/>
        <w:right w:val="none" w:sz="0" w:space="0" w:color="auto"/>
      </w:divBdr>
    </w:div>
    <w:div w:id="178276898">
      <w:bodyDiv w:val="1"/>
      <w:marLeft w:val="0"/>
      <w:marRight w:val="0"/>
      <w:marTop w:val="0"/>
      <w:marBottom w:val="0"/>
      <w:divBdr>
        <w:top w:val="none" w:sz="0" w:space="0" w:color="auto"/>
        <w:left w:val="none" w:sz="0" w:space="0" w:color="auto"/>
        <w:bottom w:val="none" w:sz="0" w:space="0" w:color="auto"/>
        <w:right w:val="none" w:sz="0" w:space="0" w:color="auto"/>
      </w:divBdr>
    </w:div>
    <w:div w:id="186915725">
      <w:bodyDiv w:val="1"/>
      <w:marLeft w:val="0"/>
      <w:marRight w:val="0"/>
      <w:marTop w:val="0"/>
      <w:marBottom w:val="0"/>
      <w:divBdr>
        <w:top w:val="none" w:sz="0" w:space="0" w:color="auto"/>
        <w:left w:val="none" w:sz="0" w:space="0" w:color="auto"/>
        <w:bottom w:val="none" w:sz="0" w:space="0" w:color="auto"/>
        <w:right w:val="none" w:sz="0" w:space="0" w:color="auto"/>
      </w:divBdr>
    </w:div>
    <w:div w:id="203374046">
      <w:bodyDiv w:val="1"/>
      <w:marLeft w:val="0"/>
      <w:marRight w:val="0"/>
      <w:marTop w:val="0"/>
      <w:marBottom w:val="0"/>
      <w:divBdr>
        <w:top w:val="none" w:sz="0" w:space="0" w:color="auto"/>
        <w:left w:val="none" w:sz="0" w:space="0" w:color="auto"/>
        <w:bottom w:val="none" w:sz="0" w:space="0" w:color="auto"/>
        <w:right w:val="none" w:sz="0" w:space="0" w:color="auto"/>
      </w:divBdr>
    </w:div>
    <w:div w:id="207231462">
      <w:bodyDiv w:val="1"/>
      <w:marLeft w:val="0"/>
      <w:marRight w:val="0"/>
      <w:marTop w:val="0"/>
      <w:marBottom w:val="0"/>
      <w:divBdr>
        <w:top w:val="none" w:sz="0" w:space="0" w:color="auto"/>
        <w:left w:val="none" w:sz="0" w:space="0" w:color="auto"/>
        <w:bottom w:val="none" w:sz="0" w:space="0" w:color="auto"/>
        <w:right w:val="none" w:sz="0" w:space="0" w:color="auto"/>
      </w:divBdr>
    </w:div>
    <w:div w:id="257566115">
      <w:bodyDiv w:val="1"/>
      <w:marLeft w:val="0"/>
      <w:marRight w:val="0"/>
      <w:marTop w:val="0"/>
      <w:marBottom w:val="0"/>
      <w:divBdr>
        <w:top w:val="none" w:sz="0" w:space="0" w:color="auto"/>
        <w:left w:val="none" w:sz="0" w:space="0" w:color="auto"/>
        <w:bottom w:val="none" w:sz="0" w:space="0" w:color="auto"/>
        <w:right w:val="none" w:sz="0" w:space="0" w:color="auto"/>
      </w:divBdr>
    </w:div>
    <w:div w:id="306856717">
      <w:bodyDiv w:val="1"/>
      <w:marLeft w:val="0"/>
      <w:marRight w:val="0"/>
      <w:marTop w:val="0"/>
      <w:marBottom w:val="0"/>
      <w:divBdr>
        <w:top w:val="none" w:sz="0" w:space="0" w:color="auto"/>
        <w:left w:val="none" w:sz="0" w:space="0" w:color="auto"/>
        <w:bottom w:val="none" w:sz="0" w:space="0" w:color="auto"/>
        <w:right w:val="none" w:sz="0" w:space="0" w:color="auto"/>
      </w:divBdr>
    </w:div>
    <w:div w:id="422919979">
      <w:bodyDiv w:val="1"/>
      <w:marLeft w:val="0"/>
      <w:marRight w:val="0"/>
      <w:marTop w:val="0"/>
      <w:marBottom w:val="0"/>
      <w:divBdr>
        <w:top w:val="none" w:sz="0" w:space="0" w:color="auto"/>
        <w:left w:val="none" w:sz="0" w:space="0" w:color="auto"/>
        <w:bottom w:val="none" w:sz="0" w:space="0" w:color="auto"/>
        <w:right w:val="none" w:sz="0" w:space="0" w:color="auto"/>
      </w:divBdr>
    </w:div>
    <w:div w:id="434983331">
      <w:bodyDiv w:val="1"/>
      <w:marLeft w:val="0"/>
      <w:marRight w:val="0"/>
      <w:marTop w:val="0"/>
      <w:marBottom w:val="0"/>
      <w:divBdr>
        <w:top w:val="none" w:sz="0" w:space="0" w:color="auto"/>
        <w:left w:val="none" w:sz="0" w:space="0" w:color="auto"/>
        <w:bottom w:val="none" w:sz="0" w:space="0" w:color="auto"/>
        <w:right w:val="none" w:sz="0" w:space="0" w:color="auto"/>
      </w:divBdr>
    </w:div>
    <w:div w:id="499854880">
      <w:bodyDiv w:val="1"/>
      <w:marLeft w:val="0"/>
      <w:marRight w:val="0"/>
      <w:marTop w:val="0"/>
      <w:marBottom w:val="0"/>
      <w:divBdr>
        <w:top w:val="none" w:sz="0" w:space="0" w:color="auto"/>
        <w:left w:val="none" w:sz="0" w:space="0" w:color="auto"/>
        <w:bottom w:val="none" w:sz="0" w:space="0" w:color="auto"/>
        <w:right w:val="none" w:sz="0" w:space="0" w:color="auto"/>
      </w:divBdr>
    </w:div>
    <w:div w:id="556865857">
      <w:bodyDiv w:val="1"/>
      <w:marLeft w:val="0"/>
      <w:marRight w:val="0"/>
      <w:marTop w:val="0"/>
      <w:marBottom w:val="0"/>
      <w:divBdr>
        <w:top w:val="none" w:sz="0" w:space="0" w:color="auto"/>
        <w:left w:val="none" w:sz="0" w:space="0" w:color="auto"/>
        <w:bottom w:val="none" w:sz="0" w:space="0" w:color="auto"/>
        <w:right w:val="none" w:sz="0" w:space="0" w:color="auto"/>
      </w:divBdr>
    </w:div>
    <w:div w:id="591160854">
      <w:bodyDiv w:val="1"/>
      <w:marLeft w:val="0"/>
      <w:marRight w:val="0"/>
      <w:marTop w:val="0"/>
      <w:marBottom w:val="0"/>
      <w:divBdr>
        <w:top w:val="none" w:sz="0" w:space="0" w:color="auto"/>
        <w:left w:val="none" w:sz="0" w:space="0" w:color="auto"/>
        <w:bottom w:val="none" w:sz="0" w:space="0" w:color="auto"/>
        <w:right w:val="none" w:sz="0" w:space="0" w:color="auto"/>
      </w:divBdr>
    </w:div>
    <w:div w:id="604266119">
      <w:bodyDiv w:val="1"/>
      <w:marLeft w:val="0"/>
      <w:marRight w:val="0"/>
      <w:marTop w:val="0"/>
      <w:marBottom w:val="0"/>
      <w:divBdr>
        <w:top w:val="none" w:sz="0" w:space="0" w:color="auto"/>
        <w:left w:val="none" w:sz="0" w:space="0" w:color="auto"/>
        <w:bottom w:val="none" w:sz="0" w:space="0" w:color="auto"/>
        <w:right w:val="none" w:sz="0" w:space="0" w:color="auto"/>
      </w:divBdr>
    </w:div>
    <w:div w:id="605887394">
      <w:bodyDiv w:val="1"/>
      <w:marLeft w:val="0"/>
      <w:marRight w:val="0"/>
      <w:marTop w:val="0"/>
      <w:marBottom w:val="0"/>
      <w:divBdr>
        <w:top w:val="none" w:sz="0" w:space="0" w:color="auto"/>
        <w:left w:val="none" w:sz="0" w:space="0" w:color="auto"/>
        <w:bottom w:val="none" w:sz="0" w:space="0" w:color="auto"/>
        <w:right w:val="none" w:sz="0" w:space="0" w:color="auto"/>
      </w:divBdr>
    </w:div>
    <w:div w:id="637808545">
      <w:bodyDiv w:val="1"/>
      <w:marLeft w:val="0"/>
      <w:marRight w:val="0"/>
      <w:marTop w:val="0"/>
      <w:marBottom w:val="0"/>
      <w:divBdr>
        <w:top w:val="none" w:sz="0" w:space="0" w:color="auto"/>
        <w:left w:val="none" w:sz="0" w:space="0" w:color="auto"/>
        <w:bottom w:val="none" w:sz="0" w:space="0" w:color="auto"/>
        <w:right w:val="none" w:sz="0" w:space="0" w:color="auto"/>
      </w:divBdr>
    </w:div>
    <w:div w:id="684475344">
      <w:bodyDiv w:val="1"/>
      <w:marLeft w:val="0"/>
      <w:marRight w:val="0"/>
      <w:marTop w:val="0"/>
      <w:marBottom w:val="0"/>
      <w:divBdr>
        <w:top w:val="none" w:sz="0" w:space="0" w:color="auto"/>
        <w:left w:val="none" w:sz="0" w:space="0" w:color="auto"/>
        <w:bottom w:val="none" w:sz="0" w:space="0" w:color="auto"/>
        <w:right w:val="none" w:sz="0" w:space="0" w:color="auto"/>
      </w:divBdr>
    </w:div>
    <w:div w:id="701780802">
      <w:bodyDiv w:val="1"/>
      <w:marLeft w:val="0"/>
      <w:marRight w:val="0"/>
      <w:marTop w:val="0"/>
      <w:marBottom w:val="0"/>
      <w:divBdr>
        <w:top w:val="none" w:sz="0" w:space="0" w:color="auto"/>
        <w:left w:val="none" w:sz="0" w:space="0" w:color="auto"/>
        <w:bottom w:val="none" w:sz="0" w:space="0" w:color="auto"/>
        <w:right w:val="none" w:sz="0" w:space="0" w:color="auto"/>
      </w:divBdr>
    </w:div>
    <w:div w:id="747381575">
      <w:bodyDiv w:val="1"/>
      <w:marLeft w:val="0"/>
      <w:marRight w:val="0"/>
      <w:marTop w:val="0"/>
      <w:marBottom w:val="0"/>
      <w:divBdr>
        <w:top w:val="none" w:sz="0" w:space="0" w:color="auto"/>
        <w:left w:val="none" w:sz="0" w:space="0" w:color="auto"/>
        <w:bottom w:val="none" w:sz="0" w:space="0" w:color="auto"/>
        <w:right w:val="none" w:sz="0" w:space="0" w:color="auto"/>
      </w:divBdr>
    </w:div>
    <w:div w:id="760104390">
      <w:bodyDiv w:val="1"/>
      <w:marLeft w:val="0"/>
      <w:marRight w:val="0"/>
      <w:marTop w:val="0"/>
      <w:marBottom w:val="0"/>
      <w:divBdr>
        <w:top w:val="none" w:sz="0" w:space="0" w:color="auto"/>
        <w:left w:val="none" w:sz="0" w:space="0" w:color="auto"/>
        <w:bottom w:val="none" w:sz="0" w:space="0" w:color="auto"/>
        <w:right w:val="none" w:sz="0" w:space="0" w:color="auto"/>
      </w:divBdr>
    </w:div>
    <w:div w:id="786510507">
      <w:bodyDiv w:val="1"/>
      <w:marLeft w:val="0"/>
      <w:marRight w:val="0"/>
      <w:marTop w:val="0"/>
      <w:marBottom w:val="0"/>
      <w:divBdr>
        <w:top w:val="none" w:sz="0" w:space="0" w:color="auto"/>
        <w:left w:val="none" w:sz="0" w:space="0" w:color="auto"/>
        <w:bottom w:val="none" w:sz="0" w:space="0" w:color="auto"/>
        <w:right w:val="none" w:sz="0" w:space="0" w:color="auto"/>
      </w:divBdr>
    </w:div>
    <w:div w:id="800266976">
      <w:bodyDiv w:val="1"/>
      <w:marLeft w:val="0"/>
      <w:marRight w:val="0"/>
      <w:marTop w:val="0"/>
      <w:marBottom w:val="0"/>
      <w:divBdr>
        <w:top w:val="none" w:sz="0" w:space="0" w:color="auto"/>
        <w:left w:val="none" w:sz="0" w:space="0" w:color="auto"/>
        <w:bottom w:val="none" w:sz="0" w:space="0" w:color="auto"/>
        <w:right w:val="none" w:sz="0" w:space="0" w:color="auto"/>
      </w:divBdr>
    </w:div>
    <w:div w:id="817841619">
      <w:bodyDiv w:val="1"/>
      <w:marLeft w:val="0"/>
      <w:marRight w:val="0"/>
      <w:marTop w:val="0"/>
      <w:marBottom w:val="0"/>
      <w:divBdr>
        <w:top w:val="none" w:sz="0" w:space="0" w:color="auto"/>
        <w:left w:val="none" w:sz="0" w:space="0" w:color="auto"/>
        <w:bottom w:val="none" w:sz="0" w:space="0" w:color="auto"/>
        <w:right w:val="none" w:sz="0" w:space="0" w:color="auto"/>
      </w:divBdr>
      <w:divsChild>
        <w:div w:id="761730363">
          <w:marLeft w:val="0"/>
          <w:marRight w:val="0"/>
          <w:marTop w:val="0"/>
          <w:marBottom w:val="0"/>
          <w:divBdr>
            <w:top w:val="none" w:sz="0" w:space="0" w:color="auto"/>
            <w:left w:val="none" w:sz="0" w:space="0" w:color="auto"/>
            <w:bottom w:val="none" w:sz="0" w:space="0" w:color="auto"/>
            <w:right w:val="none" w:sz="0" w:space="0" w:color="auto"/>
          </w:divBdr>
        </w:div>
        <w:div w:id="2116485346">
          <w:marLeft w:val="0"/>
          <w:marRight w:val="0"/>
          <w:marTop w:val="0"/>
          <w:marBottom w:val="0"/>
          <w:divBdr>
            <w:top w:val="none" w:sz="0" w:space="0" w:color="auto"/>
            <w:left w:val="none" w:sz="0" w:space="0" w:color="auto"/>
            <w:bottom w:val="none" w:sz="0" w:space="0" w:color="auto"/>
            <w:right w:val="none" w:sz="0" w:space="0" w:color="auto"/>
          </w:divBdr>
        </w:div>
        <w:div w:id="1661958079">
          <w:marLeft w:val="0"/>
          <w:marRight w:val="0"/>
          <w:marTop w:val="0"/>
          <w:marBottom w:val="0"/>
          <w:divBdr>
            <w:top w:val="none" w:sz="0" w:space="0" w:color="auto"/>
            <w:left w:val="none" w:sz="0" w:space="0" w:color="auto"/>
            <w:bottom w:val="none" w:sz="0" w:space="0" w:color="auto"/>
            <w:right w:val="none" w:sz="0" w:space="0" w:color="auto"/>
          </w:divBdr>
        </w:div>
        <w:div w:id="2048488244">
          <w:marLeft w:val="0"/>
          <w:marRight w:val="0"/>
          <w:marTop w:val="0"/>
          <w:marBottom w:val="0"/>
          <w:divBdr>
            <w:top w:val="none" w:sz="0" w:space="0" w:color="auto"/>
            <w:left w:val="none" w:sz="0" w:space="0" w:color="auto"/>
            <w:bottom w:val="none" w:sz="0" w:space="0" w:color="auto"/>
            <w:right w:val="none" w:sz="0" w:space="0" w:color="auto"/>
          </w:divBdr>
        </w:div>
        <w:div w:id="707990504">
          <w:marLeft w:val="0"/>
          <w:marRight w:val="0"/>
          <w:marTop w:val="0"/>
          <w:marBottom w:val="0"/>
          <w:divBdr>
            <w:top w:val="none" w:sz="0" w:space="0" w:color="auto"/>
            <w:left w:val="none" w:sz="0" w:space="0" w:color="auto"/>
            <w:bottom w:val="none" w:sz="0" w:space="0" w:color="auto"/>
            <w:right w:val="none" w:sz="0" w:space="0" w:color="auto"/>
          </w:divBdr>
        </w:div>
      </w:divsChild>
    </w:div>
    <w:div w:id="824853297">
      <w:bodyDiv w:val="1"/>
      <w:marLeft w:val="0"/>
      <w:marRight w:val="0"/>
      <w:marTop w:val="0"/>
      <w:marBottom w:val="0"/>
      <w:divBdr>
        <w:top w:val="none" w:sz="0" w:space="0" w:color="auto"/>
        <w:left w:val="none" w:sz="0" w:space="0" w:color="auto"/>
        <w:bottom w:val="none" w:sz="0" w:space="0" w:color="auto"/>
        <w:right w:val="none" w:sz="0" w:space="0" w:color="auto"/>
      </w:divBdr>
    </w:div>
    <w:div w:id="907810653">
      <w:bodyDiv w:val="1"/>
      <w:marLeft w:val="0"/>
      <w:marRight w:val="0"/>
      <w:marTop w:val="0"/>
      <w:marBottom w:val="0"/>
      <w:divBdr>
        <w:top w:val="none" w:sz="0" w:space="0" w:color="auto"/>
        <w:left w:val="none" w:sz="0" w:space="0" w:color="auto"/>
        <w:bottom w:val="none" w:sz="0" w:space="0" w:color="auto"/>
        <w:right w:val="none" w:sz="0" w:space="0" w:color="auto"/>
      </w:divBdr>
    </w:div>
    <w:div w:id="910820120">
      <w:bodyDiv w:val="1"/>
      <w:marLeft w:val="0"/>
      <w:marRight w:val="0"/>
      <w:marTop w:val="0"/>
      <w:marBottom w:val="0"/>
      <w:divBdr>
        <w:top w:val="none" w:sz="0" w:space="0" w:color="auto"/>
        <w:left w:val="none" w:sz="0" w:space="0" w:color="auto"/>
        <w:bottom w:val="none" w:sz="0" w:space="0" w:color="auto"/>
        <w:right w:val="none" w:sz="0" w:space="0" w:color="auto"/>
      </w:divBdr>
    </w:div>
    <w:div w:id="920869809">
      <w:bodyDiv w:val="1"/>
      <w:marLeft w:val="0"/>
      <w:marRight w:val="0"/>
      <w:marTop w:val="0"/>
      <w:marBottom w:val="0"/>
      <w:divBdr>
        <w:top w:val="none" w:sz="0" w:space="0" w:color="auto"/>
        <w:left w:val="none" w:sz="0" w:space="0" w:color="auto"/>
        <w:bottom w:val="none" w:sz="0" w:space="0" w:color="auto"/>
        <w:right w:val="none" w:sz="0" w:space="0" w:color="auto"/>
      </w:divBdr>
    </w:div>
    <w:div w:id="930503806">
      <w:bodyDiv w:val="1"/>
      <w:marLeft w:val="0"/>
      <w:marRight w:val="0"/>
      <w:marTop w:val="0"/>
      <w:marBottom w:val="0"/>
      <w:divBdr>
        <w:top w:val="none" w:sz="0" w:space="0" w:color="auto"/>
        <w:left w:val="none" w:sz="0" w:space="0" w:color="auto"/>
        <w:bottom w:val="none" w:sz="0" w:space="0" w:color="auto"/>
        <w:right w:val="none" w:sz="0" w:space="0" w:color="auto"/>
      </w:divBdr>
    </w:div>
    <w:div w:id="954992014">
      <w:bodyDiv w:val="1"/>
      <w:marLeft w:val="0"/>
      <w:marRight w:val="0"/>
      <w:marTop w:val="0"/>
      <w:marBottom w:val="0"/>
      <w:divBdr>
        <w:top w:val="none" w:sz="0" w:space="0" w:color="auto"/>
        <w:left w:val="none" w:sz="0" w:space="0" w:color="auto"/>
        <w:bottom w:val="none" w:sz="0" w:space="0" w:color="auto"/>
        <w:right w:val="none" w:sz="0" w:space="0" w:color="auto"/>
      </w:divBdr>
    </w:div>
    <w:div w:id="967315881">
      <w:bodyDiv w:val="1"/>
      <w:marLeft w:val="0"/>
      <w:marRight w:val="0"/>
      <w:marTop w:val="0"/>
      <w:marBottom w:val="0"/>
      <w:divBdr>
        <w:top w:val="none" w:sz="0" w:space="0" w:color="auto"/>
        <w:left w:val="none" w:sz="0" w:space="0" w:color="auto"/>
        <w:bottom w:val="none" w:sz="0" w:space="0" w:color="auto"/>
        <w:right w:val="none" w:sz="0" w:space="0" w:color="auto"/>
      </w:divBdr>
    </w:div>
    <w:div w:id="1020854374">
      <w:bodyDiv w:val="1"/>
      <w:marLeft w:val="0"/>
      <w:marRight w:val="0"/>
      <w:marTop w:val="0"/>
      <w:marBottom w:val="0"/>
      <w:divBdr>
        <w:top w:val="none" w:sz="0" w:space="0" w:color="auto"/>
        <w:left w:val="none" w:sz="0" w:space="0" w:color="auto"/>
        <w:bottom w:val="none" w:sz="0" w:space="0" w:color="auto"/>
        <w:right w:val="none" w:sz="0" w:space="0" w:color="auto"/>
      </w:divBdr>
    </w:div>
    <w:div w:id="1043602676">
      <w:bodyDiv w:val="1"/>
      <w:marLeft w:val="0"/>
      <w:marRight w:val="0"/>
      <w:marTop w:val="0"/>
      <w:marBottom w:val="0"/>
      <w:divBdr>
        <w:top w:val="none" w:sz="0" w:space="0" w:color="auto"/>
        <w:left w:val="none" w:sz="0" w:space="0" w:color="auto"/>
        <w:bottom w:val="none" w:sz="0" w:space="0" w:color="auto"/>
        <w:right w:val="none" w:sz="0" w:space="0" w:color="auto"/>
      </w:divBdr>
    </w:div>
    <w:div w:id="1111582469">
      <w:bodyDiv w:val="1"/>
      <w:marLeft w:val="0"/>
      <w:marRight w:val="0"/>
      <w:marTop w:val="0"/>
      <w:marBottom w:val="0"/>
      <w:divBdr>
        <w:top w:val="none" w:sz="0" w:space="0" w:color="auto"/>
        <w:left w:val="none" w:sz="0" w:space="0" w:color="auto"/>
        <w:bottom w:val="none" w:sz="0" w:space="0" w:color="auto"/>
        <w:right w:val="none" w:sz="0" w:space="0" w:color="auto"/>
      </w:divBdr>
    </w:div>
    <w:div w:id="1116633797">
      <w:bodyDiv w:val="1"/>
      <w:marLeft w:val="0"/>
      <w:marRight w:val="0"/>
      <w:marTop w:val="0"/>
      <w:marBottom w:val="0"/>
      <w:divBdr>
        <w:top w:val="none" w:sz="0" w:space="0" w:color="auto"/>
        <w:left w:val="none" w:sz="0" w:space="0" w:color="auto"/>
        <w:bottom w:val="none" w:sz="0" w:space="0" w:color="auto"/>
        <w:right w:val="none" w:sz="0" w:space="0" w:color="auto"/>
      </w:divBdr>
    </w:div>
    <w:div w:id="1126313317">
      <w:bodyDiv w:val="1"/>
      <w:marLeft w:val="0"/>
      <w:marRight w:val="0"/>
      <w:marTop w:val="0"/>
      <w:marBottom w:val="0"/>
      <w:divBdr>
        <w:top w:val="none" w:sz="0" w:space="0" w:color="auto"/>
        <w:left w:val="none" w:sz="0" w:space="0" w:color="auto"/>
        <w:bottom w:val="none" w:sz="0" w:space="0" w:color="auto"/>
        <w:right w:val="none" w:sz="0" w:space="0" w:color="auto"/>
      </w:divBdr>
    </w:div>
    <w:div w:id="1256550202">
      <w:bodyDiv w:val="1"/>
      <w:marLeft w:val="0"/>
      <w:marRight w:val="0"/>
      <w:marTop w:val="0"/>
      <w:marBottom w:val="0"/>
      <w:divBdr>
        <w:top w:val="none" w:sz="0" w:space="0" w:color="auto"/>
        <w:left w:val="none" w:sz="0" w:space="0" w:color="auto"/>
        <w:bottom w:val="none" w:sz="0" w:space="0" w:color="auto"/>
        <w:right w:val="none" w:sz="0" w:space="0" w:color="auto"/>
      </w:divBdr>
    </w:div>
    <w:div w:id="1256745991">
      <w:bodyDiv w:val="1"/>
      <w:marLeft w:val="0"/>
      <w:marRight w:val="0"/>
      <w:marTop w:val="0"/>
      <w:marBottom w:val="0"/>
      <w:divBdr>
        <w:top w:val="none" w:sz="0" w:space="0" w:color="auto"/>
        <w:left w:val="none" w:sz="0" w:space="0" w:color="auto"/>
        <w:bottom w:val="none" w:sz="0" w:space="0" w:color="auto"/>
        <w:right w:val="none" w:sz="0" w:space="0" w:color="auto"/>
      </w:divBdr>
    </w:div>
    <w:div w:id="1257636608">
      <w:bodyDiv w:val="1"/>
      <w:marLeft w:val="0"/>
      <w:marRight w:val="0"/>
      <w:marTop w:val="0"/>
      <w:marBottom w:val="0"/>
      <w:divBdr>
        <w:top w:val="none" w:sz="0" w:space="0" w:color="auto"/>
        <w:left w:val="none" w:sz="0" w:space="0" w:color="auto"/>
        <w:bottom w:val="none" w:sz="0" w:space="0" w:color="auto"/>
        <w:right w:val="none" w:sz="0" w:space="0" w:color="auto"/>
      </w:divBdr>
    </w:div>
    <w:div w:id="1279145521">
      <w:bodyDiv w:val="1"/>
      <w:marLeft w:val="0"/>
      <w:marRight w:val="0"/>
      <w:marTop w:val="0"/>
      <w:marBottom w:val="0"/>
      <w:divBdr>
        <w:top w:val="none" w:sz="0" w:space="0" w:color="auto"/>
        <w:left w:val="none" w:sz="0" w:space="0" w:color="auto"/>
        <w:bottom w:val="none" w:sz="0" w:space="0" w:color="auto"/>
        <w:right w:val="none" w:sz="0" w:space="0" w:color="auto"/>
      </w:divBdr>
    </w:div>
    <w:div w:id="1279727329">
      <w:bodyDiv w:val="1"/>
      <w:marLeft w:val="0"/>
      <w:marRight w:val="0"/>
      <w:marTop w:val="0"/>
      <w:marBottom w:val="0"/>
      <w:divBdr>
        <w:top w:val="none" w:sz="0" w:space="0" w:color="auto"/>
        <w:left w:val="none" w:sz="0" w:space="0" w:color="auto"/>
        <w:bottom w:val="none" w:sz="0" w:space="0" w:color="auto"/>
        <w:right w:val="none" w:sz="0" w:space="0" w:color="auto"/>
      </w:divBdr>
    </w:div>
    <w:div w:id="1302924931">
      <w:bodyDiv w:val="1"/>
      <w:marLeft w:val="0"/>
      <w:marRight w:val="0"/>
      <w:marTop w:val="0"/>
      <w:marBottom w:val="0"/>
      <w:divBdr>
        <w:top w:val="none" w:sz="0" w:space="0" w:color="auto"/>
        <w:left w:val="none" w:sz="0" w:space="0" w:color="auto"/>
        <w:bottom w:val="none" w:sz="0" w:space="0" w:color="auto"/>
        <w:right w:val="none" w:sz="0" w:space="0" w:color="auto"/>
      </w:divBdr>
    </w:div>
    <w:div w:id="1308244758">
      <w:bodyDiv w:val="1"/>
      <w:marLeft w:val="0"/>
      <w:marRight w:val="0"/>
      <w:marTop w:val="0"/>
      <w:marBottom w:val="0"/>
      <w:divBdr>
        <w:top w:val="none" w:sz="0" w:space="0" w:color="auto"/>
        <w:left w:val="none" w:sz="0" w:space="0" w:color="auto"/>
        <w:bottom w:val="none" w:sz="0" w:space="0" w:color="auto"/>
        <w:right w:val="none" w:sz="0" w:space="0" w:color="auto"/>
      </w:divBdr>
    </w:div>
    <w:div w:id="1346639015">
      <w:bodyDiv w:val="1"/>
      <w:marLeft w:val="0"/>
      <w:marRight w:val="0"/>
      <w:marTop w:val="0"/>
      <w:marBottom w:val="0"/>
      <w:divBdr>
        <w:top w:val="none" w:sz="0" w:space="0" w:color="auto"/>
        <w:left w:val="none" w:sz="0" w:space="0" w:color="auto"/>
        <w:bottom w:val="none" w:sz="0" w:space="0" w:color="auto"/>
        <w:right w:val="none" w:sz="0" w:space="0" w:color="auto"/>
      </w:divBdr>
    </w:div>
    <w:div w:id="1373076413">
      <w:bodyDiv w:val="1"/>
      <w:marLeft w:val="0"/>
      <w:marRight w:val="0"/>
      <w:marTop w:val="0"/>
      <w:marBottom w:val="0"/>
      <w:divBdr>
        <w:top w:val="none" w:sz="0" w:space="0" w:color="auto"/>
        <w:left w:val="none" w:sz="0" w:space="0" w:color="auto"/>
        <w:bottom w:val="none" w:sz="0" w:space="0" w:color="auto"/>
        <w:right w:val="none" w:sz="0" w:space="0" w:color="auto"/>
      </w:divBdr>
    </w:div>
    <w:div w:id="1376269856">
      <w:bodyDiv w:val="1"/>
      <w:marLeft w:val="0"/>
      <w:marRight w:val="0"/>
      <w:marTop w:val="0"/>
      <w:marBottom w:val="0"/>
      <w:divBdr>
        <w:top w:val="none" w:sz="0" w:space="0" w:color="auto"/>
        <w:left w:val="none" w:sz="0" w:space="0" w:color="auto"/>
        <w:bottom w:val="none" w:sz="0" w:space="0" w:color="auto"/>
        <w:right w:val="none" w:sz="0" w:space="0" w:color="auto"/>
      </w:divBdr>
    </w:div>
    <w:div w:id="1388991760">
      <w:bodyDiv w:val="1"/>
      <w:marLeft w:val="0"/>
      <w:marRight w:val="0"/>
      <w:marTop w:val="0"/>
      <w:marBottom w:val="0"/>
      <w:divBdr>
        <w:top w:val="none" w:sz="0" w:space="0" w:color="auto"/>
        <w:left w:val="none" w:sz="0" w:space="0" w:color="auto"/>
        <w:bottom w:val="none" w:sz="0" w:space="0" w:color="auto"/>
        <w:right w:val="none" w:sz="0" w:space="0" w:color="auto"/>
      </w:divBdr>
    </w:div>
    <w:div w:id="1389304325">
      <w:bodyDiv w:val="1"/>
      <w:marLeft w:val="0"/>
      <w:marRight w:val="0"/>
      <w:marTop w:val="0"/>
      <w:marBottom w:val="0"/>
      <w:divBdr>
        <w:top w:val="none" w:sz="0" w:space="0" w:color="auto"/>
        <w:left w:val="none" w:sz="0" w:space="0" w:color="auto"/>
        <w:bottom w:val="none" w:sz="0" w:space="0" w:color="auto"/>
        <w:right w:val="none" w:sz="0" w:space="0" w:color="auto"/>
      </w:divBdr>
    </w:div>
    <w:div w:id="1408260645">
      <w:bodyDiv w:val="1"/>
      <w:marLeft w:val="0"/>
      <w:marRight w:val="0"/>
      <w:marTop w:val="0"/>
      <w:marBottom w:val="0"/>
      <w:divBdr>
        <w:top w:val="none" w:sz="0" w:space="0" w:color="auto"/>
        <w:left w:val="none" w:sz="0" w:space="0" w:color="auto"/>
        <w:bottom w:val="none" w:sz="0" w:space="0" w:color="auto"/>
        <w:right w:val="none" w:sz="0" w:space="0" w:color="auto"/>
      </w:divBdr>
      <w:divsChild>
        <w:div w:id="2018000522">
          <w:marLeft w:val="0"/>
          <w:marRight w:val="0"/>
          <w:marTop w:val="0"/>
          <w:marBottom w:val="0"/>
          <w:divBdr>
            <w:top w:val="none" w:sz="0" w:space="0" w:color="auto"/>
            <w:left w:val="none" w:sz="0" w:space="0" w:color="auto"/>
            <w:bottom w:val="none" w:sz="0" w:space="0" w:color="auto"/>
            <w:right w:val="none" w:sz="0" w:space="0" w:color="auto"/>
          </w:divBdr>
        </w:div>
        <w:div w:id="1582715079">
          <w:marLeft w:val="0"/>
          <w:marRight w:val="0"/>
          <w:marTop w:val="0"/>
          <w:marBottom w:val="0"/>
          <w:divBdr>
            <w:top w:val="none" w:sz="0" w:space="0" w:color="auto"/>
            <w:left w:val="none" w:sz="0" w:space="0" w:color="auto"/>
            <w:bottom w:val="none" w:sz="0" w:space="0" w:color="auto"/>
            <w:right w:val="none" w:sz="0" w:space="0" w:color="auto"/>
          </w:divBdr>
        </w:div>
        <w:div w:id="261498511">
          <w:marLeft w:val="0"/>
          <w:marRight w:val="0"/>
          <w:marTop w:val="0"/>
          <w:marBottom w:val="0"/>
          <w:divBdr>
            <w:top w:val="none" w:sz="0" w:space="0" w:color="auto"/>
            <w:left w:val="none" w:sz="0" w:space="0" w:color="auto"/>
            <w:bottom w:val="none" w:sz="0" w:space="0" w:color="auto"/>
            <w:right w:val="none" w:sz="0" w:space="0" w:color="auto"/>
          </w:divBdr>
        </w:div>
        <w:div w:id="1211381849">
          <w:marLeft w:val="0"/>
          <w:marRight w:val="0"/>
          <w:marTop w:val="0"/>
          <w:marBottom w:val="0"/>
          <w:divBdr>
            <w:top w:val="none" w:sz="0" w:space="0" w:color="auto"/>
            <w:left w:val="none" w:sz="0" w:space="0" w:color="auto"/>
            <w:bottom w:val="none" w:sz="0" w:space="0" w:color="auto"/>
            <w:right w:val="none" w:sz="0" w:space="0" w:color="auto"/>
          </w:divBdr>
        </w:div>
      </w:divsChild>
    </w:div>
    <w:div w:id="1435856102">
      <w:bodyDiv w:val="1"/>
      <w:marLeft w:val="0"/>
      <w:marRight w:val="0"/>
      <w:marTop w:val="0"/>
      <w:marBottom w:val="0"/>
      <w:divBdr>
        <w:top w:val="none" w:sz="0" w:space="0" w:color="auto"/>
        <w:left w:val="none" w:sz="0" w:space="0" w:color="auto"/>
        <w:bottom w:val="none" w:sz="0" w:space="0" w:color="auto"/>
        <w:right w:val="none" w:sz="0" w:space="0" w:color="auto"/>
      </w:divBdr>
    </w:div>
    <w:div w:id="1437019844">
      <w:bodyDiv w:val="1"/>
      <w:marLeft w:val="0"/>
      <w:marRight w:val="0"/>
      <w:marTop w:val="0"/>
      <w:marBottom w:val="0"/>
      <w:divBdr>
        <w:top w:val="none" w:sz="0" w:space="0" w:color="auto"/>
        <w:left w:val="none" w:sz="0" w:space="0" w:color="auto"/>
        <w:bottom w:val="none" w:sz="0" w:space="0" w:color="auto"/>
        <w:right w:val="none" w:sz="0" w:space="0" w:color="auto"/>
      </w:divBdr>
    </w:div>
    <w:div w:id="1511793253">
      <w:bodyDiv w:val="1"/>
      <w:marLeft w:val="0"/>
      <w:marRight w:val="0"/>
      <w:marTop w:val="0"/>
      <w:marBottom w:val="0"/>
      <w:divBdr>
        <w:top w:val="none" w:sz="0" w:space="0" w:color="auto"/>
        <w:left w:val="none" w:sz="0" w:space="0" w:color="auto"/>
        <w:bottom w:val="none" w:sz="0" w:space="0" w:color="auto"/>
        <w:right w:val="none" w:sz="0" w:space="0" w:color="auto"/>
      </w:divBdr>
    </w:div>
    <w:div w:id="1540632556">
      <w:bodyDiv w:val="1"/>
      <w:marLeft w:val="0"/>
      <w:marRight w:val="0"/>
      <w:marTop w:val="0"/>
      <w:marBottom w:val="0"/>
      <w:divBdr>
        <w:top w:val="none" w:sz="0" w:space="0" w:color="auto"/>
        <w:left w:val="none" w:sz="0" w:space="0" w:color="auto"/>
        <w:bottom w:val="none" w:sz="0" w:space="0" w:color="auto"/>
        <w:right w:val="none" w:sz="0" w:space="0" w:color="auto"/>
      </w:divBdr>
    </w:div>
    <w:div w:id="1652711677">
      <w:bodyDiv w:val="1"/>
      <w:marLeft w:val="0"/>
      <w:marRight w:val="0"/>
      <w:marTop w:val="0"/>
      <w:marBottom w:val="0"/>
      <w:divBdr>
        <w:top w:val="none" w:sz="0" w:space="0" w:color="auto"/>
        <w:left w:val="none" w:sz="0" w:space="0" w:color="auto"/>
        <w:bottom w:val="none" w:sz="0" w:space="0" w:color="auto"/>
        <w:right w:val="none" w:sz="0" w:space="0" w:color="auto"/>
      </w:divBdr>
    </w:div>
    <w:div w:id="1659843343">
      <w:bodyDiv w:val="1"/>
      <w:marLeft w:val="0"/>
      <w:marRight w:val="0"/>
      <w:marTop w:val="0"/>
      <w:marBottom w:val="0"/>
      <w:divBdr>
        <w:top w:val="none" w:sz="0" w:space="0" w:color="auto"/>
        <w:left w:val="none" w:sz="0" w:space="0" w:color="auto"/>
        <w:bottom w:val="none" w:sz="0" w:space="0" w:color="auto"/>
        <w:right w:val="none" w:sz="0" w:space="0" w:color="auto"/>
      </w:divBdr>
    </w:div>
    <w:div w:id="1674260178">
      <w:bodyDiv w:val="1"/>
      <w:marLeft w:val="0"/>
      <w:marRight w:val="0"/>
      <w:marTop w:val="0"/>
      <w:marBottom w:val="0"/>
      <w:divBdr>
        <w:top w:val="none" w:sz="0" w:space="0" w:color="auto"/>
        <w:left w:val="none" w:sz="0" w:space="0" w:color="auto"/>
        <w:bottom w:val="none" w:sz="0" w:space="0" w:color="auto"/>
        <w:right w:val="none" w:sz="0" w:space="0" w:color="auto"/>
      </w:divBdr>
    </w:div>
    <w:div w:id="1761440522">
      <w:bodyDiv w:val="1"/>
      <w:marLeft w:val="0"/>
      <w:marRight w:val="0"/>
      <w:marTop w:val="0"/>
      <w:marBottom w:val="0"/>
      <w:divBdr>
        <w:top w:val="none" w:sz="0" w:space="0" w:color="auto"/>
        <w:left w:val="none" w:sz="0" w:space="0" w:color="auto"/>
        <w:bottom w:val="none" w:sz="0" w:space="0" w:color="auto"/>
        <w:right w:val="none" w:sz="0" w:space="0" w:color="auto"/>
      </w:divBdr>
    </w:div>
    <w:div w:id="1793552079">
      <w:bodyDiv w:val="1"/>
      <w:marLeft w:val="0"/>
      <w:marRight w:val="0"/>
      <w:marTop w:val="0"/>
      <w:marBottom w:val="0"/>
      <w:divBdr>
        <w:top w:val="none" w:sz="0" w:space="0" w:color="auto"/>
        <w:left w:val="none" w:sz="0" w:space="0" w:color="auto"/>
        <w:bottom w:val="none" w:sz="0" w:space="0" w:color="auto"/>
        <w:right w:val="none" w:sz="0" w:space="0" w:color="auto"/>
      </w:divBdr>
    </w:div>
    <w:div w:id="1818305636">
      <w:bodyDiv w:val="1"/>
      <w:marLeft w:val="0"/>
      <w:marRight w:val="0"/>
      <w:marTop w:val="0"/>
      <w:marBottom w:val="0"/>
      <w:divBdr>
        <w:top w:val="none" w:sz="0" w:space="0" w:color="auto"/>
        <w:left w:val="none" w:sz="0" w:space="0" w:color="auto"/>
        <w:bottom w:val="none" w:sz="0" w:space="0" w:color="auto"/>
        <w:right w:val="none" w:sz="0" w:space="0" w:color="auto"/>
      </w:divBdr>
    </w:div>
    <w:div w:id="1903518538">
      <w:bodyDiv w:val="1"/>
      <w:marLeft w:val="0"/>
      <w:marRight w:val="0"/>
      <w:marTop w:val="0"/>
      <w:marBottom w:val="0"/>
      <w:divBdr>
        <w:top w:val="none" w:sz="0" w:space="0" w:color="auto"/>
        <w:left w:val="none" w:sz="0" w:space="0" w:color="auto"/>
        <w:bottom w:val="none" w:sz="0" w:space="0" w:color="auto"/>
        <w:right w:val="none" w:sz="0" w:space="0" w:color="auto"/>
      </w:divBdr>
    </w:div>
    <w:div w:id="1949697304">
      <w:bodyDiv w:val="1"/>
      <w:marLeft w:val="0"/>
      <w:marRight w:val="0"/>
      <w:marTop w:val="0"/>
      <w:marBottom w:val="0"/>
      <w:divBdr>
        <w:top w:val="none" w:sz="0" w:space="0" w:color="auto"/>
        <w:left w:val="none" w:sz="0" w:space="0" w:color="auto"/>
        <w:bottom w:val="none" w:sz="0" w:space="0" w:color="auto"/>
        <w:right w:val="none" w:sz="0" w:space="0" w:color="auto"/>
      </w:divBdr>
    </w:div>
    <w:div w:id="1954630940">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 w:id="1978607074">
      <w:bodyDiv w:val="1"/>
      <w:marLeft w:val="0"/>
      <w:marRight w:val="0"/>
      <w:marTop w:val="0"/>
      <w:marBottom w:val="0"/>
      <w:divBdr>
        <w:top w:val="none" w:sz="0" w:space="0" w:color="auto"/>
        <w:left w:val="none" w:sz="0" w:space="0" w:color="auto"/>
        <w:bottom w:val="none" w:sz="0" w:space="0" w:color="auto"/>
        <w:right w:val="none" w:sz="0" w:space="0" w:color="auto"/>
      </w:divBdr>
    </w:div>
    <w:div w:id="1984462729">
      <w:bodyDiv w:val="1"/>
      <w:marLeft w:val="0"/>
      <w:marRight w:val="0"/>
      <w:marTop w:val="0"/>
      <w:marBottom w:val="0"/>
      <w:divBdr>
        <w:top w:val="none" w:sz="0" w:space="0" w:color="auto"/>
        <w:left w:val="none" w:sz="0" w:space="0" w:color="auto"/>
        <w:bottom w:val="none" w:sz="0" w:space="0" w:color="auto"/>
        <w:right w:val="none" w:sz="0" w:space="0" w:color="auto"/>
      </w:divBdr>
    </w:div>
    <w:div w:id="2009097207">
      <w:bodyDiv w:val="1"/>
      <w:marLeft w:val="0"/>
      <w:marRight w:val="0"/>
      <w:marTop w:val="0"/>
      <w:marBottom w:val="0"/>
      <w:divBdr>
        <w:top w:val="none" w:sz="0" w:space="0" w:color="auto"/>
        <w:left w:val="none" w:sz="0" w:space="0" w:color="auto"/>
        <w:bottom w:val="none" w:sz="0" w:space="0" w:color="auto"/>
        <w:right w:val="none" w:sz="0" w:space="0" w:color="auto"/>
      </w:divBdr>
    </w:div>
    <w:div w:id="2030984208">
      <w:bodyDiv w:val="1"/>
      <w:marLeft w:val="0"/>
      <w:marRight w:val="0"/>
      <w:marTop w:val="0"/>
      <w:marBottom w:val="0"/>
      <w:divBdr>
        <w:top w:val="none" w:sz="0" w:space="0" w:color="auto"/>
        <w:left w:val="none" w:sz="0" w:space="0" w:color="auto"/>
        <w:bottom w:val="none" w:sz="0" w:space="0" w:color="auto"/>
        <w:right w:val="none" w:sz="0" w:space="0" w:color="auto"/>
      </w:divBdr>
    </w:div>
    <w:div w:id="2056929686">
      <w:bodyDiv w:val="1"/>
      <w:marLeft w:val="0"/>
      <w:marRight w:val="0"/>
      <w:marTop w:val="0"/>
      <w:marBottom w:val="0"/>
      <w:divBdr>
        <w:top w:val="none" w:sz="0" w:space="0" w:color="auto"/>
        <w:left w:val="none" w:sz="0" w:space="0" w:color="auto"/>
        <w:bottom w:val="none" w:sz="0" w:space="0" w:color="auto"/>
        <w:right w:val="none" w:sz="0" w:space="0" w:color="auto"/>
      </w:divBdr>
    </w:div>
    <w:div w:id="2061324092">
      <w:bodyDiv w:val="1"/>
      <w:marLeft w:val="0"/>
      <w:marRight w:val="0"/>
      <w:marTop w:val="0"/>
      <w:marBottom w:val="0"/>
      <w:divBdr>
        <w:top w:val="none" w:sz="0" w:space="0" w:color="auto"/>
        <w:left w:val="none" w:sz="0" w:space="0" w:color="auto"/>
        <w:bottom w:val="none" w:sz="0" w:space="0" w:color="auto"/>
        <w:right w:val="none" w:sz="0" w:space="0" w:color="auto"/>
      </w:divBdr>
    </w:div>
    <w:div w:id="2074884381">
      <w:bodyDiv w:val="1"/>
      <w:marLeft w:val="0"/>
      <w:marRight w:val="0"/>
      <w:marTop w:val="0"/>
      <w:marBottom w:val="0"/>
      <w:divBdr>
        <w:top w:val="none" w:sz="0" w:space="0" w:color="auto"/>
        <w:left w:val="none" w:sz="0" w:space="0" w:color="auto"/>
        <w:bottom w:val="none" w:sz="0" w:space="0" w:color="auto"/>
        <w:right w:val="none" w:sz="0" w:space="0" w:color="auto"/>
      </w:divBdr>
    </w:div>
    <w:div w:id="2137750349">
      <w:bodyDiv w:val="1"/>
      <w:marLeft w:val="0"/>
      <w:marRight w:val="0"/>
      <w:marTop w:val="0"/>
      <w:marBottom w:val="0"/>
      <w:divBdr>
        <w:top w:val="none" w:sz="0" w:space="0" w:color="auto"/>
        <w:left w:val="none" w:sz="0" w:space="0" w:color="auto"/>
        <w:bottom w:val="none" w:sz="0" w:space="0" w:color="auto"/>
        <w:right w:val="none" w:sz="0" w:space="0" w:color="auto"/>
      </w:divBdr>
    </w:div>
    <w:div w:id="21448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rick Colors">
      <a:dk1>
        <a:sysClr val="windowText" lastClr="000000"/>
      </a:dk1>
      <a:lt1>
        <a:sysClr val="window" lastClr="FFFFFF"/>
      </a:lt1>
      <a:dk2>
        <a:srgbClr val="1F497D"/>
      </a:dk2>
      <a:lt2>
        <a:srgbClr val="EEECE1"/>
      </a:lt2>
      <a:accent1>
        <a:srgbClr val="009966"/>
      </a:accent1>
      <a:accent2>
        <a:srgbClr val="6E6E6E"/>
      </a:accent2>
      <a:accent3>
        <a:srgbClr val="016D9B"/>
      </a:accent3>
      <a:accent4>
        <a:srgbClr val="DF6E1E"/>
      </a:accent4>
      <a:accent5>
        <a:srgbClr val="669999"/>
      </a:accent5>
      <a:accent6>
        <a:srgbClr val="99CC66"/>
      </a:accent6>
      <a:hlink>
        <a:srgbClr val="009966"/>
      </a:hlink>
      <a:folHlink>
        <a:srgbClr val="009966"/>
      </a:folHlink>
    </a:clrScheme>
    <a:fontScheme name="Orrick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2ED6-C2FE-456C-B79B-256861B6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15870</Words>
  <Characters>90462</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Orrick</Company>
  <LinksUpToDate>false</LinksUpToDate>
  <CharactersWithSpaces>106120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6mp</dc:creator>
  <cp:keywords/>
  <dc:description/>
  <cp:lastModifiedBy>Chow, Manyee</cp:lastModifiedBy>
  <cp:revision>2</cp:revision>
  <cp:lastPrinted>2018-09-07T14:06:00Z</cp:lastPrinted>
  <dcterms:created xsi:type="dcterms:W3CDTF">2020-01-30T19:24:00Z</dcterms:created>
  <dcterms:modified xsi:type="dcterms:W3CDTF">2020-01-30T19:24:00Z</dcterms:modified>
</cp:coreProperties>
</file>