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Analisis Data Latihan Bank Indonesia</w:t>
      </w:r>
    </w:p>
    <w:p>
      <w:r>
        <w:rPr>
          <w:b/>
          <w:sz w:val="28"/>
        </w:rPr>
        <w:t>Pendahuluan</w:t>
      </w:r>
    </w:p>
    <w:p>
      <w:r>
        <w:rPr>
          <w:sz w:val="22"/>
        </w:rPr>
        <w:t>Laporan ini merangkum hasil analisis tiga kumpulan data latihan yang telah dibersihkan: data transaksi (194 baris, periode Januari sampai Desember 2024), data survei persepsi responden (146 baris), dan data makro inklusi keuangan di enam provinsi (120 baris, periode Januari 2023 sampai Agustus 2024). Analisis mencakup statistik deskriptif, visualisasi, korelasi, dan regresi linear sederhana.</w:t>
      </w:r>
    </w:p>
    <w:p>
      <w:r>
        <w:rPr>
          <w:b/>
          <w:sz w:val="28"/>
        </w:rPr>
        <w:t>A. Statistik Deskriptif</w:t>
      </w:r>
    </w:p>
    <w:p>
      <w:r>
        <w:rPr>
          <w:b/>
          <w:sz w:val="24"/>
        </w:rPr>
        <w:t>A.1 Data Transaksi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Statistik</w:t>
            </w:r>
          </w:p>
        </w:tc>
        <w:tc>
          <w:tcPr>
            <w:tcW w:type="dxa" w:w="2880"/>
          </w:tcPr>
          <w:p>
            <w:r>
              <w:rPr>
                <w:b/>
                <w:sz w:val="16"/>
              </w:rPr>
              <w:t>Nilai_Transaksi</w:t>
            </w:r>
          </w:p>
        </w:tc>
        <w:tc>
          <w:tcPr>
            <w:tcW w:type="dxa" w:w="2880"/>
          </w:tcPr>
          <w:p>
            <w:r>
              <w:rPr>
                <w:b/>
                <w:sz w:val="16"/>
              </w:rPr>
              <w:t>Biaya_Admin</w:t>
            </w:r>
          </w:p>
        </w:tc>
      </w:tr>
      <w:tr>
        <w:tc>
          <w:tcPr>
            <w:tcW w:type="dxa" w:w="2880"/>
          </w:tcPr>
          <w:p>
            <w:r>
              <w:rPr>
                <w:sz w:val="16"/>
              </w:rPr>
              <w:t>count</w:t>
            </w:r>
          </w:p>
        </w:tc>
        <w:tc>
          <w:tcPr>
            <w:tcW w:type="dxa" w:w="2880"/>
          </w:tcPr>
          <w:p>
            <w:r>
              <w:rPr>
                <w:sz w:val="16"/>
              </w:rPr>
              <w:t>194</w:t>
            </w:r>
          </w:p>
        </w:tc>
        <w:tc>
          <w:tcPr>
            <w:tcW w:type="dxa" w:w="2880"/>
          </w:tcPr>
          <w:p>
            <w:r>
              <w:rPr>
                <w:sz w:val="16"/>
              </w:rPr>
              <w:t>194</w:t>
            </w:r>
          </w:p>
        </w:tc>
      </w:tr>
      <w:tr>
        <w:tc>
          <w:tcPr>
            <w:tcW w:type="dxa" w:w="2880"/>
          </w:tcPr>
          <w:p>
            <w:r>
              <w:rPr>
                <w:sz w:val="16"/>
              </w:rPr>
              <w:t>mean</w:t>
            </w:r>
          </w:p>
        </w:tc>
        <w:tc>
          <w:tcPr>
            <w:tcW w:type="dxa" w:w="2880"/>
          </w:tcPr>
          <w:p>
            <w:r>
              <w:rPr>
                <w:sz w:val="16"/>
              </w:rPr>
              <w:t>430.574.304</w:t>
            </w:r>
          </w:p>
        </w:tc>
        <w:tc>
          <w:tcPr>
            <w:tcW w:type="dxa" w:w="2880"/>
          </w:tcPr>
          <w:p>
            <w:r>
              <w:rPr>
                <w:sz w:val="16"/>
              </w:rPr>
              <w:t>1.673</w:t>
            </w:r>
          </w:p>
        </w:tc>
      </w:tr>
      <w:tr>
        <w:tc>
          <w:tcPr>
            <w:tcW w:type="dxa" w:w="2880"/>
          </w:tcPr>
          <w:p>
            <w:r>
              <w:rPr>
                <w:sz w:val="16"/>
              </w:rPr>
              <w:t>std</w:t>
            </w:r>
          </w:p>
        </w:tc>
        <w:tc>
          <w:tcPr>
            <w:tcW w:type="dxa" w:w="2880"/>
          </w:tcPr>
          <w:p>
            <w:r>
              <w:rPr>
                <w:sz w:val="16"/>
              </w:rPr>
              <w:t>248.473.294</w:t>
            </w:r>
          </w:p>
        </w:tc>
        <w:tc>
          <w:tcPr>
            <w:tcW w:type="dxa" w:w="2880"/>
          </w:tcPr>
          <w:p>
            <w:r>
              <w:rPr>
                <w:sz w:val="16"/>
              </w:rPr>
              <w:t>1.742</w:t>
            </w:r>
          </w:p>
        </w:tc>
      </w:tr>
      <w:tr>
        <w:tc>
          <w:tcPr>
            <w:tcW w:type="dxa" w:w="2880"/>
          </w:tcPr>
          <w:p>
            <w:r>
              <w:rPr>
                <w:sz w:val="16"/>
              </w:rPr>
              <w:t>min</w:t>
            </w:r>
          </w:p>
        </w:tc>
        <w:tc>
          <w:tcPr>
            <w:tcW w:type="dxa" w:w="2880"/>
          </w:tcPr>
          <w:p>
            <w:r>
              <w:rPr>
                <w:sz w:val="16"/>
              </w:rPr>
              <w:t>9.340.000</w:t>
            </w:r>
          </w:p>
        </w:tc>
        <w:tc>
          <w:tcPr>
            <w:tcW w:type="dxa" w:w="2880"/>
          </w:tcPr>
          <w:p>
            <w:r>
              <w:rPr>
                <w:sz w:val="16"/>
              </w:rPr>
              <w:t>0</w:t>
            </w:r>
          </w:p>
        </w:tc>
      </w:tr>
      <w:tr>
        <w:tc>
          <w:tcPr>
            <w:tcW w:type="dxa" w:w="2880"/>
          </w:tcPr>
          <w:p>
            <w:r>
              <w:rPr>
                <w:sz w:val="16"/>
              </w:rPr>
              <w:t>25%</w:t>
            </w:r>
          </w:p>
        </w:tc>
        <w:tc>
          <w:tcPr>
            <w:tcW w:type="dxa" w:w="2880"/>
          </w:tcPr>
          <w:p>
            <w:r>
              <w:rPr>
                <w:sz w:val="16"/>
              </w:rPr>
              <w:t>206.369.000</w:t>
            </w:r>
          </w:p>
        </w:tc>
        <w:tc>
          <w:tcPr>
            <w:tcW w:type="dxa" w:w="2880"/>
          </w:tcPr>
          <w:p>
            <w:r>
              <w:rPr>
                <w:sz w:val="16"/>
              </w:rPr>
              <w:t>0</w:t>
            </w:r>
          </w:p>
        </w:tc>
      </w:tr>
      <w:tr>
        <w:tc>
          <w:tcPr>
            <w:tcW w:type="dxa" w:w="2880"/>
          </w:tcPr>
          <w:p>
            <w:r>
              <w:rPr>
                <w:sz w:val="16"/>
              </w:rPr>
              <w:t>50%</w:t>
            </w:r>
          </w:p>
        </w:tc>
        <w:tc>
          <w:tcPr>
            <w:tcW w:type="dxa" w:w="2880"/>
          </w:tcPr>
          <w:p>
            <w:r>
              <w:rPr>
                <w:sz w:val="16"/>
              </w:rPr>
              <w:t>419.292.000</w:t>
            </w:r>
          </w:p>
        </w:tc>
        <w:tc>
          <w:tcPr>
            <w:tcW w:type="dxa" w:w="2880"/>
          </w:tcPr>
          <w:p>
            <w:r>
              <w:rPr>
                <w:sz w:val="16"/>
              </w:rPr>
              <w:t>2.500</w:t>
            </w:r>
          </w:p>
        </w:tc>
      </w:tr>
      <w:tr>
        <w:tc>
          <w:tcPr>
            <w:tcW w:type="dxa" w:w="2880"/>
          </w:tcPr>
          <w:p>
            <w:r>
              <w:rPr>
                <w:sz w:val="16"/>
              </w:rPr>
              <w:t>75%</w:t>
            </w:r>
          </w:p>
        </w:tc>
        <w:tc>
          <w:tcPr>
            <w:tcW w:type="dxa" w:w="2880"/>
          </w:tcPr>
          <w:p>
            <w:r>
              <w:rPr>
                <w:sz w:val="16"/>
              </w:rPr>
              <w:t>631.396.000</w:t>
            </w:r>
          </w:p>
        </w:tc>
        <w:tc>
          <w:tcPr>
            <w:tcW w:type="dxa" w:w="2880"/>
          </w:tcPr>
          <w:p>
            <w:r>
              <w:rPr>
                <w:sz w:val="16"/>
              </w:rPr>
              <w:t>2.500</w:t>
            </w:r>
          </w:p>
        </w:tc>
      </w:tr>
      <w:tr>
        <w:tc>
          <w:tcPr>
            <w:tcW w:type="dxa" w:w="2880"/>
          </w:tcPr>
          <w:p>
            <w:r>
              <w:rPr>
                <w:sz w:val="16"/>
              </w:rPr>
              <w:t>max</w:t>
            </w:r>
          </w:p>
        </w:tc>
        <w:tc>
          <w:tcPr>
            <w:tcW w:type="dxa" w:w="2880"/>
          </w:tcPr>
          <w:p>
            <w:r>
              <w:rPr>
                <w:sz w:val="16"/>
              </w:rPr>
              <w:t>893.436.000</w:t>
            </w:r>
          </w:p>
        </w:tc>
        <w:tc>
          <w:tcPr>
            <w:tcW w:type="dxa" w:w="2880"/>
          </w:tcPr>
          <w:p>
            <w:r>
              <w:rPr>
                <w:sz w:val="16"/>
              </w:rPr>
              <w:t>7.500</w:t>
            </w:r>
          </w:p>
        </w:tc>
      </w:tr>
    </w:tbl>
    <w:p/>
    <w:p>
      <w:r>
        <w:rPr>
          <w:b/>
          <w:sz w:val="24"/>
        </w:rPr>
        <w:t>A.2 Data Survei Persepsi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Statistik</w:t>
            </w:r>
          </w:p>
        </w:tc>
        <w:tc>
          <w:tcPr>
            <w:tcW w:type="dxa" w:w="1080"/>
          </w:tcPr>
          <w:p>
            <w:r>
              <w:rPr>
                <w:b/>
                <w:sz w:val="16"/>
              </w:rPr>
              <w:t>Usia</w:t>
            </w:r>
          </w:p>
        </w:tc>
        <w:tc>
          <w:tcPr>
            <w:tcW w:type="dxa" w:w="1080"/>
          </w:tcPr>
          <w:p>
            <w:r>
              <w:rPr>
                <w:b/>
                <w:sz w:val="16"/>
              </w:rPr>
              <w:t>Frekuensi_Gunakan_QRIS</w:t>
            </w:r>
          </w:p>
        </w:tc>
        <w:tc>
          <w:tcPr>
            <w:tcW w:type="dxa" w:w="1080"/>
          </w:tcPr>
          <w:p>
            <w:r>
              <w:rPr>
                <w:b/>
                <w:sz w:val="16"/>
              </w:rPr>
              <w:t>Kepuasan_Layanan_QRIS</w:t>
            </w:r>
          </w:p>
        </w:tc>
        <w:tc>
          <w:tcPr>
            <w:tcW w:type="dxa" w:w="1080"/>
          </w:tcPr>
          <w:p>
            <w:r>
              <w:rPr>
                <w:b/>
                <w:sz w:val="16"/>
              </w:rPr>
              <w:t>Persepsi_Keamanan_Transaksi</w:t>
            </w:r>
          </w:p>
        </w:tc>
        <w:tc>
          <w:tcPr>
            <w:tcW w:type="dxa" w:w="1080"/>
          </w:tcPr>
          <w:p>
            <w:r>
              <w:rPr>
                <w:b/>
                <w:sz w:val="16"/>
              </w:rPr>
              <w:t>Pengetahuan_BI_FAST</w:t>
            </w:r>
          </w:p>
        </w:tc>
        <w:tc>
          <w:tcPr>
            <w:tcW w:type="dxa" w:w="1080"/>
          </w:tcPr>
          <w:p>
            <w:r>
              <w:rPr>
                <w:b/>
                <w:sz w:val="16"/>
              </w:rPr>
              <w:t>Niat_Menggunakan_Lagi</w:t>
            </w:r>
          </w:p>
        </w:tc>
        <w:tc>
          <w:tcPr>
            <w:tcW w:type="dxa" w:w="1080"/>
          </w:tcPr>
          <w:p>
            <w:r>
              <w:rPr>
                <w:b/>
                <w:sz w:val="16"/>
              </w:rPr>
              <w:t>Loyalitas</w:t>
            </w:r>
          </w:p>
        </w:tc>
      </w:tr>
      <w:tr>
        <w:tc>
          <w:tcPr>
            <w:tcW w:type="dxa" w:w="1080"/>
          </w:tcPr>
          <w:p>
            <w:r>
              <w:rPr>
                <w:sz w:val="16"/>
              </w:rPr>
              <w:t>count</w:t>
            </w:r>
          </w:p>
        </w:tc>
        <w:tc>
          <w:tcPr>
            <w:tcW w:type="dxa" w:w="1080"/>
          </w:tcPr>
          <w:p>
            <w:r>
              <w:rPr>
                <w:sz w:val="16"/>
              </w:rPr>
              <w:t>146</w:t>
            </w:r>
          </w:p>
        </w:tc>
        <w:tc>
          <w:tcPr>
            <w:tcW w:type="dxa" w:w="1080"/>
          </w:tcPr>
          <w:p>
            <w:r>
              <w:rPr>
                <w:sz w:val="16"/>
              </w:rPr>
              <w:t>146</w:t>
            </w:r>
          </w:p>
        </w:tc>
        <w:tc>
          <w:tcPr>
            <w:tcW w:type="dxa" w:w="1080"/>
          </w:tcPr>
          <w:p>
            <w:r>
              <w:rPr>
                <w:sz w:val="16"/>
              </w:rPr>
              <w:t>146</w:t>
            </w:r>
          </w:p>
        </w:tc>
        <w:tc>
          <w:tcPr>
            <w:tcW w:type="dxa" w:w="1080"/>
          </w:tcPr>
          <w:p>
            <w:r>
              <w:rPr>
                <w:sz w:val="16"/>
              </w:rPr>
              <w:t>146</w:t>
            </w:r>
          </w:p>
        </w:tc>
        <w:tc>
          <w:tcPr>
            <w:tcW w:type="dxa" w:w="1080"/>
          </w:tcPr>
          <w:p>
            <w:r>
              <w:rPr>
                <w:sz w:val="16"/>
              </w:rPr>
              <w:t>146</w:t>
            </w:r>
          </w:p>
        </w:tc>
        <w:tc>
          <w:tcPr>
            <w:tcW w:type="dxa" w:w="1080"/>
          </w:tcPr>
          <w:p>
            <w:r>
              <w:rPr>
                <w:sz w:val="16"/>
              </w:rPr>
              <w:t>146</w:t>
            </w:r>
          </w:p>
        </w:tc>
        <w:tc>
          <w:tcPr>
            <w:tcW w:type="dxa" w:w="1080"/>
          </w:tcPr>
          <w:p>
            <w:r>
              <w:rPr>
                <w:sz w:val="16"/>
              </w:rPr>
              <w:t>146</w:t>
            </w:r>
          </w:p>
        </w:tc>
      </w:tr>
      <w:tr>
        <w:tc>
          <w:tcPr>
            <w:tcW w:type="dxa" w:w="1080"/>
          </w:tcPr>
          <w:p>
            <w:r>
              <w:rPr>
                <w:sz w:val="16"/>
              </w:rPr>
              <w:t>mean</w:t>
            </w:r>
          </w:p>
        </w:tc>
        <w:tc>
          <w:tcPr>
            <w:tcW w:type="dxa" w:w="1080"/>
          </w:tcPr>
          <w:p>
            <w:r>
              <w:rPr>
                <w:sz w:val="16"/>
              </w:rPr>
              <w:t>40,22</w:t>
            </w:r>
          </w:p>
        </w:tc>
        <w:tc>
          <w:tcPr>
            <w:tcW w:type="dxa" w:w="1080"/>
          </w:tcPr>
          <w:p>
            <w:r>
              <w:rPr>
                <w:sz w:val="16"/>
              </w:rPr>
              <w:t>3,96</w:t>
            </w:r>
          </w:p>
        </w:tc>
        <w:tc>
          <w:tcPr>
            <w:tcW w:type="dxa" w:w="1080"/>
          </w:tcPr>
          <w:p>
            <w:r>
              <w:rPr>
                <w:sz w:val="16"/>
              </w:rPr>
              <w:t>3,09</w:t>
            </w:r>
          </w:p>
        </w:tc>
        <w:tc>
          <w:tcPr>
            <w:tcW w:type="dxa" w:w="1080"/>
          </w:tcPr>
          <w:p>
            <w:r>
              <w:rPr>
                <w:sz w:val="16"/>
              </w:rPr>
              <w:t>3,11</w:t>
            </w:r>
          </w:p>
        </w:tc>
        <w:tc>
          <w:tcPr>
            <w:tcW w:type="dxa" w:w="1080"/>
          </w:tcPr>
          <w:p>
            <w:r>
              <w:rPr>
                <w:sz w:val="16"/>
              </w:rPr>
              <w:t>2,85</w:t>
            </w:r>
          </w:p>
        </w:tc>
        <w:tc>
          <w:tcPr>
            <w:tcW w:type="dxa" w:w="1080"/>
          </w:tcPr>
          <w:p>
            <w:r>
              <w:rPr>
                <w:sz w:val="16"/>
              </w:rPr>
              <w:t>2,98</w:t>
            </w:r>
          </w:p>
        </w:tc>
        <w:tc>
          <w:tcPr>
            <w:tcW w:type="dxa" w:w="1080"/>
          </w:tcPr>
          <w:p>
            <w:r>
              <w:rPr>
                <w:sz w:val="16"/>
              </w:rPr>
              <w:t>3,16</w:t>
            </w:r>
          </w:p>
        </w:tc>
      </w:tr>
      <w:tr>
        <w:tc>
          <w:tcPr>
            <w:tcW w:type="dxa" w:w="1080"/>
          </w:tcPr>
          <w:p>
            <w:r>
              <w:rPr>
                <w:sz w:val="16"/>
              </w:rPr>
              <w:t>std</w:t>
            </w:r>
          </w:p>
        </w:tc>
        <w:tc>
          <w:tcPr>
            <w:tcW w:type="dxa" w:w="1080"/>
          </w:tcPr>
          <w:p>
            <w:r>
              <w:rPr>
                <w:sz w:val="16"/>
              </w:rPr>
              <w:t>13,14</w:t>
            </w:r>
          </w:p>
        </w:tc>
        <w:tc>
          <w:tcPr>
            <w:tcW w:type="dxa" w:w="1080"/>
          </w:tcPr>
          <w:p>
            <w:r>
              <w:rPr>
                <w:sz w:val="16"/>
              </w:rPr>
              <w:t>2,00</w:t>
            </w:r>
          </w:p>
        </w:tc>
        <w:tc>
          <w:tcPr>
            <w:tcW w:type="dxa" w:w="1080"/>
          </w:tcPr>
          <w:p>
            <w:r>
              <w:rPr>
                <w:sz w:val="16"/>
              </w:rPr>
              <w:t>1,35</w:t>
            </w:r>
          </w:p>
        </w:tc>
        <w:tc>
          <w:tcPr>
            <w:tcW w:type="dxa" w:w="1080"/>
          </w:tcPr>
          <w:p>
            <w:r>
              <w:rPr>
                <w:sz w:val="16"/>
              </w:rPr>
              <w:t>1,39</w:t>
            </w:r>
          </w:p>
        </w:tc>
        <w:tc>
          <w:tcPr>
            <w:tcW w:type="dxa" w:w="1080"/>
          </w:tcPr>
          <w:p>
            <w:r>
              <w:rPr>
                <w:sz w:val="16"/>
              </w:rPr>
              <w:t>1,31</w:t>
            </w:r>
          </w:p>
        </w:tc>
        <w:tc>
          <w:tcPr>
            <w:tcW w:type="dxa" w:w="1080"/>
          </w:tcPr>
          <w:p>
            <w:r>
              <w:rPr>
                <w:sz w:val="16"/>
              </w:rPr>
              <w:t>1,41</w:t>
            </w:r>
          </w:p>
        </w:tc>
        <w:tc>
          <w:tcPr>
            <w:tcW w:type="dxa" w:w="1080"/>
          </w:tcPr>
          <w:p>
            <w:r>
              <w:rPr>
                <w:sz w:val="16"/>
              </w:rPr>
              <w:t>1,29</w:t>
            </w:r>
          </w:p>
        </w:tc>
      </w:tr>
      <w:tr>
        <w:tc>
          <w:tcPr>
            <w:tcW w:type="dxa" w:w="1080"/>
          </w:tcPr>
          <w:p>
            <w:r>
              <w:rPr>
                <w:sz w:val="16"/>
              </w:rPr>
              <w:t>min</w:t>
            </w:r>
          </w:p>
        </w:tc>
        <w:tc>
          <w:tcPr>
            <w:tcW w:type="dxa" w:w="1080"/>
          </w:tcPr>
          <w:p>
            <w:r>
              <w:rPr>
                <w:sz w:val="16"/>
              </w:rPr>
              <w:t>18,00</w:t>
            </w:r>
          </w:p>
        </w:tc>
        <w:tc>
          <w:tcPr>
            <w:tcW w:type="dxa" w:w="1080"/>
          </w:tcPr>
          <w:p>
            <w:r>
              <w:rPr>
                <w:sz w:val="16"/>
              </w:rPr>
              <w:t>1,00</w:t>
            </w:r>
          </w:p>
        </w:tc>
        <w:tc>
          <w:tcPr>
            <w:tcW w:type="dxa" w:w="1080"/>
          </w:tcPr>
          <w:p>
            <w:r>
              <w:rPr>
                <w:sz w:val="16"/>
              </w:rPr>
              <w:t>1,00</w:t>
            </w:r>
          </w:p>
        </w:tc>
        <w:tc>
          <w:tcPr>
            <w:tcW w:type="dxa" w:w="1080"/>
          </w:tcPr>
          <w:p>
            <w:r>
              <w:rPr>
                <w:sz w:val="16"/>
              </w:rPr>
              <w:t>1,00</w:t>
            </w:r>
          </w:p>
        </w:tc>
        <w:tc>
          <w:tcPr>
            <w:tcW w:type="dxa" w:w="1080"/>
          </w:tcPr>
          <w:p>
            <w:r>
              <w:rPr>
                <w:sz w:val="16"/>
              </w:rPr>
              <w:t>1,00</w:t>
            </w:r>
          </w:p>
        </w:tc>
        <w:tc>
          <w:tcPr>
            <w:tcW w:type="dxa" w:w="1080"/>
          </w:tcPr>
          <w:p>
            <w:r>
              <w:rPr>
                <w:sz w:val="16"/>
              </w:rPr>
              <w:t>1,00</w:t>
            </w:r>
          </w:p>
        </w:tc>
        <w:tc>
          <w:tcPr>
            <w:tcW w:type="dxa" w:w="1080"/>
          </w:tcPr>
          <w:p>
            <w:r>
              <w:rPr>
                <w:sz w:val="16"/>
              </w:rPr>
              <w:t>1,00</w:t>
            </w:r>
          </w:p>
        </w:tc>
      </w:tr>
      <w:tr>
        <w:tc>
          <w:tcPr>
            <w:tcW w:type="dxa" w:w="1080"/>
          </w:tcPr>
          <w:p>
            <w:r>
              <w:rPr>
                <w:sz w:val="16"/>
              </w:rPr>
              <w:t>25%</w:t>
            </w:r>
          </w:p>
        </w:tc>
        <w:tc>
          <w:tcPr>
            <w:tcW w:type="dxa" w:w="1080"/>
          </w:tcPr>
          <w:p>
            <w:r>
              <w:rPr>
                <w:sz w:val="16"/>
              </w:rPr>
              <w:t>29,25</w:t>
            </w:r>
          </w:p>
        </w:tc>
        <w:tc>
          <w:tcPr>
            <w:tcW w:type="dxa" w:w="1080"/>
          </w:tcPr>
          <w:p>
            <w:r>
              <w:rPr>
                <w:sz w:val="16"/>
              </w:rPr>
              <w:t>2,00</w:t>
            </w:r>
          </w:p>
        </w:tc>
        <w:tc>
          <w:tcPr>
            <w:tcW w:type="dxa" w:w="1080"/>
          </w:tcPr>
          <w:p>
            <w:r>
              <w:rPr>
                <w:sz w:val="16"/>
              </w:rPr>
              <w:t>2,00</w:t>
            </w:r>
          </w:p>
        </w:tc>
        <w:tc>
          <w:tcPr>
            <w:tcW w:type="dxa" w:w="1080"/>
          </w:tcPr>
          <w:p>
            <w:r>
              <w:rPr>
                <w:sz w:val="16"/>
              </w:rPr>
              <w:t>2,00</w:t>
            </w:r>
          </w:p>
        </w:tc>
        <w:tc>
          <w:tcPr>
            <w:tcW w:type="dxa" w:w="1080"/>
          </w:tcPr>
          <w:p>
            <w:r>
              <w:rPr>
                <w:sz w:val="16"/>
              </w:rPr>
              <w:t>2,00</w:t>
            </w:r>
          </w:p>
        </w:tc>
        <w:tc>
          <w:tcPr>
            <w:tcW w:type="dxa" w:w="1080"/>
          </w:tcPr>
          <w:p>
            <w:r>
              <w:rPr>
                <w:sz w:val="16"/>
              </w:rPr>
              <w:t>2,00</w:t>
            </w:r>
          </w:p>
        </w:tc>
        <w:tc>
          <w:tcPr>
            <w:tcW w:type="dxa" w:w="1080"/>
          </w:tcPr>
          <w:p>
            <w:r>
              <w:rPr>
                <w:sz w:val="16"/>
              </w:rPr>
              <w:t>2,00</w:t>
            </w:r>
          </w:p>
        </w:tc>
      </w:tr>
      <w:tr>
        <w:tc>
          <w:tcPr>
            <w:tcW w:type="dxa" w:w="1080"/>
          </w:tcPr>
          <w:p>
            <w:r>
              <w:rPr>
                <w:sz w:val="16"/>
              </w:rPr>
              <w:t>50%</w:t>
            </w:r>
          </w:p>
        </w:tc>
        <w:tc>
          <w:tcPr>
            <w:tcW w:type="dxa" w:w="1080"/>
          </w:tcPr>
          <w:p>
            <w:r>
              <w:rPr>
                <w:sz w:val="16"/>
              </w:rPr>
              <w:t>40,00</w:t>
            </w:r>
          </w:p>
        </w:tc>
        <w:tc>
          <w:tcPr>
            <w:tcW w:type="dxa" w:w="1080"/>
          </w:tcPr>
          <w:p>
            <w:r>
              <w:rPr>
                <w:sz w:val="16"/>
              </w:rPr>
              <w:t>4,00</w:t>
            </w:r>
          </w:p>
        </w:tc>
        <w:tc>
          <w:tcPr>
            <w:tcW w:type="dxa" w:w="1080"/>
          </w:tcPr>
          <w:p>
            <w:r>
              <w:rPr>
                <w:sz w:val="16"/>
              </w:rPr>
              <w:t>3,00</w:t>
            </w:r>
          </w:p>
        </w:tc>
        <w:tc>
          <w:tcPr>
            <w:tcW w:type="dxa" w:w="1080"/>
          </w:tcPr>
          <w:p>
            <w:r>
              <w:rPr>
                <w:sz w:val="16"/>
              </w:rPr>
              <w:t>3,00</w:t>
            </w:r>
          </w:p>
        </w:tc>
        <w:tc>
          <w:tcPr>
            <w:tcW w:type="dxa" w:w="1080"/>
          </w:tcPr>
          <w:p>
            <w:r>
              <w:rPr>
                <w:sz w:val="16"/>
              </w:rPr>
              <w:t>3,00</w:t>
            </w:r>
          </w:p>
        </w:tc>
        <w:tc>
          <w:tcPr>
            <w:tcW w:type="dxa" w:w="1080"/>
          </w:tcPr>
          <w:p>
            <w:r>
              <w:rPr>
                <w:sz w:val="16"/>
              </w:rPr>
              <w:t>3,00</w:t>
            </w:r>
          </w:p>
        </w:tc>
        <w:tc>
          <w:tcPr>
            <w:tcW w:type="dxa" w:w="1080"/>
          </w:tcPr>
          <w:p>
            <w:r>
              <w:rPr>
                <w:sz w:val="16"/>
              </w:rPr>
              <w:t>3,00</w:t>
            </w:r>
          </w:p>
        </w:tc>
      </w:tr>
      <w:tr>
        <w:tc>
          <w:tcPr>
            <w:tcW w:type="dxa" w:w="1080"/>
          </w:tcPr>
          <w:p>
            <w:r>
              <w:rPr>
                <w:sz w:val="16"/>
              </w:rPr>
              <w:t>75%</w:t>
            </w:r>
          </w:p>
        </w:tc>
        <w:tc>
          <w:tcPr>
            <w:tcW w:type="dxa" w:w="1080"/>
          </w:tcPr>
          <w:p>
            <w:r>
              <w:rPr>
                <w:sz w:val="16"/>
              </w:rPr>
              <w:t>51,75</w:t>
            </w:r>
          </w:p>
        </w:tc>
        <w:tc>
          <w:tcPr>
            <w:tcW w:type="dxa" w:w="1080"/>
          </w:tcPr>
          <w:p>
            <w:r>
              <w:rPr>
                <w:sz w:val="16"/>
              </w:rPr>
              <w:t>6,00</w:t>
            </w:r>
          </w:p>
        </w:tc>
        <w:tc>
          <w:tcPr>
            <w:tcW w:type="dxa" w:w="1080"/>
          </w:tcPr>
          <w:p>
            <w:r>
              <w:rPr>
                <w:sz w:val="16"/>
              </w:rPr>
              <w:t>4,00</w:t>
            </w:r>
          </w:p>
        </w:tc>
        <w:tc>
          <w:tcPr>
            <w:tcW w:type="dxa" w:w="1080"/>
          </w:tcPr>
          <w:p>
            <w:r>
              <w:rPr>
                <w:sz w:val="16"/>
              </w:rPr>
              <w:t>4,00</w:t>
            </w:r>
          </w:p>
        </w:tc>
        <w:tc>
          <w:tcPr>
            <w:tcW w:type="dxa" w:w="1080"/>
          </w:tcPr>
          <w:p>
            <w:r>
              <w:rPr>
                <w:sz w:val="16"/>
              </w:rPr>
              <w:t>4,00</w:t>
            </w:r>
          </w:p>
        </w:tc>
        <w:tc>
          <w:tcPr>
            <w:tcW w:type="dxa" w:w="1080"/>
          </w:tcPr>
          <w:p>
            <w:r>
              <w:rPr>
                <w:sz w:val="16"/>
              </w:rPr>
              <w:t>4,00</w:t>
            </w:r>
          </w:p>
        </w:tc>
        <w:tc>
          <w:tcPr>
            <w:tcW w:type="dxa" w:w="1080"/>
          </w:tcPr>
          <w:p>
            <w:r>
              <w:rPr>
                <w:sz w:val="16"/>
              </w:rPr>
              <w:t>4,00</w:t>
            </w:r>
          </w:p>
        </w:tc>
      </w:tr>
      <w:tr>
        <w:tc>
          <w:tcPr>
            <w:tcW w:type="dxa" w:w="1080"/>
          </w:tcPr>
          <w:p>
            <w:r>
              <w:rPr>
                <w:sz w:val="16"/>
              </w:rPr>
              <w:t>max</w:t>
            </w:r>
          </w:p>
        </w:tc>
        <w:tc>
          <w:tcPr>
            <w:tcW w:type="dxa" w:w="1080"/>
          </w:tcPr>
          <w:p>
            <w:r>
              <w:rPr>
                <w:sz w:val="16"/>
              </w:rPr>
              <w:t>62,00</w:t>
            </w:r>
          </w:p>
        </w:tc>
        <w:tc>
          <w:tcPr>
            <w:tcW w:type="dxa" w:w="1080"/>
          </w:tcPr>
          <w:p>
            <w:r>
              <w:rPr>
                <w:sz w:val="16"/>
              </w:rPr>
              <w:t>7,00</w:t>
            </w:r>
          </w:p>
        </w:tc>
        <w:tc>
          <w:tcPr>
            <w:tcW w:type="dxa" w:w="1080"/>
          </w:tcPr>
          <w:p>
            <w:r>
              <w:rPr>
                <w:sz w:val="16"/>
              </w:rPr>
              <w:t>5,00</w:t>
            </w:r>
          </w:p>
        </w:tc>
        <w:tc>
          <w:tcPr>
            <w:tcW w:type="dxa" w:w="1080"/>
          </w:tcPr>
          <w:p>
            <w:r>
              <w:rPr>
                <w:sz w:val="16"/>
              </w:rPr>
              <w:t>5,00</w:t>
            </w:r>
          </w:p>
        </w:tc>
        <w:tc>
          <w:tcPr>
            <w:tcW w:type="dxa" w:w="1080"/>
          </w:tcPr>
          <w:p>
            <w:r>
              <w:rPr>
                <w:sz w:val="16"/>
              </w:rPr>
              <w:t>5,00</w:t>
            </w:r>
          </w:p>
        </w:tc>
        <w:tc>
          <w:tcPr>
            <w:tcW w:type="dxa" w:w="1080"/>
          </w:tcPr>
          <w:p>
            <w:r>
              <w:rPr>
                <w:sz w:val="16"/>
              </w:rPr>
              <w:t>5,00</w:t>
            </w:r>
          </w:p>
        </w:tc>
        <w:tc>
          <w:tcPr>
            <w:tcW w:type="dxa" w:w="1080"/>
          </w:tcPr>
          <w:p>
            <w:r>
              <w:rPr>
                <w:sz w:val="16"/>
              </w:rPr>
              <w:t>5,00</w:t>
            </w:r>
          </w:p>
        </w:tc>
      </w:tr>
    </w:tbl>
    <w:p/>
    <w:p>
      <w:r>
        <w:rPr>
          <w:b/>
          <w:sz w:val="24"/>
        </w:rPr>
        <w:t>A.3 Data Makro Inklusi Keuangan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Statistik</w:t>
            </w:r>
          </w:p>
        </w:tc>
        <w:tc>
          <w:tcPr>
            <w:tcW w:type="dxa" w:w="1440"/>
          </w:tcPr>
          <w:p>
            <w:r>
              <w:rPr>
                <w:b/>
                <w:sz w:val="16"/>
              </w:rPr>
              <w:t>Indeks Inklusi Keuangan</w:t>
            </w:r>
          </w:p>
        </w:tc>
        <w:tc>
          <w:tcPr>
            <w:tcW w:type="dxa" w:w="1440"/>
          </w:tcPr>
          <w:p>
            <w:r>
              <w:rPr>
                <w:b/>
                <w:sz w:val="16"/>
              </w:rPr>
              <w:t>Volume Transaksi QRIS</w:t>
            </w:r>
          </w:p>
        </w:tc>
        <w:tc>
          <w:tcPr>
            <w:tcW w:type="dxa" w:w="1440"/>
          </w:tcPr>
          <w:p>
            <w:r>
              <w:rPr>
                <w:b/>
                <w:sz w:val="16"/>
              </w:rPr>
              <w:t>Nilai Transaksi QRIS</w:t>
            </w:r>
          </w:p>
        </w:tc>
        <w:tc>
          <w:tcPr>
            <w:tcW w:type="dxa" w:w="1440"/>
          </w:tcPr>
          <w:p>
            <w:r>
              <w:rPr>
                <w:b/>
                <w:sz w:val="16"/>
              </w:rPr>
              <w:t>Jumlah Merchant QRIS</w:t>
            </w:r>
          </w:p>
        </w:tc>
        <w:tc>
          <w:tcPr>
            <w:tcW w:type="dxa" w:w="1440"/>
          </w:tcPr>
          <w:p>
            <w:r>
              <w:rPr>
                <w:b/>
                <w:sz w:val="16"/>
              </w:rPr>
              <w:t>Tabungan PDB</w:t>
            </w:r>
          </w:p>
        </w:tc>
      </w:tr>
      <w:tr>
        <w:tc>
          <w:tcPr>
            <w:tcW w:type="dxa" w:w="1440"/>
          </w:tcPr>
          <w:p>
            <w:r>
              <w:rPr>
                <w:sz w:val="16"/>
              </w:rPr>
              <w:t>count</w:t>
            </w:r>
          </w:p>
        </w:tc>
        <w:tc>
          <w:tcPr>
            <w:tcW w:type="dxa" w:w="1440"/>
          </w:tcPr>
          <w:p>
            <w:r>
              <w:rPr>
                <w:sz w:val="16"/>
              </w:rPr>
              <w:t>120</w:t>
            </w:r>
          </w:p>
        </w:tc>
        <w:tc>
          <w:tcPr>
            <w:tcW w:type="dxa" w:w="1440"/>
          </w:tcPr>
          <w:p>
            <w:r>
              <w:rPr>
                <w:sz w:val="16"/>
              </w:rPr>
              <w:t>120</w:t>
            </w:r>
          </w:p>
        </w:tc>
        <w:tc>
          <w:tcPr>
            <w:tcW w:type="dxa" w:w="1440"/>
          </w:tcPr>
          <w:p>
            <w:r>
              <w:rPr>
                <w:sz w:val="16"/>
              </w:rPr>
              <w:t>120</w:t>
            </w:r>
          </w:p>
        </w:tc>
        <w:tc>
          <w:tcPr>
            <w:tcW w:type="dxa" w:w="1440"/>
          </w:tcPr>
          <w:p>
            <w:r>
              <w:rPr>
                <w:sz w:val="16"/>
              </w:rPr>
              <w:t>120</w:t>
            </w:r>
          </w:p>
        </w:tc>
        <w:tc>
          <w:tcPr>
            <w:tcW w:type="dxa" w:w="1440"/>
          </w:tcPr>
          <w:p>
            <w:r>
              <w:rPr>
                <w:sz w:val="16"/>
              </w:rPr>
              <w:t>120</w:t>
            </w:r>
          </w:p>
        </w:tc>
      </w:tr>
      <w:tr>
        <w:tc>
          <w:tcPr>
            <w:tcW w:type="dxa" w:w="1440"/>
          </w:tcPr>
          <w:p>
            <w:r>
              <w:rPr>
                <w:sz w:val="16"/>
              </w:rPr>
              <w:t>mean</w:t>
            </w:r>
          </w:p>
        </w:tc>
        <w:tc>
          <w:tcPr>
            <w:tcW w:type="dxa" w:w="1440"/>
          </w:tcPr>
          <w:p>
            <w:r>
              <w:rPr>
                <w:sz w:val="16"/>
              </w:rPr>
              <w:t>65,83</w:t>
            </w:r>
          </w:p>
        </w:tc>
        <w:tc>
          <w:tcPr>
            <w:tcW w:type="dxa" w:w="1440"/>
          </w:tcPr>
          <w:p>
            <w:r>
              <w:rPr>
                <w:sz w:val="16"/>
              </w:rPr>
              <w:t>528,00</w:t>
            </w:r>
          </w:p>
        </w:tc>
        <w:tc>
          <w:tcPr>
            <w:tcW w:type="dxa" w:w="1440"/>
          </w:tcPr>
          <w:p>
            <w:r>
              <w:rPr>
                <w:sz w:val="16"/>
              </w:rPr>
              <w:t>342,96</w:t>
            </w:r>
          </w:p>
        </w:tc>
        <w:tc>
          <w:tcPr>
            <w:tcW w:type="dxa" w:w="1440"/>
          </w:tcPr>
          <w:p>
            <w:r>
              <w:rPr>
                <w:sz w:val="16"/>
              </w:rPr>
              <w:t>875.562,69</w:t>
            </w:r>
          </w:p>
        </w:tc>
        <w:tc>
          <w:tcPr>
            <w:tcW w:type="dxa" w:w="1440"/>
          </w:tcPr>
          <w:p>
            <w:r>
              <w:rPr>
                <w:sz w:val="16"/>
              </w:rPr>
              <w:t>32,64</w:t>
            </w:r>
          </w:p>
        </w:tc>
      </w:tr>
      <w:tr>
        <w:tc>
          <w:tcPr>
            <w:tcW w:type="dxa" w:w="1440"/>
          </w:tcPr>
          <w:p>
            <w:r>
              <w:rPr>
                <w:sz w:val="16"/>
              </w:rPr>
              <w:t>std</w:t>
            </w:r>
          </w:p>
        </w:tc>
        <w:tc>
          <w:tcPr>
            <w:tcW w:type="dxa" w:w="1440"/>
          </w:tcPr>
          <w:p>
            <w:r>
              <w:rPr>
                <w:sz w:val="16"/>
              </w:rPr>
              <w:t>7,79</w:t>
            </w:r>
          </w:p>
        </w:tc>
        <w:tc>
          <w:tcPr>
            <w:tcW w:type="dxa" w:w="1440"/>
          </w:tcPr>
          <w:p>
            <w:r>
              <w:rPr>
                <w:sz w:val="16"/>
              </w:rPr>
              <w:t>218,03</w:t>
            </w:r>
          </w:p>
        </w:tc>
        <w:tc>
          <w:tcPr>
            <w:tcW w:type="dxa" w:w="1440"/>
          </w:tcPr>
          <w:p>
            <w:r>
              <w:rPr>
                <w:sz w:val="16"/>
              </w:rPr>
              <w:t>143,87</w:t>
            </w:r>
          </w:p>
        </w:tc>
        <w:tc>
          <w:tcPr>
            <w:tcW w:type="dxa" w:w="1440"/>
          </w:tcPr>
          <w:p>
            <w:r>
              <w:rPr>
                <w:sz w:val="16"/>
              </w:rPr>
              <w:t>358.637,14</w:t>
            </w:r>
          </w:p>
        </w:tc>
        <w:tc>
          <w:tcPr>
            <w:tcW w:type="dxa" w:w="1440"/>
          </w:tcPr>
          <w:p>
            <w:r>
              <w:rPr>
                <w:sz w:val="16"/>
              </w:rPr>
              <w:t>3,65</w:t>
            </w:r>
          </w:p>
        </w:tc>
      </w:tr>
      <w:tr>
        <w:tc>
          <w:tcPr>
            <w:tcW w:type="dxa" w:w="1440"/>
          </w:tcPr>
          <w:p>
            <w:r>
              <w:rPr>
                <w:sz w:val="16"/>
              </w:rPr>
              <w:t>min</w:t>
            </w:r>
          </w:p>
        </w:tc>
        <w:tc>
          <w:tcPr>
            <w:tcW w:type="dxa" w:w="1440"/>
          </w:tcPr>
          <w:p>
            <w:r>
              <w:rPr>
                <w:sz w:val="16"/>
              </w:rPr>
              <w:t>53,50</w:t>
            </w:r>
          </w:p>
        </w:tc>
        <w:tc>
          <w:tcPr>
            <w:tcW w:type="dxa" w:w="1440"/>
          </w:tcPr>
          <w:p>
            <w:r>
              <w:rPr>
                <w:sz w:val="16"/>
              </w:rPr>
              <w:t>190,50</w:t>
            </w:r>
          </w:p>
        </w:tc>
        <w:tc>
          <w:tcPr>
            <w:tcW w:type="dxa" w:w="1440"/>
          </w:tcPr>
          <w:p>
            <w:r>
              <w:rPr>
                <w:sz w:val="16"/>
              </w:rPr>
              <w:t>122,50</w:t>
            </w:r>
          </w:p>
        </w:tc>
        <w:tc>
          <w:tcPr>
            <w:tcW w:type="dxa" w:w="1440"/>
          </w:tcPr>
          <w:p>
            <w:r>
              <w:rPr>
                <w:sz w:val="16"/>
              </w:rPr>
              <w:t>367.669,00</w:t>
            </w:r>
          </w:p>
        </w:tc>
        <w:tc>
          <w:tcPr>
            <w:tcW w:type="dxa" w:w="1440"/>
          </w:tcPr>
          <w:p>
            <w:r>
              <w:rPr>
                <w:sz w:val="16"/>
              </w:rPr>
              <w:t>23,80</w:t>
            </w:r>
          </w:p>
        </w:tc>
      </w:tr>
      <w:tr>
        <w:tc>
          <w:tcPr>
            <w:tcW w:type="dxa" w:w="1440"/>
          </w:tcPr>
          <w:p>
            <w:r>
              <w:rPr>
                <w:sz w:val="16"/>
              </w:rPr>
              <w:t>25%</w:t>
            </w:r>
          </w:p>
        </w:tc>
        <w:tc>
          <w:tcPr>
            <w:tcW w:type="dxa" w:w="1440"/>
          </w:tcPr>
          <w:p>
            <w:r>
              <w:rPr>
                <w:sz w:val="16"/>
              </w:rPr>
              <w:t>59,45</w:t>
            </w:r>
          </w:p>
        </w:tc>
        <w:tc>
          <w:tcPr>
            <w:tcW w:type="dxa" w:w="1440"/>
          </w:tcPr>
          <w:p>
            <w:r>
              <w:rPr>
                <w:sz w:val="16"/>
              </w:rPr>
              <w:t>337,72</w:t>
            </w:r>
          </w:p>
        </w:tc>
        <w:tc>
          <w:tcPr>
            <w:tcW w:type="dxa" w:w="1440"/>
          </w:tcPr>
          <w:p>
            <w:r>
              <w:rPr>
                <w:sz w:val="16"/>
              </w:rPr>
              <w:t>220,08</w:t>
            </w:r>
          </w:p>
        </w:tc>
        <w:tc>
          <w:tcPr>
            <w:tcW w:type="dxa" w:w="1440"/>
          </w:tcPr>
          <w:p>
            <w:r>
              <w:rPr>
                <w:sz w:val="16"/>
              </w:rPr>
              <w:t>558.952,00</w:t>
            </w:r>
          </w:p>
        </w:tc>
        <w:tc>
          <w:tcPr>
            <w:tcW w:type="dxa" w:w="1440"/>
          </w:tcPr>
          <w:p>
            <w:r>
              <w:rPr>
                <w:sz w:val="16"/>
              </w:rPr>
              <w:t>29,95</w:t>
            </w:r>
          </w:p>
        </w:tc>
      </w:tr>
      <w:tr>
        <w:tc>
          <w:tcPr>
            <w:tcW w:type="dxa" w:w="1440"/>
          </w:tcPr>
          <w:p>
            <w:r>
              <w:rPr>
                <w:sz w:val="16"/>
              </w:rPr>
              <w:t>50%</w:t>
            </w:r>
          </w:p>
        </w:tc>
        <w:tc>
          <w:tcPr>
            <w:tcW w:type="dxa" w:w="1440"/>
          </w:tcPr>
          <w:p>
            <w:r>
              <w:rPr>
                <w:sz w:val="16"/>
              </w:rPr>
              <w:t>65,00</w:t>
            </w:r>
          </w:p>
        </w:tc>
        <w:tc>
          <w:tcPr>
            <w:tcW w:type="dxa" w:w="1440"/>
          </w:tcPr>
          <w:p>
            <w:r>
              <w:rPr>
                <w:sz w:val="16"/>
              </w:rPr>
              <w:t>489,00</w:t>
            </w:r>
          </w:p>
        </w:tc>
        <w:tc>
          <w:tcPr>
            <w:tcW w:type="dxa" w:w="1440"/>
          </w:tcPr>
          <w:p>
            <w:r>
              <w:rPr>
                <w:sz w:val="16"/>
              </w:rPr>
              <w:t>307,30</w:t>
            </w:r>
          </w:p>
        </w:tc>
        <w:tc>
          <w:tcPr>
            <w:tcW w:type="dxa" w:w="1440"/>
          </w:tcPr>
          <w:p>
            <w:r>
              <w:rPr>
                <w:sz w:val="16"/>
              </w:rPr>
              <w:t>763.720,00</w:t>
            </w:r>
          </w:p>
        </w:tc>
        <w:tc>
          <w:tcPr>
            <w:tcW w:type="dxa" w:w="1440"/>
          </w:tcPr>
          <w:p>
            <w:r>
              <w:rPr>
                <w:sz w:val="16"/>
              </w:rPr>
              <w:t>32,80</w:t>
            </w:r>
          </w:p>
        </w:tc>
      </w:tr>
      <w:tr>
        <w:tc>
          <w:tcPr>
            <w:tcW w:type="dxa" w:w="1440"/>
          </w:tcPr>
          <w:p>
            <w:r>
              <w:rPr>
                <w:sz w:val="16"/>
              </w:rPr>
              <w:t>75%</w:t>
            </w:r>
          </w:p>
        </w:tc>
        <w:tc>
          <w:tcPr>
            <w:tcW w:type="dxa" w:w="1440"/>
          </w:tcPr>
          <w:p>
            <w:r>
              <w:rPr>
                <w:sz w:val="16"/>
              </w:rPr>
              <w:t>71,75</w:t>
            </w:r>
          </w:p>
        </w:tc>
        <w:tc>
          <w:tcPr>
            <w:tcW w:type="dxa" w:w="1440"/>
          </w:tcPr>
          <w:p>
            <w:r>
              <w:rPr>
                <w:sz w:val="16"/>
              </w:rPr>
              <w:t>694,55</w:t>
            </w:r>
          </w:p>
        </w:tc>
        <w:tc>
          <w:tcPr>
            <w:tcW w:type="dxa" w:w="1440"/>
          </w:tcPr>
          <w:p>
            <w:r>
              <w:rPr>
                <w:sz w:val="16"/>
              </w:rPr>
              <w:t>464,22</w:t>
            </w:r>
          </w:p>
        </w:tc>
        <w:tc>
          <w:tcPr>
            <w:tcW w:type="dxa" w:w="1440"/>
          </w:tcPr>
          <w:p>
            <w:r>
              <w:rPr>
                <w:sz w:val="16"/>
              </w:rPr>
              <w:t>1.167.511,25</w:t>
            </w:r>
          </w:p>
        </w:tc>
        <w:tc>
          <w:tcPr>
            <w:tcW w:type="dxa" w:w="1440"/>
          </w:tcPr>
          <w:p>
            <w:r>
              <w:rPr>
                <w:sz w:val="16"/>
              </w:rPr>
              <w:t>35,52</w:t>
            </w:r>
          </w:p>
        </w:tc>
      </w:tr>
      <w:tr>
        <w:tc>
          <w:tcPr>
            <w:tcW w:type="dxa" w:w="1440"/>
          </w:tcPr>
          <w:p>
            <w:r>
              <w:rPr>
                <w:sz w:val="16"/>
              </w:rPr>
              <w:t>max</w:t>
            </w:r>
          </w:p>
        </w:tc>
        <w:tc>
          <w:tcPr>
            <w:tcW w:type="dxa" w:w="1440"/>
          </w:tcPr>
          <w:p>
            <w:r>
              <w:rPr>
                <w:sz w:val="16"/>
              </w:rPr>
              <w:t>83,50</w:t>
            </w:r>
          </w:p>
        </w:tc>
        <w:tc>
          <w:tcPr>
            <w:tcW w:type="dxa" w:w="1440"/>
          </w:tcPr>
          <w:p>
            <w:r>
              <w:rPr>
                <w:sz w:val="16"/>
              </w:rPr>
              <w:t>1.083,70</w:t>
            </w:r>
          </w:p>
        </w:tc>
        <w:tc>
          <w:tcPr>
            <w:tcW w:type="dxa" w:w="1440"/>
          </w:tcPr>
          <w:p>
            <w:r>
              <w:rPr>
                <w:sz w:val="16"/>
              </w:rPr>
              <w:t>712,80</w:t>
            </w:r>
          </w:p>
        </w:tc>
        <w:tc>
          <w:tcPr>
            <w:tcW w:type="dxa" w:w="1440"/>
          </w:tcPr>
          <w:p>
            <w:r>
              <w:rPr>
                <w:sz w:val="16"/>
              </w:rPr>
              <w:t>1.600.000,00</w:t>
            </w:r>
          </w:p>
        </w:tc>
        <w:tc>
          <w:tcPr>
            <w:tcW w:type="dxa" w:w="1440"/>
          </w:tcPr>
          <w:p>
            <w:r>
              <w:rPr>
                <w:sz w:val="16"/>
              </w:rPr>
              <w:t>40,20</w:t>
            </w:r>
          </w:p>
        </w:tc>
      </w:tr>
    </w:tbl>
    <w:p/>
    <w:p>
      <w:r>
        <w:rPr>
          <w:b/>
          <w:sz w:val="28"/>
        </w:rPr>
        <w:t>B. Visualisasi</w:t>
      </w:r>
    </w:p>
    <w:p>
      <w:r>
        <w:drawing>
          <wp:inline xmlns:a="http://schemas.openxmlformats.org/drawingml/2006/main" xmlns:pic="http://schemas.openxmlformats.org/drawingml/2006/picture">
            <wp:extent cx="5029200" cy="3314789"/>
            <wp:docPr id="1" name="Picture 1"/>
            <wp:cNvGraphicFramePr>
              <a:graphicFrameLocks noChangeAspect="1"/>
            </wp:cNvGraphicFramePr>
            <a:graphic>
              <a:graphicData uri="http://schemas.openxmlformats.org/drawingml/2006/picture">
                <pic:pic>
                  <pic:nvPicPr>
                    <pic:cNvPr id="0" name="grafik_1_kanal.png"/>
                    <pic:cNvPicPr/>
                  </pic:nvPicPr>
                  <pic:blipFill>
                    <a:blip r:embed="rId9"/>
                    <a:stretch>
                      <a:fillRect/>
                    </a:stretch>
                  </pic:blipFill>
                  <pic:spPr>
                    <a:xfrm>
                      <a:off x="0" y="0"/>
                      <a:ext cx="5029200" cy="3314789"/>
                    </a:xfrm>
                    <a:prstGeom prst="rect"/>
                  </pic:spPr>
                </pic:pic>
              </a:graphicData>
            </a:graphic>
          </wp:inline>
        </w:drawing>
      </w:r>
    </w:p>
    <w:p>
      <w:r>
        <w:rPr>
          <w:i/>
          <w:sz w:val="20"/>
        </w:rPr>
        <w:t>Gambar 1. Rata-rata nilai transaksi per kanal pembayaran.</w:t>
      </w:r>
    </w:p>
    <w:p/>
    <w:p>
      <w:r>
        <w:drawing>
          <wp:inline xmlns:a="http://schemas.openxmlformats.org/drawingml/2006/main" xmlns:pic="http://schemas.openxmlformats.org/drawingml/2006/picture">
            <wp:extent cx="5029200" cy="3025508"/>
            <wp:docPr id="2" name="Picture 2"/>
            <wp:cNvGraphicFramePr>
              <a:graphicFrameLocks noChangeAspect="1"/>
            </wp:cNvGraphicFramePr>
            <a:graphic>
              <a:graphicData uri="http://schemas.openxmlformats.org/drawingml/2006/picture">
                <pic:pic>
                  <pic:nvPicPr>
                    <pic:cNvPr id="0" name="grafik_2_tren.png"/>
                    <pic:cNvPicPr/>
                  </pic:nvPicPr>
                  <pic:blipFill>
                    <a:blip r:embed="rId10"/>
                    <a:stretch>
                      <a:fillRect/>
                    </a:stretch>
                  </pic:blipFill>
                  <pic:spPr>
                    <a:xfrm>
                      <a:off x="0" y="0"/>
                      <a:ext cx="5029200" cy="3025508"/>
                    </a:xfrm>
                    <a:prstGeom prst="rect"/>
                  </pic:spPr>
                </pic:pic>
              </a:graphicData>
            </a:graphic>
          </wp:inline>
        </w:drawing>
      </w:r>
    </w:p>
    <w:p>
      <w:r>
        <w:rPr>
          <w:i/>
          <w:sz w:val="20"/>
        </w:rPr>
        <w:t>Gambar 2. Tren rata-rata nilai transaksi QRIS per bulan.</w:t>
      </w:r>
    </w:p>
    <w:p/>
    <w:p>
      <w:r>
        <w:drawing>
          <wp:inline xmlns:a="http://schemas.openxmlformats.org/drawingml/2006/main" xmlns:pic="http://schemas.openxmlformats.org/drawingml/2006/picture">
            <wp:extent cx="5029200" cy="4492065"/>
            <wp:docPr id="3" name="Picture 3"/>
            <wp:cNvGraphicFramePr>
              <a:graphicFrameLocks noChangeAspect="1"/>
            </wp:cNvGraphicFramePr>
            <a:graphic>
              <a:graphicData uri="http://schemas.openxmlformats.org/drawingml/2006/picture">
                <pic:pic>
                  <pic:nvPicPr>
                    <pic:cNvPr id="0" name="grafik_3_korelasi.png"/>
                    <pic:cNvPicPr/>
                  </pic:nvPicPr>
                  <pic:blipFill>
                    <a:blip r:embed="rId11"/>
                    <a:stretch>
                      <a:fillRect/>
                    </a:stretch>
                  </pic:blipFill>
                  <pic:spPr>
                    <a:xfrm>
                      <a:off x="0" y="0"/>
                      <a:ext cx="5029200" cy="4492065"/>
                    </a:xfrm>
                    <a:prstGeom prst="rect"/>
                  </pic:spPr>
                </pic:pic>
              </a:graphicData>
            </a:graphic>
          </wp:inline>
        </w:drawing>
      </w:r>
    </w:p>
    <w:p>
      <w:r>
        <w:rPr>
          <w:i/>
          <w:sz w:val="20"/>
        </w:rPr>
        <w:t>Gambar 3. Korelasi antar variabel survei.</w:t>
      </w:r>
    </w:p>
    <w:p/>
    <w:p>
      <w:r>
        <w:drawing>
          <wp:inline xmlns:a="http://schemas.openxmlformats.org/drawingml/2006/main" xmlns:pic="http://schemas.openxmlformats.org/drawingml/2006/picture">
            <wp:extent cx="5029200" cy="3301642"/>
            <wp:docPr id="4" name="Picture 4"/>
            <wp:cNvGraphicFramePr>
              <a:graphicFrameLocks noChangeAspect="1"/>
            </wp:cNvGraphicFramePr>
            <a:graphic>
              <a:graphicData uri="http://schemas.openxmlformats.org/drawingml/2006/picture">
                <pic:pic>
                  <pic:nvPicPr>
                    <pic:cNvPr id="0" name="grafik_4_regresi.png"/>
                    <pic:cNvPicPr/>
                  </pic:nvPicPr>
                  <pic:blipFill>
                    <a:blip r:embed="rId12"/>
                    <a:stretch>
                      <a:fillRect/>
                    </a:stretch>
                  </pic:blipFill>
                  <pic:spPr>
                    <a:xfrm>
                      <a:off x="0" y="0"/>
                      <a:ext cx="5029200" cy="3301642"/>
                    </a:xfrm>
                    <a:prstGeom prst="rect"/>
                  </pic:spPr>
                </pic:pic>
              </a:graphicData>
            </a:graphic>
          </wp:inline>
        </w:drawing>
      </w:r>
    </w:p>
    <w:p>
      <w:r>
        <w:rPr>
          <w:i/>
          <w:sz w:val="20"/>
        </w:rPr>
        <w:t>Gambar 4. Regresi volume transaksi QRIS terhadap nilai transaksi QRIS.</w:t>
      </w:r>
    </w:p>
    <w:p/>
    <w:p>
      <w:r>
        <w:rPr>
          <w:b/>
          <w:sz w:val="28"/>
        </w:rPr>
        <w:t>C. Catatan Data</w:t>
      </w:r>
    </w:p>
    <w:p>
      <w:r>
        <w:rPr>
          <w:sz w:val="22"/>
        </w:rPr>
        <w:t>Berkas latihan semula berisi 200 baris data transaksi, 150 baris data survei, dan 120 baris data makro. Setelah pembersihan, jumlah baris menjadi 194, 146, dan 120.</w:t>
      </w:r>
    </w:p>
    <w:p>
      <w:r>
        <w:rPr>
          <w:sz w:val="22"/>
        </w:rPr>
        <w:t>Aturan pembersihan yang digunakan: tanggal bergaris miring dibaca sebagai hari/bulan/tahun; usia dianggap wajar pada rentang 17 sampai 100 tahun; skala frekuensi penggunaan 1 sampai 7 dan skor survei lainnya 1 sampai 5; nilai negatif dan nilai ekstrem dikosongkan lalu diisi dengan median; sel teks yang kosong diisi dengan modus; data makro yang kosong diisi dengan median per provinsi.</w:t>
      </w:r>
    </w:p>
    <w:p>
      <w:r>
        <w:rPr>
          <w:sz w:val="22"/>
        </w:rPr>
        <w:t>Keputusan pengisian median memengaruhi hasil. Pada kolom Nilai_Transaksi, nilai 419.292.000 muncul 10 kali karena berasal dari pengisian median, sehingga nilai tengah (50%) kolom tersebut sama dengan angka ini. Rata-rata dan sebaran kolom tersebut perlu dibaca dengan kehati-hatian.</w:t>
      </w:r>
    </w:p>
    <w:p>
      <w:r>
        <w:rPr>
          <w:b/>
          <w:sz w:val="28"/>
        </w:rPr>
        <w:t>D. Temuan dan Kesimpulan</w:t>
      </w:r>
    </w:p>
    <w:p>
      <w:r>
        <w:rPr>
          <w:b/>
          <w:sz w:val="24"/>
        </w:rPr>
        <w:t>D.1 Kanal Pembayaran</w:t>
      </w:r>
    </w:p>
    <w:p>
      <w:r>
        <w:rPr>
          <w:sz w:val="22"/>
        </w:rPr>
        <w:t>Rata-rata nilai transaksi tertinggi terdapat pada kanal Transfer BI-FAST (494,75 juta rupiah), disusul Kartu Debit (490,39 juta) and Kartu Kredit (456,53 juta). Rata-rata terendah terdapat pada Tunai (389,20 juta) dan QRIS (384,35 juta). Perlu dicatat bahwa QRIS adalah kanal dengan jumlah transaksi terbanyak (67 dari 194 transaksi).</w:t>
      </w:r>
    </w:p>
    <w:p>
      <w:r>
        <w:rPr>
          <w:b/>
          <w:sz w:val="24"/>
        </w:rPr>
        <w:t>D.2 Tren Transaksi QRIS</w:t>
      </w:r>
    </w:p>
    <w:p>
      <w:r>
        <w:rPr>
          <w:sz w:val="22"/>
        </w:rPr>
        <w:t>Rata-rata nilai transaksi QRIS per bulan cenderung naik, dari 274,62 pada Januari 2023 menjadi 406,55 pada Agustus 2024, dengan puncak 437,30 pada Juli 2024. Kenaikan tersebut tidak mulus karena terdapat naik-turun antarbulan.</w:t>
      </w:r>
    </w:p>
    <w:p>
      <w:r>
        <w:rPr>
          <w:b/>
          <w:sz w:val="24"/>
        </w:rPr>
        <w:t>D.3 Korelasi Variabel Survei</w:t>
      </w:r>
    </w:p>
    <w:p>
      <w:r>
        <w:rPr>
          <w:sz w:val="22"/>
        </w:rPr>
        <w:t>Rata-rata skor survei berada di sekitar tengah skala, yaitu 2,85 sampai 3,16 pada skala 1 sampai 5 (frekuensi penggunaan QRIS rata-rata 3,96 pada skala 1 sampai 7). Seluruh korelasi antar variabel survei tergolong lemah. Korelasi tertinggi adalah Persepsi Keamanan Transaksi dengan Loyalitas (0,22) dan korelasi terendah adalah Usia dengan Persepsi Keamanan Transaksi (-0,15). Dengan demikian tidak ditemukan hubungan yang kuat antar variabel survei.</w:t>
      </w:r>
    </w:p>
    <w:p>
      <w:r>
        <w:rPr>
          <w:b/>
          <w:sz w:val="24"/>
        </w:rPr>
        <w:t>D.4 Regresi Data Makro</w:t>
      </w:r>
    </w:p>
    <w:p>
      <w:r>
        <w:rPr>
          <w:sz w:val="22"/>
        </w:rPr>
        <w:t>Pada data makro, regresi linear sederhana menunjukkan bahwa setiap kenaikan 1 poin Volume Transaksi QRIS diikuti kenaikan sekitar 0,64 poin Nilai Transaksi QRIS (koefisien 0,6355). Nilai R-kuadrat sebesar 0,9404 dan korelasi sebesar 0,9698 menunjukkan hubungan yang sangat kuat. Pada volume besar (di atas sekitar 800), titik data lebih menyebar dari garis sehingga perkiraan pada rentang tersebut kurang presisi. Hubungan ini menunjukkan keterkaitan, bukan bukti sebab-akibat.</w:t>
      </w:r>
    </w:p>
    <w:p>
      <w:r>
        <w:rPr>
          <w:b/>
          <w:sz w:val="24"/>
        </w:rPr>
        <w:t>D.5 Kesimpulan</w:t>
      </w:r>
    </w:p>
    <w:p>
      <w:r>
        <w:rPr>
          <w:sz w:val="22"/>
        </w:rPr>
        <w:t>Secara ringkas: (1) nilai transaksi QRIS cenderung naik sepanjang periode pengamatan; (2) volume dan nilai transaksi QRIS berkaitan sangat kuat; (3) variabel survei tidak saling berhubungan secara kuat; (4) hasil pada data transaksi perlu dibaca dengan memperhatikan pengisian median.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