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 xml:space="preserve">System Design </w:t>
      </w:r>
      <w:proofErr w:type="spellStart"/>
      <w:r w:rsidRPr="00935FCA">
        <w:rPr>
          <w:rFonts w:ascii="CMU Serif Roman" w:hAnsi="CMU Serif Roman"/>
          <w:b/>
          <w:bCs/>
          <w:color w:val="000000" w:themeColor="text1"/>
          <w:sz w:val="48"/>
          <w:szCs w:val="48"/>
        </w:rPr>
        <w:t>Document</w:t>
      </w:r>
      <w:proofErr w:type="spellEnd"/>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7373D81B" w:rsidR="009F2AFE" w:rsidRPr="00A65964"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color w:val="000000" w:themeColor="text1"/>
              <w:sz w:val="20"/>
              <w:szCs w:val="20"/>
            </w:rPr>
            <w:fldChar w:fldCharType="begin"/>
          </w:r>
          <w:r w:rsidRPr="00A65964">
            <w:rPr>
              <w:rFonts w:ascii="CMU Serif Roman" w:hAnsi="CMU Serif Roman" w:cs="CMU Serif Roman"/>
              <w:b w:val="0"/>
              <w:bCs w:val="0"/>
              <w:color w:val="000000" w:themeColor="text1"/>
              <w:sz w:val="20"/>
              <w:szCs w:val="20"/>
            </w:rPr>
            <w:instrText>TOC \o "1-3" \h \z \u</w:instrText>
          </w:r>
          <w:r w:rsidRPr="00A65964">
            <w:rPr>
              <w:rFonts w:ascii="CMU Serif Roman" w:hAnsi="CMU Serif Roman" w:cs="CMU Serif Roman"/>
              <w:b w:val="0"/>
              <w:bCs w:val="0"/>
              <w:color w:val="000000" w:themeColor="text1"/>
              <w:sz w:val="20"/>
              <w:szCs w:val="20"/>
            </w:rPr>
            <w:fldChar w:fldCharType="separate"/>
          </w:r>
          <w:hyperlink w:anchor="_Toc91248627" w:history="1">
            <w:r w:rsidR="00C451AB" w:rsidRPr="00A65964">
              <w:rPr>
                <w:rStyle w:val="Hyperlink"/>
                <w:rFonts w:ascii="CMU Serif Roman" w:hAnsi="CMU Serif Roman" w:cs="CMU Serif Roman"/>
                <w:b w:val="0"/>
                <w:bCs w:val="0"/>
                <w:noProof/>
                <w:color w:val="000000" w:themeColor="text1"/>
                <w:sz w:val="20"/>
                <w:szCs w:val="20"/>
              </w:rPr>
              <w:t>1</w:t>
            </w:r>
          </w:hyperlink>
          <w:r w:rsidR="00C451AB" w:rsidRPr="00A65964">
            <w:rPr>
              <w:rFonts w:ascii="CMU Serif Roman" w:hAnsi="CMU Serif Roman" w:cs="CMU Serif Roman"/>
              <w:b w:val="0"/>
              <w:bCs w:val="0"/>
              <w:noProof/>
              <w:color w:val="000000" w:themeColor="text1"/>
              <w:sz w:val="20"/>
              <w:szCs w:val="20"/>
            </w:rPr>
            <w:t xml:space="preserve"> -</w:t>
          </w:r>
          <w:r w:rsidR="00511E4D" w:rsidRPr="00A65964">
            <w:rPr>
              <w:rFonts w:ascii="CMU Serif Roman" w:hAnsi="CMU Serif Roman" w:cs="CMU Serif Roman"/>
              <w:b w:val="0"/>
              <w:bCs w:val="0"/>
              <w:noProof/>
              <w:color w:val="000000" w:themeColor="text1"/>
              <w:sz w:val="20"/>
              <w:szCs w:val="20"/>
            </w:rPr>
            <w:t xml:space="preserve"> </w:t>
          </w:r>
          <w:r w:rsidR="00C451AB" w:rsidRPr="00A65964">
            <w:rPr>
              <w:rFonts w:ascii="CMU Serif Roman" w:hAnsi="CMU Serif Roman" w:cs="CMU Serif Roman"/>
              <w:b w:val="0"/>
              <w:bCs w:val="0"/>
              <w:noProof/>
              <w:color w:val="000000" w:themeColor="text1"/>
              <w:sz w:val="20"/>
              <w:szCs w:val="20"/>
            </w:rPr>
            <w:t>Introduzione</w:t>
          </w:r>
          <w:r w:rsidR="00511E4D" w:rsidRPr="00A65964">
            <w:rPr>
              <w:rFonts w:ascii="CMU Serif Roman" w:hAnsi="CMU Serif Roman" w:cs="CMU Serif Roman"/>
              <w:b w:val="0"/>
              <w:bCs w:val="0"/>
              <w:noProof/>
              <w:color w:val="000000" w:themeColor="text1"/>
              <w:sz w:val="20"/>
              <w:szCs w:val="20"/>
            </w:rPr>
            <w:t>……………………………..-</w:t>
          </w:r>
          <w:hyperlink w:anchor="_Toc91248628" w:history="1">
            <w:r w:rsidR="00C451AB" w:rsidRPr="00A65964">
              <w:rPr>
                <w:rStyle w:val="Hyperlink"/>
                <w:rFonts w:ascii="CMU Serif Roman" w:hAnsi="CMU Serif Roman" w:cs="CMU Serif Roman"/>
                <w:b w:val="0"/>
                <w:bCs w:val="0"/>
                <w:noProof/>
                <w:color w:val="000000" w:themeColor="text1"/>
                <w:sz w:val="20"/>
                <w:szCs w:val="20"/>
                <w:lang w:eastAsia="it-IT"/>
              </w:rPr>
              <w:t>………………………………………………………………………………………</w:t>
            </w:r>
            <w:r w:rsidR="00511E4D" w:rsidRPr="00A65964">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A65964" w:rsidRDefault="00C776FF"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A65964">
              <w:rPr>
                <w:rStyle w:val="Hyperlink"/>
                <w:rFonts w:ascii="CMU Serif Roman" w:hAnsi="CMU Serif Roman" w:cs="CMU Serif Roman"/>
                <w:b w:val="0"/>
                <w:bCs w:val="0"/>
                <w:noProof/>
                <w:color w:val="000000" w:themeColor="text1"/>
                <w:sz w:val="20"/>
                <w:szCs w:val="20"/>
                <w:lang w:eastAsia="it-IT"/>
              </w:rPr>
              <w:t>1.1 - Scopo del sistema</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_Toc91248628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2</w:t>
            </w:r>
            <w:r w:rsidR="009F2AFE" w:rsidRPr="00A65964">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A65964" w:rsidRDefault="00C776FF"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A65964">
              <w:rPr>
                <w:rStyle w:val="Hyperlink"/>
                <w:rFonts w:ascii="CMU Serif Roman" w:hAnsi="CMU Serif Roman" w:cs="CMU Serif Roman"/>
                <w:b w:val="0"/>
                <w:bCs w:val="0"/>
                <w:noProof/>
                <w:color w:val="000000" w:themeColor="text1"/>
                <w:sz w:val="20"/>
                <w:szCs w:val="20"/>
                <w:lang w:eastAsia="it-IT"/>
              </w:rPr>
              <w:t>1.2 – Obiettivi di progettazione</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_Toc91248629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3</w:t>
            </w:r>
            <w:r w:rsidR="009F2AFE" w:rsidRPr="00A65964">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A65964" w:rsidRDefault="00C776FF"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noProof/>
              <w:sz w:val="20"/>
              <w:szCs w:val="20"/>
            </w:rPr>
            <w:fldChar w:fldCharType="begin"/>
          </w:r>
          <w:r w:rsidRPr="00A65964">
            <w:rPr>
              <w:rFonts w:ascii="CMU Serif Roman" w:hAnsi="CMU Serif Roman" w:cs="CMU Serif Roman"/>
              <w:b w:val="0"/>
              <w:bCs w:val="0"/>
              <w:noProof/>
              <w:sz w:val="20"/>
              <w:szCs w:val="20"/>
            </w:rPr>
            <w:instrText xml:space="preserve"> HYPERLINK \l "_Toc91248630" </w:instrText>
          </w:r>
          <w:r w:rsidR="00511E4D" w:rsidRPr="00A65964">
            <w:rPr>
              <w:rFonts w:ascii="CMU Serif Roman" w:hAnsi="CMU Serif Roman" w:cs="CMU Serif Roman"/>
              <w:b w:val="0"/>
              <w:bCs w:val="0"/>
              <w:noProof/>
              <w:sz w:val="20"/>
              <w:szCs w:val="20"/>
            </w:rPr>
          </w:r>
          <w:r w:rsidRPr="00A65964">
            <w:rPr>
              <w:rFonts w:ascii="CMU Serif Roman" w:hAnsi="CMU Serif Roman" w:cs="CMU Serif Roman"/>
              <w:b w:val="0"/>
              <w:bCs w:val="0"/>
              <w:noProof/>
              <w:sz w:val="20"/>
              <w:szCs w:val="20"/>
            </w:rPr>
            <w:fldChar w:fldCharType="separate"/>
          </w:r>
          <w:r w:rsidR="009F2AFE" w:rsidRPr="00A65964">
            <w:rPr>
              <w:rStyle w:val="Hyperlink"/>
              <w:rFonts w:ascii="CMU Serif Roman" w:hAnsi="CMU Serif Roman" w:cs="CMU Serif Roman"/>
              <w:b w:val="0"/>
              <w:bCs w:val="0"/>
              <w:noProof/>
              <w:color w:val="000000" w:themeColor="text1"/>
              <w:sz w:val="20"/>
              <w:szCs w:val="20"/>
            </w:rPr>
            <w:t>1.3 – Definizioni, Abbreviazioni e Acronimi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_Toc91248630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4</w:t>
          </w:r>
          <w:r w:rsidR="009F2AFE" w:rsidRPr="00A65964">
            <w:rPr>
              <w:rFonts w:ascii="CMU Serif Roman" w:hAnsi="CMU Serif Roman" w:cs="CMU Serif Roman"/>
              <w:b w:val="0"/>
              <w:bCs w:val="0"/>
              <w:noProof/>
              <w:webHidden/>
              <w:color w:val="000000" w:themeColor="text1"/>
              <w:sz w:val="20"/>
              <w:szCs w:val="20"/>
            </w:rPr>
            <w:fldChar w:fldCharType="end"/>
          </w:r>
          <w:r w:rsidRPr="00A65964">
            <w:rPr>
              <w:rFonts w:ascii="CMU Serif Roman" w:hAnsi="CMU Serif Roman" w:cs="CMU Serif Roman"/>
              <w:b w:val="0"/>
              <w:bCs w:val="0"/>
              <w:noProof/>
              <w:color w:val="000000" w:themeColor="text1"/>
              <w:sz w:val="20"/>
              <w:szCs w:val="20"/>
            </w:rPr>
            <w:fldChar w:fldCharType="end"/>
          </w:r>
        </w:p>
        <w:p w14:paraId="441A2DB6" w14:textId="101031AE" w:rsidR="009F2AFE" w:rsidRPr="00A65964" w:rsidRDefault="00C776FF" w:rsidP="000D518E">
          <w:pPr>
            <w:pStyle w:val="TOC3"/>
            <w:rPr>
              <w:rFonts w:ascii="CMU Serif Roman" w:eastAsiaTheme="minorEastAsia" w:hAnsi="CMU Serif Roman" w:cs="CMU Serif Roman"/>
              <w:noProof/>
              <w:lang w:val="en-IT"/>
            </w:rPr>
          </w:pPr>
          <w:hyperlink w:anchor="_Toc91248631" w:history="1">
            <w:r w:rsidR="009F2AFE" w:rsidRPr="00A65964">
              <w:rPr>
                <w:rStyle w:val="Hyperlink"/>
                <w:rFonts w:ascii="CMU Serif Roman" w:hAnsi="CMU Serif Roman" w:cs="CMU Serif Roman"/>
                <w:noProof/>
                <w:color w:val="000000" w:themeColor="text1"/>
              </w:rPr>
              <w:t>1.3.1 - Definizioni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_Toc91248631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3B587B48" w14:textId="7D9CD98E" w:rsidR="009F2AFE" w:rsidRPr="00A65964" w:rsidRDefault="00C776FF" w:rsidP="000D518E">
          <w:pPr>
            <w:pStyle w:val="TOC3"/>
            <w:rPr>
              <w:rFonts w:ascii="CMU Serif Roman" w:eastAsiaTheme="minorEastAsia" w:hAnsi="CMU Serif Roman" w:cs="CMU Serif Roman"/>
              <w:noProof/>
              <w:lang w:val="en-IT"/>
            </w:rPr>
          </w:pPr>
          <w:hyperlink w:anchor="_Toc91248632" w:history="1">
            <w:r w:rsidR="009F2AFE" w:rsidRPr="00A65964">
              <w:rPr>
                <w:rStyle w:val="Hyperlink"/>
                <w:rFonts w:ascii="CMU Serif Roman" w:hAnsi="CMU Serif Roman" w:cs="CMU Serif Roman"/>
                <w:noProof/>
                <w:color w:val="000000" w:themeColor="text1"/>
              </w:rPr>
              <w:t>1.3.2 - Abbreviazioni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_Toc91248632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4C7E3CAB" w14:textId="4BA5B9B6" w:rsidR="009F2AFE" w:rsidRPr="00A65964" w:rsidRDefault="00C776FF" w:rsidP="000D518E">
          <w:pPr>
            <w:pStyle w:val="TOC3"/>
            <w:rPr>
              <w:rFonts w:ascii="CMU Serif Roman" w:eastAsiaTheme="minorEastAsia" w:hAnsi="CMU Serif Roman" w:cs="CMU Serif Roman"/>
              <w:noProof/>
              <w:lang w:val="en-IT"/>
            </w:rPr>
          </w:pPr>
          <w:r w:rsidRPr="00A65964">
            <w:rPr>
              <w:rFonts w:ascii="CMU Serif Roman" w:hAnsi="CMU Serif Roman" w:cs="CMU Serif Roman"/>
              <w:noProof/>
            </w:rPr>
            <w:fldChar w:fldCharType="begin"/>
          </w:r>
          <w:r w:rsidRPr="00A65964">
            <w:rPr>
              <w:rFonts w:ascii="CMU Serif Roman" w:hAnsi="CMU Serif Roman" w:cs="CMU Serif Roman"/>
              <w:noProof/>
            </w:rPr>
            <w:instrText xml:space="preserve"> HYPERLINK \l "_Toc91248633" </w:instrText>
          </w:r>
          <w:r w:rsidR="00511E4D" w:rsidRPr="00A65964">
            <w:rPr>
              <w:rFonts w:ascii="CMU Serif Roman" w:hAnsi="CMU Serif Roman" w:cs="CMU Serif Roman"/>
              <w:noProof/>
            </w:rPr>
          </w:r>
          <w:r w:rsidRPr="00A65964">
            <w:rPr>
              <w:rFonts w:ascii="CMU Serif Roman" w:hAnsi="CMU Serif Roman" w:cs="CMU Serif Roman"/>
              <w:noProof/>
            </w:rPr>
            <w:fldChar w:fldCharType="separate"/>
          </w:r>
          <w:r w:rsidR="009F2AFE" w:rsidRPr="00A65964">
            <w:rPr>
              <w:rStyle w:val="Hyperlink"/>
              <w:rFonts w:ascii="CMU Serif Roman" w:hAnsi="CMU Serif Roman" w:cs="CMU Serif Roman"/>
              <w:noProof/>
              <w:color w:val="000000" w:themeColor="text1"/>
            </w:rPr>
            <w:t>1.3.3 - Acronimi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_Toc91248633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r w:rsidRPr="00A65964">
            <w:rPr>
              <w:rFonts w:ascii="CMU Serif Roman" w:hAnsi="CMU Serif Roman" w:cs="CMU Serif Roman"/>
              <w:noProof/>
            </w:rPr>
            <w:fldChar w:fldCharType="end"/>
          </w:r>
        </w:p>
        <w:p w14:paraId="21EA38DA" w14:textId="00216F14" w:rsidR="009F2AFE" w:rsidRPr="00A65964" w:rsidRDefault="00C776FF"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A65964">
              <w:rPr>
                <w:rStyle w:val="Hyperlink"/>
                <w:rFonts w:ascii="CMU Serif Roman" w:hAnsi="CMU Serif Roman" w:cs="CMU Serif Roman"/>
                <w:b w:val="0"/>
                <w:bCs w:val="0"/>
                <w:noProof/>
                <w:color w:val="000000" w:themeColor="text1"/>
                <w:sz w:val="20"/>
                <w:szCs w:val="20"/>
              </w:rPr>
              <w:t>1.4 - Riferimenti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_Toc91248634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5</w:t>
            </w:r>
            <w:r w:rsidR="009F2AFE" w:rsidRPr="00A65964">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2</w:t>
          </w:r>
          <w:hyperlink w:anchor="_Toc91248635" w:history="1">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w:t>
            </w:r>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 xml:space="preserve">Sistema </w:t>
            </w:r>
            <w:r w:rsidR="003833D7" w:rsidRPr="00A65964">
              <w:rPr>
                <w:rStyle w:val="Hyperlink"/>
                <w:rFonts w:ascii="CMU Serif Roman" w:hAnsi="CMU Serif Roman" w:cs="CMU Serif Roman"/>
                <w:b w:val="0"/>
                <w:bCs w:val="0"/>
                <w:noProof/>
                <w:color w:val="000000" w:themeColor="text1"/>
                <w:sz w:val="20"/>
                <w:szCs w:val="20"/>
              </w:rPr>
              <w:t>Corrente</w:t>
            </w:r>
            <w:r w:rsidR="009F2AFE"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7</w:t>
            </w:r>
          </w:hyperlink>
        </w:p>
        <w:p w14:paraId="79CDBDE7" w14:textId="775E0EE1"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Sistema </w:t>
            </w:r>
            <w:r w:rsidR="003833D7" w:rsidRPr="00A65964">
              <w:rPr>
                <w:rStyle w:val="Hyperlink"/>
                <w:rFonts w:ascii="CMU Serif Roman" w:hAnsi="CMU Serif Roman" w:cs="CMU Serif Roman"/>
                <w:b w:val="0"/>
                <w:bCs w:val="0"/>
                <w:noProof/>
                <w:color w:val="000000" w:themeColor="text1"/>
                <w:sz w:val="20"/>
                <w:szCs w:val="20"/>
              </w:rPr>
              <w:t>Proposto</w:t>
            </w:r>
            <w:r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9</w:t>
            </w:r>
          </w:hyperlink>
        </w:p>
        <w:p w14:paraId="1828D8B5" w14:textId="2507F97D"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w:t>
          </w:r>
          <w:r w:rsidRPr="00A65964">
            <w:rPr>
              <w:rFonts w:ascii="CMU Serif Roman" w:hAnsi="CMU Serif Roman" w:cs="CMU Serif Roman"/>
              <w:b w:val="0"/>
              <w:bCs w:val="0"/>
              <w:noProof/>
              <w:sz w:val="20"/>
              <w:szCs w:val="20"/>
            </w:rPr>
            <w:t>3</w:t>
          </w:r>
          <w:r w:rsidRPr="00A65964">
            <w:rPr>
              <w:rFonts w:ascii="CMU Serif Roman" w:hAnsi="CMU Serif Roman" w:cs="CMU Serif Roman"/>
              <w:b w:val="0"/>
              <w:bCs w:val="0"/>
              <w:noProof/>
              <w:sz w:val="20"/>
              <w:szCs w:val="20"/>
            </w:rPr>
            <w:t>.1</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Panoramica</w:t>
            </w:r>
            <w:r w:rsidRPr="00A65964">
              <w:rPr>
                <w:rFonts w:ascii="CMU Serif Roman" w:hAnsi="CMU Serif Roman" w:cs="CMU Serif Roman"/>
                <w:b w:val="0"/>
                <w:bCs w:val="0"/>
                <w:noProof/>
                <w:webHidden/>
                <w:color w:val="000000" w:themeColor="text1"/>
                <w:sz w:val="20"/>
                <w:szCs w:val="20"/>
              </w:rPr>
              <w:tab/>
              <w:t>9</w:t>
            </w:r>
          </w:hyperlink>
        </w:p>
        <w:p w14:paraId="61DF1544" w14:textId="7C357C04"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w:t>
          </w:r>
          <w:r w:rsidRPr="00A65964">
            <w:rPr>
              <w:rFonts w:ascii="CMU Serif Roman" w:hAnsi="CMU Serif Roman" w:cs="CMU Serif Roman"/>
              <w:b w:val="0"/>
              <w:bCs w:val="0"/>
              <w:noProof/>
              <w:sz w:val="20"/>
              <w:szCs w:val="20"/>
            </w:rPr>
            <w:t>3.</w:t>
          </w:r>
          <w:r w:rsidRPr="00A65964">
            <w:rPr>
              <w:rFonts w:ascii="CMU Serif Roman" w:hAnsi="CMU Serif Roman" w:cs="CMU Serif Roman"/>
              <w:b w:val="0"/>
              <w:bCs w:val="0"/>
              <w:noProof/>
              <w:sz w:val="20"/>
              <w:szCs w:val="20"/>
            </w:rPr>
            <w:t>2</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Decomposizione del sistema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11</w:t>
            </w:r>
          </w:hyperlink>
        </w:p>
        <w:p w14:paraId="645B39AE" w14:textId="1BDAB131"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w:t>
          </w: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Hardware/Software Mapping</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14</w:t>
            </w:r>
          </w:hyperlink>
        </w:p>
        <w:p w14:paraId="4A5A8623" w14:textId="0FD388C1"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w:t>
          </w: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Gestione dei dati persistenti</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0DD8D638" w14:textId="2BF35E03"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w:t>
          </w: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Controllo accessi e sicurezza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7EDCADE8" w14:textId="23134595"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w:t>
          </w:r>
          <w:r w:rsidRPr="00A65964">
            <w:rPr>
              <w:rFonts w:ascii="CMU Serif Roman" w:hAnsi="CMU Serif Roman" w:cs="CMU Serif Roman"/>
              <w:b w:val="0"/>
              <w:bCs w:val="0"/>
              <w:noProof/>
              <w:sz w:val="20"/>
              <w:szCs w:val="20"/>
            </w:rPr>
            <w:t>6</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Decisioni sul flusso di controllo globale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6E6DC10D" w14:textId="4E1F9DC3" w:rsidR="000D518E"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w:t>
          </w:r>
          <w:r w:rsidRPr="00A65964">
            <w:rPr>
              <w:rFonts w:ascii="CMU Serif Roman" w:hAnsi="CMU Serif Roman" w:cs="CMU Serif Roman"/>
              <w:b w:val="0"/>
              <w:bCs w:val="0"/>
              <w:noProof/>
              <w:sz w:val="20"/>
              <w:szCs w:val="20"/>
            </w:rPr>
            <w:t>7</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Condizioni limite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16</w:t>
            </w:r>
          </w:hyperlink>
        </w:p>
        <w:p w14:paraId="28BDF9CC" w14:textId="37994A82"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w:t>
            </w:r>
            <w:r w:rsidRPr="00A65964">
              <w:rPr>
                <w:rStyle w:val="Hyperlink"/>
                <w:rFonts w:ascii="CMU Serif Roman" w:hAnsi="CMU Serif Roman" w:cs="CMU Serif Roman"/>
                <w:b w:val="0"/>
                <w:bCs w:val="0"/>
                <w:noProof/>
                <w:color w:val="000000" w:themeColor="text1"/>
                <w:sz w:val="20"/>
                <w:szCs w:val="20"/>
              </w:rPr>
              <w:t>ervizi d</w:t>
            </w:r>
            <w:r w:rsidR="007E188D" w:rsidRPr="00A65964">
              <w:rPr>
                <w:rStyle w:val="Hyperlink"/>
                <w:rFonts w:ascii="CMU Serif Roman" w:hAnsi="CMU Serif Roman" w:cs="CMU Serif Roman"/>
                <w:b w:val="0"/>
                <w:bCs w:val="0"/>
                <w:noProof/>
                <w:color w:val="000000" w:themeColor="text1"/>
                <w:sz w:val="20"/>
                <w:szCs w:val="20"/>
              </w:rPr>
              <w:t>ei sottosistemi</w:t>
            </w:r>
            <w:r w:rsidRPr="00A65964">
              <w:rPr>
                <w:rFonts w:ascii="CMU Serif Roman" w:hAnsi="CMU Serif Roman" w:cs="CMU Serif Roman"/>
                <w:b w:val="0"/>
                <w:bCs w:val="0"/>
                <w:noProof/>
                <w:webHidden/>
                <w:color w:val="000000" w:themeColor="text1"/>
                <w:sz w:val="20"/>
                <w:szCs w:val="20"/>
              </w:rPr>
              <w:tab/>
            </w:r>
            <w:r w:rsidR="00285532" w:rsidRPr="00A65964">
              <w:rPr>
                <w:rFonts w:ascii="CMU Serif Roman" w:hAnsi="CMU Serif Roman" w:cs="CMU Serif Roman"/>
                <w:b w:val="0"/>
                <w:bCs w:val="0"/>
                <w:noProof/>
                <w:webHidden/>
                <w:color w:val="000000" w:themeColor="text1"/>
                <w:sz w:val="20"/>
                <w:szCs w:val="20"/>
              </w:rPr>
              <w:t>1</w:t>
            </w:r>
            <w:r w:rsidR="007770ED" w:rsidRPr="00A65964">
              <w:rPr>
                <w:rFonts w:ascii="CMU Serif Roman" w:hAnsi="CMU Serif Roman" w:cs="CMU Serif Roman"/>
                <w:b w:val="0"/>
                <w:bCs w:val="0"/>
                <w:noProof/>
                <w:webHidden/>
                <w:color w:val="000000" w:themeColor="text1"/>
                <w:sz w:val="20"/>
                <w:szCs w:val="20"/>
              </w:rPr>
              <w:t>8</w:t>
            </w:r>
          </w:hyperlink>
        </w:p>
        <w:p w14:paraId="7B484093" w14:textId="2F7DBCF6" w:rsidR="00511E4D" w:rsidRPr="00A65964" w:rsidRDefault="00511E4D" w:rsidP="00B1396C">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w:t>
            </w:r>
            <w:r w:rsidRPr="00A65964">
              <w:rPr>
                <w:rStyle w:val="Hyperlink"/>
                <w:rFonts w:ascii="CMU Serif Roman" w:hAnsi="CMU Serif Roman" w:cs="CMU Serif Roman"/>
                <w:b w:val="0"/>
                <w:bCs w:val="0"/>
                <w:noProof/>
                <w:color w:val="000000" w:themeColor="text1"/>
                <w:sz w:val="20"/>
                <w:szCs w:val="20"/>
              </w:rPr>
              <w:t>Glossario</w:t>
            </w:r>
            <w:r w:rsidRPr="00A65964">
              <w:rPr>
                <w:rFonts w:ascii="CMU Serif Roman" w:hAnsi="CMU Serif Roman" w:cs="CMU Serif Roman"/>
                <w:b w:val="0"/>
                <w:bCs w:val="0"/>
                <w:noProof/>
                <w:webHidden/>
                <w:color w:val="000000" w:themeColor="text1"/>
                <w:sz w:val="20"/>
                <w:szCs w:val="20"/>
              </w:rPr>
              <w:tab/>
            </w:r>
            <w:r w:rsidR="007770ED" w:rsidRPr="00A65964">
              <w:rPr>
                <w:rFonts w:ascii="CMU Serif Roman" w:hAnsi="CMU Serif Roman" w:cs="CMU Serif Roman"/>
                <w:b w:val="0"/>
                <w:bCs w:val="0"/>
                <w:noProof/>
                <w:webHidden/>
                <w:color w:val="000000" w:themeColor="text1"/>
                <w:sz w:val="20"/>
                <w:szCs w:val="20"/>
              </w:rPr>
              <w:t>2</w:t>
            </w:r>
            <w:r w:rsidR="007770ED" w:rsidRPr="00A65964">
              <w:rPr>
                <w:rFonts w:ascii="CMU Serif Roman" w:hAnsi="CMU Serif Roman" w:cs="CMU Serif Roman"/>
                <w:b w:val="0"/>
                <w:bCs w:val="0"/>
                <w:noProof/>
                <w:webHidden/>
                <w:color w:val="000000" w:themeColor="text1"/>
                <w:sz w:val="20"/>
                <w:szCs w:val="20"/>
              </w:rPr>
              <w:t>0</w:t>
            </w:r>
          </w:hyperlink>
        </w:p>
        <w:p w14:paraId="2702AB79" w14:textId="342C1C04" w:rsidR="009F2AFE" w:rsidRPr="00A65964" w:rsidRDefault="009F2AFE" w:rsidP="001B51FA">
          <w:pPr>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A851CB">
          <w:pPr>
            <w:spacing w:after="160"/>
            <w:rPr>
              <w:rFonts w:ascii="CMU Serif Roman" w:hAnsi="CMU Serif Roman" w:cs="CMU Serif Roman"/>
              <w:sz w:val="20"/>
              <w:szCs w:val="20"/>
              <w:lang w:val="en-IT"/>
            </w:rPr>
          </w:pPr>
          <w:r w:rsidRPr="00A65964">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proofErr w:type="gramStart"/>
      <w:r w:rsidR="00E82349">
        <w:rPr>
          <w:rFonts w:ascii="CMU Serif Roman" w:hAnsi="CMU Serif Roman" w:cs="CMU Serif Roman"/>
          <w:color w:val="000000" w:themeColor="text1"/>
        </w:rPr>
        <w:t>…….</w:t>
      </w:r>
      <w:proofErr w:type="gramEnd"/>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1D4F34" w:rsidRDefault="004A4E32" w:rsidP="001B51FA">
      <w:pPr>
        <w:jc w:val="both"/>
        <w:rPr>
          <w:rFonts w:ascii="CMU Serif Roman" w:hAnsi="CMU Serif Roman" w:cs="CMU Serif Roman"/>
          <w:color w:val="000000" w:themeColor="text1"/>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proofErr w:type="gramStart"/>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proofErr w:type="gramEnd"/>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18</w:t>
      </w:r>
    </w:p>
    <w:p w14:paraId="4252A035" w14:textId="594581B3" w:rsidR="00032D69" w:rsidRDefault="00032D69" w:rsidP="001B51FA">
      <w:pPr>
        <w:jc w:val="both"/>
        <w:rPr>
          <w:rFonts w:ascii="CMU Serif Roman" w:hAnsi="CMU Serif Roman" w:cs="CMU Serif Roman"/>
          <w:b/>
          <w:bCs/>
          <w:color w:val="000000" w:themeColor="text1"/>
          <w:sz w:val="48"/>
          <w:szCs w:val="48"/>
        </w:rPr>
      </w:pPr>
    </w:p>
    <w:p w14:paraId="5A8D8645" w14:textId="7A179735" w:rsidR="00090703" w:rsidRDefault="00090703" w:rsidP="001B51FA">
      <w:pPr>
        <w:jc w:val="both"/>
        <w:rPr>
          <w:rFonts w:ascii="CMU Serif Roman" w:hAnsi="CMU Serif Roman" w:cs="CMU Serif Roman"/>
          <w:b/>
          <w:bCs/>
          <w:color w:val="000000" w:themeColor="text1"/>
          <w:sz w:val="48"/>
          <w:szCs w:val="48"/>
        </w:rPr>
      </w:pPr>
    </w:p>
    <w:p w14:paraId="7610B2FA" w14:textId="77777777" w:rsidR="00063801" w:rsidRPr="00F722ED" w:rsidRDefault="00063801" w:rsidP="001B51FA">
      <w:pPr>
        <w:jc w:val="both"/>
        <w:rPr>
          <w:rFonts w:ascii="CMU Serif Roman" w:hAnsi="CMU Serif Roman" w:cs="CMU Serif Roman"/>
          <w:b/>
          <w:bCs/>
          <w:color w:val="000000" w:themeColor="text1"/>
          <w:sz w:val="48"/>
          <w:szCs w:val="48"/>
        </w:rPr>
      </w:pPr>
    </w:p>
    <w:p w14:paraId="2AC5D023" w14:textId="77777777" w:rsidR="008E7F38" w:rsidRPr="004A4E32" w:rsidRDefault="008E7F38" w:rsidP="001B51FA">
      <w:pPr>
        <w:rPr>
          <w:rFonts w:ascii="CMU Serif Roman" w:hAnsi="CMU Serif Roman" w:cs="CMU Serif Roman"/>
          <w:b/>
          <w:bCs/>
          <w:noProof/>
          <w:color w:val="000000" w:themeColor="text1"/>
          <w:sz w:val="48"/>
          <w:szCs w:val="48"/>
        </w:rPr>
      </w:pPr>
      <w:r w:rsidRPr="004A4E32">
        <w:rPr>
          <w:rFonts w:ascii="CMU Serif Roman" w:hAnsi="CMU Serif Roman" w:cs="Arial"/>
          <w:b/>
          <w:bCs/>
          <w:color w:val="000000" w:themeColor="text1"/>
          <w:sz w:val="48"/>
          <w:szCs w:val="48"/>
        </w:rPr>
        <w:t>Bibliografia</w:t>
      </w:r>
      <w:r w:rsidRPr="004A4E32">
        <w:rPr>
          <w:b/>
          <w:bCs/>
          <w:sz w:val="48"/>
          <w:szCs w:val="48"/>
        </w:rPr>
        <w:t xml:space="preserve"> </w:t>
      </w:r>
    </w:p>
    <w:p w14:paraId="01CE8917" w14:textId="77777777" w:rsidR="008E7F38" w:rsidRPr="004A4E32" w:rsidRDefault="008E7F38" w:rsidP="001B51FA">
      <w:pPr>
        <w:rPr>
          <w:rFonts w:ascii="CMU Serif Roman" w:hAnsi="CMU Serif Roman" w:cs="CMU Serif Roman"/>
          <w:b/>
          <w:bCs/>
          <w:noProof/>
          <w:color w:val="000000" w:themeColor="text1"/>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01B90A26" w:rsidR="00B422D9" w:rsidRDefault="00B422D9" w:rsidP="001B51FA">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58A75F70" w14:textId="6BBAC023" w:rsidR="00392024" w:rsidRDefault="00392024"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527B9FB4" wp14:editId="240DF769">
            <wp:extent cx="5727700" cy="4052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2C6B6213"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xml:space="preserve">, in base </w:t>
      </w:r>
      <w:proofErr w:type="spellStart"/>
      <w:proofErr w:type="gramStart"/>
      <w:r w:rsidR="00663838" w:rsidRPr="00663838">
        <w:rPr>
          <w:rFonts w:ascii="CMU Serif Roman" w:hAnsi="CMU Serif Roman" w:cs="CMU Serif Roman"/>
          <w:color w:val="000000"/>
          <w:sz w:val="20"/>
          <w:szCs w:val="20"/>
          <w:lang w:val="en-US"/>
        </w:rPr>
        <w:t>a</w:t>
      </w:r>
      <w:proofErr w:type="spellEnd"/>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458C2998"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proofErr w:type="spellStart"/>
      <w:r>
        <w:rPr>
          <w:rFonts w:ascii="CMU Serif Roman" w:hAnsi="CMU Serif Roman" w:cs="CMU Serif Roman"/>
          <w:sz w:val="20"/>
          <w:szCs w:val="20"/>
        </w:rPr>
        <w:t>sottositema</w:t>
      </w:r>
      <w:proofErr w:type="spellEnd"/>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6673DD7D"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proofErr w:type="spellStart"/>
      <w:r>
        <w:rPr>
          <w:rFonts w:ascii="CMU Serif Roman" w:hAnsi="CMU Serif Roman" w:cs="CMU Serif Roman"/>
          <w:sz w:val="20"/>
          <w:szCs w:val="20"/>
        </w:rPr>
        <w:t>sottositema</w:t>
      </w:r>
      <w:proofErr w:type="spellEnd"/>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7351FADF"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aree,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linee,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corse,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Si prevede che molte delle informazioni visualizzabili dagli utenti sono ottenibili mediante l’esecuzione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07CBABC"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2E292A2F"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usare in parte o completamente a tale scopo.</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7B36" w14:textId="77777777" w:rsidR="00C776FF" w:rsidRDefault="00C776FF" w:rsidP="0018760E">
      <w:r>
        <w:separator/>
      </w:r>
    </w:p>
  </w:endnote>
  <w:endnote w:type="continuationSeparator" w:id="0">
    <w:p w14:paraId="6C41A066" w14:textId="77777777" w:rsidR="00C776FF" w:rsidRDefault="00C776FF"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6B55E" w14:textId="77777777" w:rsidR="00C776FF" w:rsidRDefault="00C776FF" w:rsidP="0018760E">
      <w:r>
        <w:separator/>
      </w:r>
    </w:p>
  </w:footnote>
  <w:footnote w:type="continuationSeparator" w:id="0">
    <w:p w14:paraId="460F8772" w14:textId="77777777" w:rsidR="00C776FF" w:rsidRDefault="00C776FF"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518E"/>
    <w:rsid w:val="000F0E0F"/>
    <w:rsid w:val="001109D2"/>
    <w:rsid w:val="00130D15"/>
    <w:rsid w:val="00140DEC"/>
    <w:rsid w:val="00144BBF"/>
    <w:rsid w:val="00144BE7"/>
    <w:rsid w:val="00146B27"/>
    <w:rsid w:val="00151C5F"/>
    <w:rsid w:val="0015248D"/>
    <w:rsid w:val="00161675"/>
    <w:rsid w:val="0018760E"/>
    <w:rsid w:val="00196B9B"/>
    <w:rsid w:val="001A64AC"/>
    <w:rsid w:val="001B31EA"/>
    <w:rsid w:val="001B51FA"/>
    <w:rsid w:val="001C3B54"/>
    <w:rsid w:val="001C4F60"/>
    <w:rsid w:val="001D04D6"/>
    <w:rsid w:val="001D4248"/>
    <w:rsid w:val="001D4F34"/>
    <w:rsid w:val="001E3789"/>
    <w:rsid w:val="001F023A"/>
    <w:rsid w:val="001F6676"/>
    <w:rsid w:val="002000D5"/>
    <w:rsid w:val="00212BDB"/>
    <w:rsid w:val="002255F0"/>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412C7C"/>
    <w:rsid w:val="00420C98"/>
    <w:rsid w:val="00446AF3"/>
    <w:rsid w:val="00457413"/>
    <w:rsid w:val="00460AF6"/>
    <w:rsid w:val="004678D5"/>
    <w:rsid w:val="00472672"/>
    <w:rsid w:val="00473F72"/>
    <w:rsid w:val="0047778A"/>
    <w:rsid w:val="00477E75"/>
    <w:rsid w:val="004848E2"/>
    <w:rsid w:val="00497564"/>
    <w:rsid w:val="004A16D7"/>
    <w:rsid w:val="004A4E32"/>
    <w:rsid w:val="004C538F"/>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81648"/>
    <w:rsid w:val="0088215B"/>
    <w:rsid w:val="00896CF5"/>
    <w:rsid w:val="008A005E"/>
    <w:rsid w:val="008A052A"/>
    <w:rsid w:val="008B66BD"/>
    <w:rsid w:val="008C499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61738"/>
    <w:rsid w:val="00A61E7F"/>
    <w:rsid w:val="00A6233B"/>
    <w:rsid w:val="00A62543"/>
    <w:rsid w:val="00A63C0A"/>
    <w:rsid w:val="00A65964"/>
    <w:rsid w:val="00A72867"/>
    <w:rsid w:val="00A738FE"/>
    <w:rsid w:val="00A81C2B"/>
    <w:rsid w:val="00A81F78"/>
    <w:rsid w:val="00A851CB"/>
    <w:rsid w:val="00A96833"/>
    <w:rsid w:val="00AC3AAD"/>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16257"/>
    <w:rsid w:val="00D3043B"/>
    <w:rsid w:val="00D30A3C"/>
    <w:rsid w:val="00D366C1"/>
    <w:rsid w:val="00D42B5F"/>
    <w:rsid w:val="00D47FB8"/>
    <w:rsid w:val="00D66E1D"/>
    <w:rsid w:val="00D67824"/>
    <w:rsid w:val="00D813F8"/>
    <w:rsid w:val="00D945C7"/>
    <w:rsid w:val="00D97D37"/>
    <w:rsid w:val="00DA34A8"/>
    <w:rsid w:val="00DA4957"/>
    <w:rsid w:val="00DA710B"/>
    <w:rsid w:val="00DB481C"/>
    <w:rsid w:val="00DB4DC4"/>
    <w:rsid w:val="00DD4FEA"/>
    <w:rsid w:val="00DF1DDD"/>
    <w:rsid w:val="00DF2AF5"/>
    <w:rsid w:val="00E2570E"/>
    <w:rsid w:val="00E333FC"/>
    <w:rsid w:val="00E44428"/>
    <w:rsid w:val="00E555CE"/>
    <w:rsid w:val="00E65846"/>
    <w:rsid w:val="00E8176F"/>
    <w:rsid w:val="00E82349"/>
    <w:rsid w:val="00E86045"/>
    <w:rsid w:val="00E9217A"/>
    <w:rsid w:val="00EB13DC"/>
    <w:rsid w:val="00EB752A"/>
    <w:rsid w:val="00EC1119"/>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3213</Words>
  <Characters>18320</Characters>
  <Application>Microsoft Office Word</Application>
  <DocSecurity>0</DocSecurity>
  <Lines>152</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35</cp:revision>
  <cp:lastPrinted>2021-12-24T18:09:00Z</cp:lastPrinted>
  <dcterms:created xsi:type="dcterms:W3CDTF">2021-12-24T18:09:00Z</dcterms:created>
  <dcterms:modified xsi:type="dcterms:W3CDTF">2021-12-24T19:12:00Z</dcterms:modified>
</cp:coreProperties>
</file>