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Direct and Indirect Losses by Scenarios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impacts ($Bn)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Supply-side impacts ($Bn)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Demand-side impacts ($Bn)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Impact ($Bn)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52.61(16.16%)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8.15(8.73%)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3.64(3.90%)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5.31(5.69%)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17.11(18.33%)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93.14(28.61%)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16.77(17.97%)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8.91(9.55%)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9.41(10.08%)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35.09(37.60%)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147.37(45.26%)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26.21(28.08%)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13.63(14.60%)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14.89(15.95%)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54.73(58.64%)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198.27(60.90%)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37.68(40.37%)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19.85(21.27%)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20.03(21.46%)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77.56(83.10%)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2024-01-26T08:30:13Z</dcterms:modified>
  <cp:category/>
</cp:coreProperties>
</file>