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Direct and Indirect Losses by Scenarios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impacts ($Bn)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Supply-side impacts ($Bn)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Demand-side impacts ($Bn)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Impact ($Bn)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52.61(16.16%)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8.15(8.73%)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3.64(3.90%)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5.31(5.69%)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17.11(18.33%)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93.14(28.61%)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16.77(17.97%)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8.91(9.55%)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9.41(10.08%)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35.09(37.60%)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147.37(45.26%)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26.21(28.08%)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13.63(14.60%)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14.89(15.95%)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54.73(58.64%)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198.27(60.90%)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37.68(40.37%)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19.85(21.27%)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20.03(21.46%)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77.56(83.10%)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2024-01-27T02:32:06Z</dcterms:modified>
  <cp:category/>
</cp:coreProperties>
</file>