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3E1DB" w14:textId="4A91346D" w:rsidR="00005347" w:rsidRPr="006B4F86" w:rsidRDefault="003B5097" w:rsidP="00005347">
      <w:pPr>
        <w:pStyle w:val="Titel"/>
        <w:rPr>
          <w:rFonts w:cs="Times New Roman"/>
          <w:szCs w:val="28"/>
          <w:bdr w:val="nil"/>
          <w:lang w:val="en-GB"/>
        </w:rPr>
      </w:pPr>
      <w:r w:rsidRPr="006B4F86">
        <w:rPr>
          <w:rFonts w:cs="Times New Roman"/>
          <w:szCs w:val="28"/>
          <w:bdr w:val="nil"/>
          <w:lang w:val="en-GB"/>
        </w:rPr>
        <w:t xml:space="preserve">Environmentally Informed </w:t>
      </w:r>
      <w:proofErr w:type="spellStart"/>
      <w:r w:rsidRPr="006B4F86">
        <w:rPr>
          <w:rFonts w:cs="Times New Roman"/>
          <w:szCs w:val="28"/>
          <w:bdr w:val="nil"/>
          <w:lang w:val="en-GB"/>
        </w:rPr>
        <w:t>GenAI</w:t>
      </w:r>
      <w:proofErr w:type="spellEnd"/>
      <w:r w:rsidRPr="006B4F86">
        <w:rPr>
          <w:rFonts w:cs="Times New Roman"/>
          <w:szCs w:val="28"/>
          <w:bdr w:val="nil"/>
          <w:lang w:val="en-GB"/>
        </w:rPr>
        <w:t xml:space="preserve"> Use in ITSM</w:t>
      </w:r>
    </w:p>
    <w:p w14:paraId="409C5704" w14:textId="0CF838A8" w:rsidR="002A60B9" w:rsidRPr="006B4F86" w:rsidRDefault="002B619F" w:rsidP="002A60B9">
      <w:pPr>
        <w:pStyle w:val="Untertitel1"/>
        <w:rPr>
          <w:lang w:val="en-GB"/>
        </w:rPr>
      </w:pPr>
      <w:r w:rsidRPr="006B4F86">
        <w:rPr>
          <w:lang w:val="en-GB"/>
        </w:rPr>
        <w:t xml:space="preserve"> </w:t>
      </w:r>
      <w:r w:rsidR="003B5097" w:rsidRPr="006B4F86">
        <w:rPr>
          <w:lang w:val="en-GB"/>
        </w:rPr>
        <w:t>A Problem Analysis of Organisational Use-Case Decision-Making</w:t>
      </w:r>
    </w:p>
    <w:p w14:paraId="48C300BB" w14:textId="13AE12FE" w:rsidR="00005347" w:rsidRPr="006B4F86" w:rsidRDefault="0072784B" w:rsidP="00005347">
      <w:pPr>
        <w:pStyle w:val="author"/>
        <w:rPr>
          <w:rFonts w:cs="Times New Roman"/>
        </w:rPr>
      </w:pPr>
      <w:r w:rsidRPr="006B4F86">
        <w:rPr>
          <w:rFonts w:cs="Times New Roman"/>
          <w:szCs w:val="20"/>
          <w:bdr w:val="nil"/>
        </w:rPr>
        <w:t>Larissa Koch de Souza</w:t>
      </w:r>
      <w:r w:rsidR="00CE0DEC" w:rsidRPr="006B4F86">
        <w:rPr>
          <w:noProof/>
          <w:lang w:val="en-GB"/>
        </w:rPr>
        <w:drawing>
          <wp:inline distT="0" distB="0" distL="0" distR="0" wp14:anchorId="673F4854" wp14:editId="01C6B1C2">
            <wp:extent cx="152400" cy="152400"/>
            <wp:effectExtent l="0" t="0" r="0" b="0"/>
            <wp:docPr id="1"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005347" w:rsidRPr="006B4F86">
        <w:rPr>
          <w:rFonts w:cs="Times New Roman"/>
          <w:szCs w:val="20"/>
          <w:bdr w:val="nil"/>
        </w:rPr>
        <w:t xml:space="preserve"> </w:t>
      </w:r>
      <w:r w:rsidR="00005347" w:rsidRPr="006B4F86">
        <w:rPr>
          <w:rStyle w:val="Funotenzeichen"/>
          <w:rFonts w:cs="Times New Roman"/>
          <w:lang w:val="en-GB"/>
        </w:rPr>
        <w:footnoteReference w:id="1"/>
      </w:r>
      <w:r w:rsidR="00FD29B4" w:rsidRPr="006B4F86">
        <w:rPr>
          <w:rFonts w:cs="Times New Roman"/>
          <w:szCs w:val="20"/>
          <w:bdr w:val="nil"/>
        </w:rPr>
        <w:t xml:space="preserve"> and </w:t>
      </w:r>
      <w:r w:rsidRPr="006B4F86">
        <w:rPr>
          <w:rFonts w:cs="Times New Roman"/>
          <w:szCs w:val="20"/>
          <w:bdr w:val="nil"/>
        </w:rPr>
        <w:t>Martin Engstler</w:t>
      </w:r>
      <w:r w:rsidRPr="006B4F86">
        <w:rPr>
          <w:noProof/>
          <w:lang w:val="en-GB"/>
        </w:rPr>
        <w:drawing>
          <wp:inline distT="0" distB="0" distL="0" distR="0" wp14:anchorId="0A3A1DD2" wp14:editId="7296AB79">
            <wp:extent cx="152400" cy="152400"/>
            <wp:effectExtent l="0" t="0" r="0" b="0"/>
            <wp:docPr id="5" name="Grafik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F244E4" w:rsidRPr="006B4F86">
        <w:rPr>
          <w:rFonts w:cs="Times New Roman"/>
          <w:szCs w:val="20"/>
          <w:bdr w:val="nil"/>
        </w:rPr>
        <w:t xml:space="preserve"> </w:t>
      </w:r>
      <w:r w:rsidR="00005347" w:rsidRPr="006B4F86">
        <w:rPr>
          <w:rStyle w:val="Funotenzeichen"/>
          <w:rFonts w:cs="Times New Roman"/>
          <w:lang w:val="en-GB"/>
        </w:rPr>
        <w:footnoteReference w:id="2"/>
      </w:r>
    </w:p>
    <w:p w14:paraId="7BFFDC53" w14:textId="4B2A6FD7" w:rsidR="00005347" w:rsidRPr="006B4F86" w:rsidRDefault="00005347" w:rsidP="00005347">
      <w:pPr>
        <w:pStyle w:val="abstract0"/>
        <w:rPr>
          <w:lang w:val="en-GB"/>
        </w:rPr>
      </w:pPr>
      <w:r w:rsidRPr="006B4F86">
        <w:rPr>
          <w:b/>
          <w:bCs/>
          <w:szCs w:val="18"/>
          <w:bdr w:val="nil"/>
          <w:lang w:val="en-GB"/>
        </w:rPr>
        <w:t>Abstract:</w:t>
      </w:r>
      <w:r w:rsidRPr="006B4F86">
        <w:rPr>
          <w:szCs w:val="18"/>
          <w:bdr w:val="nil"/>
          <w:lang w:val="en-GB"/>
        </w:rPr>
        <w:t xml:space="preserve"> </w:t>
      </w:r>
      <w:r w:rsidR="00EE4780" w:rsidRPr="006B4F86">
        <w:rPr>
          <w:szCs w:val="18"/>
          <w:bdr w:val="nil"/>
          <w:lang w:val="en-GB"/>
        </w:rPr>
        <w:t>Generative AI</w:t>
      </w:r>
      <w:r w:rsidR="00F55E72" w:rsidRPr="006B4F86">
        <w:rPr>
          <w:szCs w:val="18"/>
          <w:bdr w:val="nil"/>
          <w:lang w:val="en-GB"/>
        </w:rPr>
        <w:t xml:space="preserve"> (</w:t>
      </w:r>
      <w:proofErr w:type="spellStart"/>
      <w:r w:rsidR="00F55E72" w:rsidRPr="006B4F86">
        <w:rPr>
          <w:szCs w:val="18"/>
          <w:bdr w:val="nil"/>
          <w:lang w:val="en-GB"/>
        </w:rPr>
        <w:t>GenAI</w:t>
      </w:r>
      <w:proofErr w:type="spellEnd"/>
      <w:r w:rsidR="00F55E72" w:rsidRPr="006B4F86">
        <w:rPr>
          <w:szCs w:val="18"/>
          <w:bdr w:val="nil"/>
          <w:lang w:val="en-GB"/>
        </w:rPr>
        <w:t>)</w:t>
      </w:r>
      <w:r w:rsidR="00EE4780" w:rsidRPr="006B4F86">
        <w:rPr>
          <w:szCs w:val="18"/>
          <w:bdr w:val="nil"/>
          <w:lang w:val="en-GB"/>
        </w:rPr>
        <w:t xml:space="preserve"> is increasingly considered for IT Service Management (ITSM), </w:t>
      </w:r>
      <w:r w:rsidR="00F55E72" w:rsidRPr="006B4F86">
        <w:rPr>
          <w:szCs w:val="18"/>
          <w:bdr w:val="nil"/>
          <w:lang w:val="en-GB"/>
        </w:rPr>
        <w:t>promising automation, predictive support, service optimisation and improved knowledge processing.</w:t>
      </w:r>
      <w:r w:rsidR="00EE4780" w:rsidRPr="006B4F86">
        <w:rPr>
          <w:szCs w:val="18"/>
          <w:bdr w:val="nil"/>
          <w:lang w:val="en-GB"/>
        </w:rPr>
        <w:t xml:space="preserve"> At the same time, AI systems create environmental burdens through energy use, emissions, water consumption and hardware-related lifecycle effects. </w:t>
      </w:r>
      <w:r w:rsidR="00F55E72" w:rsidRPr="006B4F86">
        <w:rPr>
          <w:szCs w:val="18"/>
          <w:bdr w:val="nil"/>
          <w:lang w:val="en-GB"/>
        </w:rPr>
        <w:t xml:space="preserve">This paper examines environmentally informed </w:t>
      </w:r>
      <w:proofErr w:type="spellStart"/>
      <w:r w:rsidR="00F55E72" w:rsidRPr="006B4F86">
        <w:rPr>
          <w:szCs w:val="18"/>
          <w:bdr w:val="nil"/>
          <w:lang w:val="en-GB"/>
        </w:rPr>
        <w:t>GenAI</w:t>
      </w:r>
      <w:proofErr w:type="spellEnd"/>
      <w:r w:rsidR="00F55E72" w:rsidRPr="006B4F86">
        <w:rPr>
          <w:szCs w:val="18"/>
          <w:bdr w:val="nil"/>
          <w:lang w:val="en-GB"/>
        </w:rPr>
        <w:t xml:space="preserve"> use-case decisions in ITSM. As a problem-analysis echelon within a broader Design Science Research project, it reports a Systematic Literature Review and synthesises literature into six problem characteristics. The study clarifies the focal construct and formulates a literature-grounded problem statement for subsequent objectives and requirements definition.</w:t>
      </w:r>
    </w:p>
    <w:p w14:paraId="21B4468D" w14:textId="4A659724" w:rsidR="00005347" w:rsidRPr="006B4F86" w:rsidRDefault="00005347" w:rsidP="006A6AFA">
      <w:pPr>
        <w:pStyle w:val="keywords0"/>
        <w:rPr>
          <w:szCs w:val="18"/>
          <w:bdr w:val="nil"/>
          <w:lang w:val="en-GB"/>
        </w:rPr>
      </w:pPr>
      <w:r w:rsidRPr="006B4F86">
        <w:rPr>
          <w:b/>
          <w:bCs/>
          <w:szCs w:val="18"/>
          <w:bdr w:val="nil"/>
          <w:lang w:val="en-GB"/>
        </w:rPr>
        <w:t xml:space="preserve">Keywords: </w:t>
      </w:r>
      <w:r w:rsidR="001C5D6C" w:rsidRPr="006B4F86">
        <w:rPr>
          <w:szCs w:val="18"/>
          <w:bdr w:val="nil"/>
          <w:lang w:val="en-GB"/>
        </w:rPr>
        <w:t xml:space="preserve">Generative </w:t>
      </w:r>
      <w:r w:rsidR="00815F7A" w:rsidRPr="006B4F86">
        <w:rPr>
          <w:szCs w:val="18"/>
          <w:bdr w:val="nil"/>
          <w:lang w:val="en-GB"/>
        </w:rPr>
        <w:t xml:space="preserve">AI </w:t>
      </w:r>
      <w:r w:rsidR="001C5D6C" w:rsidRPr="006B4F86">
        <w:rPr>
          <w:szCs w:val="18"/>
          <w:bdr w:val="nil"/>
          <w:lang w:val="en-GB"/>
        </w:rPr>
        <w:t>(</w:t>
      </w:r>
      <w:proofErr w:type="spellStart"/>
      <w:r w:rsidR="001C5D6C" w:rsidRPr="006B4F86">
        <w:rPr>
          <w:szCs w:val="18"/>
          <w:bdr w:val="nil"/>
          <w:lang w:val="en-GB"/>
        </w:rPr>
        <w:t>GenAI</w:t>
      </w:r>
      <w:proofErr w:type="spellEnd"/>
      <w:r w:rsidR="001C5D6C" w:rsidRPr="006B4F86">
        <w:rPr>
          <w:szCs w:val="18"/>
          <w:bdr w:val="nil"/>
          <w:lang w:val="en-GB"/>
        </w:rPr>
        <w:t>), IT Service Management (ITSM), digital sustainability</w:t>
      </w:r>
      <w:r w:rsidR="00815F7A" w:rsidRPr="006B4F86">
        <w:rPr>
          <w:szCs w:val="18"/>
          <w:bdr w:val="nil"/>
          <w:lang w:val="en-GB"/>
        </w:rPr>
        <w:t>, AI governance, problem analysis</w:t>
      </w:r>
    </w:p>
    <w:p w14:paraId="0CB0809B" w14:textId="5829E915" w:rsidR="00C3509E" w:rsidRPr="006B4F86" w:rsidRDefault="00C3509E" w:rsidP="00C3509E">
      <w:pPr>
        <w:pStyle w:val="berschrift1"/>
        <w:ind w:left="431" w:hanging="431"/>
        <w:rPr>
          <w:rFonts w:cs="Times New Roman"/>
          <w:lang w:val="en-GB"/>
        </w:rPr>
      </w:pPr>
      <w:r w:rsidRPr="006B4F86">
        <w:rPr>
          <w:rFonts w:cs="Times New Roman"/>
          <w:lang w:val="en-GB"/>
        </w:rPr>
        <w:t>Introduction</w:t>
      </w:r>
    </w:p>
    <w:p w14:paraId="4FB3CB16" w14:textId="6E29F6F6" w:rsidR="00276AD6" w:rsidRPr="006B4F86" w:rsidRDefault="00C3509E" w:rsidP="00C3509E">
      <w:pPr>
        <w:rPr>
          <w:lang w:val="en-GB"/>
        </w:rPr>
      </w:pPr>
      <w:r w:rsidRPr="006B4F86">
        <w:rPr>
          <w:lang w:val="en-GB"/>
        </w:rPr>
        <w:t>Generative A</w:t>
      </w:r>
      <w:r w:rsidR="001E7F20" w:rsidRPr="006B4F86">
        <w:rPr>
          <w:lang w:val="en-GB"/>
        </w:rPr>
        <w:t>rtificial Intelligence</w:t>
      </w:r>
      <w:r w:rsidRPr="006B4F86">
        <w:rPr>
          <w:lang w:val="en-GB"/>
        </w:rPr>
        <w:t xml:space="preserve"> (</w:t>
      </w:r>
      <w:proofErr w:type="spellStart"/>
      <w:r w:rsidRPr="006B4F86">
        <w:rPr>
          <w:lang w:val="en-GB"/>
        </w:rPr>
        <w:t>GenAI</w:t>
      </w:r>
      <w:proofErr w:type="spellEnd"/>
      <w:r w:rsidRPr="006B4F86">
        <w:rPr>
          <w:lang w:val="en-GB"/>
        </w:rPr>
        <w:t xml:space="preserve">) is increasingly adopted across organisations and used to reshape organisational processes, structures and use cases </w:t>
      </w:r>
      <w:r w:rsidR="00A11BFB" w:rsidRPr="006B4F86">
        <w:rPr>
          <w:lang w:val="en-GB"/>
        </w:rPr>
        <w:t>[</w:t>
      </w:r>
      <w:r w:rsidR="00A82EE3" w:rsidRPr="006B4F86">
        <w:rPr>
          <w:lang w:val="en-GB"/>
        </w:rPr>
        <w:t>WEF24]</w:t>
      </w:r>
      <w:r w:rsidRPr="006B4F86">
        <w:rPr>
          <w:lang w:val="en-GB"/>
        </w:rPr>
        <w:t xml:space="preserve">. While </w:t>
      </w:r>
      <w:proofErr w:type="spellStart"/>
      <w:r w:rsidRPr="006B4F86">
        <w:rPr>
          <w:lang w:val="en-GB"/>
        </w:rPr>
        <w:t>GenAI</w:t>
      </w:r>
      <w:proofErr w:type="spellEnd"/>
      <w:r w:rsidRPr="006B4F86">
        <w:rPr>
          <w:lang w:val="en-GB"/>
        </w:rPr>
        <w:t xml:space="preserve"> is mainly associated with productivity gains </w:t>
      </w:r>
      <w:r w:rsidR="00A82EE3" w:rsidRPr="006B4F86">
        <w:rPr>
          <w:lang w:val="en-GB"/>
        </w:rPr>
        <w:t>[WEF24]</w:t>
      </w:r>
      <w:r w:rsidRPr="006B4F86">
        <w:rPr>
          <w:lang w:val="en-GB"/>
        </w:rPr>
        <w:t xml:space="preserve">, it intensifies a multifaceted governance debate. In particular, existing research highlights the need to consider </w:t>
      </w:r>
      <w:r w:rsidR="00A916DD" w:rsidRPr="006B4F86">
        <w:rPr>
          <w:lang w:val="en-GB"/>
        </w:rPr>
        <w:t>its</w:t>
      </w:r>
      <w:r w:rsidRPr="006B4F86">
        <w:rPr>
          <w:lang w:val="en-GB"/>
        </w:rPr>
        <w:t xml:space="preserve"> consequences, alongside requirements for fairness, transparency and explainability </w:t>
      </w:r>
      <w:r w:rsidR="00EC4B4E" w:rsidRPr="006B4F86">
        <w:rPr>
          <w:lang w:val="en-GB"/>
        </w:rPr>
        <w:t>[Bl23]</w:t>
      </w:r>
      <w:r w:rsidRPr="006B4F86">
        <w:rPr>
          <w:lang w:val="en-GB"/>
        </w:rPr>
        <w:t xml:space="preserve">. These requirements become more pressing when ecological sustainability is considered. For example, training the underlying deep neural networks </w:t>
      </w:r>
      <w:r w:rsidR="0075017A" w:rsidRPr="006B4F86">
        <w:rPr>
          <w:lang w:val="en-GB"/>
        </w:rPr>
        <w:t xml:space="preserve">is energy-intensive and requires a significant </w:t>
      </w:r>
      <w:proofErr w:type="gramStart"/>
      <w:r w:rsidR="0075017A" w:rsidRPr="006B4F86">
        <w:rPr>
          <w:lang w:val="en-GB"/>
        </w:rPr>
        <w:t>amount</w:t>
      </w:r>
      <w:proofErr w:type="gramEnd"/>
      <w:r w:rsidR="0075017A" w:rsidRPr="006B4F86">
        <w:rPr>
          <w:lang w:val="en-GB"/>
        </w:rPr>
        <w:t xml:space="preserve"> of resources </w:t>
      </w:r>
      <w:r w:rsidR="00FA0D0E" w:rsidRPr="006B4F86">
        <w:rPr>
          <w:lang w:val="en-GB"/>
        </w:rPr>
        <w:t>[RG25]</w:t>
      </w:r>
      <w:r w:rsidRPr="006B4F86">
        <w:rPr>
          <w:lang w:val="en-GB"/>
        </w:rPr>
        <w:t xml:space="preserve">. Moreover, ecological impacts extend beyond electricity-related emissions to water consumption and impacts across hardware supply chains </w:t>
      </w:r>
      <w:r w:rsidR="00FA0D0E" w:rsidRPr="006B4F86">
        <w:rPr>
          <w:lang w:val="en-GB"/>
        </w:rPr>
        <w:t>[RG25]</w:t>
      </w:r>
      <w:r w:rsidRPr="006B4F86">
        <w:rPr>
          <w:lang w:val="en-GB"/>
        </w:rPr>
        <w:t xml:space="preserve">, potentially jeopardising sustainability goals </w:t>
      </w:r>
      <w:r w:rsidR="0034193C" w:rsidRPr="006B4F86">
        <w:rPr>
          <w:lang w:val="en-GB"/>
        </w:rPr>
        <w:t>[Ga21]</w:t>
      </w:r>
      <w:r w:rsidR="00276AD6" w:rsidRPr="006B4F86">
        <w:rPr>
          <w:lang w:val="en-GB"/>
        </w:rPr>
        <w:t>.</w:t>
      </w:r>
    </w:p>
    <w:p w14:paraId="37BD6269" w14:textId="39E26999" w:rsidR="0003719B" w:rsidRPr="006B4F86" w:rsidRDefault="004418B7" w:rsidP="00C3509E">
      <w:pPr>
        <w:rPr>
          <w:lang w:val="en-GB"/>
        </w:rPr>
      </w:pPr>
      <w:r w:rsidRPr="006B4F86">
        <w:rPr>
          <w:lang w:val="en-GB"/>
        </w:rPr>
        <w:t xml:space="preserve">These tensions become particularly actionable in IT Service Management (ITSM), a service-oriented governance domain that aligns business needs with IT capabilities [IE13] and structures decision-making along the </w:t>
      </w:r>
      <w:r w:rsidR="00E023EC" w:rsidRPr="006B4F86">
        <w:rPr>
          <w:lang w:val="en-GB"/>
        </w:rPr>
        <w:t xml:space="preserve">IT </w:t>
      </w:r>
      <w:r w:rsidRPr="006B4F86">
        <w:rPr>
          <w:lang w:val="en-GB"/>
        </w:rPr>
        <w:t>service lifecycle to improve coordination and service quality [GSF16; Or14].</w:t>
      </w:r>
      <w:r w:rsidR="00C3509E" w:rsidRPr="006B4F86">
        <w:rPr>
          <w:lang w:val="en-GB"/>
        </w:rPr>
        <w:t xml:space="preserve"> More recent studies explore deep learning for predictive </w:t>
      </w:r>
      <w:r w:rsidR="00C3509E" w:rsidRPr="006B4F86">
        <w:rPr>
          <w:lang w:val="en-GB"/>
        </w:rPr>
        <w:lastRenderedPageBreak/>
        <w:t xml:space="preserve">analyses in ITSM, while underscoring prerequisites such as </w:t>
      </w:r>
      <w:r w:rsidR="00DE2917" w:rsidRPr="006B4F86">
        <w:rPr>
          <w:lang w:val="en-GB"/>
        </w:rPr>
        <w:t xml:space="preserve">ensuring </w:t>
      </w:r>
      <w:r w:rsidR="00C3509E" w:rsidRPr="006B4F86">
        <w:rPr>
          <w:lang w:val="en-GB"/>
        </w:rPr>
        <w:t>data quality, process</w:t>
      </w:r>
      <w:r w:rsidR="003C2ACD" w:rsidRPr="006B4F86">
        <w:rPr>
          <w:lang w:val="en-GB"/>
        </w:rPr>
        <w:t xml:space="preserve"> </w:t>
      </w:r>
      <w:r w:rsidR="00C3509E" w:rsidRPr="006B4F86">
        <w:rPr>
          <w:lang w:val="en-GB"/>
        </w:rPr>
        <w:t>standardi</w:t>
      </w:r>
      <w:r w:rsidR="00C12C54" w:rsidRPr="006B4F86">
        <w:rPr>
          <w:lang w:val="en-GB"/>
        </w:rPr>
        <w:t>s</w:t>
      </w:r>
      <w:r w:rsidR="00C3509E" w:rsidRPr="006B4F86">
        <w:rPr>
          <w:lang w:val="en-GB"/>
        </w:rPr>
        <w:t xml:space="preserve">ation and system integration </w:t>
      </w:r>
      <w:r w:rsidR="00DC4CD2" w:rsidRPr="006B4F86">
        <w:rPr>
          <w:lang w:val="en-GB"/>
        </w:rPr>
        <w:t>[He25</w:t>
      </w:r>
      <w:r w:rsidR="0034193C" w:rsidRPr="006B4F86">
        <w:rPr>
          <w:lang w:val="en-GB"/>
        </w:rPr>
        <w:t>]</w:t>
      </w:r>
      <w:r w:rsidR="00C3509E" w:rsidRPr="006B4F86">
        <w:rPr>
          <w:lang w:val="en-GB"/>
        </w:rPr>
        <w:t xml:space="preserve">. In contrast, ecological sustainability remains weakly embedded in ITSM research and practice, with only a few contributions addressing this topic </w:t>
      </w:r>
      <w:r w:rsidR="0034193C" w:rsidRPr="006B4F86">
        <w:rPr>
          <w:lang w:val="en-GB"/>
        </w:rPr>
        <w:t>[e.g. CT11</w:t>
      </w:r>
      <w:r w:rsidR="00C3509E" w:rsidRPr="006B4F86">
        <w:rPr>
          <w:lang w:val="en-GB"/>
        </w:rPr>
        <w:t>;</w:t>
      </w:r>
      <w:r w:rsidR="00FA0D0E" w:rsidRPr="006B4F86">
        <w:rPr>
          <w:lang w:val="en-GB"/>
        </w:rPr>
        <w:t xml:space="preserve"> SR13]</w:t>
      </w:r>
      <w:r w:rsidR="00C3509E" w:rsidRPr="006B4F86">
        <w:rPr>
          <w:lang w:val="en-GB"/>
        </w:rPr>
        <w:t xml:space="preserve">. </w:t>
      </w:r>
      <w:r w:rsidR="0003719B" w:rsidRPr="006B4F86">
        <w:rPr>
          <w:lang w:val="en-GB"/>
        </w:rPr>
        <w:t>Overall, r</w:t>
      </w:r>
      <w:r w:rsidR="00C3509E" w:rsidRPr="006B4F86">
        <w:rPr>
          <w:lang w:val="en-GB"/>
        </w:rPr>
        <w:t xml:space="preserve">elated research offers important but fragmented foundations. Green </w:t>
      </w:r>
      <w:r w:rsidR="00276AD6" w:rsidRPr="006B4F86">
        <w:rPr>
          <w:lang w:val="en-GB"/>
        </w:rPr>
        <w:t>information systems (IS) literature</w:t>
      </w:r>
      <w:r w:rsidR="00C3509E" w:rsidRPr="006B4F86">
        <w:rPr>
          <w:lang w:val="en-GB"/>
        </w:rPr>
        <w:t xml:space="preserve"> conceptualises </w:t>
      </w:r>
      <w:r w:rsidR="00276AD6" w:rsidRPr="006B4F86">
        <w:rPr>
          <w:lang w:val="en-GB"/>
        </w:rPr>
        <w:t>IS</w:t>
      </w:r>
      <w:r w:rsidR="00C3509E" w:rsidRPr="006B4F86">
        <w:rPr>
          <w:lang w:val="en-GB"/>
        </w:rPr>
        <w:t xml:space="preserve"> as socio-technical means for supporting sustainable business practices </w:t>
      </w:r>
      <w:r w:rsidR="00DC4CD2" w:rsidRPr="006B4F86">
        <w:rPr>
          <w:lang w:val="en-GB"/>
        </w:rPr>
        <w:t>[Ij10</w:t>
      </w:r>
      <w:r w:rsidR="00A82EE3" w:rsidRPr="006B4F86">
        <w:rPr>
          <w:lang w:val="en-GB"/>
        </w:rPr>
        <w:t>]</w:t>
      </w:r>
      <w:r w:rsidR="00C3509E" w:rsidRPr="006B4F86">
        <w:rPr>
          <w:lang w:val="en-GB"/>
        </w:rPr>
        <w:t xml:space="preserve">, while digital sustainability broadens this view to the development and deployment of digital resources for environmental, societal and economic welfare </w:t>
      </w:r>
      <w:r w:rsidR="00DC4CD2" w:rsidRPr="006B4F86">
        <w:rPr>
          <w:lang w:val="en-GB"/>
        </w:rPr>
        <w:t>[KOS23]</w:t>
      </w:r>
      <w:r w:rsidR="00C3509E" w:rsidRPr="006B4F86">
        <w:rPr>
          <w:lang w:val="en-GB"/>
        </w:rPr>
        <w:t xml:space="preserve">. </w:t>
      </w:r>
      <w:r w:rsidR="00D15EBD" w:rsidRPr="006B4F86">
        <w:rPr>
          <w:lang w:val="en-GB"/>
        </w:rPr>
        <w:t>Within this domain, s</w:t>
      </w:r>
      <w:r w:rsidR="00C3509E" w:rsidRPr="006B4F86">
        <w:rPr>
          <w:lang w:val="en-GB"/>
        </w:rPr>
        <w:t xml:space="preserve">ustainable AI research further highlights energy efficiency, lifecycle management, data management and reduced carbon emissions </w:t>
      </w:r>
      <w:r w:rsidR="00DC4CD2" w:rsidRPr="006B4F86">
        <w:rPr>
          <w:lang w:val="en-GB"/>
        </w:rPr>
        <w:t>[Ko25</w:t>
      </w:r>
      <w:r w:rsidR="00C3509E" w:rsidRPr="006B4F86">
        <w:rPr>
          <w:lang w:val="en-GB"/>
        </w:rPr>
        <w:t>;</w:t>
      </w:r>
      <w:r w:rsidR="00DC4CD2" w:rsidRPr="006B4F86">
        <w:rPr>
          <w:lang w:val="en-GB"/>
        </w:rPr>
        <w:t xml:space="preserve"> Le25]</w:t>
      </w:r>
      <w:r w:rsidR="00C3509E" w:rsidRPr="006B4F86">
        <w:rPr>
          <w:lang w:val="en-GB"/>
        </w:rPr>
        <w:t xml:space="preserve">. However, these streams do not yet clarify how environmentally relevant evidence should </w:t>
      </w:r>
      <w:r w:rsidR="00DE2917" w:rsidRPr="006B4F86">
        <w:rPr>
          <w:lang w:val="en-GB"/>
        </w:rPr>
        <w:t>impact</w:t>
      </w:r>
      <w:r w:rsidR="00C3509E" w:rsidRPr="006B4F86">
        <w:rPr>
          <w:lang w:val="en-GB"/>
        </w:rPr>
        <w:t xml:space="preserve"> concrete organisational decisions on </w:t>
      </w:r>
      <w:proofErr w:type="spellStart"/>
      <w:r w:rsidR="00C3509E" w:rsidRPr="006B4F86">
        <w:rPr>
          <w:lang w:val="en-GB"/>
        </w:rPr>
        <w:t>GenAI</w:t>
      </w:r>
      <w:proofErr w:type="spellEnd"/>
      <w:r w:rsidR="00C3509E" w:rsidRPr="006B4F86">
        <w:rPr>
          <w:lang w:val="en-GB"/>
        </w:rPr>
        <w:t xml:space="preserve"> use cases in ITSM.</w:t>
      </w:r>
      <w:r w:rsidR="003C2ACD" w:rsidRPr="006B4F86">
        <w:rPr>
          <w:lang w:val="en-GB"/>
        </w:rPr>
        <w:t xml:space="preserve"> </w:t>
      </w:r>
      <w:r w:rsidR="00C3509E" w:rsidRPr="006B4F86">
        <w:rPr>
          <w:lang w:val="en-GB"/>
        </w:rPr>
        <w:t>This creates a problem of translation between environmental evidence and ITSM-specific decision-making.</w:t>
      </w:r>
      <w:r w:rsidR="0003719B" w:rsidRPr="006B4F86">
        <w:rPr>
          <w:lang w:val="en-GB"/>
        </w:rPr>
        <w:t xml:space="preserve"> </w:t>
      </w:r>
    </w:p>
    <w:p w14:paraId="63BF2755" w14:textId="363C4076" w:rsidR="00C3509E" w:rsidRPr="006B4F86" w:rsidRDefault="00C3509E" w:rsidP="00C3509E">
      <w:pPr>
        <w:rPr>
          <w:lang w:val="en-GB"/>
        </w:rPr>
      </w:pPr>
      <w:r w:rsidRPr="006B4F86">
        <w:rPr>
          <w:lang w:val="en-GB"/>
        </w:rPr>
        <w:t>This paper therefore examines the problem space</w:t>
      </w:r>
      <w:r w:rsidR="003C2ACD" w:rsidRPr="006B4F86">
        <w:rPr>
          <w:lang w:val="en-GB"/>
        </w:rPr>
        <w:t xml:space="preserve"> of </w:t>
      </w:r>
      <w:r w:rsidRPr="006B4F86">
        <w:rPr>
          <w:lang w:val="en-GB"/>
        </w:rPr>
        <w:t xml:space="preserve">environmentally informed </w:t>
      </w:r>
      <w:proofErr w:type="spellStart"/>
      <w:r w:rsidRPr="006B4F86">
        <w:rPr>
          <w:lang w:val="en-GB"/>
        </w:rPr>
        <w:t>GenAI</w:t>
      </w:r>
      <w:proofErr w:type="spellEnd"/>
      <w:r w:rsidRPr="006B4F86">
        <w:rPr>
          <w:lang w:val="en-GB"/>
        </w:rPr>
        <w:t xml:space="preserve"> use-case decision-making in ITSM, understood as the organisational process through which responsible stakeholders consider environmentally relevant consequences when deciding on a </w:t>
      </w:r>
      <w:proofErr w:type="spellStart"/>
      <w:r w:rsidRPr="006B4F86">
        <w:rPr>
          <w:lang w:val="en-GB"/>
        </w:rPr>
        <w:t>GenAI</w:t>
      </w:r>
      <w:proofErr w:type="spellEnd"/>
      <w:r w:rsidRPr="006B4F86">
        <w:rPr>
          <w:lang w:val="en-GB"/>
        </w:rPr>
        <w:t xml:space="preserve">-enabled ITSM use case. Accordingly, this study </w:t>
      </w:r>
      <w:r w:rsidR="003C2ACD" w:rsidRPr="006B4F86">
        <w:rPr>
          <w:lang w:val="en-GB"/>
        </w:rPr>
        <w:t>focuses on the following research question</w:t>
      </w:r>
      <w:r w:rsidRPr="006B4F86">
        <w:rPr>
          <w:lang w:val="en-GB"/>
        </w:rPr>
        <w:t xml:space="preserve">: </w:t>
      </w:r>
      <w:r w:rsidRPr="006B4F86">
        <w:rPr>
          <w:i/>
          <w:lang w:val="en-GB"/>
        </w:rPr>
        <w:t>What characteri</w:t>
      </w:r>
      <w:r w:rsidR="00DE2917" w:rsidRPr="006B4F86">
        <w:rPr>
          <w:i/>
          <w:lang w:val="en-GB"/>
        </w:rPr>
        <w:t>s</w:t>
      </w:r>
      <w:r w:rsidRPr="006B4F86">
        <w:rPr>
          <w:i/>
          <w:lang w:val="en-GB"/>
        </w:rPr>
        <w:t xml:space="preserve">es the problem of environmentally informed decision-making regarding the use of </w:t>
      </w:r>
      <w:proofErr w:type="spellStart"/>
      <w:r w:rsidR="000F166B" w:rsidRPr="006B4F86">
        <w:rPr>
          <w:i/>
          <w:lang w:val="en-GB"/>
        </w:rPr>
        <w:t>Gen</w:t>
      </w:r>
      <w:r w:rsidRPr="006B4F86">
        <w:rPr>
          <w:i/>
          <w:lang w:val="en-GB"/>
        </w:rPr>
        <w:t>AI</w:t>
      </w:r>
      <w:proofErr w:type="spellEnd"/>
      <w:r w:rsidRPr="006B4F86">
        <w:rPr>
          <w:i/>
          <w:lang w:val="en-GB"/>
        </w:rPr>
        <w:t xml:space="preserve"> in IT</w:t>
      </w:r>
      <w:r w:rsidR="000F166B" w:rsidRPr="006B4F86">
        <w:rPr>
          <w:i/>
          <w:lang w:val="en-GB"/>
        </w:rPr>
        <w:t>SM</w:t>
      </w:r>
      <w:r w:rsidRPr="006B4F86">
        <w:rPr>
          <w:i/>
          <w:lang w:val="en-GB"/>
        </w:rPr>
        <w:t xml:space="preserve">? </w:t>
      </w:r>
      <w:r w:rsidR="004D0632" w:rsidRPr="006B4F86">
        <w:rPr>
          <w:lang w:val="en-GB"/>
        </w:rPr>
        <w:t xml:space="preserve">This study is part of a broader DSR project that aims to develop and evaluate decision support for environmentally informed </w:t>
      </w:r>
      <w:proofErr w:type="spellStart"/>
      <w:r w:rsidR="004D0632" w:rsidRPr="006B4F86">
        <w:rPr>
          <w:lang w:val="en-GB"/>
        </w:rPr>
        <w:t>GenAI</w:t>
      </w:r>
      <w:proofErr w:type="spellEnd"/>
      <w:r w:rsidR="004D0632" w:rsidRPr="006B4F86">
        <w:rPr>
          <w:lang w:val="en-GB"/>
        </w:rPr>
        <w:t xml:space="preserve"> use-case decisions in ITSM. </w:t>
      </w:r>
      <w:r w:rsidR="00795397" w:rsidRPr="006B4F86">
        <w:rPr>
          <w:lang w:val="en-GB"/>
        </w:rPr>
        <w:t>Following the echeloned DSR logic of [TWV24], the present paper reports the problem-analysis echelon and provides a literature-grounded snapshot of the initial problem understanding and the derived problem characteristics. The aim of this paper is thus to clarify the focal construct, synthesise fragmented literature into problem characteristics and formulate a literature-grounded problem statement.</w:t>
      </w:r>
      <w:r w:rsidRPr="006B4F86">
        <w:rPr>
          <w:lang w:val="en-GB"/>
        </w:rPr>
        <w:t xml:space="preserve"> By addressing environmentally responsible decisions on resource-intensive digital technologies, th</w:t>
      </w:r>
      <w:r w:rsidR="00884A1C" w:rsidRPr="006B4F86">
        <w:rPr>
          <w:lang w:val="en-GB"/>
        </w:rPr>
        <w:t xml:space="preserve">is paper relates </w:t>
      </w:r>
      <w:r w:rsidRPr="006B4F86">
        <w:rPr>
          <w:lang w:val="en-GB"/>
        </w:rPr>
        <w:t xml:space="preserve">to </w:t>
      </w:r>
      <w:r w:rsidR="00884A1C" w:rsidRPr="006B4F86">
        <w:rPr>
          <w:lang w:val="en-GB"/>
        </w:rPr>
        <w:t>the</w:t>
      </w:r>
      <w:r w:rsidR="00A11BFB" w:rsidRPr="006B4F86">
        <w:rPr>
          <w:lang w:val="en-GB"/>
        </w:rPr>
        <w:t xml:space="preserve"> </w:t>
      </w:r>
      <w:r w:rsidR="00884A1C" w:rsidRPr="006B4F86">
        <w:rPr>
          <w:lang w:val="en-GB"/>
        </w:rPr>
        <w:t>Sustainable Development Goals (SDGs)</w:t>
      </w:r>
      <w:r w:rsidR="0015414E" w:rsidRPr="006B4F86">
        <w:rPr>
          <w:lang w:val="en-GB"/>
        </w:rPr>
        <w:t xml:space="preserve"> [UN15]</w:t>
      </w:r>
      <w:r w:rsidR="00884A1C" w:rsidRPr="006B4F86">
        <w:rPr>
          <w:lang w:val="en-GB"/>
        </w:rPr>
        <w:t xml:space="preserve">, </w:t>
      </w:r>
      <w:r w:rsidR="00F15C44" w:rsidRPr="006B4F86">
        <w:rPr>
          <w:lang w:val="en-GB"/>
        </w:rPr>
        <w:t>primarily</w:t>
      </w:r>
      <w:r w:rsidR="00884A1C" w:rsidRPr="006B4F86">
        <w:rPr>
          <w:lang w:val="en-GB"/>
        </w:rPr>
        <w:t xml:space="preserve"> </w:t>
      </w:r>
      <w:r w:rsidRPr="006B4F86">
        <w:rPr>
          <w:lang w:val="en-GB"/>
        </w:rPr>
        <w:t xml:space="preserve">SDG 12 </w:t>
      </w:r>
      <w:r w:rsidR="00884A1C" w:rsidRPr="006B4F86">
        <w:rPr>
          <w:lang w:val="en-GB"/>
        </w:rPr>
        <w:t>(</w:t>
      </w:r>
      <w:r w:rsidRPr="006B4F86">
        <w:rPr>
          <w:lang w:val="en-GB"/>
        </w:rPr>
        <w:t>Responsible Consumption and Production</w:t>
      </w:r>
      <w:r w:rsidR="00884A1C" w:rsidRPr="006B4F86">
        <w:rPr>
          <w:lang w:val="en-GB"/>
        </w:rPr>
        <w:t>)</w:t>
      </w:r>
      <w:r w:rsidRPr="006B4F86">
        <w:rPr>
          <w:lang w:val="en-GB"/>
        </w:rPr>
        <w:t xml:space="preserve"> and secondarily to SDG 13</w:t>
      </w:r>
      <w:r w:rsidR="00884A1C" w:rsidRPr="006B4F86">
        <w:rPr>
          <w:lang w:val="en-GB"/>
        </w:rPr>
        <w:t xml:space="preserve"> (</w:t>
      </w:r>
      <w:r w:rsidRPr="006B4F86">
        <w:rPr>
          <w:lang w:val="en-GB"/>
        </w:rPr>
        <w:t>Climate Action</w:t>
      </w:r>
      <w:r w:rsidR="00884A1C" w:rsidRPr="006B4F86">
        <w:rPr>
          <w:lang w:val="en-GB"/>
        </w:rPr>
        <w:t>)</w:t>
      </w:r>
      <w:r w:rsidRPr="006B4F86">
        <w:rPr>
          <w:lang w:val="en-GB"/>
        </w:rPr>
        <w:t>.</w:t>
      </w:r>
    </w:p>
    <w:p w14:paraId="19C43B7B" w14:textId="468DE248" w:rsidR="00A042BF" w:rsidRPr="006B4F86" w:rsidRDefault="000B0A13" w:rsidP="000B0A13">
      <w:pPr>
        <w:pStyle w:val="berschrift1"/>
        <w:rPr>
          <w:lang w:val="en-GB"/>
        </w:rPr>
      </w:pPr>
      <w:r w:rsidRPr="006B4F86">
        <w:rPr>
          <w:lang w:val="en-GB"/>
        </w:rPr>
        <w:t xml:space="preserve">Conceptual </w:t>
      </w:r>
      <w:r w:rsidR="00292C0E" w:rsidRPr="006B4F86">
        <w:rPr>
          <w:lang w:val="en-GB"/>
        </w:rPr>
        <w:t>b</w:t>
      </w:r>
      <w:r w:rsidRPr="006B4F86">
        <w:rPr>
          <w:lang w:val="en-GB"/>
        </w:rPr>
        <w:t xml:space="preserve">ackground and </w:t>
      </w:r>
      <w:r w:rsidR="00292C0E" w:rsidRPr="006B4F86">
        <w:rPr>
          <w:lang w:val="en-GB"/>
        </w:rPr>
        <w:t>c</w:t>
      </w:r>
      <w:r w:rsidRPr="006B4F86">
        <w:rPr>
          <w:lang w:val="en-GB"/>
        </w:rPr>
        <w:t xml:space="preserve">onstruct </w:t>
      </w:r>
      <w:r w:rsidR="00292C0E" w:rsidRPr="006B4F86">
        <w:rPr>
          <w:lang w:val="en-GB"/>
        </w:rPr>
        <w:t>c</w:t>
      </w:r>
      <w:r w:rsidRPr="006B4F86">
        <w:rPr>
          <w:lang w:val="en-GB"/>
        </w:rPr>
        <w:t>larification</w:t>
      </w:r>
    </w:p>
    <w:p w14:paraId="7D1AC2A8" w14:textId="7D93CF99" w:rsidR="00854949" w:rsidRPr="006B4F86" w:rsidRDefault="00854949" w:rsidP="00F8252A">
      <w:pPr>
        <w:rPr>
          <w:lang w:val="en-GB"/>
        </w:rPr>
      </w:pPr>
      <w:r w:rsidRPr="006B4F86">
        <w:rPr>
          <w:lang w:val="en-GB"/>
        </w:rPr>
        <w:t xml:space="preserve">ITSM is commonly understood as a service-oriented governance domain </w:t>
      </w:r>
      <w:r w:rsidR="004D760E" w:rsidRPr="006B4F86">
        <w:rPr>
          <w:lang w:val="en-GB"/>
        </w:rPr>
        <w:t>[</w:t>
      </w:r>
      <w:r w:rsidR="00DC4CD2" w:rsidRPr="006B4F86">
        <w:rPr>
          <w:lang w:val="en-GB"/>
        </w:rPr>
        <w:t>IE13</w:t>
      </w:r>
      <w:r w:rsidR="004D760E" w:rsidRPr="006B4F86">
        <w:rPr>
          <w:lang w:val="en-GB"/>
        </w:rPr>
        <w:t>]</w:t>
      </w:r>
      <w:r w:rsidRPr="006B4F86">
        <w:rPr>
          <w:lang w:val="en-GB"/>
        </w:rPr>
        <w:t xml:space="preserve"> that aligns business requirements with IT capabilities and structures the delivery of IT services in a scalable and quality-assured manner </w:t>
      </w:r>
      <w:r w:rsidR="00DB1C77" w:rsidRPr="006B4F86">
        <w:rPr>
          <w:lang w:val="en-GB"/>
        </w:rPr>
        <w:t>[AMB17]</w:t>
      </w:r>
      <w:r w:rsidRPr="006B4F86">
        <w:rPr>
          <w:lang w:val="en-GB"/>
        </w:rPr>
        <w:t xml:space="preserve">. In this sense, ITSM is associated with improvements in strategy, transparency and service quality across complex organisational settings </w:t>
      </w:r>
      <w:r w:rsidR="00DC4CD2" w:rsidRPr="006B4F86">
        <w:rPr>
          <w:lang w:val="en-GB"/>
        </w:rPr>
        <w:t>[GSF16</w:t>
      </w:r>
      <w:r w:rsidRPr="006B4F86">
        <w:rPr>
          <w:lang w:val="en-GB"/>
        </w:rPr>
        <w:t>;</w:t>
      </w:r>
      <w:r w:rsidR="00DC4CD2" w:rsidRPr="006B4F86">
        <w:rPr>
          <w:lang w:val="en-GB"/>
        </w:rPr>
        <w:t xml:space="preserve"> MT23]</w:t>
      </w:r>
      <w:r w:rsidRPr="006B4F86">
        <w:rPr>
          <w:lang w:val="en-GB"/>
        </w:rPr>
        <w:t xml:space="preserve">. </w:t>
      </w:r>
      <w:r w:rsidR="004251F8" w:rsidRPr="006B4F86">
        <w:rPr>
          <w:lang w:val="en-GB"/>
        </w:rPr>
        <w:t xml:space="preserve">Within this ITSM context, </w:t>
      </w:r>
      <w:proofErr w:type="spellStart"/>
      <w:r w:rsidR="004251F8" w:rsidRPr="006B4F86">
        <w:rPr>
          <w:lang w:val="en-GB"/>
        </w:rPr>
        <w:t>GenAI</w:t>
      </w:r>
      <w:proofErr w:type="spellEnd"/>
      <w:r w:rsidR="004251F8" w:rsidRPr="006B4F86">
        <w:rPr>
          <w:lang w:val="en-GB"/>
        </w:rPr>
        <w:t xml:space="preserve"> is increasingly discussed as a transformative technology, e.g. for predictive automation and improved service availability [Si25] or </w:t>
      </w:r>
      <w:r w:rsidR="0025604F" w:rsidRPr="006B4F86">
        <w:rPr>
          <w:lang w:val="en-GB"/>
        </w:rPr>
        <w:t xml:space="preserve">for </w:t>
      </w:r>
      <w:r w:rsidR="004251F8" w:rsidRPr="006B4F86">
        <w:rPr>
          <w:lang w:val="en-GB"/>
        </w:rPr>
        <w:t xml:space="preserve">the usage of </w:t>
      </w:r>
      <w:proofErr w:type="spellStart"/>
      <w:r w:rsidR="004251F8" w:rsidRPr="006B4F86">
        <w:rPr>
          <w:lang w:val="en-GB"/>
        </w:rPr>
        <w:t>AIServiceOps</w:t>
      </w:r>
      <w:proofErr w:type="spellEnd"/>
      <w:r w:rsidR="004251F8" w:rsidRPr="006B4F86">
        <w:rPr>
          <w:lang w:val="en-GB"/>
        </w:rPr>
        <w:t xml:space="preserve"> with an emphasis on resilience, proactive insights, customer satisfaction and business wellbeing [VSM23].</w:t>
      </w:r>
      <w:r w:rsidRPr="006B4F86">
        <w:rPr>
          <w:lang w:val="en-GB"/>
        </w:rPr>
        <w:t xml:space="preserve"> Overall, AI in ITSM is mainly discussed in terms of automation, efficiency and service quality – oftentimes in the context of incident management </w:t>
      </w:r>
      <w:r w:rsidR="00A82EE3" w:rsidRPr="006B4F86">
        <w:rPr>
          <w:lang w:val="en-GB"/>
        </w:rPr>
        <w:t>[e.g. VSM23]</w:t>
      </w:r>
      <w:r w:rsidRPr="006B4F86">
        <w:rPr>
          <w:lang w:val="en-GB"/>
        </w:rPr>
        <w:t>. The ecological sustainability perspective of including AI into ITSM is only weakly addressed.</w:t>
      </w:r>
    </w:p>
    <w:p w14:paraId="05CDC1BF" w14:textId="1D8935FC" w:rsidR="00DD5CCF" w:rsidRPr="006B4F86" w:rsidRDefault="00DD5CCF" w:rsidP="00DD5CCF">
      <w:pPr>
        <w:rPr>
          <w:szCs w:val="20"/>
          <w:lang w:val="en-GB"/>
        </w:rPr>
      </w:pPr>
      <w:r w:rsidRPr="006B4F86">
        <w:rPr>
          <w:szCs w:val="20"/>
          <w:lang w:val="en-GB"/>
        </w:rPr>
        <w:lastRenderedPageBreak/>
        <w:t xml:space="preserve">In IS research, environmental sustainability is commonly connected to digital sustainability and Green IS. Digital sustainability refers to the development and deployment of digital resources and artefacts toward improving environmental, societal and economic welfare </w:t>
      </w:r>
      <w:r w:rsidR="00DC4CD2" w:rsidRPr="006B4F86">
        <w:rPr>
          <w:szCs w:val="20"/>
          <w:lang w:val="en-GB"/>
        </w:rPr>
        <w:t>[KOS23]</w:t>
      </w:r>
      <w:r w:rsidRPr="006B4F86">
        <w:rPr>
          <w:szCs w:val="20"/>
          <w:lang w:val="en-GB"/>
        </w:rPr>
        <w:t xml:space="preserve">, while Green IS focuses on information systems that contribute to sustainable business processes and stresses their socio-technical nature </w:t>
      </w:r>
      <w:r w:rsidR="00DC4CD2" w:rsidRPr="006B4F86">
        <w:rPr>
          <w:szCs w:val="20"/>
          <w:lang w:val="en-GB"/>
        </w:rPr>
        <w:t>[Ij10</w:t>
      </w:r>
      <w:r w:rsidR="00A82EE3" w:rsidRPr="006B4F86">
        <w:rPr>
          <w:szCs w:val="20"/>
          <w:lang w:val="en-GB"/>
        </w:rPr>
        <w:t>]</w:t>
      </w:r>
      <w:r w:rsidRPr="006B4F86">
        <w:rPr>
          <w:szCs w:val="20"/>
          <w:lang w:val="en-GB"/>
        </w:rPr>
        <w:t xml:space="preserve">. Although AI for sustainability is </w:t>
      </w:r>
      <w:r w:rsidR="009B3999" w:rsidRPr="006B4F86">
        <w:rPr>
          <w:szCs w:val="20"/>
          <w:lang w:val="en-GB"/>
        </w:rPr>
        <w:t xml:space="preserve">already </w:t>
      </w:r>
      <w:r w:rsidRPr="006B4F86">
        <w:rPr>
          <w:szCs w:val="20"/>
          <w:lang w:val="en-GB"/>
        </w:rPr>
        <w:t xml:space="preserve">discussed in IS research </w:t>
      </w:r>
      <w:r w:rsidR="00FA0D0E" w:rsidRPr="006B4F86">
        <w:rPr>
          <w:szCs w:val="20"/>
          <w:lang w:val="en-GB"/>
        </w:rPr>
        <w:t>[Sc23]</w:t>
      </w:r>
      <w:r w:rsidRPr="006B4F86">
        <w:rPr>
          <w:szCs w:val="20"/>
          <w:lang w:val="en-GB"/>
        </w:rPr>
        <w:t xml:space="preserve">, explicit work on sustainable ITSM or sustainable </w:t>
      </w:r>
      <w:proofErr w:type="spellStart"/>
      <w:r w:rsidRPr="006B4F86">
        <w:rPr>
          <w:szCs w:val="20"/>
          <w:lang w:val="en-GB"/>
        </w:rPr>
        <w:t>GenAI</w:t>
      </w:r>
      <w:proofErr w:type="spellEnd"/>
      <w:r w:rsidRPr="006B4F86">
        <w:rPr>
          <w:szCs w:val="20"/>
          <w:lang w:val="en-GB"/>
        </w:rPr>
        <w:t xml:space="preserve"> use in ITSM remains scarce. Sustainable IT services have been argued to extend beyond economic performance </w:t>
      </w:r>
      <w:r w:rsidR="00DC4CD2" w:rsidRPr="006B4F86">
        <w:rPr>
          <w:szCs w:val="20"/>
          <w:lang w:val="en-GB"/>
        </w:rPr>
        <w:t>[HA09]</w:t>
      </w:r>
      <w:r w:rsidRPr="006B4F86">
        <w:rPr>
          <w:szCs w:val="20"/>
          <w:lang w:val="en-GB"/>
        </w:rPr>
        <w:t xml:space="preserve">, ITSM has been discussed as a lever for Green IT </w:t>
      </w:r>
      <w:r w:rsidR="0034193C" w:rsidRPr="006B4F86">
        <w:rPr>
          <w:szCs w:val="20"/>
          <w:lang w:val="en-GB"/>
        </w:rPr>
        <w:t>[CT11]</w:t>
      </w:r>
      <w:r w:rsidRPr="006B4F86">
        <w:rPr>
          <w:szCs w:val="20"/>
          <w:lang w:val="en-GB"/>
        </w:rPr>
        <w:t xml:space="preserve">, and practitioners have called for sustainability-oriented extensions of ITSM standards </w:t>
      </w:r>
      <w:r w:rsidR="00FA0D0E" w:rsidRPr="006B4F86">
        <w:rPr>
          <w:szCs w:val="20"/>
          <w:lang w:val="en-GB"/>
        </w:rPr>
        <w:t>[SR13]</w:t>
      </w:r>
      <w:r w:rsidRPr="006B4F86">
        <w:rPr>
          <w:szCs w:val="20"/>
          <w:lang w:val="en-GB"/>
        </w:rPr>
        <w:t xml:space="preserve">. More recent guidance, such as the ITIL sustainability module, acknowledges sustainability in digital and IT contexts but remains largely descriptive </w:t>
      </w:r>
      <w:r w:rsidR="00DB1C77" w:rsidRPr="006B4F86">
        <w:rPr>
          <w:szCs w:val="20"/>
          <w:lang w:val="en-GB"/>
        </w:rPr>
        <w:t>[Ax21]</w:t>
      </w:r>
      <w:r w:rsidRPr="006B4F86">
        <w:rPr>
          <w:szCs w:val="20"/>
          <w:lang w:val="en-GB"/>
        </w:rPr>
        <w:t xml:space="preserve">. Regarding AI, sustainable AI research highlights energy efficiency, lifecycle management, sustainable data management and reduced carbon emissions </w:t>
      </w:r>
      <w:r w:rsidR="00DC4CD2" w:rsidRPr="006B4F86">
        <w:rPr>
          <w:szCs w:val="20"/>
          <w:lang w:val="en-GB"/>
        </w:rPr>
        <w:t>[Ko25]</w:t>
      </w:r>
      <w:r w:rsidRPr="006B4F86">
        <w:rPr>
          <w:szCs w:val="20"/>
          <w:lang w:val="en-GB"/>
        </w:rPr>
        <w:t xml:space="preserve">, while lifecycle-oriented approaches emphasise that sustainable AI cannot be reduced to a single metric or isolated lifecycle phase </w:t>
      </w:r>
      <w:r w:rsidR="00DC4CD2" w:rsidRPr="006B4F86">
        <w:rPr>
          <w:szCs w:val="20"/>
          <w:lang w:val="en-GB"/>
        </w:rPr>
        <w:t>[Le25]</w:t>
      </w:r>
      <w:r w:rsidRPr="006B4F86">
        <w:rPr>
          <w:szCs w:val="20"/>
          <w:lang w:val="en-GB"/>
        </w:rPr>
        <w:t xml:space="preserve">. However, these streams do not yet clarify how environmental evidence should inform concrete organisational decisions on </w:t>
      </w:r>
      <w:proofErr w:type="spellStart"/>
      <w:r w:rsidRPr="006B4F86">
        <w:rPr>
          <w:szCs w:val="20"/>
          <w:lang w:val="en-GB"/>
        </w:rPr>
        <w:t>GenAI</w:t>
      </w:r>
      <w:proofErr w:type="spellEnd"/>
      <w:r w:rsidRPr="006B4F86">
        <w:rPr>
          <w:szCs w:val="20"/>
          <w:lang w:val="en-GB"/>
        </w:rPr>
        <w:t xml:space="preserve"> use cases in ITSM.</w:t>
      </w:r>
    </w:p>
    <w:p w14:paraId="0FF6C61B" w14:textId="73B5DD11" w:rsidR="000B0A13" w:rsidRPr="006B4F86" w:rsidRDefault="0075307F" w:rsidP="00F8252A">
      <w:pPr>
        <w:rPr>
          <w:lang w:val="en-GB"/>
        </w:rPr>
      </w:pPr>
      <w:r w:rsidRPr="006B4F86">
        <w:rPr>
          <w:lang w:val="en-GB"/>
        </w:rPr>
        <w:t xml:space="preserve">Against this background, the focal construct of this study is </w:t>
      </w:r>
      <w:r w:rsidRPr="006B4F86">
        <w:rPr>
          <w:bCs/>
          <w:i/>
          <w:lang w:val="en-GB"/>
        </w:rPr>
        <w:t xml:space="preserve">environmentally informed </w:t>
      </w:r>
      <w:proofErr w:type="spellStart"/>
      <w:r w:rsidRPr="006B4F86">
        <w:rPr>
          <w:bCs/>
          <w:i/>
          <w:lang w:val="en-GB"/>
        </w:rPr>
        <w:t>GenAI</w:t>
      </w:r>
      <w:proofErr w:type="spellEnd"/>
      <w:r w:rsidRPr="006B4F86">
        <w:rPr>
          <w:bCs/>
          <w:i/>
          <w:lang w:val="en-GB"/>
        </w:rPr>
        <w:t xml:space="preserve"> use-case decision-making in ITSM</w:t>
      </w:r>
      <w:r w:rsidRPr="006B4F86">
        <w:rPr>
          <w:lang w:val="en-GB"/>
        </w:rPr>
        <w:t xml:space="preserve">. It consists of the organisational process through which responsible stakeholders consider environmentally relevant consequences when deciding on the introduction, configuration, continued operation, modification or retirement of a </w:t>
      </w:r>
      <w:proofErr w:type="spellStart"/>
      <w:r w:rsidRPr="006B4F86">
        <w:rPr>
          <w:lang w:val="en-GB"/>
        </w:rPr>
        <w:t>GenAI</w:t>
      </w:r>
      <w:proofErr w:type="spellEnd"/>
      <w:r w:rsidRPr="006B4F86">
        <w:rPr>
          <w:lang w:val="en-GB"/>
        </w:rPr>
        <w:t xml:space="preserve">-enabled ITSM use case. </w:t>
      </w:r>
      <w:r w:rsidR="00BC6D26" w:rsidRPr="006B4F86">
        <w:rPr>
          <w:lang w:val="en-GB"/>
        </w:rPr>
        <w:t xml:space="preserve">Following the principle of construct clarity [Su10], this construct is deliberately narrower than Sustainable AI, Green AI, AI for Sustainability or Responsible AI. It focuses on the organisational decision problem of relating environmental evidence to ITSM-specific governance responsibilities and decision alternatives rather than on the general sustainability of </w:t>
      </w:r>
      <w:proofErr w:type="spellStart"/>
      <w:r w:rsidR="00BC6D26" w:rsidRPr="006B4F86">
        <w:rPr>
          <w:lang w:val="en-GB"/>
        </w:rPr>
        <w:t>GenAI</w:t>
      </w:r>
      <w:proofErr w:type="spellEnd"/>
      <w:r w:rsidR="00BC6D26" w:rsidRPr="006B4F86">
        <w:rPr>
          <w:lang w:val="en-GB"/>
        </w:rPr>
        <w:t xml:space="preserve"> systems or AI-enabled sustainability goals. </w:t>
      </w:r>
      <w:r w:rsidRPr="006B4F86">
        <w:rPr>
          <w:lang w:val="en-GB"/>
        </w:rPr>
        <w:t>This study addresses this gap by structuring the problem space before deriving solution objectives or a later decision-support artefact.</w:t>
      </w:r>
    </w:p>
    <w:p w14:paraId="2AD6C0AB" w14:textId="704ACC7D" w:rsidR="00FC6358" w:rsidRPr="006B4F86" w:rsidRDefault="00FC6358" w:rsidP="00FC6358">
      <w:pPr>
        <w:pStyle w:val="berschrift1"/>
        <w:rPr>
          <w:lang w:val="en-GB"/>
        </w:rPr>
      </w:pPr>
      <w:r w:rsidRPr="006B4F86">
        <w:rPr>
          <w:lang w:val="en-GB"/>
        </w:rPr>
        <w:t>Research Design</w:t>
      </w:r>
      <w:r w:rsidR="00637E5E" w:rsidRPr="006B4F86">
        <w:rPr>
          <w:lang w:val="en-GB"/>
        </w:rPr>
        <w:t xml:space="preserve"> </w:t>
      </w:r>
    </w:p>
    <w:p w14:paraId="122DEC57" w14:textId="44A7355D" w:rsidR="00FA0794" w:rsidRPr="006B4F86" w:rsidRDefault="00FA0794" w:rsidP="00FA0794">
      <w:pPr>
        <w:rPr>
          <w:lang w:val="en-GB"/>
        </w:rPr>
      </w:pPr>
      <w:r w:rsidRPr="006B4F86">
        <w:rPr>
          <w:lang w:val="en-GB"/>
        </w:rPr>
        <w:t>Methodologically, this study is positioned within a broader DSR project</w:t>
      </w:r>
      <w:r w:rsidR="007B57DE" w:rsidRPr="006B4F86">
        <w:rPr>
          <w:lang w:val="en-GB"/>
        </w:rPr>
        <w:t xml:space="preserve"> on Sustainable ITSM</w:t>
      </w:r>
      <w:r w:rsidRPr="006B4F86">
        <w:rPr>
          <w:lang w:val="en-GB"/>
        </w:rPr>
        <w:t xml:space="preserve">. </w:t>
      </w:r>
      <w:r w:rsidR="00DC4CD2" w:rsidRPr="006B4F86">
        <w:rPr>
          <w:lang w:val="en-GB"/>
        </w:rPr>
        <w:t xml:space="preserve">[He04] </w:t>
      </w:r>
      <w:r w:rsidRPr="006B4F86">
        <w:rPr>
          <w:lang w:val="en-GB"/>
        </w:rPr>
        <w:t>provide the artefact- and problem-oriented DSR paradigm, while</w:t>
      </w:r>
      <w:r w:rsidR="00DC4CD2" w:rsidRPr="006B4F86">
        <w:rPr>
          <w:lang w:val="en-GB"/>
        </w:rPr>
        <w:t xml:space="preserve"> [Pe07]</w:t>
      </w:r>
      <w:r w:rsidRPr="006B4F86">
        <w:rPr>
          <w:lang w:val="en-GB"/>
        </w:rPr>
        <w:t xml:space="preserve"> </w:t>
      </w:r>
      <w:r w:rsidR="004418B7" w:rsidRPr="006B4F86">
        <w:rPr>
          <w:lang w:val="en-GB"/>
        </w:rPr>
        <w:t>provide the</w:t>
      </w:r>
      <w:r w:rsidRPr="006B4F86">
        <w:rPr>
          <w:lang w:val="en-GB"/>
        </w:rPr>
        <w:t xml:space="preserve"> process logic from problem identification to design and evaluation. </w:t>
      </w:r>
      <w:r w:rsidR="007B57DE" w:rsidRPr="006B4F86">
        <w:rPr>
          <w:lang w:val="en-GB"/>
        </w:rPr>
        <w:t>This</w:t>
      </w:r>
      <w:r w:rsidRPr="006B4F86">
        <w:rPr>
          <w:lang w:val="en-GB"/>
        </w:rPr>
        <w:t xml:space="preserve"> paper</w:t>
      </w:r>
      <w:r w:rsidR="007B57DE" w:rsidRPr="006B4F86">
        <w:rPr>
          <w:lang w:val="en-GB"/>
        </w:rPr>
        <w:t xml:space="preserve"> </w:t>
      </w:r>
      <w:r w:rsidR="00B565CC" w:rsidRPr="006B4F86">
        <w:rPr>
          <w:lang w:val="en-GB"/>
        </w:rPr>
        <w:t>focuses on reporting</w:t>
      </w:r>
      <w:r w:rsidRPr="006B4F86">
        <w:rPr>
          <w:lang w:val="en-GB"/>
        </w:rPr>
        <w:t xml:space="preserve"> a self-contained </w:t>
      </w:r>
      <w:r w:rsidR="00E37A0C" w:rsidRPr="006B4F86">
        <w:rPr>
          <w:lang w:val="en-GB"/>
        </w:rPr>
        <w:t>p</w:t>
      </w:r>
      <w:r w:rsidRPr="006B4F86">
        <w:rPr>
          <w:lang w:val="en-GB"/>
        </w:rPr>
        <w:t xml:space="preserve">roblem </w:t>
      </w:r>
      <w:r w:rsidR="00E37A0C" w:rsidRPr="006B4F86">
        <w:rPr>
          <w:lang w:val="en-GB"/>
        </w:rPr>
        <w:t>a</w:t>
      </w:r>
      <w:r w:rsidRPr="006B4F86">
        <w:rPr>
          <w:lang w:val="en-GB"/>
        </w:rPr>
        <w:t xml:space="preserve">nalysis </w:t>
      </w:r>
      <w:r w:rsidR="00E37A0C" w:rsidRPr="006B4F86">
        <w:rPr>
          <w:lang w:val="en-GB"/>
        </w:rPr>
        <w:t>e</w:t>
      </w:r>
      <w:r w:rsidRPr="006B4F86">
        <w:rPr>
          <w:lang w:val="en-GB"/>
        </w:rPr>
        <w:t xml:space="preserve">chelon following the </w:t>
      </w:r>
      <w:r w:rsidRPr="006B4F86">
        <w:rPr>
          <w:b/>
          <w:lang w:val="en-GB"/>
        </w:rPr>
        <w:t>echeloned DSR logic</w:t>
      </w:r>
      <w:r w:rsidRPr="006B4F86">
        <w:rPr>
          <w:lang w:val="en-GB"/>
        </w:rPr>
        <w:t xml:space="preserve"> </w:t>
      </w:r>
      <w:r w:rsidR="00A11BFB" w:rsidRPr="006B4F86">
        <w:rPr>
          <w:lang w:val="en-GB"/>
        </w:rPr>
        <w:t>[TW</w:t>
      </w:r>
      <w:r w:rsidR="00077C29" w:rsidRPr="006B4F86">
        <w:rPr>
          <w:lang w:val="en-GB"/>
        </w:rPr>
        <w:t>V</w:t>
      </w:r>
      <w:r w:rsidR="00A11BFB" w:rsidRPr="006B4F86">
        <w:rPr>
          <w:lang w:val="en-GB"/>
        </w:rPr>
        <w:t>24]</w:t>
      </w:r>
      <w:r w:rsidRPr="006B4F86">
        <w:rPr>
          <w:lang w:val="en-GB"/>
        </w:rPr>
        <w:t xml:space="preserve">. The central output is a literature-grounded problem statement that clarifies the characteristics, prior coverage and apparent solvability of environmentally informed </w:t>
      </w:r>
      <w:proofErr w:type="spellStart"/>
      <w:r w:rsidRPr="006B4F86">
        <w:rPr>
          <w:lang w:val="en-GB"/>
        </w:rPr>
        <w:t>GenAI</w:t>
      </w:r>
      <w:proofErr w:type="spellEnd"/>
      <w:r w:rsidRPr="006B4F86">
        <w:rPr>
          <w:lang w:val="en-GB"/>
        </w:rPr>
        <w:t xml:space="preserve"> use-case decision-making in ITSM. </w:t>
      </w:r>
      <w:r w:rsidR="006D4D20" w:rsidRPr="006B4F86">
        <w:rPr>
          <w:lang w:val="en-GB"/>
        </w:rPr>
        <w:t xml:space="preserve">Accordingly, literature coverage captures which parts of the focal problem are already addressed, whereas remaining problem and solvability capture what remains unresolved and whether the literature indicates plausible structures or mechanisms through which it could subsequently be addressed. </w:t>
      </w:r>
      <w:r w:rsidRPr="006B4F86">
        <w:rPr>
          <w:lang w:val="en-GB"/>
        </w:rPr>
        <w:t xml:space="preserve">The focal construct (section 2) served as the scoping device for the literature </w:t>
      </w:r>
      <w:r w:rsidRPr="006B4F86">
        <w:rPr>
          <w:lang w:val="en-GB"/>
        </w:rPr>
        <w:lastRenderedPageBreak/>
        <w:t xml:space="preserve">analysis. Publications were assessed according to whether they provided direct or transferable evidence on environmentally relevant organisational decisions concerning </w:t>
      </w:r>
      <w:proofErr w:type="spellStart"/>
      <w:r w:rsidRPr="006B4F86">
        <w:rPr>
          <w:lang w:val="en-GB"/>
        </w:rPr>
        <w:t>GenAI</w:t>
      </w:r>
      <w:proofErr w:type="spellEnd"/>
      <w:r w:rsidRPr="006B4F86">
        <w:rPr>
          <w:lang w:val="en-GB"/>
        </w:rPr>
        <w:t>-enabled ITSM use cases. To identify this evidence, a focused Systematic Literature Review (SLR) was conducted following a nine-step protocol based on</w:t>
      </w:r>
      <w:r w:rsidR="00DC4CD2" w:rsidRPr="006B4F86">
        <w:rPr>
          <w:lang w:val="en-GB"/>
        </w:rPr>
        <w:t xml:space="preserve"> [KC07]:</w:t>
      </w:r>
    </w:p>
    <w:p w14:paraId="3415A81B" w14:textId="4EFA8E0B" w:rsidR="00292B1B" w:rsidRPr="006B4F86" w:rsidRDefault="00B3409D" w:rsidP="00FC6358">
      <w:pPr>
        <w:rPr>
          <w:lang w:val="en-GB"/>
        </w:rPr>
      </w:pPr>
      <w:r w:rsidRPr="006B4F86">
        <w:rPr>
          <w:lang w:val="en-GB"/>
        </w:rPr>
        <w:t xml:space="preserve">First, the </w:t>
      </w:r>
      <w:r w:rsidRPr="006B4F86">
        <w:rPr>
          <w:b/>
          <w:lang w:val="en-GB"/>
        </w:rPr>
        <w:t>guiding research question</w:t>
      </w:r>
      <w:r w:rsidRPr="006B4F86">
        <w:rPr>
          <w:lang w:val="en-GB"/>
        </w:rPr>
        <w:t xml:space="preserve"> was formulated: “What characteri</w:t>
      </w:r>
      <w:r w:rsidR="00DE2917" w:rsidRPr="006B4F86">
        <w:rPr>
          <w:lang w:val="en-GB"/>
        </w:rPr>
        <w:t>s</w:t>
      </w:r>
      <w:r w:rsidRPr="006B4F86">
        <w:rPr>
          <w:lang w:val="en-GB"/>
        </w:rPr>
        <w:t xml:space="preserve">es the problem of environmentally informed decision-making regarding the use of generative AI in IT Service Management?” Second, the </w:t>
      </w:r>
      <w:r w:rsidRPr="006B4F86">
        <w:rPr>
          <w:b/>
          <w:lang w:val="en-GB"/>
        </w:rPr>
        <w:t>key concepts</w:t>
      </w:r>
      <w:r w:rsidRPr="006B4F86">
        <w:rPr>
          <w:lang w:val="en-GB"/>
        </w:rPr>
        <w:t xml:space="preserve"> were harmonised across the three core components of ITSM, </w:t>
      </w:r>
      <w:proofErr w:type="spellStart"/>
      <w:r w:rsidRPr="006B4F86">
        <w:rPr>
          <w:lang w:val="en-GB"/>
        </w:rPr>
        <w:t>GenAI</w:t>
      </w:r>
      <w:proofErr w:type="spellEnd"/>
      <w:r w:rsidRPr="006B4F86">
        <w:rPr>
          <w:lang w:val="en-GB"/>
        </w:rPr>
        <w:t xml:space="preserve"> and ecological sustainability. Broader AI terminology was included to account for heterogeneous wording in the literature, however, the subsequent content-based screening focused on relevance for </w:t>
      </w:r>
      <w:proofErr w:type="spellStart"/>
      <w:r w:rsidRPr="006B4F86">
        <w:rPr>
          <w:lang w:val="en-GB"/>
        </w:rPr>
        <w:t>GenAI</w:t>
      </w:r>
      <w:proofErr w:type="spellEnd"/>
      <w:r w:rsidRPr="006B4F86">
        <w:rPr>
          <w:lang w:val="en-GB"/>
        </w:rPr>
        <w:t xml:space="preserve">-enabled ITSM decision-making. Third, </w:t>
      </w:r>
      <w:r w:rsidRPr="006B4F86">
        <w:rPr>
          <w:b/>
          <w:lang w:val="en-GB"/>
        </w:rPr>
        <w:t>corresponding keywords</w:t>
      </w:r>
      <w:r w:rsidRPr="006B4F86">
        <w:rPr>
          <w:lang w:val="en-GB"/>
        </w:rPr>
        <w:t xml:space="preserve"> were constructed. Fourth, the </w:t>
      </w:r>
      <w:r w:rsidRPr="006B4F86">
        <w:rPr>
          <w:b/>
          <w:lang w:val="en-GB"/>
        </w:rPr>
        <w:t>databases</w:t>
      </w:r>
      <w:r w:rsidRPr="006B4F86">
        <w:rPr>
          <w:lang w:val="en-GB"/>
        </w:rPr>
        <w:t xml:space="preserve"> Scopus, IEEE Xplore, ScienceDirect and AIS </w:t>
      </w:r>
      <w:proofErr w:type="spellStart"/>
      <w:r w:rsidRPr="006B4F86">
        <w:rPr>
          <w:lang w:val="en-GB"/>
        </w:rPr>
        <w:t>eLibrary</w:t>
      </w:r>
      <w:proofErr w:type="spellEnd"/>
      <w:r w:rsidRPr="006B4F86">
        <w:rPr>
          <w:lang w:val="en-GB"/>
        </w:rPr>
        <w:t xml:space="preserve"> (</w:t>
      </w:r>
      <w:proofErr w:type="spellStart"/>
      <w:r w:rsidRPr="006B4F86">
        <w:rPr>
          <w:lang w:val="en-GB"/>
        </w:rPr>
        <w:t>AISeL</w:t>
      </w:r>
      <w:proofErr w:type="spellEnd"/>
      <w:r w:rsidRPr="006B4F86">
        <w:rPr>
          <w:lang w:val="en-GB"/>
        </w:rPr>
        <w:t xml:space="preserve">) were selected. Fifth, the </w:t>
      </w:r>
      <w:r w:rsidRPr="006B4F86">
        <w:rPr>
          <w:b/>
          <w:lang w:val="en-GB"/>
        </w:rPr>
        <w:t>search strategy</w:t>
      </w:r>
      <w:r w:rsidRPr="006B4F86">
        <w:rPr>
          <w:lang w:val="en-GB"/>
        </w:rPr>
        <w:t xml:space="preserve"> was defined as title, abstract and keyword searches, restricted to peer-reviewed journal and conference publications. The search string was adapted to database-specific syntax and combined the three components as follows: </w:t>
      </w:r>
      <w:r w:rsidRPr="006B4F86">
        <w:rPr>
          <w:i/>
          <w:lang w:val="en-GB"/>
        </w:rPr>
        <w:t>(ITSM OR “IT Service Management” OR “incident management”) AND (“generative AI” OR “artificial intelligence”) AND (</w:t>
      </w:r>
      <w:proofErr w:type="spellStart"/>
      <w:r w:rsidRPr="006B4F86">
        <w:rPr>
          <w:i/>
          <w:lang w:val="en-GB"/>
        </w:rPr>
        <w:t>sustainab</w:t>
      </w:r>
      <w:proofErr w:type="spellEnd"/>
      <w:r w:rsidRPr="006B4F86">
        <w:rPr>
          <w:i/>
          <w:lang w:val="en-GB"/>
        </w:rPr>
        <w:t>* OR ecologic*)</w:t>
      </w:r>
      <w:r w:rsidRPr="006B4F86">
        <w:rPr>
          <w:lang w:val="en-GB"/>
        </w:rPr>
        <w:t xml:space="preserve">. Sixth, </w:t>
      </w:r>
      <w:r w:rsidRPr="006B4F86">
        <w:rPr>
          <w:b/>
          <w:lang w:val="en-GB"/>
        </w:rPr>
        <w:t>inclusion and exclusion criteria</w:t>
      </w:r>
      <w:r w:rsidRPr="006B4F86">
        <w:rPr>
          <w:lang w:val="en-GB"/>
        </w:rPr>
        <w:t xml:space="preserve"> were specified. The review was limited to English- and German-language publications from 2020 to 2026. Publications were included if at least two of the three core components were central topics and if they contained extractable evidence relevant to the focal construct. Publications were excluded when relevant terms appeared only in venue or conference metadata, when “incident management” referred to non-IT contexts, when sustainability was used without an environmental dimension, or when no extractable evidence for the focal construct was available. These criteria were necessary because the search string intentionally captured directly relevant </w:t>
      </w:r>
      <w:r w:rsidR="00134A3D" w:rsidRPr="006B4F86">
        <w:rPr>
          <w:lang w:val="en-GB"/>
        </w:rPr>
        <w:t>but also</w:t>
      </w:r>
      <w:r w:rsidRPr="006B4F86">
        <w:rPr>
          <w:lang w:val="en-GB"/>
        </w:rPr>
        <w:t xml:space="preserve"> transferable literature. </w:t>
      </w:r>
      <w:r w:rsidR="00224FF9" w:rsidRPr="006B4F86">
        <w:rPr>
          <w:lang w:val="en-GB"/>
        </w:rPr>
        <w:t xml:space="preserve">Seventh, the studies were </w:t>
      </w:r>
      <w:r w:rsidR="00224FF9" w:rsidRPr="006B4F86">
        <w:rPr>
          <w:b/>
          <w:bCs/>
          <w:lang w:val="en-GB"/>
        </w:rPr>
        <w:t>screened in stages</w:t>
      </w:r>
      <w:r w:rsidR="00224FF9" w:rsidRPr="006B4F86">
        <w:rPr>
          <w:lang w:val="en-GB"/>
        </w:rPr>
        <w:t xml:space="preserve"> using a PRISMA-inspired screening flow adapted from [Pa21]. </w:t>
      </w:r>
      <w:r w:rsidR="00134A3D" w:rsidRPr="006B4F86">
        <w:rPr>
          <w:lang w:val="en-GB"/>
        </w:rPr>
        <w:t>The first stage removed duplicates, records not matching the title or keyword criteria, as well as 12 publications without full-text access. The large reduction of 1621 papers primarily resulted from duplicates and title/keyword screening, particularly because the broad search term “incident management” retrieved numerous non-IT contexts. Subsequent abstract and full-text screening resulted in a total of 22 publications included in the analysis (see Figure 1).</w:t>
      </w:r>
    </w:p>
    <w:p w14:paraId="5AC8F787" w14:textId="77777777" w:rsidR="00B740F2" w:rsidRPr="006B4F86" w:rsidRDefault="00B740F2" w:rsidP="00B740F2">
      <w:pPr>
        <w:pStyle w:val="grafiken"/>
        <w:rPr>
          <w:lang w:val="en-GB"/>
        </w:rPr>
      </w:pPr>
      <w:r w:rsidRPr="006B4F86">
        <w:rPr>
          <w:noProof/>
          <w:lang w:val="en-GB"/>
        </w:rPr>
        <w:drawing>
          <wp:inline distT="0" distB="0" distL="0" distR="0" wp14:anchorId="4FFF0F60" wp14:editId="38BA18BD">
            <wp:extent cx="3522785" cy="1524000"/>
            <wp:effectExtent l="0" t="0" r="1905" b="0"/>
            <wp:docPr id="24" name="Bild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Bild 2"/>
                    <pic:cNvPicPr>
                      <a:picLocks/>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3526355" cy="1525545"/>
                    </a:xfrm>
                    <a:prstGeom prst="rect">
                      <a:avLst/>
                    </a:prstGeom>
                  </pic:spPr>
                </pic:pic>
              </a:graphicData>
            </a:graphic>
          </wp:inline>
        </w:drawing>
      </w:r>
    </w:p>
    <w:p w14:paraId="522F81CA" w14:textId="77D09496" w:rsidR="00B740F2" w:rsidRPr="006B4F86" w:rsidRDefault="00B740F2" w:rsidP="00292B1B">
      <w:pPr>
        <w:pStyle w:val="Beschriftung"/>
        <w:rPr>
          <w:lang w:val="en-GB"/>
        </w:rPr>
      </w:pPr>
      <w:r w:rsidRPr="006B4F86">
        <w:rPr>
          <w:szCs w:val="18"/>
          <w:bdr w:val="nil"/>
          <w:lang w:val="en-GB"/>
        </w:rPr>
        <w:t xml:space="preserve">Fig. </w:t>
      </w:r>
      <w:r w:rsidRPr="006B4F86">
        <w:rPr>
          <w:lang w:val="en-GB"/>
        </w:rPr>
        <w:fldChar w:fldCharType="begin"/>
      </w:r>
      <w:r w:rsidRPr="006B4F86">
        <w:rPr>
          <w:lang w:val="en-GB"/>
        </w:rPr>
        <w:instrText xml:space="preserve"> SEQ Abbildung \* ARABIC </w:instrText>
      </w:r>
      <w:r w:rsidRPr="006B4F86">
        <w:rPr>
          <w:lang w:val="en-GB"/>
        </w:rPr>
        <w:fldChar w:fldCharType="separate"/>
      </w:r>
      <w:r w:rsidRPr="006B4F86">
        <w:rPr>
          <w:noProof/>
          <w:lang w:val="en-GB"/>
        </w:rPr>
        <w:t>1</w:t>
      </w:r>
      <w:r w:rsidRPr="006B4F86">
        <w:rPr>
          <w:lang w:val="en-GB"/>
        </w:rPr>
        <w:fldChar w:fldCharType="end"/>
      </w:r>
      <w:r w:rsidRPr="006B4F86">
        <w:rPr>
          <w:szCs w:val="18"/>
          <w:bdr w:val="nil"/>
          <w:lang w:val="en-GB"/>
        </w:rPr>
        <w:t>: PRISMA-screening stages based on [Pa21]</w:t>
      </w:r>
    </w:p>
    <w:p w14:paraId="326EA517" w14:textId="23F1EF74" w:rsidR="00FC6358" w:rsidRPr="006B4F86" w:rsidRDefault="00393969" w:rsidP="00FC6358">
      <w:pPr>
        <w:rPr>
          <w:lang w:val="en-GB"/>
        </w:rPr>
      </w:pPr>
      <w:r w:rsidRPr="006B4F86">
        <w:rPr>
          <w:lang w:val="en-GB"/>
        </w:rPr>
        <w:lastRenderedPageBreak/>
        <w:t xml:space="preserve">Eighth, the </w:t>
      </w:r>
      <w:r w:rsidR="00BF7860" w:rsidRPr="006B4F86">
        <w:rPr>
          <w:lang w:val="en-GB"/>
        </w:rPr>
        <w:t xml:space="preserve">22 </w:t>
      </w:r>
      <w:r w:rsidRPr="006B4F86">
        <w:rPr>
          <w:lang w:val="en-GB"/>
        </w:rPr>
        <w:t xml:space="preserve">publications were </w:t>
      </w:r>
      <w:r w:rsidRPr="006B4F86">
        <w:rPr>
          <w:b/>
          <w:lang w:val="en-GB"/>
        </w:rPr>
        <w:t>extracted and coded</w:t>
      </w:r>
      <w:r w:rsidRPr="006B4F86">
        <w:rPr>
          <w:lang w:val="en-GB"/>
        </w:rPr>
        <w:t xml:space="preserve"> in a problem-oriented evidence repository covering literature stream, unit of analysis, ITSM relevance, AI scope, environmental scope, problem claims, causes or mechanisms, consequences and remaining gaps. </w:t>
      </w:r>
      <w:r w:rsidR="009F406C" w:rsidRPr="006B4F86">
        <w:rPr>
          <w:lang w:val="en-GB"/>
        </w:rPr>
        <w:t xml:space="preserve">Ninth, the coded evidence was </w:t>
      </w:r>
      <w:r w:rsidR="009F406C" w:rsidRPr="006B4F86">
        <w:rPr>
          <w:b/>
          <w:bCs/>
          <w:lang w:val="en-GB"/>
        </w:rPr>
        <w:t>conceptually synthesised</w:t>
      </w:r>
      <w:r w:rsidR="009F406C" w:rsidRPr="006B4F86">
        <w:rPr>
          <w:lang w:val="en-GB"/>
        </w:rPr>
        <w:t xml:space="preserve"> </w:t>
      </w:r>
      <w:r w:rsidR="0042153F" w:rsidRPr="006B4F86">
        <w:rPr>
          <w:lang w:val="en-GB"/>
        </w:rPr>
        <w:t>by comparing recurring problem claims, causes, consequences and remaining gaps across publications and grouping related evidence. These</w:t>
      </w:r>
      <w:r w:rsidR="00BF7860" w:rsidRPr="006B4F86">
        <w:rPr>
          <w:lang w:val="en-GB"/>
        </w:rPr>
        <w:t xml:space="preserve"> preliminary problem characteristics</w:t>
      </w:r>
      <w:r w:rsidR="0042153F" w:rsidRPr="006B4F86">
        <w:rPr>
          <w:lang w:val="en-GB"/>
        </w:rPr>
        <w:t xml:space="preserve"> were iteratively consolidated where they addressed the same decision problem. The resulting problem characteristics were assessed for literature coverage and the apparent solvability of the remaining problem following the problem-analysis echelon logic [TWV24]. The output is therefore a set of literature-grounded problem characteristics and a synthesised problem statement that informs subsequent solution objectives and artefact design requirements.</w:t>
      </w:r>
    </w:p>
    <w:p w14:paraId="6C9B0185" w14:textId="16299DAA" w:rsidR="00DD5186" w:rsidRPr="006B4F86" w:rsidRDefault="00DD5186" w:rsidP="00DD5186">
      <w:pPr>
        <w:pStyle w:val="berschrift1"/>
        <w:rPr>
          <w:lang w:val="en-GB"/>
        </w:rPr>
      </w:pPr>
      <w:r w:rsidRPr="006B4F86">
        <w:rPr>
          <w:lang w:val="en-GB"/>
        </w:rPr>
        <w:t>Results</w:t>
      </w:r>
      <w:r w:rsidR="00E7153B" w:rsidRPr="006B4F86">
        <w:rPr>
          <w:lang w:val="en-GB"/>
        </w:rPr>
        <w:t xml:space="preserve"> of the problem analysis</w:t>
      </w:r>
    </w:p>
    <w:p w14:paraId="6D67D392" w14:textId="359C881B" w:rsidR="00F94768" w:rsidRPr="006B4F86" w:rsidRDefault="00E7153B" w:rsidP="00F94768">
      <w:pPr>
        <w:rPr>
          <w:lang w:val="en-GB"/>
        </w:rPr>
      </w:pPr>
      <w:r w:rsidRPr="006B4F86">
        <w:rPr>
          <w:lang w:val="en-GB"/>
        </w:rPr>
        <w:t>Overall, the SLR confirms that</w:t>
      </w:r>
      <w:r w:rsidR="00E6233C" w:rsidRPr="006B4F86">
        <w:rPr>
          <w:lang w:val="en-GB"/>
        </w:rPr>
        <w:t xml:space="preserve"> the intersecting</w:t>
      </w:r>
      <w:r w:rsidRPr="006B4F86">
        <w:rPr>
          <w:lang w:val="en-GB"/>
        </w:rPr>
        <w:t xml:space="preserve"> literature of </w:t>
      </w:r>
      <w:proofErr w:type="spellStart"/>
      <w:r w:rsidRPr="006B4F86">
        <w:rPr>
          <w:lang w:val="en-GB"/>
        </w:rPr>
        <w:t>GenAI</w:t>
      </w:r>
      <w:proofErr w:type="spellEnd"/>
      <w:r w:rsidRPr="006B4F86">
        <w:rPr>
          <w:lang w:val="en-GB"/>
        </w:rPr>
        <w:t xml:space="preserve">, ITSM and ecological sustainability is still fragmented rather than absent. </w:t>
      </w:r>
      <w:r w:rsidR="00E93BA9" w:rsidRPr="006B4F86">
        <w:rPr>
          <w:lang w:val="en-GB"/>
        </w:rPr>
        <w:t>Given the narrow focal construct and applied screening criteria, the 22 retained publications provide a focused view of the relevant literature rather than an indication of the field’s overall maturity</w:t>
      </w:r>
      <w:r w:rsidR="003A10EC" w:rsidRPr="006B4F86">
        <w:rPr>
          <w:lang w:val="en-GB"/>
        </w:rPr>
        <w:t xml:space="preserve">. </w:t>
      </w:r>
      <w:r w:rsidR="00E93BA9" w:rsidRPr="006B4F86">
        <w:rPr>
          <w:lang w:val="en-GB"/>
        </w:rPr>
        <w:t>They provide direct, transferable or contextual evidence on</w:t>
      </w:r>
      <w:r w:rsidR="00E6233C" w:rsidRPr="006B4F86">
        <w:rPr>
          <w:lang w:val="en-GB"/>
        </w:rPr>
        <w:t xml:space="preserve"> parts of</w:t>
      </w:r>
      <w:r w:rsidR="00E93BA9" w:rsidRPr="006B4F86">
        <w:rPr>
          <w:lang w:val="en-GB"/>
        </w:rPr>
        <w:t xml:space="preserve"> the problem space, but do not form a coherent research stream on environmentally informed </w:t>
      </w:r>
      <w:proofErr w:type="spellStart"/>
      <w:r w:rsidR="00E93BA9" w:rsidRPr="006B4F86">
        <w:rPr>
          <w:lang w:val="en-GB"/>
        </w:rPr>
        <w:t>GenAI</w:t>
      </w:r>
      <w:proofErr w:type="spellEnd"/>
      <w:r w:rsidR="00E93BA9" w:rsidRPr="006B4F86">
        <w:rPr>
          <w:lang w:val="en-GB"/>
        </w:rPr>
        <w:t xml:space="preserve"> use-case decision</w:t>
      </w:r>
      <w:r w:rsidR="00E6233C" w:rsidRPr="006B4F86">
        <w:rPr>
          <w:lang w:val="en-GB"/>
        </w:rPr>
        <w:t>s</w:t>
      </w:r>
      <w:r w:rsidR="00E93BA9" w:rsidRPr="006B4F86">
        <w:rPr>
          <w:lang w:val="en-GB"/>
        </w:rPr>
        <w:t xml:space="preserve"> in ITSM.</w:t>
      </w:r>
      <w:r w:rsidRPr="006B4F86">
        <w:rPr>
          <w:lang w:val="en-GB"/>
        </w:rPr>
        <w:t xml:space="preserve"> </w:t>
      </w:r>
      <w:r w:rsidR="00E93BA9" w:rsidRPr="006B4F86">
        <w:rPr>
          <w:lang w:val="en-GB"/>
        </w:rPr>
        <w:t xml:space="preserve">The </w:t>
      </w:r>
      <w:r w:rsidR="00F44711" w:rsidRPr="006B4F86">
        <w:rPr>
          <w:lang w:val="en-GB"/>
        </w:rPr>
        <w:t xml:space="preserve">inductive </w:t>
      </w:r>
      <w:r w:rsidR="00E93BA9" w:rsidRPr="006B4F86">
        <w:rPr>
          <w:lang w:val="en-GB"/>
        </w:rPr>
        <w:t xml:space="preserve">synthesis </w:t>
      </w:r>
      <w:r w:rsidR="00F44711" w:rsidRPr="006B4F86">
        <w:rPr>
          <w:lang w:val="en-GB"/>
        </w:rPr>
        <w:t>leads to</w:t>
      </w:r>
      <w:r w:rsidR="00E93BA9" w:rsidRPr="006B4F86">
        <w:rPr>
          <w:lang w:val="en-GB"/>
        </w:rPr>
        <w:t xml:space="preserve"> six problem characteristics, assesses their literature coverage and evaluates the apparent solvability of the remaining problem (see Table 1).</w:t>
      </w:r>
    </w:p>
    <w:tbl>
      <w:tblPr>
        <w:tblW w:w="7088" w:type="dxa"/>
        <w:jc w:val="center"/>
        <w:tblLayout w:type="fixed"/>
        <w:tblCellMar>
          <w:left w:w="70" w:type="dxa"/>
          <w:right w:w="70" w:type="dxa"/>
        </w:tblCellMar>
        <w:tblLook w:val="0000" w:firstRow="0" w:lastRow="0" w:firstColumn="0" w:lastColumn="0" w:noHBand="0" w:noVBand="0"/>
      </w:tblPr>
      <w:tblGrid>
        <w:gridCol w:w="1985"/>
        <w:gridCol w:w="1701"/>
        <w:gridCol w:w="3402"/>
      </w:tblGrid>
      <w:tr w:rsidR="008C41B5" w:rsidRPr="006B4F86" w14:paraId="7EF58389" w14:textId="77777777" w:rsidTr="007F23B1">
        <w:trPr>
          <w:trHeight w:val="251"/>
          <w:jc w:val="center"/>
        </w:trPr>
        <w:tc>
          <w:tcPr>
            <w:tcW w:w="1985" w:type="dxa"/>
            <w:tcBorders>
              <w:top w:val="single" w:sz="8" w:space="0" w:color="auto"/>
              <w:left w:val="nil"/>
              <w:bottom w:val="single" w:sz="8" w:space="0" w:color="auto"/>
            </w:tcBorders>
            <w:vAlign w:val="center"/>
          </w:tcPr>
          <w:p w14:paraId="1EBB60F7" w14:textId="04228F37" w:rsidR="00EC6766" w:rsidRPr="006B4F86" w:rsidRDefault="007F23B1" w:rsidP="00CB24D1">
            <w:pPr>
              <w:pStyle w:val="tabelle"/>
              <w:rPr>
                <w:b/>
                <w:bCs/>
                <w:sz w:val="18"/>
                <w:szCs w:val="22"/>
                <w:lang w:val="en-GB"/>
              </w:rPr>
            </w:pPr>
            <w:r w:rsidRPr="006B4F86">
              <w:rPr>
                <w:b/>
                <w:bCs/>
                <w:sz w:val="18"/>
                <w:szCs w:val="22"/>
                <w:lang w:val="en-GB"/>
              </w:rPr>
              <w:t>Problem characteristic</w:t>
            </w:r>
          </w:p>
        </w:tc>
        <w:tc>
          <w:tcPr>
            <w:tcW w:w="1701" w:type="dxa"/>
            <w:tcBorders>
              <w:top w:val="single" w:sz="8" w:space="0" w:color="auto"/>
              <w:left w:val="nil"/>
              <w:bottom w:val="single" w:sz="8" w:space="0" w:color="auto"/>
            </w:tcBorders>
            <w:vAlign w:val="center"/>
          </w:tcPr>
          <w:p w14:paraId="1583A2D3" w14:textId="7C86033F" w:rsidR="00EC6766" w:rsidRPr="006B4F86" w:rsidRDefault="00EC6766" w:rsidP="00CB24D1">
            <w:pPr>
              <w:pStyle w:val="tabelle"/>
              <w:rPr>
                <w:b/>
                <w:bCs/>
                <w:sz w:val="18"/>
                <w:szCs w:val="22"/>
                <w:lang w:val="en-GB"/>
              </w:rPr>
            </w:pPr>
            <w:r w:rsidRPr="006B4F86">
              <w:rPr>
                <w:b/>
                <w:bCs/>
                <w:sz w:val="18"/>
                <w:szCs w:val="22"/>
                <w:lang w:val="en-GB"/>
              </w:rPr>
              <w:t>Literature coverage</w:t>
            </w:r>
          </w:p>
        </w:tc>
        <w:tc>
          <w:tcPr>
            <w:tcW w:w="3402" w:type="dxa"/>
            <w:tcBorders>
              <w:top w:val="single" w:sz="8" w:space="0" w:color="auto"/>
              <w:left w:val="nil"/>
              <w:bottom w:val="single" w:sz="8" w:space="0" w:color="auto"/>
            </w:tcBorders>
            <w:vAlign w:val="center"/>
          </w:tcPr>
          <w:p w14:paraId="760A29E1" w14:textId="030D9BEA" w:rsidR="00EC6766" w:rsidRPr="006B4F86" w:rsidRDefault="00EC6766" w:rsidP="00CB24D1">
            <w:pPr>
              <w:pStyle w:val="tabelle"/>
              <w:rPr>
                <w:b/>
                <w:bCs/>
                <w:sz w:val="18"/>
                <w:szCs w:val="22"/>
                <w:bdr w:val="nil"/>
                <w:lang w:val="en-GB"/>
              </w:rPr>
            </w:pPr>
            <w:r w:rsidRPr="006B4F86">
              <w:rPr>
                <w:b/>
                <w:bCs/>
                <w:sz w:val="18"/>
                <w:szCs w:val="22"/>
                <w:lang w:val="en-GB"/>
              </w:rPr>
              <w:t>Remaining problem and solvability</w:t>
            </w:r>
          </w:p>
        </w:tc>
      </w:tr>
      <w:tr w:rsidR="007F23B1" w:rsidRPr="006B4F86" w14:paraId="46AEF31D" w14:textId="77777777" w:rsidTr="007F23B1">
        <w:trPr>
          <w:trHeight w:val="334"/>
          <w:jc w:val="center"/>
        </w:trPr>
        <w:tc>
          <w:tcPr>
            <w:tcW w:w="1985" w:type="dxa"/>
            <w:tcBorders>
              <w:top w:val="single" w:sz="8" w:space="0" w:color="auto"/>
              <w:left w:val="nil"/>
            </w:tcBorders>
          </w:tcPr>
          <w:p w14:paraId="1F1B7A3D" w14:textId="39AF44CA" w:rsidR="00EC6766" w:rsidRPr="006B4F86" w:rsidRDefault="00EC6766" w:rsidP="00EC6766">
            <w:pPr>
              <w:pStyle w:val="tabelle"/>
              <w:rPr>
                <w:i/>
                <w:sz w:val="18"/>
                <w:szCs w:val="18"/>
                <w:lang w:val="en-GB"/>
              </w:rPr>
            </w:pPr>
            <w:r w:rsidRPr="006B4F86">
              <w:rPr>
                <w:i/>
                <w:sz w:val="18"/>
                <w:szCs w:val="18"/>
                <w:lang w:val="en-GB"/>
              </w:rPr>
              <w:t>PC1: Temporal integration deficit</w:t>
            </w:r>
          </w:p>
        </w:tc>
        <w:tc>
          <w:tcPr>
            <w:tcW w:w="1701" w:type="dxa"/>
            <w:tcBorders>
              <w:top w:val="single" w:sz="8" w:space="0" w:color="auto"/>
              <w:left w:val="nil"/>
            </w:tcBorders>
          </w:tcPr>
          <w:p w14:paraId="7C2D3F70" w14:textId="4297B598" w:rsidR="00EC6766" w:rsidRPr="006B4F86" w:rsidRDefault="00EC4B4E" w:rsidP="00EC6766">
            <w:pPr>
              <w:pStyle w:val="tabelle"/>
              <w:rPr>
                <w:sz w:val="18"/>
                <w:szCs w:val="18"/>
                <w:lang w:val="en-GB"/>
              </w:rPr>
            </w:pPr>
            <w:r w:rsidRPr="006B4F86">
              <w:rPr>
                <w:sz w:val="18"/>
                <w:szCs w:val="18"/>
                <w:lang w:val="en-GB"/>
              </w:rPr>
              <w:t>[Be25</w:t>
            </w:r>
            <w:r w:rsidR="0091707C" w:rsidRPr="006B4F86">
              <w:rPr>
                <w:sz w:val="18"/>
                <w:szCs w:val="18"/>
                <w:lang w:val="en-GB"/>
              </w:rPr>
              <w:t xml:space="preserve">; </w:t>
            </w:r>
            <w:r w:rsidR="00DC4CD2" w:rsidRPr="006B4F86">
              <w:rPr>
                <w:sz w:val="18"/>
                <w:szCs w:val="18"/>
                <w:lang w:val="en-GB"/>
              </w:rPr>
              <w:t>Le25</w:t>
            </w:r>
            <w:r w:rsidR="0091707C" w:rsidRPr="006B4F86">
              <w:rPr>
                <w:sz w:val="18"/>
                <w:szCs w:val="18"/>
                <w:lang w:val="en-GB"/>
              </w:rPr>
              <w:t xml:space="preserve">; </w:t>
            </w:r>
            <w:r w:rsidR="00FA0D0E" w:rsidRPr="006B4F86">
              <w:rPr>
                <w:sz w:val="18"/>
                <w:szCs w:val="18"/>
                <w:lang w:val="en-GB"/>
              </w:rPr>
              <w:t>Si25</w:t>
            </w:r>
            <w:r w:rsidR="0091707C" w:rsidRPr="006B4F86">
              <w:rPr>
                <w:sz w:val="18"/>
                <w:szCs w:val="18"/>
                <w:lang w:val="en-GB"/>
              </w:rPr>
              <w:t xml:space="preserve">; </w:t>
            </w:r>
            <w:r w:rsidR="00A82EE3" w:rsidRPr="006B4F86">
              <w:rPr>
                <w:sz w:val="18"/>
                <w:szCs w:val="18"/>
                <w:lang w:val="en-GB"/>
              </w:rPr>
              <w:t>VSM23]</w:t>
            </w:r>
          </w:p>
        </w:tc>
        <w:tc>
          <w:tcPr>
            <w:tcW w:w="3402" w:type="dxa"/>
            <w:tcBorders>
              <w:top w:val="single" w:sz="8" w:space="0" w:color="auto"/>
              <w:left w:val="nil"/>
            </w:tcBorders>
          </w:tcPr>
          <w:p w14:paraId="6EE79E40" w14:textId="50DABF8C" w:rsidR="00EC6766" w:rsidRPr="006B4F86" w:rsidRDefault="00EC6766" w:rsidP="00EC6766">
            <w:pPr>
              <w:pStyle w:val="tabelle"/>
              <w:rPr>
                <w:sz w:val="18"/>
                <w:szCs w:val="18"/>
                <w:lang w:val="en-GB"/>
              </w:rPr>
            </w:pPr>
            <w:r w:rsidRPr="006B4F86">
              <w:rPr>
                <w:sz w:val="18"/>
                <w:szCs w:val="18"/>
                <w:lang w:val="en-GB"/>
              </w:rPr>
              <w:t>Environmental evidence is not positioned within ITSM decision points. Moderately solvable through lifecycle structures.</w:t>
            </w:r>
          </w:p>
        </w:tc>
      </w:tr>
      <w:tr w:rsidR="007F23B1" w:rsidRPr="006B4F86" w14:paraId="07D96FA0" w14:textId="77777777" w:rsidTr="007F23B1">
        <w:trPr>
          <w:trHeight w:val="299"/>
          <w:jc w:val="center"/>
        </w:trPr>
        <w:tc>
          <w:tcPr>
            <w:tcW w:w="1985" w:type="dxa"/>
            <w:tcBorders>
              <w:left w:val="nil"/>
            </w:tcBorders>
          </w:tcPr>
          <w:p w14:paraId="71F1FBE9" w14:textId="381350C5" w:rsidR="00EC6766" w:rsidRPr="006B4F86" w:rsidRDefault="00EC6766" w:rsidP="00EC6766">
            <w:pPr>
              <w:pStyle w:val="tabelle"/>
              <w:rPr>
                <w:i/>
                <w:sz w:val="18"/>
                <w:szCs w:val="18"/>
                <w:lang w:val="en-GB"/>
              </w:rPr>
            </w:pPr>
            <w:r w:rsidRPr="006B4F86">
              <w:rPr>
                <w:i/>
                <w:sz w:val="18"/>
                <w:szCs w:val="18"/>
                <w:lang w:val="en-GB"/>
              </w:rPr>
              <w:t>PC2: Lifecycle and boundary fragmentation</w:t>
            </w:r>
          </w:p>
        </w:tc>
        <w:tc>
          <w:tcPr>
            <w:tcW w:w="1701" w:type="dxa"/>
            <w:tcBorders>
              <w:left w:val="nil"/>
            </w:tcBorders>
          </w:tcPr>
          <w:p w14:paraId="6B59FCC6" w14:textId="02AC8354" w:rsidR="00EC6766" w:rsidRPr="006B4F86" w:rsidRDefault="0034193C" w:rsidP="00EC6766">
            <w:pPr>
              <w:pStyle w:val="tabelle"/>
              <w:rPr>
                <w:sz w:val="18"/>
                <w:szCs w:val="18"/>
                <w:lang w:val="en-GB"/>
              </w:rPr>
            </w:pPr>
            <w:r w:rsidRPr="006B4F86">
              <w:rPr>
                <w:sz w:val="18"/>
                <w:szCs w:val="18"/>
                <w:lang w:val="en-GB"/>
              </w:rPr>
              <w:t>[DJ24</w:t>
            </w:r>
            <w:r w:rsidR="00531C8C" w:rsidRPr="006B4F86">
              <w:rPr>
                <w:sz w:val="18"/>
                <w:szCs w:val="18"/>
                <w:lang w:val="en-GB"/>
              </w:rPr>
              <w:t xml:space="preserve">; </w:t>
            </w:r>
            <w:r w:rsidR="00DC4CD2" w:rsidRPr="006B4F86">
              <w:rPr>
                <w:sz w:val="18"/>
                <w:szCs w:val="18"/>
                <w:lang w:val="en-GB"/>
              </w:rPr>
              <w:t>Ko25</w:t>
            </w:r>
            <w:r w:rsidR="00531C8C" w:rsidRPr="006B4F86">
              <w:rPr>
                <w:sz w:val="18"/>
                <w:szCs w:val="18"/>
                <w:lang w:val="en-GB"/>
              </w:rPr>
              <w:t xml:space="preserve">; </w:t>
            </w:r>
            <w:r w:rsidR="00DC4CD2" w:rsidRPr="006B4F86">
              <w:rPr>
                <w:sz w:val="18"/>
                <w:szCs w:val="18"/>
                <w:lang w:val="en-GB"/>
              </w:rPr>
              <w:t>Le25</w:t>
            </w:r>
            <w:r w:rsidR="00531C8C" w:rsidRPr="006B4F86">
              <w:rPr>
                <w:sz w:val="18"/>
                <w:szCs w:val="18"/>
                <w:lang w:val="en-GB"/>
              </w:rPr>
              <w:t xml:space="preserve">; </w:t>
            </w:r>
            <w:r w:rsidR="00DC4CD2" w:rsidRPr="006B4F86">
              <w:rPr>
                <w:sz w:val="18"/>
                <w:szCs w:val="18"/>
                <w:lang w:val="en-GB"/>
              </w:rPr>
              <w:t>LMD21</w:t>
            </w:r>
            <w:r w:rsidR="00531C8C" w:rsidRPr="006B4F86">
              <w:rPr>
                <w:sz w:val="18"/>
                <w:szCs w:val="18"/>
                <w:lang w:val="en-GB"/>
              </w:rPr>
              <w:t xml:space="preserve">; </w:t>
            </w:r>
            <w:r w:rsidR="00FA0D0E" w:rsidRPr="006B4F86">
              <w:rPr>
                <w:sz w:val="18"/>
                <w:szCs w:val="18"/>
                <w:lang w:val="en-GB"/>
              </w:rPr>
              <w:t>Ra26</w:t>
            </w:r>
            <w:r w:rsidR="00531C8C" w:rsidRPr="006B4F86">
              <w:rPr>
                <w:sz w:val="18"/>
                <w:szCs w:val="18"/>
                <w:lang w:val="en-GB"/>
              </w:rPr>
              <w:t xml:space="preserve">; </w:t>
            </w:r>
            <w:r w:rsidR="00FA0D0E" w:rsidRPr="006B4F86">
              <w:rPr>
                <w:sz w:val="18"/>
                <w:szCs w:val="18"/>
                <w:lang w:val="en-GB"/>
              </w:rPr>
              <w:t>Ro24]</w:t>
            </w:r>
          </w:p>
        </w:tc>
        <w:tc>
          <w:tcPr>
            <w:tcW w:w="3402" w:type="dxa"/>
            <w:tcBorders>
              <w:left w:val="nil"/>
            </w:tcBorders>
          </w:tcPr>
          <w:p w14:paraId="76431DC1" w14:textId="0A703562" w:rsidR="00EC6766" w:rsidRPr="006B4F86" w:rsidRDefault="00EC6766" w:rsidP="00EC6766">
            <w:pPr>
              <w:pStyle w:val="tabelle"/>
              <w:rPr>
                <w:sz w:val="18"/>
                <w:szCs w:val="18"/>
                <w:lang w:val="en-GB"/>
              </w:rPr>
            </w:pPr>
            <w:r w:rsidRPr="006B4F86">
              <w:rPr>
                <w:sz w:val="18"/>
                <w:szCs w:val="18"/>
                <w:lang w:val="en-GB"/>
              </w:rPr>
              <w:t>AI impacts are assessed at model or infrastructure level, while ITSM decisions concern use cases. Partly solvable due to boundary and transparency issues.</w:t>
            </w:r>
          </w:p>
        </w:tc>
      </w:tr>
      <w:tr w:rsidR="007F23B1" w:rsidRPr="006B4F86" w14:paraId="2A280779" w14:textId="77777777" w:rsidTr="007F23B1">
        <w:trPr>
          <w:trHeight w:val="299"/>
          <w:jc w:val="center"/>
        </w:trPr>
        <w:tc>
          <w:tcPr>
            <w:tcW w:w="1985" w:type="dxa"/>
            <w:tcBorders>
              <w:left w:val="nil"/>
            </w:tcBorders>
          </w:tcPr>
          <w:p w14:paraId="6AB8E6A6" w14:textId="0A8BD5CE" w:rsidR="00EC6766" w:rsidRPr="006B4F86" w:rsidRDefault="00EC6766" w:rsidP="00EC6766">
            <w:pPr>
              <w:pStyle w:val="tabelle"/>
              <w:rPr>
                <w:i/>
                <w:sz w:val="18"/>
                <w:szCs w:val="18"/>
                <w:lang w:val="en-GB"/>
              </w:rPr>
            </w:pPr>
            <w:r w:rsidRPr="006B4F86">
              <w:rPr>
                <w:i/>
                <w:sz w:val="18"/>
                <w:szCs w:val="18"/>
                <w:lang w:val="en-GB"/>
              </w:rPr>
              <w:t>PC3: Environmental–governance disconnect</w:t>
            </w:r>
          </w:p>
        </w:tc>
        <w:tc>
          <w:tcPr>
            <w:tcW w:w="1701" w:type="dxa"/>
            <w:tcBorders>
              <w:left w:val="nil"/>
            </w:tcBorders>
          </w:tcPr>
          <w:p w14:paraId="527568A9" w14:textId="77C82E62" w:rsidR="00EC6766" w:rsidRPr="006B4F86" w:rsidRDefault="00EC4B4E" w:rsidP="00EC6766">
            <w:pPr>
              <w:pStyle w:val="tabelle"/>
              <w:rPr>
                <w:sz w:val="18"/>
                <w:szCs w:val="18"/>
              </w:rPr>
            </w:pPr>
            <w:r w:rsidRPr="006B4F86">
              <w:rPr>
                <w:sz w:val="18"/>
                <w:szCs w:val="18"/>
              </w:rPr>
              <w:t>[Be25</w:t>
            </w:r>
            <w:r w:rsidR="00531C8C" w:rsidRPr="006B4F86">
              <w:rPr>
                <w:sz w:val="18"/>
                <w:szCs w:val="18"/>
              </w:rPr>
              <w:t xml:space="preserve">; </w:t>
            </w:r>
            <w:r w:rsidR="00DC4CD2" w:rsidRPr="006B4F86">
              <w:rPr>
                <w:sz w:val="18"/>
                <w:szCs w:val="18"/>
              </w:rPr>
              <w:t>Ko25</w:t>
            </w:r>
            <w:r w:rsidR="00531C8C" w:rsidRPr="006B4F86">
              <w:rPr>
                <w:sz w:val="18"/>
                <w:szCs w:val="18"/>
              </w:rPr>
              <w:t xml:space="preserve">; </w:t>
            </w:r>
            <w:r w:rsidR="00DC4CD2" w:rsidRPr="006B4F86">
              <w:rPr>
                <w:sz w:val="18"/>
                <w:szCs w:val="18"/>
              </w:rPr>
              <w:t>Ma23</w:t>
            </w:r>
            <w:r w:rsidR="00531C8C" w:rsidRPr="006B4F86">
              <w:rPr>
                <w:sz w:val="18"/>
                <w:szCs w:val="18"/>
              </w:rPr>
              <w:t xml:space="preserve">; </w:t>
            </w:r>
            <w:r w:rsidR="00DC4CD2" w:rsidRPr="006B4F86">
              <w:rPr>
                <w:sz w:val="18"/>
                <w:szCs w:val="18"/>
              </w:rPr>
              <w:t>MJ24</w:t>
            </w:r>
            <w:r w:rsidR="00531C8C" w:rsidRPr="006B4F86">
              <w:rPr>
                <w:sz w:val="18"/>
                <w:szCs w:val="18"/>
              </w:rPr>
              <w:t xml:space="preserve">; </w:t>
            </w:r>
            <w:r w:rsidR="00A82EE3" w:rsidRPr="006B4F86">
              <w:rPr>
                <w:sz w:val="18"/>
                <w:szCs w:val="18"/>
              </w:rPr>
              <w:t>Yu21</w:t>
            </w:r>
            <w:r w:rsidR="00531C8C" w:rsidRPr="006B4F86">
              <w:rPr>
                <w:sz w:val="18"/>
                <w:szCs w:val="18"/>
              </w:rPr>
              <w:t xml:space="preserve">; </w:t>
            </w:r>
            <w:r w:rsidR="00A82EE3" w:rsidRPr="006B4F86">
              <w:rPr>
                <w:sz w:val="18"/>
                <w:szCs w:val="18"/>
              </w:rPr>
              <w:t>ZT25]</w:t>
            </w:r>
          </w:p>
        </w:tc>
        <w:tc>
          <w:tcPr>
            <w:tcW w:w="3402" w:type="dxa"/>
            <w:tcBorders>
              <w:left w:val="nil"/>
            </w:tcBorders>
          </w:tcPr>
          <w:p w14:paraId="7D3D0CFB" w14:textId="7D90E8FD" w:rsidR="00EC6766" w:rsidRPr="006B4F86" w:rsidRDefault="00EC6766" w:rsidP="00EC6766">
            <w:pPr>
              <w:pStyle w:val="tabelle"/>
              <w:rPr>
                <w:sz w:val="18"/>
                <w:szCs w:val="18"/>
                <w:lang w:val="en-GB"/>
              </w:rPr>
            </w:pPr>
            <w:r w:rsidRPr="006B4F86">
              <w:rPr>
                <w:sz w:val="18"/>
                <w:szCs w:val="18"/>
                <w:lang w:val="en-GB"/>
              </w:rPr>
              <w:t>Environmental evidence is not assigned to ITSM roles or authorities. Moderately solvable through role-based governance.</w:t>
            </w:r>
          </w:p>
        </w:tc>
      </w:tr>
      <w:tr w:rsidR="007F23B1" w:rsidRPr="006B4F86" w14:paraId="15896363" w14:textId="77777777" w:rsidTr="007F23B1">
        <w:trPr>
          <w:trHeight w:val="299"/>
          <w:jc w:val="center"/>
        </w:trPr>
        <w:tc>
          <w:tcPr>
            <w:tcW w:w="1985" w:type="dxa"/>
            <w:tcBorders>
              <w:left w:val="nil"/>
            </w:tcBorders>
          </w:tcPr>
          <w:p w14:paraId="6DEB15EB" w14:textId="3DFFDEF3" w:rsidR="00EC6766" w:rsidRPr="006B4F86" w:rsidRDefault="00EC6766" w:rsidP="00EC6766">
            <w:pPr>
              <w:pStyle w:val="tabelle"/>
              <w:rPr>
                <w:i/>
                <w:sz w:val="18"/>
                <w:szCs w:val="18"/>
                <w:lang w:val="en-GB"/>
              </w:rPr>
            </w:pPr>
            <w:r w:rsidRPr="006B4F86">
              <w:rPr>
                <w:i/>
                <w:sz w:val="18"/>
                <w:szCs w:val="18"/>
                <w:lang w:val="en-GB"/>
              </w:rPr>
              <w:t>PC4: Ambiguity of direct and indirect effects</w:t>
            </w:r>
          </w:p>
        </w:tc>
        <w:tc>
          <w:tcPr>
            <w:tcW w:w="1701" w:type="dxa"/>
            <w:tcBorders>
              <w:left w:val="nil"/>
            </w:tcBorders>
          </w:tcPr>
          <w:p w14:paraId="6EB4C28B" w14:textId="67CE604F" w:rsidR="00EC6766" w:rsidRPr="006B4F86" w:rsidRDefault="0034193C" w:rsidP="00EC6766">
            <w:pPr>
              <w:pStyle w:val="tabelle"/>
              <w:rPr>
                <w:sz w:val="18"/>
                <w:szCs w:val="18"/>
                <w:lang w:val="en-GB"/>
              </w:rPr>
            </w:pPr>
            <w:r w:rsidRPr="006B4F86">
              <w:rPr>
                <w:sz w:val="18"/>
                <w:szCs w:val="18"/>
                <w:lang w:val="en-GB"/>
              </w:rPr>
              <w:t>[DJ24</w:t>
            </w:r>
            <w:r w:rsidR="00531C8C" w:rsidRPr="006B4F86">
              <w:rPr>
                <w:sz w:val="18"/>
                <w:szCs w:val="18"/>
                <w:lang w:val="en-GB"/>
              </w:rPr>
              <w:t xml:space="preserve">; </w:t>
            </w:r>
            <w:r w:rsidR="00DC4CD2" w:rsidRPr="006B4F86">
              <w:rPr>
                <w:sz w:val="18"/>
                <w:szCs w:val="18"/>
                <w:lang w:val="en-GB"/>
              </w:rPr>
              <w:t>Ho24</w:t>
            </w:r>
            <w:r w:rsidR="00531C8C" w:rsidRPr="006B4F86">
              <w:rPr>
                <w:sz w:val="18"/>
                <w:szCs w:val="18"/>
                <w:lang w:val="en-GB"/>
              </w:rPr>
              <w:t xml:space="preserve">; </w:t>
            </w:r>
            <w:r w:rsidR="00DC4CD2" w:rsidRPr="006B4F86">
              <w:rPr>
                <w:sz w:val="18"/>
                <w:szCs w:val="18"/>
                <w:lang w:val="en-GB"/>
              </w:rPr>
              <w:t>Os24</w:t>
            </w:r>
            <w:r w:rsidR="00531C8C" w:rsidRPr="006B4F86">
              <w:rPr>
                <w:sz w:val="18"/>
                <w:szCs w:val="18"/>
                <w:lang w:val="en-GB"/>
              </w:rPr>
              <w:t xml:space="preserve">; </w:t>
            </w:r>
            <w:r w:rsidR="00FA0D0E" w:rsidRPr="006B4F86">
              <w:rPr>
                <w:sz w:val="18"/>
                <w:szCs w:val="18"/>
                <w:lang w:val="en-GB"/>
              </w:rPr>
              <w:t>Sc23</w:t>
            </w:r>
            <w:r w:rsidR="00531C8C" w:rsidRPr="006B4F86">
              <w:rPr>
                <w:sz w:val="18"/>
                <w:szCs w:val="18"/>
                <w:lang w:val="en-GB"/>
              </w:rPr>
              <w:t xml:space="preserve">; </w:t>
            </w:r>
            <w:r w:rsidR="00A82EE3" w:rsidRPr="006B4F86">
              <w:rPr>
                <w:sz w:val="18"/>
                <w:szCs w:val="18"/>
                <w:lang w:val="en-GB"/>
              </w:rPr>
              <w:t>Vi23]</w:t>
            </w:r>
          </w:p>
        </w:tc>
        <w:tc>
          <w:tcPr>
            <w:tcW w:w="3402" w:type="dxa"/>
            <w:tcBorders>
              <w:left w:val="nil"/>
            </w:tcBorders>
          </w:tcPr>
          <w:p w14:paraId="2798372C" w14:textId="1A5E65BD" w:rsidR="00EC6766" w:rsidRPr="006B4F86" w:rsidRDefault="00EC6766" w:rsidP="00EC6766">
            <w:pPr>
              <w:pStyle w:val="tabelle"/>
              <w:rPr>
                <w:sz w:val="18"/>
                <w:szCs w:val="18"/>
                <w:lang w:val="en-GB"/>
              </w:rPr>
            </w:pPr>
            <w:r w:rsidRPr="006B4F86">
              <w:rPr>
                <w:sz w:val="18"/>
                <w:szCs w:val="18"/>
                <w:lang w:val="en-GB"/>
              </w:rPr>
              <w:t>Direct AI burdens and indirect process effects risk being conflated. Conceptually solvable, empirically difficult.</w:t>
            </w:r>
          </w:p>
        </w:tc>
      </w:tr>
      <w:tr w:rsidR="007F23B1" w:rsidRPr="006B4F86" w14:paraId="2195BA23" w14:textId="77777777" w:rsidTr="007F23B1">
        <w:trPr>
          <w:trHeight w:val="299"/>
          <w:jc w:val="center"/>
        </w:trPr>
        <w:tc>
          <w:tcPr>
            <w:tcW w:w="1985" w:type="dxa"/>
            <w:tcBorders>
              <w:left w:val="nil"/>
            </w:tcBorders>
          </w:tcPr>
          <w:p w14:paraId="3DD7A752" w14:textId="1879655A" w:rsidR="00EC6766" w:rsidRPr="006B4F86" w:rsidRDefault="00EC6766" w:rsidP="00EC6766">
            <w:pPr>
              <w:pStyle w:val="tabelle"/>
              <w:rPr>
                <w:i/>
                <w:sz w:val="18"/>
                <w:szCs w:val="18"/>
                <w:lang w:val="en-GB"/>
              </w:rPr>
            </w:pPr>
            <w:r w:rsidRPr="006B4F86">
              <w:rPr>
                <w:i/>
                <w:sz w:val="18"/>
                <w:szCs w:val="18"/>
                <w:lang w:val="en-GB"/>
              </w:rPr>
              <w:t>PC5: Decision operationalisation deficit</w:t>
            </w:r>
          </w:p>
        </w:tc>
        <w:tc>
          <w:tcPr>
            <w:tcW w:w="1701" w:type="dxa"/>
            <w:tcBorders>
              <w:left w:val="nil"/>
            </w:tcBorders>
          </w:tcPr>
          <w:p w14:paraId="153ABA2D" w14:textId="5DC300B8" w:rsidR="00EC6766" w:rsidRPr="006B4F86" w:rsidRDefault="00EC4B4E" w:rsidP="00EC6766">
            <w:pPr>
              <w:pStyle w:val="tabelle"/>
              <w:rPr>
                <w:sz w:val="18"/>
                <w:szCs w:val="18"/>
                <w:lang w:val="en-GB"/>
              </w:rPr>
            </w:pPr>
            <w:r w:rsidRPr="006B4F86">
              <w:rPr>
                <w:sz w:val="18"/>
                <w:szCs w:val="18"/>
                <w:lang w:val="en-GB"/>
              </w:rPr>
              <w:t>[Bo23</w:t>
            </w:r>
            <w:r w:rsidR="00531C8C" w:rsidRPr="006B4F86">
              <w:rPr>
                <w:sz w:val="18"/>
                <w:szCs w:val="18"/>
                <w:lang w:val="en-GB"/>
              </w:rPr>
              <w:t xml:space="preserve">; </w:t>
            </w:r>
            <w:r w:rsidR="004D760E" w:rsidRPr="006B4F86">
              <w:rPr>
                <w:sz w:val="18"/>
                <w:szCs w:val="18"/>
                <w:lang w:val="en-GB"/>
              </w:rPr>
              <w:t>GMC24</w:t>
            </w:r>
            <w:r w:rsidR="00531C8C" w:rsidRPr="006B4F86">
              <w:rPr>
                <w:sz w:val="18"/>
                <w:szCs w:val="18"/>
                <w:lang w:val="en-GB"/>
              </w:rPr>
              <w:t xml:space="preserve">; </w:t>
            </w:r>
            <w:r w:rsidR="00DC4CD2" w:rsidRPr="006B4F86">
              <w:rPr>
                <w:sz w:val="18"/>
                <w:szCs w:val="18"/>
                <w:lang w:val="en-GB"/>
              </w:rPr>
              <w:t>KB20</w:t>
            </w:r>
            <w:r w:rsidR="00531C8C" w:rsidRPr="006B4F86">
              <w:rPr>
                <w:sz w:val="18"/>
                <w:szCs w:val="18"/>
                <w:lang w:val="en-GB"/>
              </w:rPr>
              <w:t xml:space="preserve">; </w:t>
            </w:r>
            <w:r w:rsidR="00DC4CD2" w:rsidRPr="006B4F86">
              <w:rPr>
                <w:sz w:val="18"/>
                <w:szCs w:val="18"/>
                <w:lang w:val="en-GB"/>
              </w:rPr>
              <w:t>Mo25</w:t>
            </w:r>
            <w:r w:rsidR="00531C8C" w:rsidRPr="006B4F86">
              <w:rPr>
                <w:sz w:val="18"/>
                <w:szCs w:val="18"/>
                <w:lang w:val="en-GB"/>
              </w:rPr>
              <w:t xml:space="preserve">; </w:t>
            </w:r>
            <w:r w:rsidR="00FA0D0E" w:rsidRPr="006B4F86">
              <w:rPr>
                <w:sz w:val="18"/>
                <w:szCs w:val="18"/>
                <w:lang w:val="en-GB"/>
              </w:rPr>
              <w:t>Si25</w:t>
            </w:r>
            <w:r w:rsidR="00531C8C" w:rsidRPr="006B4F86">
              <w:rPr>
                <w:sz w:val="18"/>
                <w:szCs w:val="18"/>
                <w:lang w:val="en-GB"/>
              </w:rPr>
              <w:t xml:space="preserve">; </w:t>
            </w:r>
            <w:r w:rsidR="00A82EE3" w:rsidRPr="006B4F86">
              <w:rPr>
                <w:sz w:val="18"/>
                <w:szCs w:val="18"/>
                <w:lang w:val="en-GB"/>
              </w:rPr>
              <w:t>VSM23]</w:t>
            </w:r>
          </w:p>
        </w:tc>
        <w:tc>
          <w:tcPr>
            <w:tcW w:w="3402" w:type="dxa"/>
            <w:tcBorders>
              <w:left w:val="nil"/>
            </w:tcBorders>
          </w:tcPr>
          <w:p w14:paraId="09050B78" w14:textId="68987C5A" w:rsidR="00EC6766" w:rsidRPr="006B4F86" w:rsidRDefault="00EC6766" w:rsidP="00EC6766">
            <w:pPr>
              <w:pStyle w:val="tabelle"/>
              <w:rPr>
                <w:sz w:val="18"/>
                <w:szCs w:val="18"/>
                <w:lang w:val="en-GB"/>
              </w:rPr>
            </w:pPr>
            <w:r w:rsidRPr="006B4F86">
              <w:rPr>
                <w:sz w:val="18"/>
                <w:szCs w:val="18"/>
                <w:lang w:val="en-GB"/>
              </w:rPr>
              <w:t>Evidence, review points and documentation logic remain unspecified. Moderately solvable through later design work.</w:t>
            </w:r>
          </w:p>
        </w:tc>
      </w:tr>
      <w:tr w:rsidR="007F23B1" w:rsidRPr="006B4F86" w14:paraId="4B4F679B" w14:textId="77777777" w:rsidTr="007F23B1">
        <w:trPr>
          <w:trHeight w:val="251"/>
          <w:jc w:val="center"/>
        </w:trPr>
        <w:tc>
          <w:tcPr>
            <w:tcW w:w="1985" w:type="dxa"/>
            <w:tcBorders>
              <w:left w:val="nil"/>
              <w:bottom w:val="single" w:sz="8" w:space="0" w:color="auto"/>
            </w:tcBorders>
          </w:tcPr>
          <w:p w14:paraId="49941B67" w14:textId="246BB33A" w:rsidR="00EC6766" w:rsidRPr="006B4F86" w:rsidRDefault="00EC6766" w:rsidP="00EC6766">
            <w:pPr>
              <w:pStyle w:val="tabelle"/>
              <w:rPr>
                <w:i/>
                <w:sz w:val="18"/>
                <w:szCs w:val="18"/>
                <w:lang w:val="en-GB"/>
              </w:rPr>
            </w:pPr>
            <w:r w:rsidRPr="006B4F86">
              <w:rPr>
                <w:i/>
                <w:sz w:val="18"/>
                <w:szCs w:val="18"/>
                <w:lang w:val="en-GB"/>
              </w:rPr>
              <w:t>PC6: Evidence and capability deficit</w:t>
            </w:r>
          </w:p>
        </w:tc>
        <w:tc>
          <w:tcPr>
            <w:tcW w:w="1701" w:type="dxa"/>
            <w:tcBorders>
              <w:left w:val="nil"/>
              <w:bottom w:val="single" w:sz="8" w:space="0" w:color="auto"/>
            </w:tcBorders>
          </w:tcPr>
          <w:p w14:paraId="51EC2299" w14:textId="6C625DAA" w:rsidR="00EC6766" w:rsidRPr="006B4F86" w:rsidRDefault="00EC4B4E" w:rsidP="00EC6766">
            <w:pPr>
              <w:pStyle w:val="tabelle"/>
              <w:rPr>
                <w:sz w:val="18"/>
                <w:szCs w:val="18"/>
              </w:rPr>
            </w:pPr>
            <w:r w:rsidRPr="006B4F86">
              <w:rPr>
                <w:sz w:val="18"/>
                <w:szCs w:val="18"/>
              </w:rPr>
              <w:t>[Bo23</w:t>
            </w:r>
            <w:r w:rsidR="00531C8C" w:rsidRPr="006B4F86">
              <w:rPr>
                <w:sz w:val="18"/>
                <w:szCs w:val="18"/>
              </w:rPr>
              <w:t xml:space="preserve">; </w:t>
            </w:r>
            <w:r w:rsidR="0034193C" w:rsidRPr="006B4F86">
              <w:rPr>
                <w:sz w:val="18"/>
                <w:szCs w:val="18"/>
              </w:rPr>
              <w:t>Fa24</w:t>
            </w:r>
            <w:r w:rsidR="00531C8C" w:rsidRPr="006B4F86">
              <w:rPr>
                <w:sz w:val="18"/>
                <w:szCs w:val="18"/>
              </w:rPr>
              <w:t xml:space="preserve">; </w:t>
            </w:r>
            <w:r w:rsidR="00DC4CD2" w:rsidRPr="006B4F86">
              <w:rPr>
                <w:sz w:val="18"/>
                <w:szCs w:val="18"/>
              </w:rPr>
              <w:t>Ko25</w:t>
            </w:r>
            <w:r w:rsidR="00531C8C" w:rsidRPr="006B4F86">
              <w:rPr>
                <w:sz w:val="18"/>
                <w:szCs w:val="18"/>
              </w:rPr>
              <w:t xml:space="preserve">; </w:t>
            </w:r>
            <w:r w:rsidR="00DC4CD2" w:rsidRPr="006B4F86">
              <w:rPr>
                <w:sz w:val="18"/>
                <w:szCs w:val="18"/>
              </w:rPr>
              <w:t>Ma23</w:t>
            </w:r>
            <w:r w:rsidR="00531C8C" w:rsidRPr="006B4F86">
              <w:rPr>
                <w:sz w:val="18"/>
                <w:szCs w:val="18"/>
              </w:rPr>
              <w:t xml:space="preserve">; </w:t>
            </w:r>
            <w:r w:rsidR="00DC4CD2" w:rsidRPr="006B4F86">
              <w:rPr>
                <w:sz w:val="18"/>
                <w:szCs w:val="18"/>
              </w:rPr>
              <w:t>Mo25</w:t>
            </w:r>
            <w:r w:rsidR="00531C8C" w:rsidRPr="006B4F86">
              <w:rPr>
                <w:sz w:val="18"/>
                <w:szCs w:val="18"/>
              </w:rPr>
              <w:t xml:space="preserve">; </w:t>
            </w:r>
            <w:r w:rsidR="00FA0D0E" w:rsidRPr="006B4F86">
              <w:rPr>
                <w:sz w:val="18"/>
                <w:szCs w:val="18"/>
              </w:rPr>
              <w:t>Ra26</w:t>
            </w:r>
            <w:r w:rsidR="00531C8C" w:rsidRPr="006B4F86">
              <w:rPr>
                <w:sz w:val="18"/>
                <w:szCs w:val="18"/>
              </w:rPr>
              <w:t xml:space="preserve">; </w:t>
            </w:r>
            <w:r w:rsidR="00FA0D0E" w:rsidRPr="006B4F86">
              <w:rPr>
                <w:sz w:val="18"/>
                <w:szCs w:val="18"/>
              </w:rPr>
              <w:t>Ro24</w:t>
            </w:r>
            <w:r w:rsidR="00531C8C" w:rsidRPr="006B4F86">
              <w:rPr>
                <w:sz w:val="18"/>
                <w:szCs w:val="18"/>
              </w:rPr>
              <w:t xml:space="preserve">; </w:t>
            </w:r>
            <w:r w:rsidR="00A82EE3" w:rsidRPr="006B4F86">
              <w:rPr>
                <w:sz w:val="18"/>
                <w:szCs w:val="18"/>
              </w:rPr>
              <w:t>ZT25]</w:t>
            </w:r>
          </w:p>
        </w:tc>
        <w:tc>
          <w:tcPr>
            <w:tcW w:w="3402" w:type="dxa"/>
            <w:tcBorders>
              <w:left w:val="nil"/>
              <w:bottom w:val="single" w:sz="8" w:space="0" w:color="auto"/>
            </w:tcBorders>
          </w:tcPr>
          <w:p w14:paraId="6AF81BCD" w14:textId="72608038" w:rsidR="00EC6766" w:rsidRPr="006B4F86" w:rsidRDefault="00EC6766" w:rsidP="00EC6766">
            <w:pPr>
              <w:pStyle w:val="tabelle"/>
              <w:rPr>
                <w:sz w:val="18"/>
                <w:szCs w:val="18"/>
                <w:lang w:val="en-GB"/>
              </w:rPr>
            </w:pPr>
            <w:r w:rsidRPr="006B4F86">
              <w:rPr>
                <w:sz w:val="18"/>
                <w:szCs w:val="18"/>
                <w:lang w:val="en-GB"/>
              </w:rPr>
              <w:t>Robust indicators, comparable data and interpretive capabilities are insufficiently specified. Partly solvable.</w:t>
            </w:r>
          </w:p>
        </w:tc>
      </w:tr>
    </w:tbl>
    <w:p w14:paraId="4019466B" w14:textId="517FA415" w:rsidR="00F94768" w:rsidRPr="006B4F86" w:rsidRDefault="00F94768" w:rsidP="00F94768">
      <w:pPr>
        <w:pStyle w:val="Beschriftung"/>
        <w:rPr>
          <w:lang w:val="en-GB"/>
        </w:rPr>
      </w:pPr>
      <w:r w:rsidRPr="006B4F86">
        <w:rPr>
          <w:szCs w:val="18"/>
          <w:bdr w:val="nil"/>
          <w:lang w:val="en-GB"/>
        </w:rPr>
        <w:t xml:space="preserve">Tab. 1: Problem characteristics </w:t>
      </w:r>
      <w:r w:rsidR="00DA19AA" w:rsidRPr="006B4F86">
        <w:rPr>
          <w:szCs w:val="18"/>
          <w:bdr w:val="nil"/>
          <w:lang w:val="en-GB"/>
        </w:rPr>
        <w:t xml:space="preserve">(PCs) </w:t>
      </w:r>
      <w:r w:rsidRPr="006B4F86">
        <w:rPr>
          <w:szCs w:val="18"/>
          <w:bdr w:val="nil"/>
          <w:lang w:val="en-GB"/>
        </w:rPr>
        <w:t>derived from the SLR</w:t>
      </w:r>
    </w:p>
    <w:p w14:paraId="3671BD9B" w14:textId="61AA5F28" w:rsidR="00D43699" w:rsidRPr="006B4F86" w:rsidRDefault="00D43699" w:rsidP="00D43699">
      <w:pPr>
        <w:rPr>
          <w:lang w:val="en-GB"/>
        </w:rPr>
      </w:pPr>
      <w:r w:rsidRPr="006B4F86">
        <w:rPr>
          <w:lang w:val="en-GB"/>
        </w:rPr>
        <w:lastRenderedPageBreak/>
        <w:t>The six problem characteristics reconstruct the focal problem as a set of interrelated translation deficits: environmental evidence needs to be positioned earlier in ITSM decisions (</w:t>
      </w:r>
      <w:r w:rsidRPr="006B4F86">
        <w:rPr>
          <w:i/>
          <w:lang w:val="en-GB"/>
        </w:rPr>
        <w:t>PC1</w:t>
      </w:r>
      <w:r w:rsidRPr="006B4F86">
        <w:rPr>
          <w:lang w:val="en-GB"/>
        </w:rPr>
        <w:t>), related to explicit lifecycle and system boundaries (</w:t>
      </w:r>
      <w:r w:rsidRPr="006B4F86">
        <w:rPr>
          <w:i/>
          <w:lang w:val="en-GB"/>
        </w:rPr>
        <w:t>PC2</w:t>
      </w:r>
      <w:r w:rsidRPr="006B4F86">
        <w:rPr>
          <w:lang w:val="en-GB"/>
        </w:rPr>
        <w:t>), connected to ITSM governance responsibilities (</w:t>
      </w:r>
      <w:r w:rsidRPr="006B4F86">
        <w:rPr>
          <w:i/>
          <w:lang w:val="en-GB"/>
        </w:rPr>
        <w:t>PC3</w:t>
      </w:r>
      <w:r w:rsidRPr="006B4F86">
        <w:rPr>
          <w:lang w:val="en-GB"/>
        </w:rPr>
        <w:t>), differentiated into direct and indirect environmental effects (</w:t>
      </w:r>
      <w:r w:rsidRPr="006B4F86">
        <w:rPr>
          <w:i/>
          <w:lang w:val="en-GB"/>
        </w:rPr>
        <w:t>PC4</w:t>
      </w:r>
      <w:r w:rsidRPr="006B4F86">
        <w:rPr>
          <w:lang w:val="en-GB"/>
        </w:rPr>
        <w:t>), translated into review points and documentation logic (PC5) and supported by comparable evidence and organisational capabilities (</w:t>
      </w:r>
      <w:r w:rsidRPr="006B4F86">
        <w:rPr>
          <w:i/>
          <w:lang w:val="en-GB"/>
        </w:rPr>
        <w:t>PC6</w:t>
      </w:r>
      <w:r w:rsidRPr="006B4F86">
        <w:rPr>
          <w:lang w:val="en-GB"/>
        </w:rPr>
        <w:t>).</w:t>
      </w:r>
    </w:p>
    <w:p w14:paraId="6B13FE9E" w14:textId="4E8BC289" w:rsidR="00D43699" w:rsidRPr="006B4F86" w:rsidRDefault="00D43699" w:rsidP="00D43699">
      <w:pPr>
        <w:rPr>
          <w:lang w:val="en-GB"/>
        </w:rPr>
      </w:pPr>
      <w:r w:rsidRPr="006B4F86">
        <w:rPr>
          <w:lang w:val="en-GB"/>
        </w:rPr>
        <w:t xml:space="preserve">Furthermore, across the reviewed literature, three patterns become visible. AI-enabled ITSM literature explains why organisations adopt AI for automation, service availability, predictive support, resilience, and operational performance, but only weakly connects these decisions to ecological sustainability. Sustainable AI, Green AI, and AI-for-Sustainability literature provide relevant environmental concepts, but often at the level of models, infrastructures, lifecycle phases, or industrial sustainability effects rather than ITSM use-case decisions. Governance- and implementation-oriented literature clarifies adjacent issues such as responsibility, accountability, readiness, and feasibility, but does not yet provide an integrated decision logic for environmentally informed </w:t>
      </w:r>
      <w:proofErr w:type="spellStart"/>
      <w:r w:rsidRPr="006B4F86">
        <w:rPr>
          <w:lang w:val="en-GB"/>
        </w:rPr>
        <w:t>GenAI</w:t>
      </w:r>
      <w:proofErr w:type="spellEnd"/>
      <w:r w:rsidRPr="006B4F86">
        <w:rPr>
          <w:lang w:val="en-GB"/>
        </w:rPr>
        <w:t xml:space="preserve"> use in ITSM. The resulting problem statement for this </w:t>
      </w:r>
      <w:r w:rsidR="003D06FE" w:rsidRPr="006B4F86">
        <w:rPr>
          <w:lang w:val="en-GB"/>
        </w:rPr>
        <w:t>p</w:t>
      </w:r>
      <w:r w:rsidRPr="006B4F86">
        <w:rPr>
          <w:lang w:val="en-GB"/>
        </w:rPr>
        <w:t xml:space="preserve">roblem </w:t>
      </w:r>
      <w:r w:rsidR="003D06FE" w:rsidRPr="006B4F86">
        <w:rPr>
          <w:lang w:val="en-GB"/>
        </w:rPr>
        <w:t>a</w:t>
      </w:r>
      <w:r w:rsidRPr="006B4F86">
        <w:rPr>
          <w:lang w:val="en-GB"/>
        </w:rPr>
        <w:t xml:space="preserve">nalysis </w:t>
      </w:r>
      <w:r w:rsidR="003D06FE" w:rsidRPr="006B4F86">
        <w:rPr>
          <w:lang w:val="en-GB"/>
        </w:rPr>
        <w:t>e</w:t>
      </w:r>
      <w:r w:rsidRPr="006B4F86">
        <w:rPr>
          <w:lang w:val="en-GB"/>
        </w:rPr>
        <w:t xml:space="preserve">chelon can therefore be formulated as follows: </w:t>
      </w:r>
      <w:r w:rsidRPr="006B4F86">
        <w:rPr>
          <w:i/>
          <w:lang w:val="en-GB"/>
        </w:rPr>
        <w:t xml:space="preserve">Organisations increasingly consider </w:t>
      </w:r>
      <w:proofErr w:type="spellStart"/>
      <w:r w:rsidRPr="006B4F86">
        <w:rPr>
          <w:i/>
          <w:lang w:val="en-GB"/>
        </w:rPr>
        <w:t>GenAI</w:t>
      </w:r>
      <w:proofErr w:type="spellEnd"/>
      <w:r w:rsidRPr="006B4F86">
        <w:rPr>
          <w:i/>
          <w:lang w:val="en-GB"/>
        </w:rPr>
        <w:t>-enabled applications for ITSM activities, yet they lack a conceptually and operationally coherent basis for integrating use-case-specific environmental evidence into decisions on introducing, configuring, continuing, modifying or retiring such applications.</w:t>
      </w:r>
      <w:r w:rsidRPr="006B4F86">
        <w:rPr>
          <w:lang w:val="en-GB"/>
        </w:rPr>
        <w:t xml:space="preserve"> </w:t>
      </w:r>
    </w:p>
    <w:p w14:paraId="290ACCE9" w14:textId="00FA7E6D" w:rsidR="00E7153B" w:rsidRPr="006B4F86" w:rsidRDefault="0084437C" w:rsidP="00D43699">
      <w:pPr>
        <w:rPr>
          <w:lang w:val="en-GB"/>
        </w:rPr>
      </w:pPr>
      <w:r w:rsidRPr="006B4F86">
        <w:rPr>
          <w:lang w:val="en-GB"/>
        </w:rPr>
        <w:t>Following the solvability criterion of the problem-analysis echelon [TWV24], this problem is only partially addressed in existing literature but appears moderately solvable because ITSM already provides lifecycle-oriented processes, role-based governance and decision structures into which environmental evidence could potentially be integrated. This indicates plausible starting points for subsequent solution development rather than an already validated solution</w:t>
      </w:r>
      <w:r w:rsidR="004B0DBA" w:rsidRPr="006B4F86">
        <w:rPr>
          <w:lang w:val="en-GB"/>
        </w:rPr>
        <w:t>.</w:t>
      </w:r>
      <w:r w:rsidR="00D43699" w:rsidRPr="006B4F86">
        <w:rPr>
          <w:lang w:val="en-GB"/>
        </w:rPr>
        <w:t xml:space="preserve"> However, the reviewed literature does not yet justify the derivation of design requirements or the selection of a specific decision-support artefact.</w:t>
      </w:r>
    </w:p>
    <w:p w14:paraId="0A307C67" w14:textId="4402F7FB" w:rsidR="00AC1742" w:rsidRPr="006B4F86" w:rsidRDefault="002402E0" w:rsidP="0097013A">
      <w:pPr>
        <w:pStyle w:val="berschrift1"/>
        <w:rPr>
          <w:lang w:val="en-GB"/>
        </w:rPr>
      </w:pPr>
      <w:r w:rsidRPr="006B4F86">
        <w:rPr>
          <w:lang w:val="en-GB"/>
        </w:rPr>
        <w:t xml:space="preserve"> </w:t>
      </w:r>
      <w:r w:rsidR="00AC1742" w:rsidRPr="006B4F86">
        <w:rPr>
          <w:lang w:val="en-GB"/>
        </w:rPr>
        <w:t>Discussion</w:t>
      </w:r>
    </w:p>
    <w:p w14:paraId="3AB1F64F" w14:textId="7475BF90" w:rsidR="00BB25F3" w:rsidRPr="006B4F86" w:rsidRDefault="00B74A47" w:rsidP="00BB25F3">
      <w:pPr>
        <w:rPr>
          <w:lang w:val="en-GB"/>
        </w:rPr>
      </w:pPr>
      <w:r w:rsidRPr="006B4F86">
        <w:rPr>
          <w:lang w:val="en-GB"/>
        </w:rPr>
        <w:t xml:space="preserve">The problem analysis suggests that environmentally informed </w:t>
      </w:r>
      <w:proofErr w:type="spellStart"/>
      <w:r w:rsidRPr="006B4F86">
        <w:rPr>
          <w:lang w:val="en-GB"/>
        </w:rPr>
        <w:t>GenAI</w:t>
      </w:r>
      <w:proofErr w:type="spellEnd"/>
      <w:r w:rsidRPr="006B4F86">
        <w:rPr>
          <w:lang w:val="en-GB"/>
        </w:rPr>
        <w:t xml:space="preserve"> decision-making in ITSM is not only an unresolved practical challenge, but also reflects a broader conceptual misalignment in the current literature. Environmental AI research often treats impacts as properties of models, infrastructures or lifecycle phases, whereas ITSM research treats decisions as organisational choices embedded in services, roles and governance structures. The central difficulty is therefore not merely to add environmental criteria to ITSM, but to translate evidence produced at one level of analysis into decisions made at another. </w:t>
      </w:r>
      <w:r w:rsidR="00047927" w:rsidRPr="006B4F86">
        <w:rPr>
          <w:lang w:val="en-GB"/>
        </w:rPr>
        <w:t xml:space="preserve">The relative novelty of organisational </w:t>
      </w:r>
      <w:proofErr w:type="spellStart"/>
      <w:r w:rsidR="00047927" w:rsidRPr="006B4F86">
        <w:rPr>
          <w:lang w:val="en-GB"/>
        </w:rPr>
        <w:t>GenAI</w:t>
      </w:r>
      <w:proofErr w:type="spellEnd"/>
      <w:r w:rsidR="00047927" w:rsidRPr="006B4F86">
        <w:rPr>
          <w:lang w:val="en-GB"/>
        </w:rPr>
        <w:t xml:space="preserve"> adoption may further explain why this translation problem has only partially been addressed so far, as empirical experience with </w:t>
      </w:r>
      <w:proofErr w:type="spellStart"/>
      <w:r w:rsidR="00047927" w:rsidRPr="006B4F86">
        <w:rPr>
          <w:lang w:val="en-GB"/>
        </w:rPr>
        <w:t>GenAI</w:t>
      </w:r>
      <w:proofErr w:type="spellEnd"/>
      <w:r w:rsidR="00047927" w:rsidRPr="006B4F86">
        <w:rPr>
          <w:lang w:val="en-GB"/>
        </w:rPr>
        <w:t xml:space="preserve">-specific ITSM applications is still emerging. However, the review cannot establish this explanation causally and also points to the fragmentation of relevant knowledge. </w:t>
      </w:r>
      <w:r w:rsidRPr="006B4F86">
        <w:rPr>
          <w:lang w:val="en-GB"/>
        </w:rPr>
        <w:t xml:space="preserve">This also </w:t>
      </w:r>
      <w:r w:rsidRPr="006B4F86">
        <w:rPr>
          <w:lang w:val="en-GB"/>
        </w:rPr>
        <w:lastRenderedPageBreak/>
        <w:t>marks the main limitation of the present study. The literature-grounded problem analysis reveals this misalignment and structures its recurring patterns, but it cannot determine how organisations actually prioritise environmental evidence under operational, economic and governance constraints. The apparent solvability of the problem is therefore conditional. ITSM provides promising structures for embedding environmental considerations, but whether these structures can support meaningful decision-making depends on stakeholder responsibilities, data availability</w:t>
      </w:r>
      <w:r w:rsidR="004A273D" w:rsidRPr="006B4F86">
        <w:rPr>
          <w:lang w:val="en-GB"/>
        </w:rPr>
        <w:t xml:space="preserve"> and quality</w:t>
      </w:r>
      <w:r w:rsidRPr="006B4F86">
        <w:rPr>
          <w:lang w:val="en-GB"/>
        </w:rPr>
        <w:t>, organisational maturity and the willingness to treat ecological sustainability as decision-relevant. The next research step is thus not simply to design a tool, but to validate whether the identified problem characteristics correspond to organisational experience and to determine which form of an art</w:t>
      </w:r>
      <w:r w:rsidR="003B0873" w:rsidRPr="006B4F86">
        <w:rPr>
          <w:lang w:val="en-GB"/>
        </w:rPr>
        <w:t>e</w:t>
      </w:r>
      <w:r w:rsidRPr="006B4F86">
        <w:rPr>
          <w:lang w:val="en-GB"/>
        </w:rPr>
        <w:t xml:space="preserve">fact can realistically make environmental evidence actionable in </w:t>
      </w:r>
      <w:proofErr w:type="spellStart"/>
      <w:r w:rsidRPr="006B4F86">
        <w:rPr>
          <w:lang w:val="en-GB"/>
        </w:rPr>
        <w:t>GenAI</w:t>
      </w:r>
      <w:proofErr w:type="spellEnd"/>
      <w:r w:rsidRPr="006B4F86">
        <w:rPr>
          <w:lang w:val="en-GB"/>
        </w:rPr>
        <w:t>-related ITSM decisions</w:t>
      </w:r>
      <w:r w:rsidR="00414204" w:rsidRPr="006B4F86">
        <w:rPr>
          <w:lang w:val="en-GB"/>
        </w:rPr>
        <w:t>.</w:t>
      </w:r>
    </w:p>
    <w:p w14:paraId="05FDA453" w14:textId="1B164C99" w:rsidR="00AC1742" w:rsidRPr="006B4F86" w:rsidRDefault="00AC1742" w:rsidP="00AC1742">
      <w:pPr>
        <w:pStyle w:val="berschrift1"/>
        <w:rPr>
          <w:lang w:val="en-GB"/>
        </w:rPr>
      </w:pPr>
      <w:r w:rsidRPr="006B4F86">
        <w:rPr>
          <w:lang w:val="en-GB"/>
        </w:rPr>
        <w:t>Conclusion</w:t>
      </w:r>
    </w:p>
    <w:p w14:paraId="2CE4172B" w14:textId="435E1C2D" w:rsidR="00020E65" w:rsidRPr="006B4F86" w:rsidRDefault="003D06FE" w:rsidP="00020E65">
      <w:pPr>
        <w:rPr>
          <w:lang w:val="en-GB"/>
        </w:rPr>
      </w:pPr>
      <w:r w:rsidRPr="006B4F86">
        <w:rPr>
          <w:lang w:val="en-GB"/>
        </w:rPr>
        <w:t xml:space="preserve">This paper examined the problem of environmentally informed decision-making regarding </w:t>
      </w:r>
      <w:proofErr w:type="spellStart"/>
      <w:r w:rsidRPr="006B4F86">
        <w:rPr>
          <w:lang w:val="en-GB"/>
        </w:rPr>
        <w:t>GenAI</w:t>
      </w:r>
      <w:proofErr w:type="spellEnd"/>
      <w:r w:rsidRPr="006B4F86">
        <w:rPr>
          <w:lang w:val="en-GB"/>
        </w:rPr>
        <w:t xml:space="preserve"> use in ITSM. Based on a SLR, the results show that the problem is not the absence of </w:t>
      </w:r>
      <w:r w:rsidR="004D7233" w:rsidRPr="006B4F86">
        <w:rPr>
          <w:lang w:val="en-GB"/>
        </w:rPr>
        <w:t xml:space="preserve">a </w:t>
      </w:r>
      <w:r w:rsidRPr="006B4F86">
        <w:rPr>
          <w:lang w:val="en-GB"/>
        </w:rPr>
        <w:t>relevant knowledge</w:t>
      </w:r>
      <w:r w:rsidR="004D7233" w:rsidRPr="006B4F86">
        <w:rPr>
          <w:lang w:val="en-GB"/>
        </w:rPr>
        <w:t xml:space="preserve"> base</w:t>
      </w:r>
      <w:r w:rsidRPr="006B4F86">
        <w:rPr>
          <w:lang w:val="en-GB"/>
        </w:rPr>
        <w:t xml:space="preserve">, but its fragmentation across AI-enabled ITSM, Green IS, Sustainable AI and AI-for-Sustainability research. The analysis identified six interrelated problem characteristics: </w:t>
      </w:r>
      <w:r w:rsidRPr="006B4F86">
        <w:rPr>
          <w:i/>
          <w:lang w:val="en-GB"/>
        </w:rPr>
        <w:t>temporal integration deficits</w:t>
      </w:r>
      <w:r w:rsidRPr="006B4F86">
        <w:rPr>
          <w:lang w:val="en-GB"/>
        </w:rPr>
        <w:t xml:space="preserve">, </w:t>
      </w:r>
      <w:r w:rsidRPr="006B4F86">
        <w:rPr>
          <w:i/>
          <w:lang w:val="en-GB"/>
        </w:rPr>
        <w:t>lifecycle &amp; boundary fragmentation</w:t>
      </w:r>
      <w:r w:rsidRPr="006B4F86">
        <w:rPr>
          <w:lang w:val="en-GB"/>
        </w:rPr>
        <w:t xml:space="preserve">, </w:t>
      </w:r>
      <w:r w:rsidRPr="006B4F86">
        <w:rPr>
          <w:i/>
          <w:lang w:val="en-GB"/>
        </w:rPr>
        <w:t>an environmental-governance disconnect</w:t>
      </w:r>
      <w:r w:rsidRPr="006B4F86">
        <w:rPr>
          <w:lang w:val="en-GB"/>
        </w:rPr>
        <w:t xml:space="preserve">, </w:t>
      </w:r>
      <w:r w:rsidRPr="006B4F86">
        <w:rPr>
          <w:i/>
          <w:lang w:val="en-GB"/>
        </w:rPr>
        <w:t>ambiguity between direct &amp; indirect environmental effects</w:t>
      </w:r>
      <w:r w:rsidRPr="006B4F86">
        <w:rPr>
          <w:lang w:val="en-GB"/>
        </w:rPr>
        <w:t xml:space="preserve">, </w:t>
      </w:r>
      <w:r w:rsidRPr="006B4F86">
        <w:rPr>
          <w:i/>
          <w:lang w:val="en-GB"/>
        </w:rPr>
        <w:t>decision operationalisation deficits</w:t>
      </w:r>
      <w:r w:rsidRPr="006B4F86">
        <w:rPr>
          <w:lang w:val="en-GB"/>
        </w:rPr>
        <w:t xml:space="preserve"> and </w:t>
      </w:r>
      <w:r w:rsidRPr="006B4F86">
        <w:rPr>
          <w:i/>
          <w:lang w:val="en-GB"/>
        </w:rPr>
        <w:t>evidence &amp; capability deficits</w:t>
      </w:r>
      <w:r w:rsidRPr="006B4F86">
        <w:rPr>
          <w:lang w:val="en-GB"/>
        </w:rPr>
        <w:t>. By clarifying the focal construct and formulating a literature-grounded problem statement, the paper contributes a problem-structuring foundation for subsequent DSR, in which the problem statement should be validated with organisational stakeholders before deriving objectives, requirements and an appropriate decision-support artefact</w:t>
      </w:r>
      <w:r w:rsidR="00020E65" w:rsidRPr="006B4F86">
        <w:rPr>
          <w:lang w:val="en-GB"/>
        </w:rPr>
        <w:t>.</w:t>
      </w:r>
    </w:p>
    <w:p w14:paraId="6306E54E" w14:textId="77777777" w:rsidR="00AE3187" w:rsidRPr="006B4F86" w:rsidRDefault="00AE3187" w:rsidP="00AE3187">
      <w:pPr>
        <w:pStyle w:val="berschrift1"/>
        <w:numPr>
          <w:ilvl w:val="0"/>
          <w:numId w:val="0"/>
        </w:numPr>
        <w:rPr>
          <w:rFonts w:cs="Times New Roman"/>
          <w:lang w:val="en-GB"/>
        </w:rPr>
      </w:pPr>
      <w:r w:rsidRPr="006B4F86">
        <w:rPr>
          <w:rFonts w:cs="Times New Roman"/>
          <w:szCs w:val="24"/>
          <w:bdr w:val="nil"/>
          <w:lang w:val="en-GB"/>
        </w:rPr>
        <w:t>Bibliography</w:t>
      </w:r>
    </w:p>
    <w:p w14:paraId="36D7DFF4" w14:textId="70308863" w:rsidR="00EC4B4E" w:rsidRPr="006B4F86" w:rsidRDefault="00EC4B4E" w:rsidP="00AE3187">
      <w:pPr>
        <w:rPr>
          <w:lang w:val="en-GB"/>
        </w:rPr>
      </w:pPr>
      <w:r w:rsidRPr="006B4F86">
        <w:rPr>
          <w:lang w:val="en-GB"/>
        </w:rPr>
        <w:t xml:space="preserve">[AMB17] </w:t>
      </w:r>
      <w:proofErr w:type="spellStart"/>
      <w:r w:rsidRPr="006B4F86">
        <w:rPr>
          <w:lang w:val="en-GB"/>
        </w:rPr>
        <w:t>Abdelkebir</w:t>
      </w:r>
      <w:proofErr w:type="spellEnd"/>
      <w:r w:rsidRPr="006B4F86">
        <w:rPr>
          <w:lang w:val="en-GB"/>
        </w:rPr>
        <w:t xml:space="preserve">, S.; </w:t>
      </w:r>
      <w:proofErr w:type="spellStart"/>
      <w:r w:rsidRPr="006B4F86">
        <w:rPr>
          <w:lang w:val="en-GB"/>
        </w:rPr>
        <w:t>Maleh</w:t>
      </w:r>
      <w:proofErr w:type="spellEnd"/>
      <w:r w:rsidRPr="006B4F86">
        <w:rPr>
          <w:lang w:val="en-GB"/>
        </w:rPr>
        <w:t xml:space="preserve">, Y.; </w:t>
      </w:r>
      <w:proofErr w:type="spellStart"/>
      <w:r w:rsidRPr="006B4F86">
        <w:rPr>
          <w:lang w:val="en-GB"/>
        </w:rPr>
        <w:t>Belaissaoui</w:t>
      </w:r>
      <w:proofErr w:type="spellEnd"/>
      <w:r w:rsidRPr="006B4F86">
        <w:rPr>
          <w:lang w:val="en-GB"/>
        </w:rPr>
        <w:t xml:space="preserve">, M.: An agile framework for ITS management in organizations. A case study based on DevOps. In </w:t>
      </w:r>
      <w:proofErr w:type="spellStart"/>
      <w:r w:rsidRPr="006B4F86">
        <w:rPr>
          <w:lang w:val="en-GB"/>
        </w:rPr>
        <w:t>Zbitou</w:t>
      </w:r>
      <w:proofErr w:type="spellEnd"/>
      <w:r w:rsidRPr="006B4F86">
        <w:rPr>
          <w:lang w:val="en-GB"/>
        </w:rPr>
        <w:t>, J.; Larbi, M.; En-</w:t>
      </w:r>
      <w:proofErr w:type="spellStart"/>
      <w:r w:rsidRPr="006B4F86">
        <w:rPr>
          <w:lang w:val="en-GB"/>
        </w:rPr>
        <w:t>Naimi</w:t>
      </w:r>
      <w:proofErr w:type="spellEnd"/>
      <w:r w:rsidRPr="006B4F86">
        <w:rPr>
          <w:lang w:val="en-GB"/>
        </w:rPr>
        <w:t>, E.</w:t>
      </w:r>
      <w:r w:rsidR="00ED7444" w:rsidRPr="006B4F86">
        <w:rPr>
          <w:lang w:val="en-GB"/>
        </w:rPr>
        <w:t xml:space="preserve">: </w:t>
      </w:r>
      <w:r w:rsidRPr="006B4F86">
        <w:rPr>
          <w:lang w:val="en-GB"/>
        </w:rPr>
        <w:t>ICCWCS ’17</w:t>
      </w:r>
      <w:r w:rsidR="001E56F8" w:rsidRPr="006B4F86">
        <w:rPr>
          <w:lang w:val="en-GB"/>
        </w:rPr>
        <w:t xml:space="preserve"> Proceedings</w:t>
      </w:r>
      <w:r w:rsidRPr="006B4F86">
        <w:rPr>
          <w:lang w:val="en-GB"/>
        </w:rPr>
        <w:t xml:space="preserve">. Association for Computing Machinery, pp. 1-8, 2017. DOI: 10.1145/3167486.3167556 </w:t>
      </w:r>
    </w:p>
    <w:p w14:paraId="12B76850" w14:textId="3027A9F4" w:rsidR="00EC4B4E" w:rsidRPr="006B4F86" w:rsidRDefault="00EC4B4E" w:rsidP="00AE3187">
      <w:pPr>
        <w:rPr>
          <w:lang w:val="en-GB"/>
        </w:rPr>
      </w:pPr>
      <w:r w:rsidRPr="006B4F86">
        <w:rPr>
          <w:lang w:val="en-GB"/>
        </w:rPr>
        <w:t>[Ax21] AXELOS: ITIL 4. Sustainability in Digital and IT.</w:t>
      </w:r>
      <w:r w:rsidR="0077384B" w:rsidRPr="006B4F86">
        <w:rPr>
          <w:lang w:val="en-GB"/>
        </w:rPr>
        <w:t xml:space="preserve"> </w:t>
      </w:r>
      <w:r w:rsidRPr="006B4F86">
        <w:rPr>
          <w:lang w:val="en-GB"/>
        </w:rPr>
        <w:t xml:space="preserve">The Stationery Office, 2021. </w:t>
      </w:r>
    </w:p>
    <w:p w14:paraId="21298248" w14:textId="5369CAD9" w:rsidR="00EC4B4E" w:rsidRPr="006B4F86" w:rsidRDefault="00EC4B4E" w:rsidP="00AE3187">
      <w:pPr>
        <w:rPr>
          <w:lang w:val="en-GB"/>
        </w:rPr>
      </w:pPr>
      <w:r w:rsidRPr="006B4F86">
        <w:rPr>
          <w:lang w:val="en-GB"/>
        </w:rPr>
        <w:t xml:space="preserve">[Be25] </w:t>
      </w:r>
      <w:proofErr w:type="spellStart"/>
      <w:r w:rsidRPr="006B4F86">
        <w:rPr>
          <w:lang w:val="en-GB"/>
        </w:rPr>
        <w:t>Berney</w:t>
      </w:r>
      <w:proofErr w:type="spellEnd"/>
      <w:r w:rsidRPr="006B4F86">
        <w:rPr>
          <w:lang w:val="en-GB"/>
        </w:rPr>
        <w:t>, M.</w:t>
      </w:r>
      <w:r w:rsidR="00077C29" w:rsidRPr="006B4F86">
        <w:rPr>
          <w:lang w:val="en-GB"/>
        </w:rPr>
        <w:t xml:space="preserve"> et al.</w:t>
      </w:r>
      <w:r w:rsidRPr="006B4F86">
        <w:rPr>
          <w:lang w:val="en-GB"/>
        </w:rPr>
        <w:t xml:space="preserve">: Ethics-by-Design Canvas. A visual inquiry tool to reduce ethical blindness in digital innovation projects. In: ICIS 2025 Proceedings, 1, 2025. </w:t>
      </w:r>
    </w:p>
    <w:p w14:paraId="5077C6FE" w14:textId="1B784D71" w:rsidR="00EC4B4E" w:rsidRPr="006B4F86" w:rsidRDefault="00EC4B4E" w:rsidP="00AE3187">
      <w:pPr>
        <w:rPr>
          <w:lang w:val="en-GB"/>
        </w:rPr>
      </w:pPr>
      <w:r w:rsidRPr="006B4F86">
        <w:rPr>
          <w:lang w:val="en-GB"/>
        </w:rPr>
        <w:t xml:space="preserve">[Bl23] </w:t>
      </w:r>
      <w:proofErr w:type="spellStart"/>
      <w:r w:rsidRPr="006B4F86">
        <w:rPr>
          <w:lang w:val="en-GB"/>
        </w:rPr>
        <w:t>Blockeel</w:t>
      </w:r>
      <w:proofErr w:type="spellEnd"/>
      <w:r w:rsidRPr="006B4F86">
        <w:rPr>
          <w:lang w:val="en-GB"/>
        </w:rPr>
        <w:t>, H.</w:t>
      </w:r>
      <w:r w:rsidR="00077C29" w:rsidRPr="006B4F86">
        <w:rPr>
          <w:lang w:val="en-GB"/>
        </w:rPr>
        <w:t xml:space="preserve"> et al.</w:t>
      </w:r>
      <w:r w:rsidRPr="006B4F86">
        <w:rPr>
          <w:lang w:val="en-GB"/>
        </w:rPr>
        <w:t xml:space="preserve">: Decision trees. From efficient prediction to responsible AI. Frontiers in Artificial Intelligence 6, 2023. DOI: 10.3389/frai.2023.1124553 </w:t>
      </w:r>
    </w:p>
    <w:p w14:paraId="1E19D904" w14:textId="7C541C17" w:rsidR="00EC4B4E" w:rsidRPr="006B4F86" w:rsidRDefault="00EC4B4E" w:rsidP="00AE3187">
      <w:pPr>
        <w:rPr>
          <w:lang w:val="en-GB"/>
        </w:rPr>
      </w:pPr>
      <w:r w:rsidRPr="006B4F86">
        <w:rPr>
          <w:lang w:val="en-GB"/>
        </w:rPr>
        <w:t xml:space="preserve">[Bo23] </w:t>
      </w:r>
      <w:proofErr w:type="spellStart"/>
      <w:r w:rsidRPr="006B4F86">
        <w:rPr>
          <w:lang w:val="en-GB"/>
        </w:rPr>
        <w:t>Bosić</w:t>
      </w:r>
      <w:proofErr w:type="spellEnd"/>
      <w:r w:rsidRPr="006B4F86">
        <w:rPr>
          <w:lang w:val="en-GB"/>
        </w:rPr>
        <w:t>, Z.</w:t>
      </w:r>
      <w:r w:rsidR="00077C29" w:rsidRPr="006B4F86">
        <w:rPr>
          <w:lang w:val="en-GB"/>
        </w:rPr>
        <w:t xml:space="preserve"> et al.</w:t>
      </w:r>
      <w:r w:rsidRPr="006B4F86">
        <w:rPr>
          <w:lang w:val="en-GB"/>
        </w:rPr>
        <w:t>: Smart Work Order. In: 2023 46th MIPRO ICT and Electronics Convention (MIPRO), pp. 441-447, 2023. DOI: 10.23919/MIPRO57284.2023.10159836</w:t>
      </w:r>
    </w:p>
    <w:p w14:paraId="40FFDE9A" w14:textId="77777777" w:rsidR="00EC4B4E" w:rsidRPr="006B4F86" w:rsidRDefault="00EC4B4E" w:rsidP="00AE3187">
      <w:pPr>
        <w:rPr>
          <w:lang w:val="en-GB"/>
        </w:rPr>
      </w:pPr>
      <w:r w:rsidRPr="006B4F86">
        <w:rPr>
          <w:lang w:val="en-GB"/>
        </w:rPr>
        <w:lastRenderedPageBreak/>
        <w:t>[CT11] Cater-Steel, A.; Tan, W.-G.: The role of IT service management in green IT. Australasian Journal of Information Systems 17(1), pp. 107-125, 2011. DOI: 10.3127/</w:t>
      </w:r>
      <w:proofErr w:type="gramStart"/>
      <w:r w:rsidRPr="006B4F86">
        <w:rPr>
          <w:lang w:val="en-GB"/>
        </w:rPr>
        <w:t>ajis.v</w:t>
      </w:r>
      <w:proofErr w:type="gramEnd"/>
      <w:r w:rsidRPr="006B4F86">
        <w:rPr>
          <w:lang w:val="en-GB"/>
        </w:rPr>
        <w:t xml:space="preserve">17i1.609 </w:t>
      </w:r>
    </w:p>
    <w:p w14:paraId="330B81CD" w14:textId="77777777" w:rsidR="00EC4B4E" w:rsidRPr="006B4F86" w:rsidRDefault="00EC4B4E" w:rsidP="00AE3187">
      <w:pPr>
        <w:rPr>
          <w:lang w:val="en-GB"/>
        </w:rPr>
      </w:pPr>
      <w:r w:rsidRPr="006B4F86">
        <w:rPr>
          <w:lang w:val="en-GB"/>
        </w:rPr>
        <w:t xml:space="preserve">[DJ24] Di </w:t>
      </w:r>
      <w:proofErr w:type="spellStart"/>
      <w:r w:rsidRPr="006B4F86">
        <w:rPr>
          <w:lang w:val="en-GB"/>
        </w:rPr>
        <w:t>Berardino</w:t>
      </w:r>
      <w:proofErr w:type="spellEnd"/>
      <w:r w:rsidRPr="006B4F86">
        <w:rPr>
          <w:lang w:val="en-GB"/>
        </w:rPr>
        <w:t xml:space="preserve">, D.; Jamshed, K.: Digital transition and sustainability in SMEs. A structured literature review. In: ITAIS 2024 Proceedings, 24, 2024. </w:t>
      </w:r>
    </w:p>
    <w:p w14:paraId="5B7F76BA" w14:textId="22AB7C87" w:rsidR="00EC4B4E" w:rsidRPr="006B4F86" w:rsidRDefault="00EC4B4E" w:rsidP="00AE3187">
      <w:pPr>
        <w:rPr>
          <w:lang w:val="en-GB"/>
        </w:rPr>
      </w:pPr>
      <w:r w:rsidRPr="006B4F86">
        <w:rPr>
          <w:lang w:val="en-GB"/>
        </w:rPr>
        <w:t xml:space="preserve">[Fa24] </w:t>
      </w:r>
      <w:proofErr w:type="spellStart"/>
      <w:r w:rsidRPr="006B4F86">
        <w:rPr>
          <w:lang w:val="en-GB"/>
        </w:rPr>
        <w:t>Fazlurrahman</w:t>
      </w:r>
      <w:proofErr w:type="spellEnd"/>
      <w:r w:rsidRPr="006B4F86">
        <w:rPr>
          <w:lang w:val="en-GB"/>
        </w:rPr>
        <w:t>, H.</w:t>
      </w:r>
      <w:r w:rsidR="00077C29" w:rsidRPr="006B4F86">
        <w:rPr>
          <w:lang w:val="en-GB"/>
        </w:rPr>
        <w:t xml:space="preserve"> et al.</w:t>
      </w:r>
      <w:r w:rsidRPr="006B4F86">
        <w:rPr>
          <w:lang w:val="en-GB"/>
        </w:rPr>
        <w:t>: E-recruitment with AI in GHRM for corporate university sustainability to improve organization performance. Systematic literature review. In: CITSM</w:t>
      </w:r>
      <w:r w:rsidR="002E49F6" w:rsidRPr="006B4F86">
        <w:rPr>
          <w:lang w:val="en-GB"/>
        </w:rPr>
        <w:t xml:space="preserve"> 2024</w:t>
      </w:r>
      <w:r w:rsidR="001E56F8" w:rsidRPr="006B4F86">
        <w:rPr>
          <w:lang w:val="en-GB"/>
        </w:rPr>
        <w:t xml:space="preserve"> Proceedings</w:t>
      </w:r>
      <w:r w:rsidRPr="006B4F86">
        <w:rPr>
          <w:lang w:val="en-GB"/>
        </w:rPr>
        <w:t xml:space="preserve">, pp. 1-5, 2024. DOI: 10.1109/CITSM64103.2024.10775838 </w:t>
      </w:r>
    </w:p>
    <w:p w14:paraId="43FAB4EE" w14:textId="45DF5905" w:rsidR="00EC4B4E" w:rsidRPr="006B4F86" w:rsidRDefault="00EC4B4E" w:rsidP="00AE3187">
      <w:pPr>
        <w:rPr>
          <w:lang w:val="en-GB"/>
        </w:rPr>
      </w:pPr>
      <w:r w:rsidRPr="006B4F86">
        <w:rPr>
          <w:lang w:val="en-GB"/>
        </w:rPr>
        <w:t xml:space="preserve">[Ga21] </w:t>
      </w:r>
      <w:proofErr w:type="spellStart"/>
      <w:r w:rsidRPr="006B4F86">
        <w:rPr>
          <w:lang w:val="en-GB"/>
        </w:rPr>
        <w:t>Gailhofer</w:t>
      </w:r>
      <w:proofErr w:type="spellEnd"/>
      <w:r w:rsidRPr="006B4F86">
        <w:rPr>
          <w:lang w:val="en-GB"/>
        </w:rPr>
        <w:t>, P.</w:t>
      </w:r>
      <w:r w:rsidR="00077C29" w:rsidRPr="006B4F86">
        <w:rPr>
          <w:lang w:val="en-GB"/>
        </w:rPr>
        <w:t xml:space="preserve"> et al.</w:t>
      </w:r>
      <w:r w:rsidRPr="006B4F86">
        <w:rPr>
          <w:lang w:val="en-GB"/>
        </w:rPr>
        <w:t xml:space="preserve">: The role of artificial intelligence in the European Green Deal. European Parliament, 2021. DOI: 10.2861/882830 </w:t>
      </w:r>
    </w:p>
    <w:p w14:paraId="3B5AA88B" w14:textId="77777777" w:rsidR="00EC4B4E" w:rsidRPr="006B4F86" w:rsidRDefault="00EC4B4E" w:rsidP="00AE3187">
      <w:pPr>
        <w:rPr>
          <w:lang w:val="en-GB"/>
        </w:rPr>
      </w:pPr>
      <w:r w:rsidRPr="006B4F86">
        <w:rPr>
          <w:lang w:val="en-GB"/>
        </w:rPr>
        <w:t xml:space="preserve">[GMC24] </w:t>
      </w:r>
      <w:proofErr w:type="spellStart"/>
      <w:r w:rsidRPr="006B4F86">
        <w:rPr>
          <w:lang w:val="en-GB"/>
        </w:rPr>
        <w:t>Grigorev</w:t>
      </w:r>
      <w:proofErr w:type="spellEnd"/>
      <w:r w:rsidRPr="006B4F86">
        <w:rPr>
          <w:lang w:val="en-GB"/>
        </w:rPr>
        <w:t>, A.; Mihaita, A.-S.; Chen, F.: Traffic incident duration prediction. A systematic review of techniques. Journal of Advanced Transportation, Article 3748345, 2024. DOI: 10.1155/</w:t>
      </w:r>
      <w:proofErr w:type="spellStart"/>
      <w:r w:rsidRPr="006B4F86">
        <w:rPr>
          <w:lang w:val="en-GB"/>
        </w:rPr>
        <w:t>atr</w:t>
      </w:r>
      <w:proofErr w:type="spellEnd"/>
      <w:r w:rsidRPr="006B4F86">
        <w:rPr>
          <w:lang w:val="en-GB"/>
        </w:rPr>
        <w:t xml:space="preserve">/3748345 </w:t>
      </w:r>
    </w:p>
    <w:p w14:paraId="2000A1F5" w14:textId="77777777" w:rsidR="00EC4B4E" w:rsidRPr="006B4F86" w:rsidRDefault="00EC4B4E" w:rsidP="00AE3187">
      <w:pPr>
        <w:rPr>
          <w:lang w:val="en-GB"/>
        </w:rPr>
      </w:pPr>
      <w:r w:rsidRPr="006B4F86">
        <w:rPr>
          <w:lang w:val="en-GB"/>
        </w:rPr>
        <w:t xml:space="preserve">[GSF16] Goldberg, M.; </w:t>
      </w:r>
      <w:proofErr w:type="spellStart"/>
      <w:r w:rsidRPr="006B4F86">
        <w:rPr>
          <w:lang w:val="en-GB"/>
        </w:rPr>
        <w:t>Satzger</w:t>
      </w:r>
      <w:proofErr w:type="spellEnd"/>
      <w:r w:rsidRPr="006B4F86">
        <w:rPr>
          <w:lang w:val="en-GB"/>
        </w:rPr>
        <w:t xml:space="preserve">, G.; Fromm, H.: Adapting IT service management for successful multi-sourcing service integration. In: ECIS 2016 Proceedings, 2016. </w:t>
      </w:r>
    </w:p>
    <w:p w14:paraId="5351F617" w14:textId="5EBB1819" w:rsidR="00EC4B4E" w:rsidRPr="006B4F86" w:rsidRDefault="00EC4B4E" w:rsidP="00AE3187">
      <w:pPr>
        <w:rPr>
          <w:lang w:val="en-GB"/>
        </w:rPr>
      </w:pPr>
      <w:r w:rsidRPr="006B4F86">
        <w:rPr>
          <w:lang w:val="en-GB"/>
        </w:rPr>
        <w:t xml:space="preserve">[HA09] Harmon, R.; </w:t>
      </w:r>
      <w:proofErr w:type="spellStart"/>
      <w:r w:rsidRPr="006B4F86">
        <w:rPr>
          <w:lang w:val="en-GB"/>
        </w:rPr>
        <w:t>Auseklis</w:t>
      </w:r>
      <w:proofErr w:type="spellEnd"/>
      <w:r w:rsidRPr="006B4F86">
        <w:rPr>
          <w:lang w:val="en-GB"/>
        </w:rPr>
        <w:t xml:space="preserve">, N.: Sustainable IT services. Assessing the impact of green computing practices. In: </w:t>
      </w:r>
      <w:r w:rsidR="00F5257C" w:rsidRPr="006B4F86">
        <w:rPr>
          <w:lang w:val="en-GB"/>
        </w:rPr>
        <w:t>PICMET 2009 Proceedings</w:t>
      </w:r>
      <w:r w:rsidRPr="006B4F86">
        <w:rPr>
          <w:lang w:val="en-GB"/>
        </w:rPr>
        <w:t>, pp. 1707-1717, 2009. DOI: 10.1109/PICMET.2009.5261969</w:t>
      </w:r>
    </w:p>
    <w:p w14:paraId="0A5AB224" w14:textId="52C136C0" w:rsidR="00EC4B4E" w:rsidRPr="006B4F86" w:rsidRDefault="00EC4B4E" w:rsidP="00AE3187">
      <w:pPr>
        <w:rPr>
          <w:lang w:val="en-GB"/>
        </w:rPr>
      </w:pPr>
      <w:r w:rsidRPr="006B4F86">
        <w:rPr>
          <w:lang w:val="en-GB"/>
        </w:rPr>
        <w:t xml:space="preserve">[He04] </w:t>
      </w:r>
      <w:proofErr w:type="spellStart"/>
      <w:r w:rsidRPr="006B4F86">
        <w:rPr>
          <w:lang w:val="en-GB"/>
        </w:rPr>
        <w:t>Hevner</w:t>
      </w:r>
      <w:proofErr w:type="spellEnd"/>
      <w:r w:rsidRPr="006B4F86">
        <w:rPr>
          <w:lang w:val="en-GB"/>
        </w:rPr>
        <w:t>, A. R.</w:t>
      </w:r>
      <w:r w:rsidR="00077C29" w:rsidRPr="006B4F86">
        <w:rPr>
          <w:lang w:val="en-GB"/>
        </w:rPr>
        <w:t xml:space="preserve"> et al.</w:t>
      </w:r>
      <w:r w:rsidRPr="006B4F86">
        <w:rPr>
          <w:lang w:val="en-GB"/>
        </w:rPr>
        <w:t>: Design science in information systems research. MIS Quarterly 28(1), pp. 75-105, 2004. DOI: 10.2307/25148625</w:t>
      </w:r>
    </w:p>
    <w:p w14:paraId="5470C420" w14:textId="037C9314" w:rsidR="00EC4B4E" w:rsidRPr="006B4F86" w:rsidRDefault="00EC4B4E" w:rsidP="00AE3187">
      <w:pPr>
        <w:rPr>
          <w:lang w:val="en-GB"/>
        </w:rPr>
      </w:pPr>
      <w:r w:rsidRPr="006B4F86">
        <w:rPr>
          <w:lang w:val="en-GB"/>
        </w:rPr>
        <w:t>[He25] Hennig, M. C.: Towards accurate predictions in ITSM. A study on transformer-based predictive process monitoring. In: ICPM 2024 Proceedings. Lecture Notes in Business Information Processing 533, 2025.</w:t>
      </w:r>
    </w:p>
    <w:p w14:paraId="0520F08C" w14:textId="5E694559" w:rsidR="00EC4B4E" w:rsidRPr="006B4F86" w:rsidRDefault="00EC4B4E" w:rsidP="00AE3187">
      <w:pPr>
        <w:rPr>
          <w:lang w:val="en-GB"/>
        </w:rPr>
      </w:pPr>
      <w:r w:rsidRPr="006B4F86">
        <w:rPr>
          <w:lang w:val="en-GB"/>
        </w:rPr>
        <w:t>[Ho24] Hong, Z.</w:t>
      </w:r>
      <w:r w:rsidR="00077C29" w:rsidRPr="006B4F86">
        <w:rPr>
          <w:lang w:val="en-GB"/>
        </w:rPr>
        <w:t xml:space="preserve"> et al.</w:t>
      </w:r>
      <w:r w:rsidRPr="006B4F86">
        <w:rPr>
          <w:lang w:val="en-GB"/>
        </w:rPr>
        <w:t>: A data-driven approach for improving energy efficiency in a semiconductor manufacturing plant. IEEE Transactions on Semiconductor Manufacturing 37(4), pp. 475-480, 2024. DOI: 10.1109/TSM.2024.3483781</w:t>
      </w:r>
    </w:p>
    <w:p w14:paraId="5BB8D412" w14:textId="77777777" w:rsidR="00EC4B4E" w:rsidRPr="006B4F86" w:rsidRDefault="00EC4B4E" w:rsidP="00AE3187">
      <w:pPr>
        <w:rPr>
          <w:lang w:val="en-GB"/>
        </w:rPr>
      </w:pPr>
      <w:r w:rsidRPr="006B4F86">
        <w:rPr>
          <w:lang w:val="en-GB"/>
        </w:rPr>
        <w:t xml:space="preserve">[IE13] </w:t>
      </w:r>
      <w:proofErr w:type="spellStart"/>
      <w:r w:rsidRPr="006B4F86">
        <w:rPr>
          <w:lang w:val="en-GB"/>
        </w:rPr>
        <w:t>Iden</w:t>
      </w:r>
      <w:proofErr w:type="spellEnd"/>
      <w:r w:rsidRPr="006B4F86">
        <w:rPr>
          <w:lang w:val="en-GB"/>
        </w:rPr>
        <w:t xml:space="preserve">, J.; </w:t>
      </w:r>
      <w:proofErr w:type="spellStart"/>
      <w:r w:rsidRPr="006B4F86">
        <w:rPr>
          <w:lang w:val="en-GB"/>
        </w:rPr>
        <w:t>Eikebrokk</w:t>
      </w:r>
      <w:proofErr w:type="spellEnd"/>
      <w:r w:rsidRPr="006B4F86">
        <w:rPr>
          <w:lang w:val="en-GB"/>
        </w:rPr>
        <w:t>, T. R.: Implementing IT service management. A systematic literature review. International Journal of Information Management 33(3), pp. 512-523, 2013. DOI: 10.1016/j.ijinfomgt.2013.01.004</w:t>
      </w:r>
    </w:p>
    <w:p w14:paraId="5CAC8CA1" w14:textId="7A626CCC" w:rsidR="00EC4B4E" w:rsidRPr="006B4F86" w:rsidRDefault="00EC4B4E" w:rsidP="00AE3187">
      <w:pPr>
        <w:rPr>
          <w:lang w:val="en-GB"/>
        </w:rPr>
      </w:pPr>
      <w:r w:rsidRPr="006B4F86">
        <w:rPr>
          <w:lang w:val="en-GB"/>
        </w:rPr>
        <w:t xml:space="preserve">[Ij10] </w:t>
      </w:r>
      <w:proofErr w:type="spellStart"/>
      <w:r w:rsidRPr="006B4F86">
        <w:rPr>
          <w:lang w:val="en-GB"/>
        </w:rPr>
        <w:t>Ijab</w:t>
      </w:r>
      <w:proofErr w:type="spellEnd"/>
      <w:r w:rsidRPr="006B4F86">
        <w:rPr>
          <w:lang w:val="en-GB"/>
        </w:rPr>
        <w:t>, M. T.</w:t>
      </w:r>
      <w:r w:rsidR="00077C29" w:rsidRPr="006B4F86">
        <w:rPr>
          <w:lang w:val="en-GB"/>
        </w:rPr>
        <w:t xml:space="preserve"> et al.: </w:t>
      </w:r>
      <w:r w:rsidRPr="006B4F86">
        <w:rPr>
          <w:lang w:val="en-GB"/>
        </w:rPr>
        <w:t>Seeking the ‘Green’ in ‘Green IS’. A spirit, practice and impact perspective. In: PACIS 2010 Proceedings, 2010.</w:t>
      </w:r>
    </w:p>
    <w:p w14:paraId="1387D781" w14:textId="77777777" w:rsidR="00EC4B4E" w:rsidRPr="006B4F86" w:rsidRDefault="00EC4B4E" w:rsidP="00AE3187">
      <w:pPr>
        <w:rPr>
          <w:lang w:val="en-GB"/>
        </w:rPr>
      </w:pPr>
      <w:r w:rsidRPr="006B4F86">
        <w:rPr>
          <w:lang w:val="en-GB"/>
        </w:rPr>
        <w:t xml:space="preserve">[KB20] </w:t>
      </w:r>
      <w:proofErr w:type="spellStart"/>
      <w:r w:rsidRPr="006B4F86">
        <w:rPr>
          <w:lang w:val="en-GB"/>
        </w:rPr>
        <w:t>Kaparthi</w:t>
      </w:r>
      <w:proofErr w:type="spellEnd"/>
      <w:r w:rsidRPr="006B4F86">
        <w:rPr>
          <w:lang w:val="en-GB"/>
        </w:rPr>
        <w:t xml:space="preserve">, S.; </w:t>
      </w:r>
      <w:proofErr w:type="spellStart"/>
      <w:r w:rsidRPr="006B4F86">
        <w:rPr>
          <w:lang w:val="en-GB"/>
        </w:rPr>
        <w:t>Bumblauskas</w:t>
      </w:r>
      <w:proofErr w:type="spellEnd"/>
      <w:r w:rsidRPr="006B4F86">
        <w:rPr>
          <w:lang w:val="en-GB"/>
        </w:rPr>
        <w:t>, D.: Designing predictive maintenance systems using decision tree-based machine learning techniques. International Journal of Quality &amp; Reliability Management, 2020. DOI: 10.1108/IJQRM-04-2019-0131</w:t>
      </w:r>
    </w:p>
    <w:p w14:paraId="5D632B5B" w14:textId="68525EF7" w:rsidR="00EC4B4E" w:rsidRPr="006B4F86" w:rsidRDefault="00EC4B4E" w:rsidP="00AE3187">
      <w:pPr>
        <w:rPr>
          <w:lang w:val="en-GB"/>
        </w:rPr>
      </w:pPr>
      <w:r w:rsidRPr="006B4F86">
        <w:rPr>
          <w:lang w:val="en-GB"/>
        </w:rPr>
        <w:t xml:space="preserve">[KC07] </w:t>
      </w:r>
      <w:proofErr w:type="spellStart"/>
      <w:r w:rsidRPr="006B4F86">
        <w:rPr>
          <w:lang w:val="en-GB"/>
        </w:rPr>
        <w:t>Kitchenham</w:t>
      </w:r>
      <w:proofErr w:type="spellEnd"/>
      <w:r w:rsidRPr="006B4F86">
        <w:rPr>
          <w:lang w:val="en-GB"/>
        </w:rPr>
        <w:t xml:space="preserve">, B.; Charters, S.: Guidelines for performing systematic literature </w:t>
      </w:r>
      <w:r w:rsidRPr="006B4F86">
        <w:rPr>
          <w:lang w:val="en-GB"/>
        </w:rPr>
        <w:lastRenderedPageBreak/>
        <w:t xml:space="preserve">reviews in software engineering. EBSE Technical Report EBSE-2007-01, 2007. </w:t>
      </w:r>
    </w:p>
    <w:p w14:paraId="40832471" w14:textId="41E6EF82" w:rsidR="00EC4B4E" w:rsidRPr="006B4F86" w:rsidRDefault="00EC4B4E" w:rsidP="00AE3187">
      <w:pPr>
        <w:rPr>
          <w:lang w:val="en-GB"/>
        </w:rPr>
      </w:pPr>
      <w:r w:rsidRPr="006B4F86">
        <w:rPr>
          <w:lang w:val="en-GB"/>
        </w:rPr>
        <w:t xml:space="preserve">[Ko25] </w:t>
      </w:r>
      <w:proofErr w:type="spellStart"/>
      <w:r w:rsidRPr="006B4F86">
        <w:rPr>
          <w:lang w:val="en-GB"/>
        </w:rPr>
        <w:t>Kosasi</w:t>
      </w:r>
      <w:proofErr w:type="spellEnd"/>
      <w:r w:rsidRPr="006B4F86">
        <w:rPr>
          <w:lang w:val="en-GB"/>
        </w:rPr>
        <w:t>, S.</w:t>
      </w:r>
      <w:r w:rsidR="00077C29" w:rsidRPr="006B4F86">
        <w:rPr>
          <w:lang w:val="en-GB"/>
        </w:rPr>
        <w:t xml:space="preserve"> et al.</w:t>
      </w:r>
      <w:r w:rsidRPr="006B4F86">
        <w:rPr>
          <w:lang w:val="en-GB"/>
        </w:rPr>
        <w:t xml:space="preserve">: Measurement of responsible AI and sustainable AI influence on IT service management. In: 2025 13th CITSM Proceedings, pp. 1-6, 2025. DOI: 10.1109/CITSM67730.2025.11291344 </w:t>
      </w:r>
    </w:p>
    <w:p w14:paraId="0219C97D" w14:textId="77777777" w:rsidR="00EC4B4E" w:rsidRPr="006B4F86" w:rsidRDefault="00EC4B4E" w:rsidP="009356D6">
      <w:pPr>
        <w:rPr>
          <w:lang w:val="en-GB"/>
        </w:rPr>
      </w:pPr>
      <w:r w:rsidRPr="006B4F86">
        <w:rPr>
          <w:lang w:val="en-GB"/>
        </w:rPr>
        <w:t xml:space="preserve">[KOS23] </w:t>
      </w:r>
      <w:proofErr w:type="spellStart"/>
      <w:r w:rsidRPr="006B4F86">
        <w:rPr>
          <w:lang w:val="en-GB"/>
        </w:rPr>
        <w:t>Kotlarsky</w:t>
      </w:r>
      <w:proofErr w:type="spellEnd"/>
      <w:r w:rsidRPr="006B4F86">
        <w:rPr>
          <w:lang w:val="en-GB"/>
        </w:rPr>
        <w:t xml:space="preserve">, J.; </w:t>
      </w:r>
      <w:proofErr w:type="spellStart"/>
      <w:r w:rsidRPr="006B4F86">
        <w:rPr>
          <w:lang w:val="en-GB"/>
        </w:rPr>
        <w:t>Oshri</w:t>
      </w:r>
      <w:proofErr w:type="spellEnd"/>
      <w:r w:rsidRPr="006B4F86">
        <w:rPr>
          <w:lang w:val="en-GB"/>
        </w:rPr>
        <w:t xml:space="preserve">, I.; </w:t>
      </w:r>
      <w:proofErr w:type="spellStart"/>
      <w:r w:rsidRPr="006B4F86">
        <w:rPr>
          <w:lang w:val="en-GB"/>
        </w:rPr>
        <w:t>Sekulic</w:t>
      </w:r>
      <w:proofErr w:type="spellEnd"/>
      <w:r w:rsidRPr="006B4F86">
        <w:rPr>
          <w:lang w:val="en-GB"/>
        </w:rPr>
        <w:t>, N.: Digital sustainability in information systems research. Conceptual foundations and future directions. Journal of the Association for Information Systems 24(4), pp. 936-952, 2023. DOI: 10.17705/1jais.00825</w:t>
      </w:r>
    </w:p>
    <w:p w14:paraId="325369FF" w14:textId="1A2A5806" w:rsidR="00EC4B4E" w:rsidRPr="006B4F86" w:rsidRDefault="00EC4B4E" w:rsidP="009356D6">
      <w:pPr>
        <w:rPr>
          <w:lang w:val="en-GB"/>
        </w:rPr>
      </w:pPr>
      <w:r w:rsidRPr="006B4F86">
        <w:rPr>
          <w:lang w:val="en-GB"/>
        </w:rPr>
        <w:t>[Le25] Lee, D.</w:t>
      </w:r>
      <w:r w:rsidR="00077C29" w:rsidRPr="006B4F86">
        <w:rPr>
          <w:lang w:val="en-GB"/>
        </w:rPr>
        <w:t xml:space="preserve"> et al.</w:t>
      </w:r>
      <w:r w:rsidRPr="006B4F86">
        <w:rPr>
          <w:lang w:val="en-GB"/>
        </w:rPr>
        <w:t>: Towards sustainable AI development. Challenges, opportunities, and the sustainable AI development card. In: UK Academy for Information Systems Conference Proceedings 2025, 22, 2025.</w:t>
      </w:r>
    </w:p>
    <w:p w14:paraId="45162E36" w14:textId="77777777" w:rsidR="00EC4B4E" w:rsidRPr="006B4F86" w:rsidRDefault="00EC4B4E" w:rsidP="009356D6">
      <w:pPr>
        <w:rPr>
          <w:lang w:val="en-GB"/>
        </w:rPr>
      </w:pPr>
      <w:r w:rsidRPr="006B4F86">
        <w:rPr>
          <w:lang w:val="en-GB"/>
        </w:rPr>
        <w:t>[LMD21] Li, M.; Molla, A.; Duan, S.: AI affordances perception for the transformation of mobility ecosystems. In: ACIS 2021 Proceedings, 76, 2021.</w:t>
      </w:r>
    </w:p>
    <w:p w14:paraId="7C89F490" w14:textId="29B55AD3" w:rsidR="00EC4B4E" w:rsidRPr="006B4F86" w:rsidRDefault="00EC4B4E" w:rsidP="009356D6">
      <w:pPr>
        <w:rPr>
          <w:lang w:val="en-GB"/>
        </w:rPr>
      </w:pPr>
      <w:r w:rsidRPr="006B4F86">
        <w:rPr>
          <w:lang w:val="en-GB"/>
        </w:rPr>
        <w:t xml:space="preserve">[Ma23] </w:t>
      </w:r>
      <w:proofErr w:type="spellStart"/>
      <w:r w:rsidRPr="006B4F86">
        <w:rPr>
          <w:lang w:val="en-GB"/>
        </w:rPr>
        <w:t>Maccioni</w:t>
      </w:r>
      <w:proofErr w:type="spellEnd"/>
      <w:r w:rsidRPr="006B4F86">
        <w:rPr>
          <w:lang w:val="en-GB"/>
        </w:rPr>
        <w:t>, S.</w:t>
      </w:r>
      <w:r w:rsidR="00077C29" w:rsidRPr="006B4F86">
        <w:rPr>
          <w:lang w:val="en-GB"/>
        </w:rPr>
        <w:t xml:space="preserve"> et al.</w:t>
      </w:r>
      <w:r w:rsidRPr="006B4F86">
        <w:rPr>
          <w:lang w:val="en-GB"/>
        </w:rPr>
        <w:t>: HRM and sustainability at crossroad. A performance perspective from the Italian context. In: ITAIS 2023 Proceedings, 18, 2023.</w:t>
      </w:r>
    </w:p>
    <w:p w14:paraId="44CF80B4" w14:textId="77777777" w:rsidR="00EC4B4E" w:rsidRPr="006B4F86" w:rsidRDefault="00EC4B4E" w:rsidP="009356D6">
      <w:pPr>
        <w:rPr>
          <w:lang w:val="en-GB"/>
        </w:rPr>
      </w:pPr>
      <w:r w:rsidRPr="006B4F86">
        <w:rPr>
          <w:lang w:val="en-GB"/>
        </w:rPr>
        <w:t xml:space="preserve">[MJ24] </w:t>
      </w:r>
      <w:proofErr w:type="spellStart"/>
      <w:r w:rsidRPr="006B4F86">
        <w:rPr>
          <w:lang w:val="en-GB"/>
        </w:rPr>
        <w:t>Marchack</w:t>
      </w:r>
      <w:proofErr w:type="spellEnd"/>
      <w:r w:rsidRPr="006B4F86">
        <w:rPr>
          <w:lang w:val="en-GB"/>
        </w:rPr>
        <w:t xml:space="preserve">, N.; Joseph, E. A.: </w:t>
      </w:r>
      <w:proofErr w:type="spellStart"/>
      <w:r w:rsidRPr="006B4F86">
        <w:rPr>
          <w:lang w:val="en-GB"/>
        </w:rPr>
        <w:t>Centering</w:t>
      </w:r>
      <w:proofErr w:type="spellEnd"/>
      <w:r w:rsidRPr="006B4F86">
        <w:rPr>
          <w:lang w:val="en-GB"/>
        </w:rPr>
        <w:t xml:space="preserve"> sustainability in process development through improved characterization of HFC-PFC byproducts. IEEE Transactions on Semiconductor Manufacturing 37(4), pp. 453-457, 2024. DOI: 10.1109/TSM.2024.3439271</w:t>
      </w:r>
    </w:p>
    <w:p w14:paraId="67894511" w14:textId="115008BD" w:rsidR="00EC4B4E" w:rsidRPr="006B4F86" w:rsidRDefault="00EC4B4E" w:rsidP="009356D6">
      <w:pPr>
        <w:rPr>
          <w:lang w:val="en-GB"/>
        </w:rPr>
      </w:pPr>
      <w:r w:rsidRPr="006B4F86">
        <w:rPr>
          <w:lang w:val="en-GB"/>
        </w:rPr>
        <w:t xml:space="preserve">[Mo25] </w:t>
      </w:r>
      <w:proofErr w:type="spellStart"/>
      <w:r w:rsidRPr="006B4F86">
        <w:rPr>
          <w:lang w:val="en-GB"/>
        </w:rPr>
        <w:t>Mokashi</w:t>
      </w:r>
      <w:proofErr w:type="spellEnd"/>
      <w:r w:rsidRPr="006B4F86">
        <w:rPr>
          <w:lang w:val="en-GB"/>
        </w:rPr>
        <w:t>, D.</w:t>
      </w:r>
      <w:r w:rsidR="00077C29" w:rsidRPr="006B4F86">
        <w:rPr>
          <w:lang w:val="en-GB"/>
        </w:rPr>
        <w:t xml:space="preserve"> et al.</w:t>
      </w:r>
      <w:r w:rsidRPr="006B4F86">
        <w:rPr>
          <w:lang w:val="en-GB"/>
        </w:rPr>
        <w:t>: Lifecycle vulnerability in urban water infrastructure for predictive maintenance planning. Waterlines 43(1), pp. 24-33, 2025. DOI: 10.3362/</w:t>
      </w:r>
      <w:proofErr w:type="gramStart"/>
      <w:r w:rsidRPr="006B4F86">
        <w:rPr>
          <w:lang w:val="en-GB"/>
        </w:rPr>
        <w:t>waterlines.v</w:t>
      </w:r>
      <w:proofErr w:type="gramEnd"/>
      <w:r w:rsidRPr="006B4F86">
        <w:rPr>
          <w:lang w:val="en-GB"/>
        </w:rPr>
        <w:t>43i1.35</w:t>
      </w:r>
    </w:p>
    <w:p w14:paraId="182B888D" w14:textId="77777777" w:rsidR="00EC4B4E" w:rsidRPr="006B4F86" w:rsidRDefault="00EC4B4E" w:rsidP="009356D6">
      <w:pPr>
        <w:rPr>
          <w:lang w:val="en-GB"/>
        </w:rPr>
      </w:pPr>
      <w:r w:rsidRPr="006B4F86">
        <w:rPr>
          <w:lang w:val="en-GB"/>
        </w:rPr>
        <w:t xml:space="preserve">[MT23] MacLean, D.; </w:t>
      </w:r>
      <w:proofErr w:type="spellStart"/>
      <w:r w:rsidRPr="006B4F86">
        <w:rPr>
          <w:lang w:val="en-GB"/>
        </w:rPr>
        <w:t>Titah</w:t>
      </w:r>
      <w:proofErr w:type="spellEnd"/>
      <w:r w:rsidRPr="006B4F86">
        <w:rPr>
          <w:lang w:val="en-GB"/>
        </w:rPr>
        <w:t>, R.: Implementation and impacts of IT service management in the IT function. International Journal of Information Management 70, Article 102628, 2023. DOI: 10.1016/j.ijinfomgt.2023.102628</w:t>
      </w:r>
    </w:p>
    <w:p w14:paraId="592247DD" w14:textId="4B76457E" w:rsidR="00EC4B4E" w:rsidRPr="006B4F86" w:rsidRDefault="00EC4B4E" w:rsidP="009356D6">
      <w:pPr>
        <w:rPr>
          <w:lang w:val="en-GB"/>
        </w:rPr>
      </w:pPr>
      <w:r w:rsidRPr="006B4F86">
        <w:rPr>
          <w:lang w:val="en-GB"/>
        </w:rPr>
        <w:t xml:space="preserve">[Or14] </w:t>
      </w:r>
      <w:proofErr w:type="spellStart"/>
      <w:r w:rsidRPr="006B4F86">
        <w:rPr>
          <w:lang w:val="en-GB"/>
        </w:rPr>
        <w:t>Orta</w:t>
      </w:r>
      <w:proofErr w:type="spellEnd"/>
      <w:r w:rsidRPr="006B4F86">
        <w:rPr>
          <w:lang w:val="en-GB"/>
        </w:rPr>
        <w:t>, E.</w:t>
      </w:r>
      <w:r w:rsidR="00077C29" w:rsidRPr="006B4F86">
        <w:rPr>
          <w:lang w:val="en-GB"/>
        </w:rPr>
        <w:t xml:space="preserve"> et al.</w:t>
      </w:r>
      <w:r w:rsidRPr="006B4F86">
        <w:rPr>
          <w:lang w:val="en-GB"/>
        </w:rPr>
        <w:t xml:space="preserve">: Decision-making in IT service management. A </w:t>
      </w:r>
      <w:proofErr w:type="gramStart"/>
      <w:r w:rsidRPr="006B4F86">
        <w:rPr>
          <w:lang w:val="en-GB"/>
        </w:rPr>
        <w:t>simulation based</w:t>
      </w:r>
      <w:proofErr w:type="gramEnd"/>
      <w:r w:rsidRPr="006B4F86">
        <w:rPr>
          <w:lang w:val="en-GB"/>
        </w:rPr>
        <w:t xml:space="preserve"> approach. Decision Support Systems 66, pp. 36-51, 2014. DOI: 10.1016/j.dss.2014.06.002</w:t>
      </w:r>
    </w:p>
    <w:p w14:paraId="132BBD6F" w14:textId="07F8A268" w:rsidR="00EC4B4E" w:rsidRPr="006B4F86" w:rsidRDefault="00EC4B4E" w:rsidP="00AE3187">
      <w:pPr>
        <w:rPr>
          <w:lang w:val="en-GB"/>
        </w:rPr>
      </w:pPr>
      <w:r w:rsidRPr="006B4F86">
        <w:rPr>
          <w:lang w:val="en-GB"/>
        </w:rPr>
        <w:t xml:space="preserve">[Os24] </w:t>
      </w:r>
      <w:proofErr w:type="spellStart"/>
      <w:r w:rsidRPr="006B4F86">
        <w:rPr>
          <w:lang w:val="en-GB"/>
        </w:rPr>
        <w:t>Osowiecki</w:t>
      </w:r>
      <w:proofErr w:type="spellEnd"/>
      <w:r w:rsidRPr="006B4F86">
        <w:rPr>
          <w:lang w:val="en-GB"/>
        </w:rPr>
        <w:t>, W. T.</w:t>
      </w:r>
      <w:r w:rsidR="00077C29" w:rsidRPr="006B4F86">
        <w:rPr>
          <w:lang w:val="en-GB"/>
        </w:rPr>
        <w:t xml:space="preserve"> et al.</w:t>
      </w:r>
      <w:r w:rsidRPr="006B4F86">
        <w:rPr>
          <w:lang w:val="en-GB"/>
        </w:rPr>
        <w:t>: Achieving sustainability in the semiconductor industry. The impact of simulation and AI. IEEE Transactions on Semiconductor Manufacturing 37(4), pp. 464-474, 2024. DOI: 10.1109/TSM.2024.3438622</w:t>
      </w:r>
    </w:p>
    <w:p w14:paraId="2A37F14F" w14:textId="28C92FCA" w:rsidR="00EC4B4E" w:rsidRPr="006B4F86" w:rsidRDefault="00EC4B4E" w:rsidP="009356D6">
      <w:pPr>
        <w:rPr>
          <w:lang w:val="en-GB"/>
        </w:rPr>
      </w:pPr>
      <w:r w:rsidRPr="006B4F86">
        <w:rPr>
          <w:lang w:val="en-GB"/>
        </w:rPr>
        <w:t>[Pa21] Page, M. J.</w:t>
      </w:r>
      <w:r w:rsidR="00077C29" w:rsidRPr="006B4F86">
        <w:rPr>
          <w:lang w:val="en-GB"/>
        </w:rPr>
        <w:t xml:space="preserve"> et al.</w:t>
      </w:r>
      <w:r w:rsidRPr="006B4F86">
        <w:rPr>
          <w:lang w:val="en-GB"/>
        </w:rPr>
        <w:t>: The PRISMA 2020 statement. An updated guideline for reporting systematic reviews. BMJ 372, Article n71, 2021. DOI: 10.1136/</w:t>
      </w:r>
      <w:proofErr w:type="gramStart"/>
      <w:r w:rsidRPr="006B4F86">
        <w:rPr>
          <w:lang w:val="en-GB"/>
        </w:rPr>
        <w:t>bmj.n</w:t>
      </w:r>
      <w:proofErr w:type="gramEnd"/>
      <w:r w:rsidRPr="006B4F86">
        <w:rPr>
          <w:lang w:val="en-GB"/>
        </w:rPr>
        <w:t>71</w:t>
      </w:r>
    </w:p>
    <w:p w14:paraId="3F313BD1" w14:textId="6AB9E67E" w:rsidR="00EC4B4E" w:rsidRPr="006B4F86" w:rsidRDefault="00EC4B4E" w:rsidP="009356D6">
      <w:pPr>
        <w:rPr>
          <w:lang w:val="en-GB"/>
        </w:rPr>
      </w:pPr>
      <w:r w:rsidRPr="006B4F86">
        <w:rPr>
          <w:lang w:val="en-GB"/>
        </w:rPr>
        <w:t xml:space="preserve">[Pe07] </w:t>
      </w:r>
      <w:proofErr w:type="spellStart"/>
      <w:r w:rsidRPr="006B4F86">
        <w:rPr>
          <w:lang w:val="en-GB"/>
        </w:rPr>
        <w:t>Peffers</w:t>
      </w:r>
      <w:proofErr w:type="spellEnd"/>
      <w:r w:rsidRPr="006B4F86">
        <w:rPr>
          <w:lang w:val="en-GB"/>
        </w:rPr>
        <w:t>, K.</w:t>
      </w:r>
      <w:r w:rsidR="00077C29" w:rsidRPr="006B4F86">
        <w:rPr>
          <w:lang w:val="en-GB"/>
        </w:rPr>
        <w:t xml:space="preserve"> et al.</w:t>
      </w:r>
      <w:r w:rsidRPr="006B4F86">
        <w:rPr>
          <w:lang w:val="en-GB"/>
        </w:rPr>
        <w:t>: A design science research methodology for information systems research. Journal of Management Information Systems 24(3), pp. 45-77, 2007.</w:t>
      </w:r>
    </w:p>
    <w:p w14:paraId="6F1A0AA1" w14:textId="72C4D8FD" w:rsidR="00EC4B4E" w:rsidRPr="006B4F86" w:rsidRDefault="00EC4B4E" w:rsidP="009356D6">
      <w:r w:rsidRPr="006B4F86">
        <w:rPr>
          <w:lang w:val="en-GB"/>
        </w:rPr>
        <w:t>[Ra26] Raina, K.</w:t>
      </w:r>
      <w:r w:rsidR="00077C29" w:rsidRPr="006B4F86">
        <w:rPr>
          <w:lang w:val="en-GB"/>
        </w:rPr>
        <w:t xml:space="preserve"> et al.</w:t>
      </w:r>
      <w:r w:rsidRPr="006B4F86">
        <w:rPr>
          <w:lang w:val="en-GB"/>
        </w:rPr>
        <w:t xml:space="preserve">: Artificial intelligence-driven management. Bridging innovation, knowledge creation, and sustainable business practices. Journal of Innovation &amp; </w:t>
      </w:r>
      <w:r w:rsidRPr="006B4F86">
        <w:rPr>
          <w:lang w:val="en-GB"/>
        </w:rPr>
        <w:lastRenderedPageBreak/>
        <w:t xml:space="preserve">Knowledge 11, Article 100860, 2026. </w:t>
      </w:r>
      <w:r w:rsidRPr="006B4F86">
        <w:t>DOI: 10.1016/j.jik.2025.100860</w:t>
      </w:r>
    </w:p>
    <w:p w14:paraId="5516B8E0" w14:textId="696B3302" w:rsidR="00EC4B4E" w:rsidRPr="006B4F86" w:rsidRDefault="00EC4B4E" w:rsidP="009356D6">
      <w:pPr>
        <w:rPr>
          <w:lang w:val="en-GB"/>
        </w:rPr>
      </w:pPr>
      <w:r w:rsidRPr="006B4F86">
        <w:t xml:space="preserve">[RG25] Rojahn, M.; Grum, M.: Green AI. </w:t>
      </w:r>
      <w:r w:rsidRPr="006B4F86">
        <w:rPr>
          <w:lang w:val="en-GB"/>
        </w:rPr>
        <w:t>A systematic review and meta-analysis of its definitions, lifecycle models, hardware and measurement attempts. 2025.</w:t>
      </w:r>
    </w:p>
    <w:p w14:paraId="63BF4E74" w14:textId="52660744" w:rsidR="00EC4B4E" w:rsidRPr="006B4F86" w:rsidRDefault="00EC4B4E" w:rsidP="009356D6">
      <w:pPr>
        <w:rPr>
          <w:lang w:val="en-GB"/>
        </w:rPr>
      </w:pPr>
      <w:r w:rsidRPr="006B4F86">
        <w:rPr>
          <w:lang w:val="en-GB"/>
        </w:rPr>
        <w:t>[Ro24] Rowan, W.</w:t>
      </w:r>
      <w:r w:rsidR="00077C29" w:rsidRPr="006B4F86">
        <w:rPr>
          <w:lang w:val="en-GB"/>
        </w:rPr>
        <w:t xml:space="preserve"> et al.</w:t>
      </w:r>
      <w:r w:rsidRPr="006B4F86">
        <w:rPr>
          <w:lang w:val="en-GB"/>
        </w:rPr>
        <w:t>: Teaching tip. Embedding sustainability in information systems design education. Journal of Information Systems Education 35(2), pp. 122-137, 2024. DOI: 10.62273/HBHX1382</w:t>
      </w:r>
    </w:p>
    <w:p w14:paraId="3D319341" w14:textId="09719BAE" w:rsidR="00EC4B4E" w:rsidRPr="006B4F86" w:rsidRDefault="00EC4B4E" w:rsidP="009356D6">
      <w:pPr>
        <w:rPr>
          <w:lang w:val="en-GB"/>
        </w:rPr>
      </w:pPr>
      <w:r w:rsidRPr="006B4F86">
        <w:rPr>
          <w:lang w:val="en-GB"/>
        </w:rPr>
        <w:t xml:space="preserve">[Sc23] </w:t>
      </w:r>
      <w:proofErr w:type="spellStart"/>
      <w:r w:rsidRPr="006B4F86">
        <w:rPr>
          <w:lang w:val="en-GB"/>
        </w:rPr>
        <w:t>Schoormann</w:t>
      </w:r>
      <w:proofErr w:type="spellEnd"/>
      <w:r w:rsidRPr="006B4F86">
        <w:rPr>
          <w:lang w:val="en-GB"/>
        </w:rPr>
        <w:t>, T.</w:t>
      </w:r>
      <w:r w:rsidR="00077C29" w:rsidRPr="006B4F86">
        <w:rPr>
          <w:lang w:val="en-GB"/>
        </w:rPr>
        <w:t xml:space="preserve"> et al.</w:t>
      </w:r>
      <w:r w:rsidRPr="006B4F86">
        <w:rPr>
          <w:lang w:val="en-GB"/>
        </w:rPr>
        <w:t xml:space="preserve">: Artificial intelligence for sustainability. A systematic review of information systems literature. </w:t>
      </w:r>
      <w:r w:rsidR="00870C45" w:rsidRPr="006B4F86">
        <w:rPr>
          <w:lang w:val="en-GB"/>
        </w:rPr>
        <w:t>CAIS</w:t>
      </w:r>
      <w:r w:rsidRPr="006B4F86">
        <w:rPr>
          <w:lang w:val="en-GB"/>
        </w:rPr>
        <w:t xml:space="preserve"> 52, 2023. DOI: 10.17705/1CAIS.05209</w:t>
      </w:r>
    </w:p>
    <w:p w14:paraId="1E788217" w14:textId="3B9B1963" w:rsidR="00EC4B4E" w:rsidRPr="006B4F86" w:rsidRDefault="00EC4B4E" w:rsidP="009356D6">
      <w:r w:rsidRPr="006B4F86">
        <w:rPr>
          <w:lang w:val="en-GB"/>
        </w:rPr>
        <w:t xml:space="preserve">[Si25] </w:t>
      </w:r>
      <w:proofErr w:type="spellStart"/>
      <w:r w:rsidRPr="006B4F86">
        <w:rPr>
          <w:lang w:val="en-GB"/>
        </w:rPr>
        <w:t>Sivakumer</w:t>
      </w:r>
      <w:proofErr w:type="spellEnd"/>
      <w:r w:rsidRPr="006B4F86">
        <w:rPr>
          <w:lang w:val="en-GB"/>
        </w:rPr>
        <w:t>, D.</w:t>
      </w:r>
      <w:r w:rsidR="00077C29" w:rsidRPr="006B4F86">
        <w:rPr>
          <w:lang w:val="en-GB"/>
        </w:rPr>
        <w:t xml:space="preserve"> et al.</w:t>
      </w:r>
      <w:r w:rsidRPr="006B4F86">
        <w:rPr>
          <w:lang w:val="en-GB"/>
        </w:rPr>
        <w:t xml:space="preserve">: Intelligent automation and predictive ITSM for service optimisation. </w:t>
      </w:r>
      <w:r w:rsidRPr="006B4F86">
        <w:t>In: 2025 ICSIT Proceedings, pp. 1-7, 2025. DOI: 10.1109/ICSIT65336.2025.11294337</w:t>
      </w:r>
    </w:p>
    <w:p w14:paraId="102380F4" w14:textId="77777777" w:rsidR="00EC4B4E" w:rsidRPr="006B4F86" w:rsidRDefault="00EC4B4E" w:rsidP="009356D6">
      <w:pPr>
        <w:rPr>
          <w:lang w:val="en-GB"/>
        </w:rPr>
      </w:pPr>
      <w:r w:rsidRPr="006B4F86">
        <w:t xml:space="preserve">[SR13] Schneider, J.; Reiter, M.: Green IT-Service-Management. Eine empirische Voruntersuchung der konzeptionellen Grundlagen. </w:t>
      </w:r>
      <w:r w:rsidRPr="006B4F86">
        <w:rPr>
          <w:lang w:val="en-GB"/>
        </w:rPr>
        <w:t xml:space="preserve">In: </w:t>
      </w:r>
      <w:proofErr w:type="spellStart"/>
      <w:r w:rsidRPr="006B4F86">
        <w:rPr>
          <w:lang w:val="en-GB"/>
        </w:rPr>
        <w:t>Wirtschaftsinformatik</w:t>
      </w:r>
      <w:proofErr w:type="spellEnd"/>
      <w:r w:rsidRPr="006B4F86">
        <w:rPr>
          <w:lang w:val="en-GB"/>
        </w:rPr>
        <w:t xml:space="preserve"> 2013 Proceedings, 110, 2013.</w:t>
      </w:r>
    </w:p>
    <w:p w14:paraId="3D16C6E4" w14:textId="77777777" w:rsidR="00EC4B4E" w:rsidRPr="006B4F86" w:rsidRDefault="00EC4B4E" w:rsidP="009356D6">
      <w:pPr>
        <w:rPr>
          <w:lang w:val="en-GB"/>
        </w:rPr>
      </w:pPr>
      <w:r w:rsidRPr="006B4F86">
        <w:rPr>
          <w:lang w:val="en-GB"/>
        </w:rPr>
        <w:t>[Su10] Suddaby, R.: Editor’s comments. Construct clarity in theories of management and organization. Academy of Management Review 35(3), pp. 346-357, 2010.</w:t>
      </w:r>
    </w:p>
    <w:p w14:paraId="4A0739AD" w14:textId="2C63F1B7" w:rsidR="00FB4257" w:rsidRPr="006B4F86" w:rsidRDefault="00FB4257" w:rsidP="009356D6">
      <w:pPr>
        <w:rPr>
          <w:lang w:val="en-GB"/>
        </w:rPr>
      </w:pPr>
      <w:r w:rsidRPr="006B4F86">
        <w:rPr>
          <w:lang w:val="en-GB"/>
        </w:rPr>
        <w:t>[TW</w:t>
      </w:r>
      <w:r w:rsidR="00077C29" w:rsidRPr="006B4F86">
        <w:rPr>
          <w:lang w:val="en-GB"/>
        </w:rPr>
        <w:t>V</w:t>
      </w:r>
      <w:r w:rsidRPr="006B4F86">
        <w:rPr>
          <w:lang w:val="en-GB"/>
        </w:rPr>
        <w:t xml:space="preserve">24] </w:t>
      </w:r>
      <w:proofErr w:type="spellStart"/>
      <w:r w:rsidRPr="006B4F86">
        <w:rPr>
          <w:lang w:val="en-GB"/>
        </w:rPr>
        <w:t>Tuunanen</w:t>
      </w:r>
      <w:proofErr w:type="spellEnd"/>
      <w:r w:rsidRPr="006B4F86">
        <w:rPr>
          <w:lang w:val="en-GB"/>
        </w:rPr>
        <w:t xml:space="preserve">, T.; Winter, R.; </w:t>
      </w:r>
      <w:proofErr w:type="spellStart"/>
      <w:r w:rsidRPr="006B4F86">
        <w:rPr>
          <w:lang w:val="en-GB"/>
        </w:rPr>
        <w:t>vom</w:t>
      </w:r>
      <w:proofErr w:type="spellEnd"/>
      <w:r w:rsidRPr="006B4F86">
        <w:rPr>
          <w:lang w:val="en-GB"/>
        </w:rPr>
        <w:t xml:space="preserve"> </w:t>
      </w:r>
      <w:proofErr w:type="spellStart"/>
      <w:r w:rsidRPr="006B4F86">
        <w:rPr>
          <w:lang w:val="en-GB"/>
        </w:rPr>
        <w:t>Brocke</w:t>
      </w:r>
      <w:proofErr w:type="spellEnd"/>
      <w:r w:rsidRPr="006B4F86">
        <w:rPr>
          <w:lang w:val="en-GB"/>
        </w:rPr>
        <w:t>, J.: Dealing with complexity in design science research. A methodology using design echelons. MIS Quarterly 48(2), pp. 427-458, 2024.</w:t>
      </w:r>
    </w:p>
    <w:p w14:paraId="123C6BCE" w14:textId="77777777" w:rsidR="00FB4257" w:rsidRPr="006B4F86" w:rsidRDefault="00FB4257" w:rsidP="009356D6">
      <w:pPr>
        <w:rPr>
          <w:lang w:val="en-GB"/>
        </w:rPr>
      </w:pPr>
      <w:r w:rsidRPr="006B4F86">
        <w:rPr>
          <w:lang w:val="en-GB"/>
        </w:rPr>
        <w:t>[UN15] United Nations: Transforming our world. The 2030 agenda for sustainable development. United Nations, New York, 2015.</w:t>
      </w:r>
    </w:p>
    <w:p w14:paraId="33007C07" w14:textId="5899CB9A" w:rsidR="00FB4257" w:rsidRPr="006B4F86" w:rsidRDefault="00FB4257" w:rsidP="009356D6">
      <w:pPr>
        <w:rPr>
          <w:lang w:val="en-GB"/>
        </w:rPr>
      </w:pPr>
      <w:r w:rsidRPr="006B4F86">
        <w:rPr>
          <w:lang w:val="en-GB"/>
        </w:rPr>
        <w:t>[Vi23] Vijayakumar, H.: Unlocking business value with AI-driven end user experience management (EUEM). In: MSIE ’23 Proceedings. Association for Computing Machinery, New York, pp. 129-135, 2023. DOI: 10.1145/3603955.3604004</w:t>
      </w:r>
    </w:p>
    <w:p w14:paraId="34A2E93E" w14:textId="604FBDCD" w:rsidR="00FB4257" w:rsidRPr="006B4F86" w:rsidRDefault="00FB4257" w:rsidP="009356D6">
      <w:pPr>
        <w:rPr>
          <w:lang w:val="en-GB"/>
        </w:rPr>
      </w:pPr>
      <w:r w:rsidRPr="006B4F86">
        <w:rPr>
          <w:lang w:val="en-GB"/>
        </w:rPr>
        <w:t xml:space="preserve">[VSM23] Vijayakumar, H.; Seetharaman, A.; </w:t>
      </w:r>
      <w:proofErr w:type="spellStart"/>
      <w:r w:rsidRPr="006B4F86">
        <w:rPr>
          <w:lang w:val="en-GB"/>
        </w:rPr>
        <w:t>Maddulety</w:t>
      </w:r>
      <w:proofErr w:type="spellEnd"/>
      <w:r w:rsidRPr="006B4F86">
        <w:rPr>
          <w:lang w:val="en-GB"/>
        </w:rPr>
        <w:t xml:space="preserve">, K.: Impact of </w:t>
      </w:r>
      <w:proofErr w:type="spellStart"/>
      <w:r w:rsidRPr="006B4F86">
        <w:rPr>
          <w:lang w:val="en-GB"/>
        </w:rPr>
        <w:t>AIServiceOps</w:t>
      </w:r>
      <w:proofErr w:type="spellEnd"/>
      <w:r w:rsidRPr="006B4F86">
        <w:rPr>
          <w:lang w:val="en-GB"/>
        </w:rPr>
        <w:t xml:space="preserve"> on organizational resilience. In: 2023 15th ICCAE Proceedings, pp. 314-319, 2023. DOI: 10.1109/ICCAE56788.2023.10111409</w:t>
      </w:r>
    </w:p>
    <w:p w14:paraId="2A46BF29" w14:textId="32870F1C" w:rsidR="00FB4257" w:rsidRPr="006B4F86" w:rsidRDefault="00FB4257" w:rsidP="009356D6">
      <w:pPr>
        <w:rPr>
          <w:lang w:val="en-GB"/>
        </w:rPr>
      </w:pPr>
      <w:r w:rsidRPr="006B4F86">
        <w:rPr>
          <w:lang w:val="en-GB"/>
        </w:rPr>
        <w:t>[WEF24] World Economic Forum: Unlocking value from generative AI. Guidance for responsible transformation. AI Governance Alliance Briefing Paper Series</w:t>
      </w:r>
      <w:r w:rsidR="00700358" w:rsidRPr="006B4F86">
        <w:rPr>
          <w:lang w:val="en-GB"/>
        </w:rPr>
        <w:t>,</w:t>
      </w:r>
      <w:r w:rsidRPr="006B4F86">
        <w:rPr>
          <w:lang w:val="en-GB"/>
        </w:rPr>
        <w:t xml:space="preserve"> 2024.</w:t>
      </w:r>
    </w:p>
    <w:p w14:paraId="77204EC6" w14:textId="73556B5E" w:rsidR="00FB4257" w:rsidRPr="006B4F86" w:rsidRDefault="00FB4257" w:rsidP="009356D6">
      <w:pPr>
        <w:rPr>
          <w:lang w:val="en-GB"/>
        </w:rPr>
      </w:pPr>
      <w:r w:rsidRPr="006B4F86">
        <w:rPr>
          <w:lang w:val="en-GB"/>
        </w:rPr>
        <w:t xml:space="preserve">[Yu21] </w:t>
      </w:r>
      <w:proofErr w:type="spellStart"/>
      <w:r w:rsidRPr="006B4F86">
        <w:rPr>
          <w:lang w:val="en-GB"/>
        </w:rPr>
        <w:t>Yuniarto</w:t>
      </w:r>
      <w:proofErr w:type="spellEnd"/>
      <w:r w:rsidRPr="006B4F86">
        <w:rPr>
          <w:lang w:val="en-GB"/>
        </w:rPr>
        <w:t>, D.</w:t>
      </w:r>
      <w:r w:rsidR="00077C29" w:rsidRPr="006B4F86">
        <w:rPr>
          <w:lang w:val="en-GB"/>
        </w:rPr>
        <w:t xml:space="preserve"> et al.</w:t>
      </w:r>
      <w:r w:rsidRPr="006B4F86">
        <w:rPr>
          <w:lang w:val="en-GB"/>
        </w:rPr>
        <w:t>: An alternative model to measure smart space implementing success. In: 2021 9th CITSM Proceedings, pp. 1-6, 2021. DOI: 10.1109/CITSM52892.2021.9588920</w:t>
      </w:r>
    </w:p>
    <w:p w14:paraId="2D7AFBB1" w14:textId="369A7D6B" w:rsidR="00FB4257" w:rsidRPr="006519C8" w:rsidRDefault="00FB4257" w:rsidP="009356D6">
      <w:pPr>
        <w:rPr>
          <w:lang w:val="en-GB"/>
        </w:rPr>
      </w:pPr>
      <w:r w:rsidRPr="006B4F86">
        <w:rPr>
          <w:lang w:val="en-GB"/>
        </w:rPr>
        <w:t xml:space="preserve">[ZT25] </w:t>
      </w:r>
      <w:proofErr w:type="spellStart"/>
      <w:r w:rsidRPr="006B4F86">
        <w:rPr>
          <w:lang w:val="en-GB"/>
        </w:rPr>
        <w:t>Zulkifli</w:t>
      </w:r>
      <w:proofErr w:type="spellEnd"/>
      <w:r w:rsidRPr="006B4F86">
        <w:rPr>
          <w:lang w:val="en-GB"/>
        </w:rPr>
        <w:t xml:space="preserve">, D. U.; </w:t>
      </w:r>
      <w:proofErr w:type="spellStart"/>
      <w:r w:rsidRPr="006B4F86">
        <w:rPr>
          <w:lang w:val="en-GB"/>
        </w:rPr>
        <w:t>Tungkagi</w:t>
      </w:r>
      <w:proofErr w:type="spellEnd"/>
      <w:r w:rsidRPr="006B4F86">
        <w:rPr>
          <w:lang w:val="en-GB"/>
        </w:rPr>
        <w:t>, D. Q.: Artificial intelligence and Islamic ethical guidelines. A systematic review. In: 2025 13th CITSM Proceedings, pp. 1-9, 2025. DOI: 10.1109/CITSM67730.2025.11291209</w:t>
      </w:r>
    </w:p>
    <w:sectPr w:rsidR="00FB4257" w:rsidRPr="006519C8" w:rsidSect="0069761D">
      <w:headerReference w:type="even" r:id="rId10"/>
      <w:headerReference w:type="default" r:id="rId11"/>
      <w:footerReference w:type="even" r:id="rId12"/>
      <w:footerReference w:type="default" r:id="rId13"/>
      <w:headerReference w:type="first" r:id="rId14"/>
      <w:footerReference w:type="first" r:id="rId15"/>
      <w:footnotePr>
        <w:pos w:val="beneathText"/>
      </w:footnotePr>
      <w:type w:val="continuous"/>
      <w:pgSz w:w="11907" w:h="16840" w:code="9"/>
      <w:pgMar w:top="2977" w:right="2381" w:bottom="2977" w:left="2381" w:header="3266" w:footer="2245" w:gutter="0"/>
      <w:pgNumType w:start="1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481D2" w14:textId="77777777" w:rsidR="008B5A7C" w:rsidRDefault="008B5A7C">
      <w:r>
        <w:separator/>
      </w:r>
    </w:p>
  </w:endnote>
  <w:endnote w:type="continuationSeparator" w:id="0">
    <w:p w14:paraId="58F77647" w14:textId="77777777" w:rsidR="008B5A7C" w:rsidRDefault="008B5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75AD7" w14:textId="77777777" w:rsidR="00C1769E" w:rsidRDefault="00C1769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9D7F9" w14:textId="77777777" w:rsidR="00C1769E" w:rsidRDefault="00C1769E">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1BC71" w14:textId="77777777" w:rsidR="00C1769E" w:rsidRDefault="00C1769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5A2B4" w14:textId="77777777" w:rsidR="008B5A7C" w:rsidRDefault="008B5A7C" w:rsidP="009D770B">
      <w:pPr>
        <w:spacing w:after="0"/>
      </w:pPr>
      <w:r>
        <w:separator/>
      </w:r>
    </w:p>
  </w:footnote>
  <w:footnote w:type="continuationSeparator" w:id="0">
    <w:p w14:paraId="5FFCD3D7" w14:textId="77777777" w:rsidR="008B5A7C" w:rsidRDefault="008B5A7C">
      <w:r>
        <w:continuationSeparator/>
      </w:r>
    </w:p>
  </w:footnote>
  <w:footnote w:id="1">
    <w:p w14:paraId="7E9F7C31" w14:textId="685456A8" w:rsidR="00005347" w:rsidRPr="007C3637" w:rsidRDefault="00005347" w:rsidP="00005347">
      <w:pPr>
        <w:pStyle w:val="Fu-Endnotenberschrift"/>
      </w:pPr>
      <w:r>
        <w:rPr>
          <w:rStyle w:val="Funotenzeichen"/>
        </w:rPr>
        <w:footnoteRef/>
      </w:r>
      <w:r w:rsidRPr="007C3637">
        <w:rPr>
          <w:szCs w:val="16"/>
          <w:bdr w:val="nil"/>
        </w:rPr>
        <w:t xml:space="preserve"> </w:t>
      </w:r>
      <w:r w:rsidR="007C3637">
        <w:t>Hochschule der Medien Stuttgart</w:t>
      </w:r>
      <w:r w:rsidR="007C3637" w:rsidRPr="004D3193">
        <w:t>,</w:t>
      </w:r>
      <w:r w:rsidR="007C3637">
        <w:t xml:space="preserve"> 70569 Stuttgart</w:t>
      </w:r>
      <w:r w:rsidR="007C3637" w:rsidRPr="004D3193">
        <w:t xml:space="preserve">, </w:t>
      </w:r>
      <w:r w:rsidR="007C3637">
        <w:t>kochdesouza@hdm-stuttgart.de</w:t>
      </w:r>
      <w:r w:rsidR="007C3637" w:rsidRPr="004D3193">
        <w:t xml:space="preserve">, </w:t>
      </w:r>
      <w:r w:rsidR="007C3637" w:rsidRPr="004D3193">
        <w:rPr>
          <w:noProof/>
        </w:rPr>
        <w:drawing>
          <wp:inline distT="0" distB="0" distL="0" distR="0" wp14:anchorId="068D5C8D" wp14:editId="782447D0">
            <wp:extent cx="152400" cy="152400"/>
            <wp:effectExtent l="0" t="0" r="0" b="0"/>
            <wp:docPr id="4" name="Grafik 4" descr="iD icon">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iD icon">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7C3637">
        <w:t xml:space="preserve"> </w:t>
      </w:r>
      <w:r w:rsidR="007C3637" w:rsidRPr="004D3193">
        <w:t>https://orcid.org/</w:t>
      </w:r>
      <w:r w:rsidR="007C3637" w:rsidRPr="004054C9">
        <w:t xml:space="preserve"> 0009-0003-7862-1851</w:t>
      </w:r>
    </w:p>
  </w:footnote>
  <w:footnote w:id="2">
    <w:p w14:paraId="476C63B4" w14:textId="6E5DB4A7" w:rsidR="00005347" w:rsidRPr="007C3637" w:rsidRDefault="00005347" w:rsidP="00005347">
      <w:pPr>
        <w:pStyle w:val="Funotentext"/>
      </w:pPr>
      <w:r>
        <w:rPr>
          <w:rStyle w:val="Funotenzeichen"/>
        </w:rPr>
        <w:footnoteRef/>
      </w:r>
      <w:r w:rsidRPr="007C3637">
        <w:rPr>
          <w:szCs w:val="16"/>
          <w:bdr w:val="nil"/>
        </w:rPr>
        <w:t xml:space="preserve"> </w:t>
      </w:r>
      <w:r w:rsidR="007C3637">
        <w:t>Hochschule der Medien Stuttgart</w:t>
      </w:r>
      <w:r w:rsidR="007C3637" w:rsidRPr="004D3193">
        <w:t xml:space="preserve">, </w:t>
      </w:r>
      <w:r w:rsidR="007C3637">
        <w:t>70569 Stuttgart</w:t>
      </w:r>
      <w:r w:rsidR="007C3637" w:rsidRPr="004D3193">
        <w:t xml:space="preserve">, </w:t>
      </w:r>
      <w:r w:rsidR="007C3637">
        <w:t>engstler@hdm-stuttgart.de</w:t>
      </w:r>
      <w:r w:rsidR="007C3637" w:rsidRPr="004D3193">
        <w:t xml:space="preserve">, </w:t>
      </w:r>
      <w:r w:rsidR="007C3637" w:rsidRPr="004D3193">
        <w:rPr>
          <w:noProof/>
        </w:rPr>
        <w:drawing>
          <wp:inline distT="0" distB="0" distL="0" distR="0" wp14:anchorId="1BE84F60" wp14:editId="3A39CE26">
            <wp:extent cx="152400" cy="152400"/>
            <wp:effectExtent l="0" t="0" r="0" b="0"/>
            <wp:docPr id="6" name="Grafik 6" descr="iD icon">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iD icon">
                      <a:hlinkClick r:id="rId3"/>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7C3637">
        <w:t xml:space="preserve"> </w:t>
      </w:r>
      <w:bookmarkStart w:id="0" w:name="_Hlk231885689"/>
      <w:r w:rsidR="007C3637" w:rsidRPr="004D3193">
        <w:t>https://orcid.org/</w:t>
      </w:r>
      <w:r w:rsidR="007C3637" w:rsidRPr="004054C9">
        <w:t xml:space="preserve"> 0000-0002-0687-1814</w:t>
      </w:r>
      <w:bookmarkEnd w:id="0"/>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77319" w14:textId="77777777" w:rsidR="00B55517" w:rsidRPr="001A3CF2" w:rsidRDefault="00B55517" w:rsidP="00813D40">
    <w:pPr>
      <w:pStyle w:val="Kopfzeilelinks"/>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81E3B" w14:textId="77777777" w:rsidR="00B55517" w:rsidRPr="00334366" w:rsidRDefault="00B55517" w:rsidP="00813D40">
    <w:pPr>
      <w:tabs>
        <w:tab w:val="center" w:pos="4140"/>
        <w:tab w:val="left" w:pos="6120"/>
        <w:tab w:val="left" w:pos="7020"/>
      </w:tabs>
      <w:ind w:left="2552" w:hanging="2552"/>
      <w:jc w:val="right"/>
      <w:rPr>
        <w:b/>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8A9AA" w14:textId="77777777" w:rsidR="00B55517" w:rsidRPr="00334366" w:rsidRDefault="00B55517" w:rsidP="00813D40">
    <w:pPr>
      <w:pStyle w:val="Kopfzeilerechts"/>
      <w:pBdr>
        <w:bottom w:val="none" w:sz="0" w:space="0" w:color="auto"/>
      </w:pBd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8E47D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1EA88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1F677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4ECDF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4AA7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BA205A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BD8527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AE27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F281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C8696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6B31ED0"/>
    <w:multiLevelType w:val="hybridMultilevel"/>
    <w:tmpl w:val="8D7C7B3E"/>
    <w:lvl w:ilvl="0" w:tplc="938C04B2">
      <w:start w:val="1"/>
      <w:numFmt w:val="bullet"/>
      <w:lvlText w:val=""/>
      <w:lvlJc w:val="left"/>
      <w:pPr>
        <w:ind w:left="1440" w:hanging="360"/>
      </w:pPr>
      <w:rPr>
        <w:rFonts w:ascii="Wingdings" w:hAnsi="Wingdings" w:hint="default"/>
        <w:color w:val="D60093"/>
        <w:sz w:val="22"/>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1" w15:restartNumberingAfterBreak="0">
    <w:nsid w:val="0BB72265"/>
    <w:multiLevelType w:val="multilevel"/>
    <w:tmpl w:val="7176594C"/>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12" w15:restartNumberingAfterBreak="0">
    <w:nsid w:val="153F3447"/>
    <w:multiLevelType w:val="hybridMultilevel"/>
    <w:tmpl w:val="BCF8EE2A"/>
    <w:lvl w:ilvl="0" w:tplc="88AEEDDC">
      <w:start w:val="1"/>
      <w:numFmt w:val="bullet"/>
      <w:pStyle w:val="AufzhlungEbene1"/>
      <w:lvlText w:val=""/>
      <w:lvlJc w:val="left"/>
      <w:pPr>
        <w:tabs>
          <w:tab w:val="num" w:pos="360"/>
        </w:tabs>
        <w:ind w:left="360" w:hanging="360"/>
      </w:pPr>
      <w:rPr>
        <w:rFonts w:ascii="Symbol" w:hAnsi="Symbol" w:hint="default"/>
        <w:b/>
        <w:i w:val="0"/>
        <w:color w:val="auto"/>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6B7758B"/>
    <w:multiLevelType w:val="hybridMultilevel"/>
    <w:tmpl w:val="2CD6737C"/>
    <w:lvl w:ilvl="0" w:tplc="C1E863CE">
      <w:numFmt w:val="bullet"/>
      <w:pStyle w:val="AufzhlungEbene2"/>
      <w:lvlText w:val="−"/>
      <w:lvlJc w:val="left"/>
      <w:pPr>
        <w:tabs>
          <w:tab w:val="num" w:pos="717"/>
        </w:tabs>
        <w:ind w:left="717" w:hanging="360"/>
      </w:pPr>
      <w:rPr>
        <w:rFonts w:ascii="Times New Roman" w:eastAsia="Times New Roman" w:hAnsi="Times New Roman" w:cs="Times New Roman" w:hint="default"/>
        <w:sz w:val="16"/>
      </w:rPr>
    </w:lvl>
    <w:lvl w:ilvl="1" w:tplc="F4CCFE44">
      <w:start w:val="1"/>
      <w:numFmt w:val="decimal"/>
      <w:pStyle w:val="AufzhlungnummeriertEbene1"/>
      <w:lvlText w:val="%2."/>
      <w:lvlJc w:val="left"/>
      <w:pPr>
        <w:tabs>
          <w:tab w:val="num" w:pos="499"/>
        </w:tabs>
        <w:ind w:left="499" w:hanging="499"/>
      </w:pPr>
      <w:rPr>
        <w:rFonts w:hint="default"/>
        <w:sz w:val="16"/>
      </w:rPr>
    </w:lvl>
    <w:lvl w:ilvl="2" w:tplc="DE8E7BE0">
      <w:start w:val="1"/>
      <w:numFmt w:val="lowerLetter"/>
      <w:pStyle w:val="AufzhlungnummeriertEbene2"/>
      <w:lvlText w:val="%3)"/>
      <w:lvlJc w:val="left"/>
      <w:pPr>
        <w:tabs>
          <w:tab w:val="num" w:pos="3237"/>
        </w:tabs>
        <w:ind w:left="3237" w:hanging="360"/>
      </w:pPr>
      <w:rPr>
        <w:rFonts w:hint="default"/>
        <w:sz w:val="20"/>
        <w:szCs w:val="20"/>
      </w:rPr>
    </w:lvl>
    <w:lvl w:ilvl="3" w:tplc="0407000F" w:tentative="1">
      <w:start w:val="1"/>
      <w:numFmt w:val="decimal"/>
      <w:lvlText w:val="%4."/>
      <w:lvlJc w:val="left"/>
      <w:pPr>
        <w:tabs>
          <w:tab w:val="num" w:pos="3777"/>
        </w:tabs>
        <w:ind w:left="3777" w:hanging="360"/>
      </w:pPr>
    </w:lvl>
    <w:lvl w:ilvl="4" w:tplc="04070019" w:tentative="1">
      <w:start w:val="1"/>
      <w:numFmt w:val="lowerLetter"/>
      <w:lvlText w:val="%5."/>
      <w:lvlJc w:val="left"/>
      <w:pPr>
        <w:tabs>
          <w:tab w:val="num" w:pos="4497"/>
        </w:tabs>
        <w:ind w:left="4497" w:hanging="360"/>
      </w:pPr>
    </w:lvl>
    <w:lvl w:ilvl="5" w:tplc="0407001B" w:tentative="1">
      <w:start w:val="1"/>
      <w:numFmt w:val="lowerRoman"/>
      <w:lvlText w:val="%6."/>
      <w:lvlJc w:val="right"/>
      <w:pPr>
        <w:tabs>
          <w:tab w:val="num" w:pos="5217"/>
        </w:tabs>
        <w:ind w:left="5217" w:hanging="180"/>
      </w:pPr>
    </w:lvl>
    <w:lvl w:ilvl="6" w:tplc="0407000F" w:tentative="1">
      <w:start w:val="1"/>
      <w:numFmt w:val="decimal"/>
      <w:lvlText w:val="%7."/>
      <w:lvlJc w:val="left"/>
      <w:pPr>
        <w:tabs>
          <w:tab w:val="num" w:pos="5937"/>
        </w:tabs>
        <w:ind w:left="5937" w:hanging="360"/>
      </w:pPr>
    </w:lvl>
    <w:lvl w:ilvl="7" w:tplc="04070019" w:tentative="1">
      <w:start w:val="1"/>
      <w:numFmt w:val="lowerLetter"/>
      <w:lvlText w:val="%8."/>
      <w:lvlJc w:val="left"/>
      <w:pPr>
        <w:tabs>
          <w:tab w:val="num" w:pos="6657"/>
        </w:tabs>
        <w:ind w:left="6657" w:hanging="360"/>
      </w:pPr>
    </w:lvl>
    <w:lvl w:ilvl="8" w:tplc="0407001B" w:tentative="1">
      <w:start w:val="1"/>
      <w:numFmt w:val="lowerRoman"/>
      <w:lvlText w:val="%9."/>
      <w:lvlJc w:val="right"/>
      <w:pPr>
        <w:tabs>
          <w:tab w:val="num" w:pos="7377"/>
        </w:tabs>
        <w:ind w:left="7377" w:hanging="180"/>
      </w:pPr>
    </w:lvl>
  </w:abstractNum>
  <w:abstractNum w:abstractNumId="14" w15:restartNumberingAfterBreak="0">
    <w:nsid w:val="282C4B9D"/>
    <w:multiLevelType w:val="multilevel"/>
    <w:tmpl w:val="5E4AD96E"/>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Roman"/>
      <w:lvlText w:val="%3."/>
      <w:lvlJc w:val="right"/>
      <w:pPr>
        <w:tabs>
          <w:tab w:val="num" w:pos="3057"/>
        </w:tabs>
        <w:ind w:left="3057" w:hanging="180"/>
      </w:p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abstractNum w:abstractNumId="15" w15:restartNumberingAfterBreak="0">
    <w:nsid w:val="33341C2F"/>
    <w:multiLevelType w:val="hybridMultilevel"/>
    <w:tmpl w:val="BFC8EA26"/>
    <w:lvl w:ilvl="0" w:tplc="9FD89A1C">
      <w:start w:val="1"/>
      <w:numFmt w:val="upperLetter"/>
      <w:lvlText w:val="%1."/>
      <w:lvlJc w:val="left"/>
      <w:pPr>
        <w:ind w:left="720" w:hanging="360"/>
      </w:pPr>
      <w:rPr>
        <w:rFonts w:hint="default"/>
        <w:b w:val="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15:restartNumberingAfterBreak="0">
    <w:nsid w:val="395A6EF7"/>
    <w:multiLevelType w:val="hybridMultilevel"/>
    <w:tmpl w:val="677A3582"/>
    <w:lvl w:ilvl="0" w:tplc="729E81A0">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50B2C06"/>
    <w:multiLevelType w:val="singleLevel"/>
    <w:tmpl w:val="99525E9C"/>
    <w:lvl w:ilvl="0">
      <w:start w:val="1"/>
      <w:numFmt w:val="bullet"/>
      <w:lvlText w:val="–"/>
      <w:lvlJc w:val="left"/>
      <w:pPr>
        <w:tabs>
          <w:tab w:val="num" w:pos="360"/>
        </w:tabs>
        <w:ind w:left="284" w:hanging="284"/>
      </w:pPr>
      <w:rPr>
        <w:rFonts w:ascii="Times New Roman" w:hAnsi="Times New Roman" w:hint="default"/>
        <w:sz w:val="16"/>
      </w:rPr>
    </w:lvl>
  </w:abstractNum>
  <w:abstractNum w:abstractNumId="18" w15:restartNumberingAfterBreak="0">
    <w:nsid w:val="732511C2"/>
    <w:multiLevelType w:val="singleLevel"/>
    <w:tmpl w:val="22E4D0E8"/>
    <w:lvl w:ilvl="0">
      <w:start w:val="1"/>
      <w:numFmt w:val="bullet"/>
      <w:lvlText w:val=""/>
      <w:lvlJc w:val="left"/>
      <w:pPr>
        <w:tabs>
          <w:tab w:val="num" w:pos="360"/>
        </w:tabs>
        <w:ind w:left="284" w:hanging="284"/>
      </w:pPr>
      <w:rPr>
        <w:rFonts w:ascii="Symbol" w:hAnsi="Symbol" w:hint="default"/>
      </w:rPr>
    </w:lvl>
  </w:abstractNum>
  <w:abstractNum w:abstractNumId="19" w15:restartNumberingAfterBreak="0">
    <w:nsid w:val="7CE82C81"/>
    <w:multiLevelType w:val="multilevel"/>
    <w:tmpl w:val="0C06A492"/>
    <w:lvl w:ilvl="0">
      <w:numFmt w:val="bullet"/>
      <w:lvlText w:val="−"/>
      <w:lvlJc w:val="left"/>
      <w:pPr>
        <w:tabs>
          <w:tab w:val="num" w:pos="717"/>
        </w:tabs>
        <w:ind w:left="717" w:hanging="360"/>
      </w:pPr>
      <w:rPr>
        <w:rFonts w:ascii="Times New Roman" w:eastAsia="Times New Roman" w:hAnsi="Times New Roman" w:cs="Times New Roman" w:hint="default"/>
        <w:sz w:val="16"/>
      </w:rPr>
    </w:lvl>
    <w:lvl w:ilvl="1">
      <w:start w:val="1"/>
      <w:numFmt w:val="decimal"/>
      <w:lvlText w:val="%2."/>
      <w:lvlJc w:val="left"/>
      <w:pPr>
        <w:tabs>
          <w:tab w:val="num" w:pos="499"/>
        </w:tabs>
        <w:ind w:left="499" w:hanging="499"/>
      </w:pPr>
      <w:rPr>
        <w:rFonts w:hint="default"/>
        <w:sz w:val="16"/>
      </w:rPr>
    </w:lvl>
    <w:lvl w:ilvl="2">
      <w:start w:val="1"/>
      <w:numFmt w:val="lowerLetter"/>
      <w:lvlText w:val="%3)"/>
      <w:lvlJc w:val="left"/>
      <w:pPr>
        <w:tabs>
          <w:tab w:val="num" w:pos="3237"/>
        </w:tabs>
        <w:ind w:left="3237" w:hanging="360"/>
      </w:pPr>
      <w:rPr>
        <w:rFonts w:hint="default"/>
        <w:sz w:val="16"/>
      </w:rPr>
    </w:lvl>
    <w:lvl w:ilvl="3">
      <w:start w:val="1"/>
      <w:numFmt w:val="decimal"/>
      <w:lvlText w:val="%4."/>
      <w:lvlJc w:val="left"/>
      <w:pPr>
        <w:tabs>
          <w:tab w:val="num" w:pos="3777"/>
        </w:tabs>
        <w:ind w:left="3777" w:hanging="360"/>
      </w:pPr>
    </w:lvl>
    <w:lvl w:ilvl="4">
      <w:start w:val="1"/>
      <w:numFmt w:val="lowerLetter"/>
      <w:lvlText w:val="%5."/>
      <w:lvlJc w:val="left"/>
      <w:pPr>
        <w:tabs>
          <w:tab w:val="num" w:pos="4497"/>
        </w:tabs>
        <w:ind w:left="4497" w:hanging="360"/>
      </w:pPr>
    </w:lvl>
    <w:lvl w:ilvl="5">
      <w:start w:val="1"/>
      <w:numFmt w:val="lowerRoman"/>
      <w:lvlText w:val="%6."/>
      <w:lvlJc w:val="right"/>
      <w:pPr>
        <w:tabs>
          <w:tab w:val="num" w:pos="5217"/>
        </w:tabs>
        <w:ind w:left="5217" w:hanging="180"/>
      </w:pPr>
    </w:lvl>
    <w:lvl w:ilvl="6">
      <w:start w:val="1"/>
      <w:numFmt w:val="decimal"/>
      <w:lvlText w:val="%7."/>
      <w:lvlJc w:val="left"/>
      <w:pPr>
        <w:tabs>
          <w:tab w:val="num" w:pos="5937"/>
        </w:tabs>
        <w:ind w:left="5937" w:hanging="360"/>
      </w:pPr>
    </w:lvl>
    <w:lvl w:ilvl="7">
      <w:start w:val="1"/>
      <w:numFmt w:val="lowerLetter"/>
      <w:lvlText w:val="%8."/>
      <w:lvlJc w:val="left"/>
      <w:pPr>
        <w:tabs>
          <w:tab w:val="num" w:pos="6657"/>
        </w:tabs>
        <w:ind w:left="6657" w:hanging="360"/>
      </w:pPr>
    </w:lvl>
    <w:lvl w:ilvl="8">
      <w:start w:val="1"/>
      <w:numFmt w:val="lowerRoman"/>
      <w:lvlText w:val="%9."/>
      <w:lvlJc w:val="right"/>
      <w:pPr>
        <w:tabs>
          <w:tab w:val="num" w:pos="7377"/>
        </w:tabs>
        <w:ind w:left="7377" w:hanging="180"/>
      </w:pPr>
    </w:lvl>
  </w:abstractNum>
  <w:num w:numId="1" w16cid:durableId="1430395306">
    <w:abstractNumId w:val="11"/>
  </w:num>
  <w:num w:numId="2" w16cid:durableId="968626893">
    <w:abstractNumId w:val="12"/>
  </w:num>
  <w:num w:numId="3" w16cid:durableId="126121413">
    <w:abstractNumId w:val="13"/>
  </w:num>
  <w:num w:numId="4" w16cid:durableId="1168132904">
    <w:abstractNumId w:val="9"/>
  </w:num>
  <w:num w:numId="5" w16cid:durableId="1871724291">
    <w:abstractNumId w:val="7"/>
  </w:num>
  <w:num w:numId="6" w16cid:durableId="702291619">
    <w:abstractNumId w:val="6"/>
  </w:num>
  <w:num w:numId="7" w16cid:durableId="134491368">
    <w:abstractNumId w:val="5"/>
  </w:num>
  <w:num w:numId="8" w16cid:durableId="101539025">
    <w:abstractNumId w:val="4"/>
  </w:num>
  <w:num w:numId="9" w16cid:durableId="240719469">
    <w:abstractNumId w:val="8"/>
  </w:num>
  <w:num w:numId="10" w16cid:durableId="456683995">
    <w:abstractNumId w:val="3"/>
  </w:num>
  <w:num w:numId="11" w16cid:durableId="961574108">
    <w:abstractNumId w:val="2"/>
  </w:num>
  <w:num w:numId="12" w16cid:durableId="1754542725">
    <w:abstractNumId w:val="1"/>
  </w:num>
  <w:num w:numId="13" w16cid:durableId="1381057840">
    <w:abstractNumId w:val="0"/>
  </w:num>
  <w:num w:numId="14" w16cid:durableId="2016027754">
    <w:abstractNumId w:val="14"/>
  </w:num>
  <w:num w:numId="15" w16cid:durableId="745959142">
    <w:abstractNumId w:val="19"/>
  </w:num>
  <w:num w:numId="16" w16cid:durableId="845367476">
    <w:abstractNumId w:val="15"/>
  </w:num>
  <w:num w:numId="17" w16cid:durableId="1858081916">
    <w:abstractNumId w:val="17"/>
  </w:num>
  <w:num w:numId="18" w16cid:durableId="359546518">
    <w:abstractNumId w:val="18"/>
  </w:num>
  <w:num w:numId="19" w16cid:durableId="1201477987">
    <w:abstractNumId w:val="10"/>
  </w:num>
  <w:num w:numId="20" w16cid:durableId="384449505">
    <w:abstractNumId w:val="16"/>
  </w:num>
  <w:num w:numId="21" w16cid:durableId="2008089977">
    <w:abstractNumId w:val="11"/>
  </w:num>
  <w:num w:numId="22" w16cid:durableId="719859737">
    <w:abstractNumId w:val="11"/>
  </w:num>
  <w:num w:numId="23" w16cid:durableId="1748961411">
    <w:abstractNumId w:val="11"/>
  </w:num>
  <w:num w:numId="24" w16cid:durableId="12901610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hideSpellingErrors/>
  <w:hideGrammaticalErrors/>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347"/>
    <w:rsid w:val="000046CA"/>
    <w:rsid w:val="00005347"/>
    <w:rsid w:val="0000659D"/>
    <w:rsid w:val="000121F9"/>
    <w:rsid w:val="0001409C"/>
    <w:rsid w:val="00020E25"/>
    <w:rsid w:val="00020E65"/>
    <w:rsid w:val="00021B69"/>
    <w:rsid w:val="00022B4B"/>
    <w:rsid w:val="00025F50"/>
    <w:rsid w:val="00033E58"/>
    <w:rsid w:val="00037039"/>
    <w:rsid w:val="0003719B"/>
    <w:rsid w:val="000465AD"/>
    <w:rsid w:val="00047927"/>
    <w:rsid w:val="0005076B"/>
    <w:rsid w:val="00061618"/>
    <w:rsid w:val="0006285E"/>
    <w:rsid w:val="000644BE"/>
    <w:rsid w:val="00064B9A"/>
    <w:rsid w:val="0007158C"/>
    <w:rsid w:val="00072ACE"/>
    <w:rsid w:val="000757C1"/>
    <w:rsid w:val="00077C29"/>
    <w:rsid w:val="00082F38"/>
    <w:rsid w:val="000836EB"/>
    <w:rsid w:val="00087EEF"/>
    <w:rsid w:val="000A2C55"/>
    <w:rsid w:val="000A70A8"/>
    <w:rsid w:val="000B0A13"/>
    <w:rsid w:val="000B2A1B"/>
    <w:rsid w:val="000C4FF2"/>
    <w:rsid w:val="000C6B1C"/>
    <w:rsid w:val="000C6DF3"/>
    <w:rsid w:val="000D3801"/>
    <w:rsid w:val="000E4388"/>
    <w:rsid w:val="000E68B6"/>
    <w:rsid w:val="000E6D2A"/>
    <w:rsid w:val="000F166B"/>
    <w:rsid w:val="000F3705"/>
    <w:rsid w:val="000F407B"/>
    <w:rsid w:val="000F7088"/>
    <w:rsid w:val="00111F91"/>
    <w:rsid w:val="00112CC6"/>
    <w:rsid w:val="00114758"/>
    <w:rsid w:val="00120211"/>
    <w:rsid w:val="0012022B"/>
    <w:rsid w:val="00125B9B"/>
    <w:rsid w:val="00127C00"/>
    <w:rsid w:val="001301E3"/>
    <w:rsid w:val="001320DD"/>
    <w:rsid w:val="00132262"/>
    <w:rsid w:val="0013348F"/>
    <w:rsid w:val="00134A3D"/>
    <w:rsid w:val="001359D0"/>
    <w:rsid w:val="0015414E"/>
    <w:rsid w:val="00167B4D"/>
    <w:rsid w:val="001711B1"/>
    <w:rsid w:val="001859E2"/>
    <w:rsid w:val="001867CA"/>
    <w:rsid w:val="0018709C"/>
    <w:rsid w:val="00194677"/>
    <w:rsid w:val="001A2788"/>
    <w:rsid w:val="001A3CF2"/>
    <w:rsid w:val="001A5FD0"/>
    <w:rsid w:val="001C5A2A"/>
    <w:rsid w:val="001C5D6C"/>
    <w:rsid w:val="001D08C3"/>
    <w:rsid w:val="001E29B3"/>
    <w:rsid w:val="001E2DA9"/>
    <w:rsid w:val="001E56F8"/>
    <w:rsid w:val="001E7F20"/>
    <w:rsid w:val="00201102"/>
    <w:rsid w:val="002064A6"/>
    <w:rsid w:val="00211BC1"/>
    <w:rsid w:val="00214959"/>
    <w:rsid w:val="00214BCD"/>
    <w:rsid w:val="00214D5F"/>
    <w:rsid w:val="0021602C"/>
    <w:rsid w:val="00216C75"/>
    <w:rsid w:val="00217601"/>
    <w:rsid w:val="00221719"/>
    <w:rsid w:val="00223A6F"/>
    <w:rsid w:val="00224FF9"/>
    <w:rsid w:val="00225C0F"/>
    <w:rsid w:val="0023308D"/>
    <w:rsid w:val="00234015"/>
    <w:rsid w:val="00235F6B"/>
    <w:rsid w:val="002402E0"/>
    <w:rsid w:val="0024274F"/>
    <w:rsid w:val="00244006"/>
    <w:rsid w:val="00247D06"/>
    <w:rsid w:val="002549B9"/>
    <w:rsid w:val="0025604F"/>
    <w:rsid w:val="002563AF"/>
    <w:rsid w:val="0026070D"/>
    <w:rsid w:val="002607C3"/>
    <w:rsid w:val="002617E5"/>
    <w:rsid w:val="00261E7C"/>
    <w:rsid w:val="00274B57"/>
    <w:rsid w:val="00276AD6"/>
    <w:rsid w:val="00284A8A"/>
    <w:rsid w:val="002902CC"/>
    <w:rsid w:val="00291455"/>
    <w:rsid w:val="002914FA"/>
    <w:rsid w:val="00292B1B"/>
    <w:rsid w:val="00292C0E"/>
    <w:rsid w:val="00292C75"/>
    <w:rsid w:val="00296B54"/>
    <w:rsid w:val="002A4FD4"/>
    <w:rsid w:val="002A60B9"/>
    <w:rsid w:val="002B55BD"/>
    <w:rsid w:val="002B5EB9"/>
    <w:rsid w:val="002B619F"/>
    <w:rsid w:val="002B7BBE"/>
    <w:rsid w:val="002C7256"/>
    <w:rsid w:val="002D3A65"/>
    <w:rsid w:val="002D4562"/>
    <w:rsid w:val="002E1AB8"/>
    <w:rsid w:val="002E49F6"/>
    <w:rsid w:val="002E4F04"/>
    <w:rsid w:val="002F0B2E"/>
    <w:rsid w:val="002F262E"/>
    <w:rsid w:val="002F4417"/>
    <w:rsid w:val="002F64BA"/>
    <w:rsid w:val="00301FC9"/>
    <w:rsid w:val="003059B6"/>
    <w:rsid w:val="00320D12"/>
    <w:rsid w:val="00323AA0"/>
    <w:rsid w:val="00323C3F"/>
    <w:rsid w:val="00334366"/>
    <w:rsid w:val="003374EE"/>
    <w:rsid w:val="003408DF"/>
    <w:rsid w:val="00340B62"/>
    <w:rsid w:val="00341523"/>
    <w:rsid w:val="0034193C"/>
    <w:rsid w:val="00342C4A"/>
    <w:rsid w:val="003606B5"/>
    <w:rsid w:val="003616A4"/>
    <w:rsid w:val="00362B6F"/>
    <w:rsid w:val="0037616B"/>
    <w:rsid w:val="00381EDB"/>
    <w:rsid w:val="00384EFB"/>
    <w:rsid w:val="0038630A"/>
    <w:rsid w:val="00393969"/>
    <w:rsid w:val="003957E7"/>
    <w:rsid w:val="003A10EC"/>
    <w:rsid w:val="003A161F"/>
    <w:rsid w:val="003B0873"/>
    <w:rsid w:val="003B2D20"/>
    <w:rsid w:val="003B5097"/>
    <w:rsid w:val="003B5C07"/>
    <w:rsid w:val="003C2ACD"/>
    <w:rsid w:val="003C45CC"/>
    <w:rsid w:val="003C6B3B"/>
    <w:rsid w:val="003D06FE"/>
    <w:rsid w:val="003D1E5C"/>
    <w:rsid w:val="003D24E3"/>
    <w:rsid w:val="003D377C"/>
    <w:rsid w:val="003D42DA"/>
    <w:rsid w:val="003D44B5"/>
    <w:rsid w:val="003E3870"/>
    <w:rsid w:val="003F11BB"/>
    <w:rsid w:val="00410D24"/>
    <w:rsid w:val="004119EC"/>
    <w:rsid w:val="00413DBB"/>
    <w:rsid w:val="00414204"/>
    <w:rsid w:val="00415DC6"/>
    <w:rsid w:val="0041717D"/>
    <w:rsid w:val="0042153F"/>
    <w:rsid w:val="004251F8"/>
    <w:rsid w:val="0042661A"/>
    <w:rsid w:val="00434B1F"/>
    <w:rsid w:val="004418B7"/>
    <w:rsid w:val="00444FE2"/>
    <w:rsid w:val="004657F4"/>
    <w:rsid w:val="00465DCF"/>
    <w:rsid w:val="0046685C"/>
    <w:rsid w:val="00475186"/>
    <w:rsid w:val="00477D1D"/>
    <w:rsid w:val="00477D3A"/>
    <w:rsid w:val="004801D6"/>
    <w:rsid w:val="004849FB"/>
    <w:rsid w:val="00485AC4"/>
    <w:rsid w:val="004947FA"/>
    <w:rsid w:val="004A043D"/>
    <w:rsid w:val="004A273D"/>
    <w:rsid w:val="004A7B40"/>
    <w:rsid w:val="004B036B"/>
    <w:rsid w:val="004B0DBA"/>
    <w:rsid w:val="004B3A37"/>
    <w:rsid w:val="004B520B"/>
    <w:rsid w:val="004B5B85"/>
    <w:rsid w:val="004B70A9"/>
    <w:rsid w:val="004C1FD9"/>
    <w:rsid w:val="004D0632"/>
    <w:rsid w:val="004D3193"/>
    <w:rsid w:val="004D6E41"/>
    <w:rsid w:val="004D7233"/>
    <w:rsid w:val="004D760E"/>
    <w:rsid w:val="004D7B2D"/>
    <w:rsid w:val="004E05EC"/>
    <w:rsid w:val="004E0E98"/>
    <w:rsid w:val="004E2B18"/>
    <w:rsid w:val="004E2D2A"/>
    <w:rsid w:val="004E2FC0"/>
    <w:rsid w:val="004E445C"/>
    <w:rsid w:val="004F1271"/>
    <w:rsid w:val="0050460C"/>
    <w:rsid w:val="00505C9F"/>
    <w:rsid w:val="00507A5F"/>
    <w:rsid w:val="00511B8B"/>
    <w:rsid w:val="00516EA7"/>
    <w:rsid w:val="0053187E"/>
    <w:rsid w:val="00531C8C"/>
    <w:rsid w:val="005354F7"/>
    <w:rsid w:val="00536E66"/>
    <w:rsid w:val="00572978"/>
    <w:rsid w:val="0057491D"/>
    <w:rsid w:val="00575B05"/>
    <w:rsid w:val="0057725A"/>
    <w:rsid w:val="005774A0"/>
    <w:rsid w:val="005866D9"/>
    <w:rsid w:val="00594A30"/>
    <w:rsid w:val="005A519A"/>
    <w:rsid w:val="005A6C0B"/>
    <w:rsid w:val="005B557D"/>
    <w:rsid w:val="005C2933"/>
    <w:rsid w:val="005C444F"/>
    <w:rsid w:val="005D1BA0"/>
    <w:rsid w:val="005D6BF8"/>
    <w:rsid w:val="005E0182"/>
    <w:rsid w:val="005E400D"/>
    <w:rsid w:val="005E727B"/>
    <w:rsid w:val="005F3111"/>
    <w:rsid w:val="00600F86"/>
    <w:rsid w:val="0060203B"/>
    <w:rsid w:val="00610537"/>
    <w:rsid w:val="0061124F"/>
    <w:rsid w:val="00616273"/>
    <w:rsid w:val="00620D26"/>
    <w:rsid w:val="00621AA8"/>
    <w:rsid w:val="006270DB"/>
    <w:rsid w:val="00630E52"/>
    <w:rsid w:val="00637E5E"/>
    <w:rsid w:val="0064508A"/>
    <w:rsid w:val="006519C8"/>
    <w:rsid w:val="00656D0C"/>
    <w:rsid w:val="00666417"/>
    <w:rsid w:val="0067026A"/>
    <w:rsid w:val="006705A0"/>
    <w:rsid w:val="00681A08"/>
    <w:rsid w:val="0068469A"/>
    <w:rsid w:val="00686FC2"/>
    <w:rsid w:val="00693AF6"/>
    <w:rsid w:val="0069624D"/>
    <w:rsid w:val="0069761D"/>
    <w:rsid w:val="00697ED8"/>
    <w:rsid w:val="006A3947"/>
    <w:rsid w:val="006A6AFA"/>
    <w:rsid w:val="006B041E"/>
    <w:rsid w:val="006B11E5"/>
    <w:rsid w:val="006B2F11"/>
    <w:rsid w:val="006B4B30"/>
    <w:rsid w:val="006B4F86"/>
    <w:rsid w:val="006C7C1D"/>
    <w:rsid w:val="006D0421"/>
    <w:rsid w:val="006D4D20"/>
    <w:rsid w:val="006D6E1A"/>
    <w:rsid w:val="006E1F2B"/>
    <w:rsid w:val="006E21A6"/>
    <w:rsid w:val="006F44F1"/>
    <w:rsid w:val="006F5F33"/>
    <w:rsid w:val="006F7813"/>
    <w:rsid w:val="00700358"/>
    <w:rsid w:val="0070139F"/>
    <w:rsid w:val="0070799B"/>
    <w:rsid w:val="00707FC2"/>
    <w:rsid w:val="00710C68"/>
    <w:rsid w:val="00712F31"/>
    <w:rsid w:val="00713CF4"/>
    <w:rsid w:val="0072075F"/>
    <w:rsid w:val="00721BB6"/>
    <w:rsid w:val="00721F69"/>
    <w:rsid w:val="0072463C"/>
    <w:rsid w:val="0072784B"/>
    <w:rsid w:val="00735332"/>
    <w:rsid w:val="007361F6"/>
    <w:rsid w:val="007365A9"/>
    <w:rsid w:val="00745DD8"/>
    <w:rsid w:val="00747F52"/>
    <w:rsid w:val="0075017A"/>
    <w:rsid w:val="00751DFA"/>
    <w:rsid w:val="0075307F"/>
    <w:rsid w:val="00754A9E"/>
    <w:rsid w:val="00761CDA"/>
    <w:rsid w:val="00767FDC"/>
    <w:rsid w:val="007721FB"/>
    <w:rsid w:val="0077384B"/>
    <w:rsid w:val="00775708"/>
    <w:rsid w:val="00777B6E"/>
    <w:rsid w:val="00782001"/>
    <w:rsid w:val="00782019"/>
    <w:rsid w:val="00783977"/>
    <w:rsid w:val="00785406"/>
    <w:rsid w:val="00791C09"/>
    <w:rsid w:val="00791C19"/>
    <w:rsid w:val="00795397"/>
    <w:rsid w:val="007A2EBB"/>
    <w:rsid w:val="007A7A8D"/>
    <w:rsid w:val="007B055E"/>
    <w:rsid w:val="007B5416"/>
    <w:rsid w:val="007B57DE"/>
    <w:rsid w:val="007C3637"/>
    <w:rsid w:val="007C3EF5"/>
    <w:rsid w:val="007C4A02"/>
    <w:rsid w:val="007C646A"/>
    <w:rsid w:val="007C6CBE"/>
    <w:rsid w:val="007D41FF"/>
    <w:rsid w:val="007D78E4"/>
    <w:rsid w:val="007E002C"/>
    <w:rsid w:val="007E2817"/>
    <w:rsid w:val="007E402F"/>
    <w:rsid w:val="007F23B1"/>
    <w:rsid w:val="007F38BC"/>
    <w:rsid w:val="007F5CF5"/>
    <w:rsid w:val="007F6117"/>
    <w:rsid w:val="00803B9E"/>
    <w:rsid w:val="00813D40"/>
    <w:rsid w:val="00815F7A"/>
    <w:rsid w:val="008278AF"/>
    <w:rsid w:val="00832FEF"/>
    <w:rsid w:val="008377E5"/>
    <w:rsid w:val="0084437C"/>
    <w:rsid w:val="008500DD"/>
    <w:rsid w:val="00854949"/>
    <w:rsid w:val="00856C5A"/>
    <w:rsid w:val="008649AE"/>
    <w:rsid w:val="00870C45"/>
    <w:rsid w:val="00875BCD"/>
    <w:rsid w:val="00877556"/>
    <w:rsid w:val="00880411"/>
    <w:rsid w:val="00884A1C"/>
    <w:rsid w:val="00891C0D"/>
    <w:rsid w:val="008B2668"/>
    <w:rsid w:val="008B573F"/>
    <w:rsid w:val="008B579F"/>
    <w:rsid w:val="008B5A7C"/>
    <w:rsid w:val="008B5D6D"/>
    <w:rsid w:val="008B7592"/>
    <w:rsid w:val="008C21FB"/>
    <w:rsid w:val="008C41B5"/>
    <w:rsid w:val="008C5057"/>
    <w:rsid w:val="008C5F74"/>
    <w:rsid w:val="008E01D3"/>
    <w:rsid w:val="008E0573"/>
    <w:rsid w:val="008E6839"/>
    <w:rsid w:val="008F350E"/>
    <w:rsid w:val="008F68CC"/>
    <w:rsid w:val="0090022F"/>
    <w:rsid w:val="00900AA4"/>
    <w:rsid w:val="00903928"/>
    <w:rsid w:val="00903BE6"/>
    <w:rsid w:val="0091707C"/>
    <w:rsid w:val="0091775D"/>
    <w:rsid w:val="009276EF"/>
    <w:rsid w:val="00932733"/>
    <w:rsid w:val="009356D6"/>
    <w:rsid w:val="009436B0"/>
    <w:rsid w:val="00947FF3"/>
    <w:rsid w:val="00951474"/>
    <w:rsid w:val="00954427"/>
    <w:rsid w:val="00961CE7"/>
    <w:rsid w:val="0097013A"/>
    <w:rsid w:val="00970997"/>
    <w:rsid w:val="009775D6"/>
    <w:rsid w:val="00980D05"/>
    <w:rsid w:val="00980EAA"/>
    <w:rsid w:val="00981750"/>
    <w:rsid w:val="009841E4"/>
    <w:rsid w:val="0099303C"/>
    <w:rsid w:val="009938DE"/>
    <w:rsid w:val="00996070"/>
    <w:rsid w:val="009A3921"/>
    <w:rsid w:val="009A5891"/>
    <w:rsid w:val="009A5C73"/>
    <w:rsid w:val="009B347F"/>
    <w:rsid w:val="009B3999"/>
    <w:rsid w:val="009B476F"/>
    <w:rsid w:val="009C0071"/>
    <w:rsid w:val="009C1526"/>
    <w:rsid w:val="009C5C75"/>
    <w:rsid w:val="009C5DFF"/>
    <w:rsid w:val="009C76CA"/>
    <w:rsid w:val="009D4909"/>
    <w:rsid w:val="009D68B2"/>
    <w:rsid w:val="009D770B"/>
    <w:rsid w:val="009E06B7"/>
    <w:rsid w:val="009E1039"/>
    <w:rsid w:val="009F12AE"/>
    <w:rsid w:val="009F146C"/>
    <w:rsid w:val="009F406C"/>
    <w:rsid w:val="009F4522"/>
    <w:rsid w:val="009F6F8D"/>
    <w:rsid w:val="00A002A7"/>
    <w:rsid w:val="00A02A0D"/>
    <w:rsid w:val="00A03F98"/>
    <w:rsid w:val="00A042BF"/>
    <w:rsid w:val="00A04CB2"/>
    <w:rsid w:val="00A11BFB"/>
    <w:rsid w:val="00A13352"/>
    <w:rsid w:val="00A2077F"/>
    <w:rsid w:val="00A257FE"/>
    <w:rsid w:val="00A27510"/>
    <w:rsid w:val="00A31084"/>
    <w:rsid w:val="00A317D2"/>
    <w:rsid w:val="00A33BB3"/>
    <w:rsid w:val="00A34050"/>
    <w:rsid w:val="00A42111"/>
    <w:rsid w:val="00A5422B"/>
    <w:rsid w:val="00A5442C"/>
    <w:rsid w:val="00A60954"/>
    <w:rsid w:val="00A6393F"/>
    <w:rsid w:val="00A6732B"/>
    <w:rsid w:val="00A76CDB"/>
    <w:rsid w:val="00A82EE3"/>
    <w:rsid w:val="00A83C07"/>
    <w:rsid w:val="00A9097F"/>
    <w:rsid w:val="00A916DD"/>
    <w:rsid w:val="00A93EF5"/>
    <w:rsid w:val="00A93F90"/>
    <w:rsid w:val="00AA5818"/>
    <w:rsid w:val="00AA6F66"/>
    <w:rsid w:val="00AB2CFA"/>
    <w:rsid w:val="00AB2E0C"/>
    <w:rsid w:val="00AB4016"/>
    <w:rsid w:val="00AB5380"/>
    <w:rsid w:val="00AC1742"/>
    <w:rsid w:val="00AC37C7"/>
    <w:rsid w:val="00AD058C"/>
    <w:rsid w:val="00AD22E3"/>
    <w:rsid w:val="00AD3424"/>
    <w:rsid w:val="00AD3BBA"/>
    <w:rsid w:val="00AD438F"/>
    <w:rsid w:val="00AD64C4"/>
    <w:rsid w:val="00AE3187"/>
    <w:rsid w:val="00AE3836"/>
    <w:rsid w:val="00AE661E"/>
    <w:rsid w:val="00AE7D42"/>
    <w:rsid w:val="00AF5492"/>
    <w:rsid w:val="00AF61C8"/>
    <w:rsid w:val="00AF7240"/>
    <w:rsid w:val="00B015C5"/>
    <w:rsid w:val="00B064C4"/>
    <w:rsid w:val="00B06789"/>
    <w:rsid w:val="00B2099B"/>
    <w:rsid w:val="00B2579B"/>
    <w:rsid w:val="00B3053E"/>
    <w:rsid w:val="00B3409D"/>
    <w:rsid w:val="00B341B5"/>
    <w:rsid w:val="00B376D0"/>
    <w:rsid w:val="00B42A9E"/>
    <w:rsid w:val="00B448B4"/>
    <w:rsid w:val="00B50152"/>
    <w:rsid w:val="00B531EF"/>
    <w:rsid w:val="00B55517"/>
    <w:rsid w:val="00B55B09"/>
    <w:rsid w:val="00B565CC"/>
    <w:rsid w:val="00B5715B"/>
    <w:rsid w:val="00B6258D"/>
    <w:rsid w:val="00B73C95"/>
    <w:rsid w:val="00B740F2"/>
    <w:rsid w:val="00B74A47"/>
    <w:rsid w:val="00B75592"/>
    <w:rsid w:val="00B862D8"/>
    <w:rsid w:val="00B93F4A"/>
    <w:rsid w:val="00B953E3"/>
    <w:rsid w:val="00BA0388"/>
    <w:rsid w:val="00BA13D1"/>
    <w:rsid w:val="00BB1751"/>
    <w:rsid w:val="00BB25F3"/>
    <w:rsid w:val="00BB3472"/>
    <w:rsid w:val="00BC0F8C"/>
    <w:rsid w:val="00BC102F"/>
    <w:rsid w:val="00BC22DF"/>
    <w:rsid w:val="00BC6D26"/>
    <w:rsid w:val="00BD1201"/>
    <w:rsid w:val="00BD4E20"/>
    <w:rsid w:val="00BE01A9"/>
    <w:rsid w:val="00BE58BD"/>
    <w:rsid w:val="00BF3DEC"/>
    <w:rsid w:val="00BF3EBC"/>
    <w:rsid w:val="00BF61BF"/>
    <w:rsid w:val="00BF654D"/>
    <w:rsid w:val="00BF7503"/>
    <w:rsid w:val="00BF7860"/>
    <w:rsid w:val="00C003EE"/>
    <w:rsid w:val="00C02836"/>
    <w:rsid w:val="00C043F8"/>
    <w:rsid w:val="00C05FF2"/>
    <w:rsid w:val="00C12C54"/>
    <w:rsid w:val="00C14AA4"/>
    <w:rsid w:val="00C14BE3"/>
    <w:rsid w:val="00C1769E"/>
    <w:rsid w:val="00C21931"/>
    <w:rsid w:val="00C254B7"/>
    <w:rsid w:val="00C27CF9"/>
    <w:rsid w:val="00C3509E"/>
    <w:rsid w:val="00C3668A"/>
    <w:rsid w:val="00C36D01"/>
    <w:rsid w:val="00C47108"/>
    <w:rsid w:val="00C51C0C"/>
    <w:rsid w:val="00C53186"/>
    <w:rsid w:val="00C54A9C"/>
    <w:rsid w:val="00C56D7D"/>
    <w:rsid w:val="00C6039A"/>
    <w:rsid w:val="00C72379"/>
    <w:rsid w:val="00C76B04"/>
    <w:rsid w:val="00C80C53"/>
    <w:rsid w:val="00C84B0E"/>
    <w:rsid w:val="00C87605"/>
    <w:rsid w:val="00C93A36"/>
    <w:rsid w:val="00CA26FF"/>
    <w:rsid w:val="00CA38F1"/>
    <w:rsid w:val="00CB24D1"/>
    <w:rsid w:val="00CB487E"/>
    <w:rsid w:val="00CC578E"/>
    <w:rsid w:val="00CD0503"/>
    <w:rsid w:val="00CD1B08"/>
    <w:rsid w:val="00CD431E"/>
    <w:rsid w:val="00CE0DEC"/>
    <w:rsid w:val="00CE32A7"/>
    <w:rsid w:val="00CE4F24"/>
    <w:rsid w:val="00CE69CA"/>
    <w:rsid w:val="00CE6C55"/>
    <w:rsid w:val="00CF3B7B"/>
    <w:rsid w:val="00CF7EAA"/>
    <w:rsid w:val="00D00602"/>
    <w:rsid w:val="00D00DF6"/>
    <w:rsid w:val="00D03EC6"/>
    <w:rsid w:val="00D05032"/>
    <w:rsid w:val="00D0599C"/>
    <w:rsid w:val="00D07896"/>
    <w:rsid w:val="00D07A15"/>
    <w:rsid w:val="00D1173E"/>
    <w:rsid w:val="00D15B93"/>
    <w:rsid w:val="00D15EBD"/>
    <w:rsid w:val="00D22F06"/>
    <w:rsid w:val="00D2308D"/>
    <w:rsid w:val="00D30012"/>
    <w:rsid w:val="00D3531B"/>
    <w:rsid w:val="00D37E8D"/>
    <w:rsid w:val="00D43699"/>
    <w:rsid w:val="00D50F21"/>
    <w:rsid w:val="00D533DA"/>
    <w:rsid w:val="00D53D74"/>
    <w:rsid w:val="00D55FE9"/>
    <w:rsid w:val="00D5669E"/>
    <w:rsid w:val="00D56EA5"/>
    <w:rsid w:val="00D63F2C"/>
    <w:rsid w:val="00D64739"/>
    <w:rsid w:val="00D67AAC"/>
    <w:rsid w:val="00D7275C"/>
    <w:rsid w:val="00D81751"/>
    <w:rsid w:val="00DA19AA"/>
    <w:rsid w:val="00DB11AA"/>
    <w:rsid w:val="00DB1C77"/>
    <w:rsid w:val="00DB4B78"/>
    <w:rsid w:val="00DB6B9E"/>
    <w:rsid w:val="00DC11F2"/>
    <w:rsid w:val="00DC4CD2"/>
    <w:rsid w:val="00DC7171"/>
    <w:rsid w:val="00DD5186"/>
    <w:rsid w:val="00DD5CCF"/>
    <w:rsid w:val="00DD71CC"/>
    <w:rsid w:val="00DE0D54"/>
    <w:rsid w:val="00DE0F3A"/>
    <w:rsid w:val="00DE1DFF"/>
    <w:rsid w:val="00DE2917"/>
    <w:rsid w:val="00DE42EC"/>
    <w:rsid w:val="00DF03EF"/>
    <w:rsid w:val="00DF3457"/>
    <w:rsid w:val="00DF5D87"/>
    <w:rsid w:val="00DF6A8C"/>
    <w:rsid w:val="00E023EC"/>
    <w:rsid w:val="00E12B0A"/>
    <w:rsid w:val="00E14FE4"/>
    <w:rsid w:val="00E15B76"/>
    <w:rsid w:val="00E15D29"/>
    <w:rsid w:val="00E249F3"/>
    <w:rsid w:val="00E25000"/>
    <w:rsid w:val="00E2574B"/>
    <w:rsid w:val="00E27898"/>
    <w:rsid w:val="00E3104B"/>
    <w:rsid w:val="00E3122B"/>
    <w:rsid w:val="00E31875"/>
    <w:rsid w:val="00E32D74"/>
    <w:rsid w:val="00E37A0C"/>
    <w:rsid w:val="00E42B0B"/>
    <w:rsid w:val="00E559F3"/>
    <w:rsid w:val="00E605F4"/>
    <w:rsid w:val="00E6233C"/>
    <w:rsid w:val="00E6277B"/>
    <w:rsid w:val="00E66C41"/>
    <w:rsid w:val="00E70B83"/>
    <w:rsid w:val="00E70EE9"/>
    <w:rsid w:val="00E7153B"/>
    <w:rsid w:val="00E752DB"/>
    <w:rsid w:val="00E864B4"/>
    <w:rsid w:val="00E86B8F"/>
    <w:rsid w:val="00E93BA9"/>
    <w:rsid w:val="00E943DF"/>
    <w:rsid w:val="00E94E08"/>
    <w:rsid w:val="00EB0FD7"/>
    <w:rsid w:val="00EB243C"/>
    <w:rsid w:val="00EB5D1B"/>
    <w:rsid w:val="00EC4B4E"/>
    <w:rsid w:val="00EC56BA"/>
    <w:rsid w:val="00EC6766"/>
    <w:rsid w:val="00ED4AA6"/>
    <w:rsid w:val="00ED4BA2"/>
    <w:rsid w:val="00ED6936"/>
    <w:rsid w:val="00ED7444"/>
    <w:rsid w:val="00EE4780"/>
    <w:rsid w:val="00EF3CCE"/>
    <w:rsid w:val="00EF4D06"/>
    <w:rsid w:val="00EF50E8"/>
    <w:rsid w:val="00EF51E0"/>
    <w:rsid w:val="00F010A5"/>
    <w:rsid w:val="00F01A7E"/>
    <w:rsid w:val="00F0284E"/>
    <w:rsid w:val="00F06176"/>
    <w:rsid w:val="00F15C44"/>
    <w:rsid w:val="00F2383F"/>
    <w:rsid w:val="00F23B46"/>
    <w:rsid w:val="00F244E4"/>
    <w:rsid w:val="00F24AA8"/>
    <w:rsid w:val="00F266C1"/>
    <w:rsid w:val="00F26C78"/>
    <w:rsid w:val="00F305DF"/>
    <w:rsid w:val="00F31EF7"/>
    <w:rsid w:val="00F33C5B"/>
    <w:rsid w:val="00F37A68"/>
    <w:rsid w:val="00F42D89"/>
    <w:rsid w:val="00F430DC"/>
    <w:rsid w:val="00F43602"/>
    <w:rsid w:val="00F43D03"/>
    <w:rsid w:val="00F44711"/>
    <w:rsid w:val="00F5257C"/>
    <w:rsid w:val="00F55E72"/>
    <w:rsid w:val="00F5614E"/>
    <w:rsid w:val="00F61462"/>
    <w:rsid w:val="00F61D50"/>
    <w:rsid w:val="00F62BC6"/>
    <w:rsid w:val="00F65AE2"/>
    <w:rsid w:val="00F67A4B"/>
    <w:rsid w:val="00F75F2A"/>
    <w:rsid w:val="00F8252A"/>
    <w:rsid w:val="00F8743A"/>
    <w:rsid w:val="00F94768"/>
    <w:rsid w:val="00FA0794"/>
    <w:rsid w:val="00FA0D0E"/>
    <w:rsid w:val="00FA16C9"/>
    <w:rsid w:val="00FB4257"/>
    <w:rsid w:val="00FB69E8"/>
    <w:rsid w:val="00FC41AE"/>
    <w:rsid w:val="00FC6358"/>
    <w:rsid w:val="00FC664E"/>
    <w:rsid w:val="00FD29B4"/>
    <w:rsid w:val="00FD727C"/>
    <w:rsid w:val="00FE13A7"/>
    <w:rsid w:val="00FE53D6"/>
    <w:rsid w:val="00FE7178"/>
    <w:rsid w:val="00FF0A4E"/>
    <w:rsid w:val="00FF148D"/>
    <w:rsid w:val="00FF4789"/>
    <w:rsid w:val="00FF7E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9CA080"/>
  <w15:docId w15:val="{97331696-8CB3-EB4F-8C6A-87E40B570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05347"/>
    <w:pPr>
      <w:widowControl w:val="0"/>
      <w:spacing w:after="160"/>
      <w:jc w:val="both"/>
    </w:pPr>
    <w:rPr>
      <w:szCs w:val="24"/>
    </w:rPr>
  </w:style>
  <w:style w:type="paragraph" w:styleId="berschrift1">
    <w:name w:val="heading 1"/>
    <w:basedOn w:val="Standard"/>
    <w:next w:val="Standard"/>
    <w:qFormat/>
    <w:rsid w:val="00735332"/>
    <w:pPr>
      <w:keepNext/>
      <w:numPr>
        <w:numId w:val="1"/>
      </w:numPr>
      <w:spacing w:before="480" w:after="240"/>
      <w:outlineLvl w:val="0"/>
    </w:pPr>
    <w:rPr>
      <w:rFonts w:cs="Arial"/>
      <w:b/>
      <w:bCs/>
      <w:kern w:val="32"/>
      <w:sz w:val="24"/>
      <w:szCs w:val="32"/>
    </w:rPr>
  </w:style>
  <w:style w:type="paragraph" w:styleId="berschrift2">
    <w:name w:val="heading 2"/>
    <w:basedOn w:val="Standard"/>
    <w:next w:val="Standard"/>
    <w:qFormat/>
    <w:rsid w:val="00FC664E"/>
    <w:pPr>
      <w:keepNext/>
      <w:numPr>
        <w:ilvl w:val="1"/>
        <w:numId w:val="1"/>
      </w:numPr>
      <w:spacing w:before="400" w:after="200"/>
      <w:outlineLvl w:val="1"/>
    </w:pPr>
    <w:rPr>
      <w:rFonts w:cs="Arial"/>
      <w:b/>
      <w:bCs/>
      <w:iCs/>
      <w:szCs w:val="28"/>
    </w:rPr>
  </w:style>
  <w:style w:type="paragraph" w:styleId="berschrift3">
    <w:name w:val="heading 3"/>
    <w:basedOn w:val="Standard"/>
    <w:next w:val="Standard"/>
    <w:rsid w:val="00FD727C"/>
    <w:pPr>
      <w:keepNext/>
      <w:spacing w:before="240" w:after="60"/>
      <w:outlineLvl w:val="2"/>
    </w:pPr>
    <w:rPr>
      <w:rFonts w:ascii="Arial" w:hAnsi="Arial" w:cs="Arial"/>
      <w:b/>
      <w:bCs/>
      <w:sz w:val="26"/>
      <w:szCs w:val="26"/>
    </w:rPr>
  </w:style>
  <w:style w:type="paragraph" w:styleId="berschrift4">
    <w:name w:val="heading 4"/>
    <w:basedOn w:val="Standard"/>
    <w:next w:val="Standard"/>
    <w:qFormat/>
    <w:rsid w:val="00735332"/>
    <w:pPr>
      <w:keepNext/>
      <w:numPr>
        <w:ilvl w:val="3"/>
        <w:numId w:val="1"/>
      </w:numPr>
      <w:spacing w:before="240" w:after="60"/>
      <w:outlineLvl w:val="3"/>
    </w:pPr>
    <w:rPr>
      <w:b/>
      <w:bCs/>
      <w:sz w:val="28"/>
      <w:szCs w:val="28"/>
    </w:rPr>
  </w:style>
  <w:style w:type="paragraph" w:styleId="berschrift5">
    <w:name w:val="heading 5"/>
    <w:basedOn w:val="Standard"/>
    <w:next w:val="Standard"/>
    <w:qFormat/>
    <w:rsid w:val="00735332"/>
    <w:pPr>
      <w:numPr>
        <w:ilvl w:val="4"/>
        <w:numId w:val="1"/>
      </w:numPr>
      <w:spacing w:before="240" w:after="60"/>
      <w:outlineLvl w:val="4"/>
    </w:pPr>
    <w:rPr>
      <w:b/>
      <w:bCs/>
      <w:i/>
      <w:iCs/>
      <w:sz w:val="26"/>
      <w:szCs w:val="26"/>
    </w:rPr>
  </w:style>
  <w:style w:type="paragraph" w:styleId="berschrift6">
    <w:name w:val="heading 6"/>
    <w:basedOn w:val="Standard"/>
    <w:next w:val="Standard"/>
    <w:qFormat/>
    <w:rsid w:val="00735332"/>
    <w:pPr>
      <w:numPr>
        <w:ilvl w:val="5"/>
        <w:numId w:val="1"/>
      </w:numPr>
      <w:spacing w:before="240" w:after="60"/>
      <w:outlineLvl w:val="5"/>
    </w:pPr>
    <w:rPr>
      <w:b/>
      <w:bCs/>
      <w:sz w:val="22"/>
      <w:szCs w:val="22"/>
    </w:rPr>
  </w:style>
  <w:style w:type="paragraph" w:styleId="berschrift7">
    <w:name w:val="heading 7"/>
    <w:basedOn w:val="Standard"/>
    <w:next w:val="Standard"/>
    <w:qFormat/>
    <w:rsid w:val="00735332"/>
    <w:pPr>
      <w:numPr>
        <w:ilvl w:val="6"/>
        <w:numId w:val="1"/>
      </w:numPr>
      <w:spacing w:before="240" w:after="60"/>
      <w:outlineLvl w:val="6"/>
    </w:pPr>
    <w:rPr>
      <w:sz w:val="24"/>
    </w:rPr>
  </w:style>
  <w:style w:type="paragraph" w:styleId="berschrift8">
    <w:name w:val="heading 8"/>
    <w:basedOn w:val="Standard"/>
    <w:next w:val="Standard"/>
    <w:qFormat/>
    <w:rsid w:val="00735332"/>
    <w:pPr>
      <w:numPr>
        <w:ilvl w:val="7"/>
        <w:numId w:val="1"/>
      </w:numPr>
      <w:spacing w:before="240" w:after="60"/>
      <w:outlineLvl w:val="7"/>
    </w:pPr>
    <w:rPr>
      <w:i/>
      <w:iCs/>
      <w:sz w:val="24"/>
    </w:rPr>
  </w:style>
  <w:style w:type="paragraph" w:styleId="berschrift9">
    <w:name w:val="heading 9"/>
    <w:basedOn w:val="Standard"/>
    <w:next w:val="Standard"/>
    <w:qFormat/>
    <w:rsid w:val="00735332"/>
    <w:pPr>
      <w:numPr>
        <w:ilvl w:val="8"/>
        <w:numId w:val="1"/>
      </w:num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schriftung">
    <w:name w:val="caption"/>
    <w:basedOn w:val="Standard"/>
    <w:next w:val="Standard"/>
    <w:qFormat/>
    <w:pPr>
      <w:spacing w:before="120" w:after="120"/>
      <w:jc w:val="center"/>
    </w:pPr>
    <w:rPr>
      <w:bCs/>
      <w:sz w:val="18"/>
      <w:szCs w:val="20"/>
    </w:rPr>
  </w:style>
  <w:style w:type="paragraph" w:styleId="Titel">
    <w:name w:val="Title"/>
    <w:basedOn w:val="Standard"/>
    <w:qFormat/>
    <w:rsid w:val="00087EEF"/>
    <w:pPr>
      <w:spacing w:after="460"/>
      <w:jc w:val="left"/>
      <w:outlineLvl w:val="0"/>
    </w:pPr>
    <w:rPr>
      <w:rFonts w:cs="Arial"/>
      <w:b/>
      <w:bCs/>
      <w:kern w:val="28"/>
      <w:sz w:val="28"/>
      <w:szCs w:val="32"/>
    </w:rPr>
  </w:style>
  <w:style w:type="paragraph" w:customStyle="1" w:styleId="Abstract">
    <w:name w:val="Abstract"/>
    <w:basedOn w:val="Standard"/>
    <w:next w:val="Standard"/>
    <w:rsid w:val="002B7BBE"/>
    <w:pPr>
      <w:spacing w:before="600" w:after="120"/>
    </w:pPr>
    <w:rPr>
      <w:sz w:val="18"/>
    </w:rPr>
  </w:style>
  <w:style w:type="paragraph" w:styleId="Funotentext">
    <w:name w:val="footnote text"/>
    <w:basedOn w:val="Standard"/>
    <w:semiHidden/>
    <w:rsid w:val="00FC664E"/>
    <w:pPr>
      <w:spacing w:after="0"/>
      <w:ind w:left="85" w:hanging="85"/>
      <w:jc w:val="left"/>
    </w:pPr>
    <w:rPr>
      <w:sz w:val="16"/>
      <w:szCs w:val="20"/>
    </w:rPr>
  </w:style>
  <w:style w:type="character" w:styleId="Funotenzeichen">
    <w:name w:val="footnote reference"/>
    <w:semiHidden/>
    <w:rPr>
      <w:vertAlign w:val="superscript"/>
    </w:rPr>
  </w:style>
  <w:style w:type="paragraph" w:customStyle="1" w:styleId="Keywords">
    <w:name w:val="Keywords"/>
    <w:basedOn w:val="Abstract"/>
    <w:rsid w:val="00444FE2"/>
    <w:pPr>
      <w:spacing w:before="120"/>
    </w:pPr>
  </w:style>
  <w:style w:type="paragraph" w:customStyle="1" w:styleId="Tabellenkrper">
    <w:name w:val="Tabellenkörper"/>
    <w:basedOn w:val="Standard"/>
    <w:rsid w:val="003B5C07"/>
    <w:pPr>
      <w:spacing w:after="0"/>
      <w:jc w:val="left"/>
    </w:pPr>
    <w:rPr>
      <w:color w:val="000000"/>
    </w:rPr>
  </w:style>
  <w:style w:type="paragraph" w:styleId="Literaturverzeichnis">
    <w:name w:val="Bibliography"/>
    <w:basedOn w:val="Standard"/>
    <w:rsid w:val="003B5C07"/>
    <w:pPr>
      <w:spacing w:after="120"/>
      <w:ind w:left="851" w:hanging="851"/>
    </w:pPr>
    <w:rPr>
      <w:sz w:val="18"/>
      <w:lang w:val="en-GB"/>
    </w:rPr>
  </w:style>
  <w:style w:type="paragraph" w:styleId="Fuzeile">
    <w:name w:val="footer"/>
    <w:basedOn w:val="Standard"/>
    <w:rsid w:val="005B557D"/>
    <w:pPr>
      <w:tabs>
        <w:tab w:val="center" w:pos="4536"/>
        <w:tab w:val="right" w:pos="9072"/>
      </w:tabs>
    </w:pPr>
  </w:style>
  <w:style w:type="paragraph" w:customStyle="1" w:styleId="Kopfzeilelinks">
    <w:name w:val="Kopfzeile links"/>
    <w:basedOn w:val="Standard"/>
    <w:rsid w:val="003B5C07"/>
    <w:pPr>
      <w:pBdr>
        <w:bottom w:val="single" w:sz="4" w:space="1" w:color="auto"/>
      </w:pBdr>
      <w:tabs>
        <w:tab w:val="center" w:pos="0"/>
        <w:tab w:val="left" w:pos="1080"/>
        <w:tab w:val="left" w:pos="5340"/>
      </w:tabs>
      <w:ind w:left="567" w:hanging="567"/>
      <w:jc w:val="left"/>
    </w:pPr>
    <w:rPr>
      <w:sz w:val="18"/>
      <w:szCs w:val="18"/>
    </w:rPr>
  </w:style>
  <w:style w:type="paragraph" w:customStyle="1" w:styleId="TitelmitUntertitel">
    <w:name w:val="Titel mit Untertitel"/>
    <w:basedOn w:val="Titel"/>
    <w:rsid w:val="00693AF6"/>
    <w:pPr>
      <w:spacing w:after="320"/>
    </w:pPr>
    <w:rPr>
      <w:rFonts w:cs="Times New Roman"/>
    </w:rPr>
  </w:style>
  <w:style w:type="paragraph" w:customStyle="1" w:styleId="Untertitel1">
    <w:name w:val="Untertitel 1"/>
    <w:basedOn w:val="Standard"/>
    <w:qFormat/>
    <w:rsid w:val="00693AF6"/>
    <w:pPr>
      <w:spacing w:after="460"/>
      <w:jc w:val="left"/>
    </w:pPr>
    <w:rPr>
      <w:b/>
    </w:rPr>
  </w:style>
  <w:style w:type="table" w:styleId="Tabellenraster">
    <w:name w:val="Table Grid"/>
    <w:basedOn w:val="NormaleTabelle"/>
    <w:rsid w:val="00751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r">
    <w:name w:val="Autor"/>
    <w:basedOn w:val="Standard"/>
    <w:qFormat/>
    <w:rsid w:val="0069624D"/>
    <w:pPr>
      <w:spacing w:after="0"/>
      <w:jc w:val="left"/>
    </w:pPr>
    <w:rPr>
      <w:bCs/>
    </w:rPr>
  </w:style>
  <w:style w:type="paragraph" w:customStyle="1" w:styleId="AufzhlungEbene1">
    <w:name w:val="Aufzählung Ebene 1"/>
    <w:basedOn w:val="Standard"/>
    <w:qFormat/>
    <w:rsid w:val="000E4388"/>
    <w:pPr>
      <w:numPr>
        <w:numId w:val="2"/>
      </w:numPr>
      <w:tabs>
        <w:tab w:val="clear" w:pos="360"/>
        <w:tab w:val="left" w:pos="499"/>
      </w:tabs>
      <w:spacing w:after="120"/>
      <w:ind w:left="499" w:hanging="499"/>
    </w:pPr>
    <w:rPr>
      <w:szCs w:val="20"/>
    </w:rPr>
  </w:style>
  <w:style w:type="paragraph" w:customStyle="1" w:styleId="AufzhlungEbene2">
    <w:name w:val="Aufzählung Ebene 2"/>
    <w:basedOn w:val="Standard"/>
    <w:link w:val="AufzhlungEbene2Zchn"/>
    <w:qFormat/>
    <w:rsid w:val="000E4388"/>
    <w:pPr>
      <w:numPr>
        <w:numId w:val="3"/>
      </w:numPr>
      <w:tabs>
        <w:tab w:val="clear" w:pos="717"/>
        <w:tab w:val="left" w:pos="998"/>
      </w:tabs>
      <w:spacing w:after="120"/>
      <w:ind w:left="998" w:hanging="499"/>
    </w:pPr>
    <w:rPr>
      <w:szCs w:val="20"/>
    </w:rPr>
  </w:style>
  <w:style w:type="paragraph" w:customStyle="1" w:styleId="AufzhlungnummeriertEbene1">
    <w:name w:val="Aufzählung nummeriert Ebene 1"/>
    <w:basedOn w:val="AufzhlungEbene1"/>
    <w:qFormat/>
    <w:rsid w:val="000E4388"/>
    <w:pPr>
      <w:numPr>
        <w:ilvl w:val="1"/>
        <w:numId w:val="3"/>
      </w:numPr>
    </w:pPr>
  </w:style>
  <w:style w:type="paragraph" w:customStyle="1" w:styleId="code">
    <w:name w:val="code"/>
    <w:basedOn w:val="Standard"/>
    <w:rsid w:val="003E3870"/>
    <w:pPr>
      <w:spacing w:after="120"/>
      <w:ind w:left="284"/>
    </w:pPr>
    <w:rPr>
      <w:rFonts w:ascii="Courier New" w:hAnsi="Courier New" w:cs="Courier New"/>
      <w:lang w:val="en-GB"/>
    </w:rPr>
  </w:style>
  <w:style w:type="character" w:customStyle="1" w:styleId="FormatvorlageFunotenzeichen">
    <w:name w:val="Formatvorlage Fußnotenzeichen"/>
    <w:rsid w:val="00216C75"/>
    <w:rPr>
      <w:bCs/>
      <w:kern w:val="28"/>
      <w:vertAlign w:val="superscript"/>
    </w:rPr>
  </w:style>
  <w:style w:type="paragraph" w:customStyle="1" w:styleId="Grafik">
    <w:name w:val="Grafik"/>
    <w:basedOn w:val="Standard"/>
    <w:next w:val="Beschriftung"/>
    <w:qFormat/>
    <w:rsid w:val="00087EEF"/>
    <w:pPr>
      <w:jc w:val="center"/>
    </w:pPr>
  </w:style>
  <w:style w:type="character" w:styleId="Hyperlink">
    <w:name w:val="Hyperlink"/>
    <w:rsid w:val="00516EA7"/>
    <w:rPr>
      <w:color w:val="0000FF"/>
      <w:u w:val="single"/>
    </w:rPr>
  </w:style>
  <w:style w:type="paragraph" w:styleId="Abbildungsverzeichnis">
    <w:name w:val="table of figures"/>
    <w:basedOn w:val="Standard"/>
    <w:next w:val="Standard"/>
    <w:semiHidden/>
    <w:rsid w:val="00FD727C"/>
  </w:style>
  <w:style w:type="paragraph" w:styleId="Anrede">
    <w:name w:val="Salutation"/>
    <w:basedOn w:val="Standard"/>
    <w:next w:val="Standard"/>
    <w:rsid w:val="00FD727C"/>
  </w:style>
  <w:style w:type="paragraph" w:customStyle="1" w:styleId="AufzhlungnummeriertEbene2">
    <w:name w:val="Aufzählung nummeriert Ebene 2"/>
    <w:basedOn w:val="AufzhlungEbene2"/>
    <w:qFormat/>
    <w:rsid w:val="000E4388"/>
    <w:pPr>
      <w:numPr>
        <w:ilvl w:val="2"/>
      </w:numPr>
      <w:tabs>
        <w:tab w:val="clear" w:pos="3237"/>
      </w:tabs>
      <w:ind w:left="998" w:hanging="499"/>
    </w:pPr>
  </w:style>
  <w:style w:type="paragraph" w:styleId="Dokumentstruktur">
    <w:name w:val="Document Map"/>
    <w:basedOn w:val="Standard"/>
    <w:semiHidden/>
    <w:rsid w:val="00FD727C"/>
    <w:pPr>
      <w:shd w:val="clear" w:color="auto" w:fill="000080"/>
    </w:pPr>
    <w:rPr>
      <w:rFonts w:ascii="Tahoma" w:hAnsi="Tahoma" w:cs="Tahoma"/>
      <w:szCs w:val="20"/>
    </w:rPr>
  </w:style>
  <w:style w:type="paragraph" w:styleId="Endnotentext">
    <w:name w:val="endnote text"/>
    <w:basedOn w:val="Standard"/>
    <w:semiHidden/>
    <w:rsid w:val="00FD727C"/>
    <w:rPr>
      <w:szCs w:val="20"/>
    </w:rPr>
  </w:style>
  <w:style w:type="paragraph" w:styleId="Fu-Endnotenberschrift">
    <w:name w:val="Note Heading"/>
    <w:basedOn w:val="Funotentext"/>
    <w:next w:val="Standard"/>
    <w:rsid w:val="009D68B2"/>
  </w:style>
  <w:style w:type="paragraph" w:styleId="Index1">
    <w:name w:val="index 1"/>
    <w:basedOn w:val="Standard"/>
    <w:next w:val="Standard"/>
    <w:autoRedefine/>
    <w:semiHidden/>
    <w:rsid w:val="00FD727C"/>
    <w:pPr>
      <w:ind w:left="200" w:hanging="200"/>
    </w:pPr>
  </w:style>
  <w:style w:type="paragraph" w:styleId="Index2">
    <w:name w:val="index 2"/>
    <w:basedOn w:val="Standard"/>
    <w:next w:val="Standard"/>
    <w:autoRedefine/>
    <w:semiHidden/>
    <w:rsid w:val="00FD727C"/>
    <w:pPr>
      <w:ind w:left="400" w:hanging="200"/>
    </w:pPr>
  </w:style>
  <w:style w:type="paragraph" w:styleId="Index3">
    <w:name w:val="index 3"/>
    <w:basedOn w:val="Standard"/>
    <w:next w:val="Standard"/>
    <w:autoRedefine/>
    <w:semiHidden/>
    <w:rsid w:val="00FD727C"/>
    <w:pPr>
      <w:ind w:left="600" w:hanging="200"/>
    </w:pPr>
  </w:style>
  <w:style w:type="paragraph" w:styleId="Index4">
    <w:name w:val="index 4"/>
    <w:basedOn w:val="Standard"/>
    <w:next w:val="Standard"/>
    <w:autoRedefine/>
    <w:semiHidden/>
    <w:rsid w:val="00FD727C"/>
    <w:pPr>
      <w:ind w:left="800" w:hanging="200"/>
    </w:pPr>
  </w:style>
  <w:style w:type="paragraph" w:styleId="Index5">
    <w:name w:val="index 5"/>
    <w:basedOn w:val="Standard"/>
    <w:next w:val="Standard"/>
    <w:autoRedefine/>
    <w:semiHidden/>
    <w:rsid w:val="00FD727C"/>
    <w:pPr>
      <w:ind w:left="1000" w:hanging="200"/>
    </w:pPr>
  </w:style>
  <w:style w:type="paragraph" w:styleId="Index6">
    <w:name w:val="index 6"/>
    <w:basedOn w:val="Standard"/>
    <w:next w:val="Standard"/>
    <w:autoRedefine/>
    <w:semiHidden/>
    <w:rsid w:val="00FD727C"/>
    <w:pPr>
      <w:ind w:left="1200" w:hanging="200"/>
    </w:pPr>
  </w:style>
  <w:style w:type="paragraph" w:styleId="Index7">
    <w:name w:val="index 7"/>
    <w:basedOn w:val="Standard"/>
    <w:next w:val="Standard"/>
    <w:autoRedefine/>
    <w:semiHidden/>
    <w:rsid w:val="00FD727C"/>
    <w:pPr>
      <w:ind w:left="1400" w:hanging="200"/>
    </w:pPr>
  </w:style>
  <w:style w:type="paragraph" w:styleId="Index8">
    <w:name w:val="index 8"/>
    <w:basedOn w:val="Standard"/>
    <w:next w:val="Standard"/>
    <w:autoRedefine/>
    <w:semiHidden/>
    <w:rsid w:val="00FD727C"/>
    <w:pPr>
      <w:ind w:left="1600" w:hanging="200"/>
    </w:pPr>
  </w:style>
  <w:style w:type="paragraph" w:styleId="Index9">
    <w:name w:val="index 9"/>
    <w:basedOn w:val="Standard"/>
    <w:next w:val="Standard"/>
    <w:autoRedefine/>
    <w:semiHidden/>
    <w:rsid w:val="00FD727C"/>
    <w:pPr>
      <w:ind w:left="1800" w:hanging="200"/>
    </w:pPr>
  </w:style>
  <w:style w:type="paragraph" w:styleId="Indexberschrift">
    <w:name w:val="index heading"/>
    <w:basedOn w:val="Standard"/>
    <w:next w:val="Index1"/>
    <w:semiHidden/>
    <w:rsid w:val="00FD727C"/>
    <w:rPr>
      <w:rFonts w:ascii="Arial" w:hAnsi="Arial" w:cs="Arial"/>
      <w:b/>
      <w:bCs/>
    </w:rPr>
  </w:style>
  <w:style w:type="paragraph" w:styleId="Kommentartext">
    <w:name w:val="annotation text"/>
    <w:basedOn w:val="Standard"/>
    <w:link w:val="KommentartextZchn"/>
    <w:uiPriority w:val="99"/>
    <w:semiHidden/>
    <w:rsid w:val="00FD727C"/>
    <w:rPr>
      <w:szCs w:val="20"/>
    </w:rPr>
  </w:style>
  <w:style w:type="paragraph" w:styleId="Kommentarthema">
    <w:name w:val="annotation subject"/>
    <w:basedOn w:val="Kommentartext"/>
    <w:next w:val="Kommentartext"/>
    <w:semiHidden/>
    <w:rsid w:val="00FD727C"/>
    <w:rPr>
      <w:b/>
      <w:bCs/>
    </w:rPr>
  </w:style>
  <w:style w:type="paragraph" w:styleId="Makrotext">
    <w:name w:val="macro"/>
    <w:semiHidden/>
    <w:rsid w:val="00FD727C"/>
    <w:pPr>
      <w:keepLines/>
      <w:tabs>
        <w:tab w:val="left" w:pos="480"/>
        <w:tab w:val="left" w:pos="960"/>
        <w:tab w:val="left" w:pos="1440"/>
        <w:tab w:val="left" w:pos="1920"/>
        <w:tab w:val="left" w:pos="2400"/>
        <w:tab w:val="left" w:pos="2880"/>
        <w:tab w:val="left" w:pos="3360"/>
        <w:tab w:val="left" w:pos="3840"/>
        <w:tab w:val="left" w:pos="4320"/>
      </w:tabs>
      <w:spacing w:after="160"/>
      <w:jc w:val="both"/>
    </w:pPr>
    <w:rPr>
      <w:rFonts w:ascii="Courier New" w:hAnsi="Courier New" w:cs="Courier New"/>
    </w:rPr>
  </w:style>
  <w:style w:type="paragraph" w:styleId="Rechtsgrundlagenverzeichnis">
    <w:name w:val="table of authorities"/>
    <w:basedOn w:val="Standard"/>
    <w:next w:val="Standard"/>
    <w:semiHidden/>
    <w:rsid w:val="00FD727C"/>
    <w:pPr>
      <w:ind w:left="200" w:hanging="200"/>
    </w:pPr>
  </w:style>
  <w:style w:type="paragraph" w:styleId="RGV-berschrift">
    <w:name w:val="toa heading"/>
    <w:basedOn w:val="Standard"/>
    <w:next w:val="Standard"/>
    <w:semiHidden/>
    <w:rsid w:val="00FD727C"/>
    <w:pPr>
      <w:spacing w:before="120"/>
    </w:pPr>
    <w:rPr>
      <w:rFonts w:ascii="Arial" w:hAnsi="Arial" w:cs="Arial"/>
      <w:b/>
      <w:bCs/>
      <w:sz w:val="24"/>
    </w:rPr>
  </w:style>
  <w:style w:type="paragraph" w:styleId="Sprechblasentext">
    <w:name w:val="Balloon Text"/>
    <w:basedOn w:val="Standard"/>
    <w:semiHidden/>
    <w:rsid w:val="00FD727C"/>
    <w:rPr>
      <w:rFonts w:ascii="Tahoma" w:hAnsi="Tahoma" w:cs="Tahoma"/>
      <w:sz w:val="16"/>
      <w:szCs w:val="16"/>
    </w:rPr>
  </w:style>
  <w:style w:type="paragraph" w:styleId="Verzeichnis1">
    <w:name w:val="toc 1"/>
    <w:basedOn w:val="Standard"/>
    <w:next w:val="Standard"/>
    <w:autoRedefine/>
    <w:semiHidden/>
    <w:rsid w:val="00FD727C"/>
  </w:style>
  <w:style w:type="paragraph" w:styleId="Verzeichnis2">
    <w:name w:val="toc 2"/>
    <w:basedOn w:val="Standard"/>
    <w:next w:val="Standard"/>
    <w:autoRedefine/>
    <w:semiHidden/>
    <w:rsid w:val="00FD727C"/>
    <w:pPr>
      <w:ind w:left="200"/>
    </w:pPr>
  </w:style>
  <w:style w:type="paragraph" w:styleId="Verzeichnis3">
    <w:name w:val="toc 3"/>
    <w:basedOn w:val="Standard"/>
    <w:next w:val="Standard"/>
    <w:autoRedefine/>
    <w:semiHidden/>
    <w:rsid w:val="00FD727C"/>
    <w:pPr>
      <w:ind w:left="400"/>
    </w:pPr>
  </w:style>
  <w:style w:type="paragraph" w:styleId="Verzeichnis4">
    <w:name w:val="toc 4"/>
    <w:basedOn w:val="Standard"/>
    <w:next w:val="Standard"/>
    <w:autoRedefine/>
    <w:semiHidden/>
    <w:rsid w:val="00FD727C"/>
    <w:pPr>
      <w:ind w:left="600"/>
    </w:pPr>
  </w:style>
  <w:style w:type="paragraph" w:styleId="Verzeichnis5">
    <w:name w:val="toc 5"/>
    <w:basedOn w:val="Standard"/>
    <w:next w:val="Standard"/>
    <w:autoRedefine/>
    <w:semiHidden/>
    <w:rsid w:val="00FD727C"/>
    <w:pPr>
      <w:ind w:left="800"/>
    </w:pPr>
  </w:style>
  <w:style w:type="paragraph" w:styleId="Verzeichnis6">
    <w:name w:val="toc 6"/>
    <w:basedOn w:val="Standard"/>
    <w:next w:val="Standard"/>
    <w:autoRedefine/>
    <w:semiHidden/>
    <w:rsid w:val="00FD727C"/>
    <w:pPr>
      <w:ind w:left="1000"/>
    </w:pPr>
  </w:style>
  <w:style w:type="paragraph" w:styleId="Verzeichnis7">
    <w:name w:val="toc 7"/>
    <w:basedOn w:val="Standard"/>
    <w:next w:val="Standard"/>
    <w:autoRedefine/>
    <w:semiHidden/>
    <w:rsid w:val="00FD727C"/>
    <w:pPr>
      <w:ind w:left="1200"/>
    </w:pPr>
  </w:style>
  <w:style w:type="paragraph" w:styleId="Verzeichnis8">
    <w:name w:val="toc 8"/>
    <w:basedOn w:val="Standard"/>
    <w:next w:val="Standard"/>
    <w:autoRedefine/>
    <w:semiHidden/>
    <w:rsid w:val="00FD727C"/>
    <w:pPr>
      <w:ind w:left="1400"/>
    </w:pPr>
  </w:style>
  <w:style w:type="paragraph" w:styleId="Verzeichnis9">
    <w:name w:val="toc 9"/>
    <w:basedOn w:val="Standard"/>
    <w:next w:val="Standard"/>
    <w:autoRedefine/>
    <w:semiHidden/>
    <w:rsid w:val="00FD727C"/>
    <w:pPr>
      <w:ind w:left="1600"/>
    </w:pPr>
  </w:style>
  <w:style w:type="paragraph" w:customStyle="1" w:styleId="Formel">
    <w:name w:val="Formel"/>
    <w:basedOn w:val="Standard"/>
    <w:qFormat/>
    <w:rsid w:val="00037039"/>
    <w:pPr>
      <w:tabs>
        <w:tab w:val="right" w:pos="7088"/>
      </w:tabs>
      <w:ind w:left="284"/>
    </w:pPr>
  </w:style>
  <w:style w:type="character" w:customStyle="1" w:styleId="KommentartextZchn">
    <w:name w:val="Kommentartext Zchn"/>
    <w:link w:val="Kommentartext"/>
    <w:uiPriority w:val="99"/>
    <w:semiHidden/>
    <w:rsid w:val="00D37E8D"/>
  </w:style>
  <w:style w:type="table" w:styleId="TabelleListe3">
    <w:name w:val="Table List 3"/>
    <w:aliases w:val="Tabelle"/>
    <w:basedOn w:val="NormaleTabelle"/>
    <w:rsid w:val="00856C5A"/>
    <w:rPr>
      <w:color w:val="000000"/>
    </w:rPr>
    <w:tblPr>
      <w:tblBorders>
        <w:top w:val="single" w:sz="12" w:space="0" w:color="000000"/>
        <w:bottom w:val="single" w:sz="12" w:space="0" w:color="000000"/>
        <w:insideH w:val="single" w:sz="6" w:space="0" w:color="000000"/>
      </w:tblBorders>
    </w:tblPr>
    <w:tcPr>
      <w:shd w:val="clear" w:color="auto" w:fill="auto"/>
      <w:vAlign w:val="center"/>
    </w:tcPr>
    <w:tblStylePr w:type="firstRow">
      <w:pPr>
        <w:jc w:val="left"/>
      </w:pPr>
      <w:rPr>
        <w:rFonts w:ascii="Times New Roman" w:hAnsi="Times New Roman"/>
        <w:b/>
        <w:bCs/>
        <w:color w:val="auto"/>
        <w:sz w:val="20"/>
      </w:r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Platzhaltertext">
    <w:name w:val="Placeholder Text"/>
    <w:uiPriority w:val="99"/>
    <w:semiHidden/>
    <w:rsid w:val="00BF3DEC"/>
    <w:rPr>
      <w:color w:val="808080"/>
    </w:rPr>
  </w:style>
  <w:style w:type="character" w:styleId="BesuchterLink">
    <w:name w:val="FollowedHyperlink"/>
    <w:rsid w:val="009C5C75"/>
    <w:rPr>
      <w:color w:val="800080"/>
      <w:u w:val="single"/>
    </w:rPr>
  </w:style>
  <w:style w:type="paragraph" w:customStyle="1" w:styleId="Kopfzeilerechts">
    <w:name w:val="Kopfzeile rechts"/>
    <w:basedOn w:val="Standard"/>
    <w:rsid w:val="003B5C07"/>
    <w:pPr>
      <w:pBdr>
        <w:bottom w:val="single" w:sz="4" w:space="1" w:color="auto"/>
      </w:pBdr>
      <w:tabs>
        <w:tab w:val="right" w:pos="9072"/>
      </w:tabs>
      <w:jc w:val="right"/>
    </w:pPr>
    <w:rPr>
      <w:sz w:val="18"/>
      <w:szCs w:val="18"/>
      <w:lang w:val="de-AT"/>
    </w:rPr>
  </w:style>
  <w:style w:type="character" w:customStyle="1" w:styleId="KeywordsFett">
    <w:name w:val="Keywords + Fett"/>
    <w:uiPriority w:val="1"/>
    <w:rsid w:val="00444FE2"/>
    <w:rPr>
      <w:b/>
      <w:lang w:val="en-GB"/>
    </w:rPr>
  </w:style>
  <w:style w:type="character" w:customStyle="1" w:styleId="FormatvorlageabstractFett">
    <w:name w:val="Formatvorlage abstract + Fett"/>
    <w:uiPriority w:val="1"/>
    <w:rsid w:val="003B5C07"/>
    <w:rPr>
      <w:b/>
      <w:bCs/>
      <w:lang w:val="de-DE"/>
    </w:rPr>
  </w:style>
  <w:style w:type="character" w:customStyle="1" w:styleId="AbstractFett">
    <w:name w:val="Abstract + Fett"/>
    <w:uiPriority w:val="1"/>
    <w:rsid w:val="00444FE2"/>
    <w:rPr>
      <w:b/>
      <w:lang w:val="en-GB"/>
    </w:rPr>
  </w:style>
  <w:style w:type="character" w:styleId="Fett">
    <w:name w:val="Strong"/>
    <w:uiPriority w:val="22"/>
    <w:qFormat/>
    <w:rsid w:val="002B7BBE"/>
    <w:rPr>
      <w:b/>
      <w:bCs/>
    </w:rPr>
  </w:style>
  <w:style w:type="paragraph" w:customStyle="1" w:styleId="Tabellenkopf">
    <w:name w:val="Tabellenkopf"/>
    <w:basedOn w:val="Standard"/>
    <w:next w:val="Standard"/>
    <w:rsid w:val="00E15D29"/>
    <w:pPr>
      <w:jc w:val="left"/>
    </w:pPr>
    <w:rPr>
      <w:b/>
      <w:bCs/>
    </w:rPr>
  </w:style>
  <w:style w:type="paragraph" w:customStyle="1" w:styleId="abstract0">
    <w:name w:val="abstract"/>
    <w:basedOn w:val="Standard"/>
    <w:next w:val="Standard"/>
    <w:rsid w:val="00005347"/>
    <w:pPr>
      <w:spacing w:before="600" w:after="120"/>
    </w:pPr>
    <w:rPr>
      <w:sz w:val="18"/>
      <w:szCs w:val="20"/>
      <w:lang w:val="en-US"/>
    </w:rPr>
  </w:style>
  <w:style w:type="paragraph" w:customStyle="1" w:styleId="Formatvorlageberschrift3Verdana">
    <w:name w:val="Formatvorlage Überschrift 3 + Verdana"/>
    <w:basedOn w:val="Standard"/>
    <w:rsid w:val="00005347"/>
    <w:pPr>
      <w:tabs>
        <w:tab w:val="num" w:pos="720"/>
      </w:tabs>
      <w:ind w:left="720" w:hanging="720"/>
    </w:pPr>
  </w:style>
  <w:style w:type="paragraph" w:customStyle="1" w:styleId="author">
    <w:name w:val="author"/>
    <w:basedOn w:val="Titel"/>
    <w:rsid w:val="00005347"/>
    <w:pPr>
      <w:spacing w:after="0"/>
    </w:pPr>
    <w:rPr>
      <w:b w:val="0"/>
      <w:bCs w:val="0"/>
      <w:sz w:val="20"/>
    </w:rPr>
  </w:style>
  <w:style w:type="paragraph" w:customStyle="1" w:styleId="AufzhlungEbene10">
    <w:name w:val="Aufzählung Ebene1"/>
    <w:basedOn w:val="Standard"/>
    <w:rsid w:val="00005347"/>
    <w:pPr>
      <w:widowControl/>
      <w:tabs>
        <w:tab w:val="left" w:pos="499"/>
      </w:tabs>
      <w:autoSpaceDE w:val="0"/>
      <w:autoSpaceDN w:val="0"/>
      <w:adjustRightInd w:val="0"/>
      <w:spacing w:after="120"/>
      <w:ind w:left="499" w:hanging="499"/>
      <w:jc w:val="left"/>
    </w:pPr>
    <w:rPr>
      <w:color w:val="000000"/>
      <w:szCs w:val="20"/>
      <w:lang w:bidi="he-IL"/>
    </w:rPr>
  </w:style>
  <w:style w:type="paragraph" w:customStyle="1" w:styleId="keywords0">
    <w:name w:val="keywords"/>
    <w:basedOn w:val="abstract0"/>
    <w:rsid w:val="00005347"/>
    <w:pPr>
      <w:spacing w:before="120"/>
    </w:pPr>
    <w:rPr>
      <w:lang w:val="de-DE"/>
    </w:rPr>
  </w:style>
  <w:style w:type="paragraph" w:customStyle="1" w:styleId="gleichungsnummerierung">
    <w:name w:val="gleichungsnummerierung"/>
    <w:basedOn w:val="Standard"/>
    <w:rsid w:val="00005347"/>
    <w:pPr>
      <w:framePr w:hSpace="141" w:wrap="around" w:vAnchor="text" w:hAnchor="margin" w:x="30" w:y="80"/>
      <w:spacing w:before="120" w:after="120"/>
      <w:jc w:val="right"/>
    </w:pPr>
  </w:style>
  <w:style w:type="paragraph" w:customStyle="1" w:styleId="gleichung">
    <w:name w:val="gleichung"/>
    <w:basedOn w:val="Standard"/>
    <w:rsid w:val="00005347"/>
    <w:pPr>
      <w:framePr w:hSpace="141" w:wrap="around" w:vAnchor="text" w:hAnchor="margin" w:x="30" w:y="80"/>
      <w:spacing w:before="120" w:after="120"/>
      <w:ind w:left="284"/>
      <w:jc w:val="left"/>
    </w:pPr>
  </w:style>
  <w:style w:type="paragraph" w:customStyle="1" w:styleId="grafiken">
    <w:name w:val="grafiken"/>
    <w:basedOn w:val="Standard"/>
    <w:rsid w:val="00005347"/>
    <w:pPr>
      <w:jc w:val="center"/>
    </w:pPr>
  </w:style>
  <w:style w:type="paragraph" w:customStyle="1" w:styleId="tabelle">
    <w:name w:val="tabelle"/>
    <w:basedOn w:val="Standard"/>
    <w:rsid w:val="00005347"/>
    <w:pPr>
      <w:spacing w:after="0"/>
      <w:jc w:val="left"/>
    </w:pPr>
  </w:style>
  <w:style w:type="paragraph" w:customStyle="1" w:styleId="Aufzhlung">
    <w:name w:val="Aufzählung"/>
    <w:basedOn w:val="AufzhlungEbene10"/>
    <w:link w:val="AufzhlungZchn"/>
    <w:qFormat/>
    <w:rsid w:val="00005347"/>
    <w:pPr>
      <w:jc w:val="both"/>
    </w:pPr>
  </w:style>
  <w:style w:type="paragraph" w:customStyle="1" w:styleId="NummerierteAufzhlung">
    <w:name w:val="Nummerierte Aufzählung"/>
    <w:basedOn w:val="AufzhlungEbene2"/>
    <w:link w:val="NummerierteAufzhlungZchn"/>
    <w:qFormat/>
    <w:rsid w:val="00005347"/>
    <w:pPr>
      <w:numPr>
        <w:numId w:val="0"/>
      </w:numPr>
      <w:tabs>
        <w:tab w:val="num" w:pos="499"/>
      </w:tabs>
      <w:autoSpaceDE w:val="0"/>
      <w:autoSpaceDN w:val="0"/>
      <w:adjustRightInd w:val="0"/>
      <w:ind w:left="499" w:hanging="499"/>
    </w:pPr>
  </w:style>
  <w:style w:type="character" w:customStyle="1" w:styleId="AufzhlungZchn">
    <w:name w:val="Aufzählung Zchn"/>
    <w:link w:val="Aufzhlung"/>
    <w:rsid w:val="00005347"/>
    <w:rPr>
      <w:color w:val="000000"/>
      <w:lang w:bidi="he-IL"/>
    </w:rPr>
  </w:style>
  <w:style w:type="paragraph" w:customStyle="1" w:styleId="Aufzhlung2">
    <w:name w:val="Aufzählung 2"/>
    <w:basedOn w:val="AufzhlungEbene2"/>
    <w:link w:val="Aufzhlung2Zchn"/>
    <w:qFormat/>
    <w:rsid w:val="00005347"/>
    <w:pPr>
      <w:autoSpaceDE w:val="0"/>
      <w:autoSpaceDN w:val="0"/>
      <w:adjustRightInd w:val="0"/>
    </w:pPr>
  </w:style>
  <w:style w:type="character" w:customStyle="1" w:styleId="AufzhlungEbene2Zchn">
    <w:name w:val="Aufzählung Ebene 2 Zchn"/>
    <w:basedOn w:val="Absatz-Standardschriftart"/>
    <w:link w:val="AufzhlungEbene2"/>
    <w:rsid w:val="00005347"/>
  </w:style>
  <w:style w:type="character" w:customStyle="1" w:styleId="NummerierteAufzhlungZchn">
    <w:name w:val="Nummerierte Aufzählung Zchn"/>
    <w:basedOn w:val="AufzhlungEbene2Zchn"/>
    <w:link w:val="NummerierteAufzhlung"/>
    <w:rsid w:val="00005347"/>
  </w:style>
  <w:style w:type="paragraph" w:customStyle="1" w:styleId="NummerierteAufzhlung2">
    <w:name w:val="Nummerierte Aufzählung 2"/>
    <w:basedOn w:val="AufzhlungEbene2"/>
    <w:link w:val="NummerierteAufzhlung2Zchn"/>
    <w:qFormat/>
    <w:rsid w:val="00005347"/>
    <w:pPr>
      <w:numPr>
        <w:numId w:val="0"/>
      </w:numPr>
      <w:autoSpaceDE w:val="0"/>
      <w:autoSpaceDN w:val="0"/>
      <w:adjustRightInd w:val="0"/>
      <w:ind w:left="998" w:hanging="499"/>
    </w:pPr>
    <w:rPr>
      <w:color w:val="000000"/>
      <w:lang w:bidi="he-IL"/>
    </w:rPr>
  </w:style>
  <w:style w:type="character" w:customStyle="1" w:styleId="Aufzhlung2Zchn">
    <w:name w:val="Aufzählung 2 Zchn"/>
    <w:basedOn w:val="AufzhlungEbene2Zchn"/>
    <w:link w:val="Aufzhlung2"/>
    <w:rsid w:val="00005347"/>
  </w:style>
  <w:style w:type="character" w:customStyle="1" w:styleId="NummerierteAufzhlung2Zchn">
    <w:name w:val="Nummerierte Aufzählung 2 Zchn"/>
    <w:link w:val="NummerierteAufzhlung2"/>
    <w:rsid w:val="00005347"/>
    <w:rPr>
      <w:color w:val="000000"/>
      <w:lang w:bidi="he-IL"/>
    </w:rPr>
  </w:style>
  <w:style w:type="paragraph" w:styleId="Listenabsatz">
    <w:name w:val="List Paragraph"/>
    <w:basedOn w:val="Standard"/>
    <w:uiPriority w:val="34"/>
    <w:rsid w:val="00DF3457"/>
    <w:pPr>
      <w:widowControl/>
      <w:ind w:left="720"/>
      <w:contextualSpacing/>
    </w:pPr>
  </w:style>
  <w:style w:type="character" w:styleId="NichtaufgelsteErwhnung">
    <w:name w:val="Unresolved Mention"/>
    <w:basedOn w:val="Absatz-Standardschriftart"/>
    <w:uiPriority w:val="99"/>
    <w:semiHidden/>
    <w:unhideWhenUsed/>
    <w:rsid w:val="00AE3187"/>
    <w:rPr>
      <w:color w:val="605E5C"/>
      <w:shd w:val="clear" w:color="auto" w:fill="E1DFDD"/>
    </w:rPr>
  </w:style>
  <w:style w:type="paragraph" w:customStyle="1" w:styleId="standard-first-paragraph">
    <w:name w:val="standard-first-paragraph"/>
    <w:basedOn w:val="Standard"/>
    <w:next w:val="Standard"/>
    <w:qFormat/>
    <w:rsid w:val="00854949"/>
    <w:pPr>
      <w:widowControl/>
      <w:overflowPunct w:val="0"/>
      <w:autoSpaceDE w:val="0"/>
      <w:autoSpaceDN w:val="0"/>
      <w:adjustRightInd w:val="0"/>
      <w:spacing w:after="0" w:line="240" w:lineRule="atLeast"/>
      <w:textAlignment w:val="baseline"/>
    </w:pPr>
    <w:rPr>
      <w:szCs w:val="20"/>
      <w:lang w:val="en-US"/>
    </w:rPr>
  </w:style>
  <w:style w:type="paragraph" w:styleId="Aufzhlungszeichen">
    <w:name w:val="List Bullet"/>
    <w:basedOn w:val="Standard"/>
    <w:unhideWhenUsed/>
    <w:rsid w:val="00D43699"/>
    <w:pPr>
      <w:numPr>
        <w:numId w:val="4"/>
      </w:numPr>
      <w:contextualSpacing/>
    </w:pPr>
  </w:style>
  <w:style w:type="paragraph" w:styleId="StandardWeb">
    <w:name w:val="Normal (Web)"/>
    <w:basedOn w:val="Standard"/>
    <w:semiHidden/>
    <w:unhideWhenUsed/>
    <w:rsid w:val="009356D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83775">
      <w:bodyDiv w:val="1"/>
      <w:marLeft w:val="0"/>
      <w:marRight w:val="0"/>
      <w:marTop w:val="0"/>
      <w:marBottom w:val="0"/>
      <w:divBdr>
        <w:top w:val="none" w:sz="0" w:space="0" w:color="auto"/>
        <w:left w:val="none" w:sz="0" w:space="0" w:color="auto"/>
        <w:bottom w:val="none" w:sz="0" w:space="0" w:color="auto"/>
        <w:right w:val="none" w:sz="0" w:space="0" w:color="auto"/>
      </w:divBdr>
    </w:div>
    <w:div w:id="192890067">
      <w:bodyDiv w:val="1"/>
      <w:marLeft w:val="0"/>
      <w:marRight w:val="0"/>
      <w:marTop w:val="0"/>
      <w:marBottom w:val="0"/>
      <w:divBdr>
        <w:top w:val="none" w:sz="0" w:space="0" w:color="auto"/>
        <w:left w:val="none" w:sz="0" w:space="0" w:color="auto"/>
        <w:bottom w:val="none" w:sz="0" w:space="0" w:color="auto"/>
        <w:right w:val="none" w:sz="0" w:space="0" w:color="auto"/>
      </w:divBdr>
    </w:div>
    <w:div w:id="286399965">
      <w:bodyDiv w:val="1"/>
      <w:marLeft w:val="0"/>
      <w:marRight w:val="0"/>
      <w:marTop w:val="0"/>
      <w:marBottom w:val="0"/>
      <w:divBdr>
        <w:top w:val="none" w:sz="0" w:space="0" w:color="auto"/>
        <w:left w:val="none" w:sz="0" w:space="0" w:color="auto"/>
        <w:bottom w:val="none" w:sz="0" w:space="0" w:color="auto"/>
        <w:right w:val="none" w:sz="0" w:space="0" w:color="auto"/>
      </w:divBdr>
    </w:div>
    <w:div w:id="288323044">
      <w:bodyDiv w:val="1"/>
      <w:marLeft w:val="0"/>
      <w:marRight w:val="0"/>
      <w:marTop w:val="0"/>
      <w:marBottom w:val="0"/>
      <w:divBdr>
        <w:top w:val="none" w:sz="0" w:space="0" w:color="auto"/>
        <w:left w:val="none" w:sz="0" w:space="0" w:color="auto"/>
        <w:bottom w:val="none" w:sz="0" w:space="0" w:color="auto"/>
        <w:right w:val="none" w:sz="0" w:space="0" w:color="auto"/>
      </w:divBdr>
    </w:div>
    <w:div w:id="382683725">
      <w:bodyDiv w:val="1"/>
      <w:marLeft w:val="0"/>
      <w:marRight w:val="0"/>
      <w:marTop w:val="0"/>
      <w:marBottom w:val="0"/>
      <w:divBdr>
        <w:top w:val="none" w:sz="0" w:space="0" w:color="auto"/>
        <w:left w:val="none" w:sz="0" w:space="0" w:color="auto"/>
        <w:bottom w:val="none" w:sz="0" w:space="0" w:color="auto"/>
        <w:right w:val="none" w:sz="0" w:space="0" w:color="auto"/>
      </w:divBdr>
    </w:div>
    <w:div w:id="421339086">
      <w:bodyDiv w:val="1"/>
      <w:marLeft w:val="0"/>
      <w:marRight w:val="0"/>
      <w:marTop w:val="0"/>
      <w:marBottom w:val="0"/>
      <w:divBdr>
        <w:top w:val="none" w:sz="0" w:space="0" w:color="auto"/>
        <w:left w:val="none" w:sz="0" w:space="0" w:color="auto"/>
        <w:bottom w:val="none" w:sz="0" w:space="0" w:color="auto"/>
        <w:right w:val="none" w:sz="0" w:space="0" w:color="auto"/>
      </w:divBdr>
    </w:div>
    <w:div w:id="558788006">
      <w:bodyDiv w:val="1"/>
      <w:marLeft w:val="0"/>
      <w:marRight w:val="0"/>
      <w:marTop w:val="0"/>
      <w:marBottom w:val="0"/>
      <w:divBdr>
        <w:top w:val="none" w:sz="0" w:space="0" w:color="auto"/>
        <w:left w:val="none" w:sz="0" w:space="0" w:color="auto"/>
        <w:bottom w:val="none" w:sz="0" w:space="0" w:color="auto"/>
        <w:right w:val="none" w:sz="0" w:space="0" w:color="auto"/>
      </w:divBdr>
    </w:div>
    <w:div w:id="587889764">
      <w:bodyDiv w:val="1"/>
      <w:marLeft w:val="0"/>
      <w:marRight w:val="0"/>
      <w:marTop w:val="0"/>
      <w:marBottom w:val="0"/>
      <w:divBdr>
        <w:top w:val="none" w:sz="0" w:space="0" w:color="auto"/>
        <w:left w:val="none" w:sz="0" w:space="0" w:color="auto"/>
        <w:bottom w:val="none" w:sz="0" w:space="0" w:color="auto"/>
        <w:right w:val="none" w:sz="0" w:space="0" w:color="auto"/>
      </w:divBdr>
    </w:div>
    <w:div w:id="793645762">
      <w:bodyDiv w:val="1"/>
      <w:marLeft w:val="0"/>
      <w:marRight w:val="0"/>
      <w:marTop w:val="0"/>
      <w:marBottom w:val="0"/>
      <w:divBdr>
        <w:top w:val="none" w:sz="0" w:space="0" w:color="auto"/>
        <w:left w:val="none" w:sz="0" w:space="0" w:color="auto"/>
        <w:bottom w:val="none" w:sz="0" w:space="0" w:color="auto"/>
        <w:right w:val="none" w:sz="0" w:space="0" w:color="auto"/>
      </w:divBdr>
    </w:div>
    <w:div w:id="968048361">
      <w:bodyDiv w:val="1"/>
      <w:marLeft w:val="0"/>
      <w:marRight w:val="0"/>
      <w:marTop w:val="0"/>
      <w:marBottom w:val="0"/>
      <w:divBdr>
        <w:top w:val="none" w:sz="0" w:space="0" w:color="auto"/>
        <w:left w:val="none" w:sz="0" w:space="0" w:color="auto"/>
        <w:bottom w:val="none" w:sz="0" w:space="0" w:color="auto"/>
        <w:right w:val="none" w:sz="0" w:space="0" w:color="auto"/>
      </w:divBdr>
    </w:div>
    <w:div w:id="1011640988">
      <w:bodyDiv w:val="1"/>
      <w:marLeft w:val="0"/>
      <w:marRight w:val="0"/>
      <w:marTop w:val="0"/>
      <w:marBottom w:val="0"/>
      <w:divBdr>
        <w:top w:val="none" w:sz="0" w:space="0" w:color="auto"/>
        <w:left w:val="none" w:sz="0" w:space="0" w:color="auto"/>
        <w:bottom w:val="none" w:sz="0" w:space="0" w:color="auto"/>
        <w:right w:val="none" w:sz="0" w:space="0" w:color="auto"/>
      </w:divBdr>
    </w:div>
    <w:div w:id="1211266885">
      <w:bodyDiv w:val="1"/>
      <w:marLeft w:val="0"/>
      <w:marRight w:val="0"/>
      <w:marTop w:val="0"/>
      <w:marBottom w:val="0"/>
      <w:divBdr>
        <w:top w:val="none" w:sz="0" w:space="0" w:color="auto"/>
        <w:left w:val="none" w:sz="0" w:space="0" w:color="auto"/>
        <w:bottom w:val="none" w:sz="0" w:space="0" w:color="auto"/>
        <w:right w:val="none" w:sz="0" w:space="0" w:color="auto"/>
      </w:divBdr>
    </w:div>
    <w:div w:id="1259173995">
      <w:bodyDiv w:val="1"/>
      <w:marLeft w:val="0"/>
      <w:marRight w:val="0"/>
      <w:marTop w:val="0"/>
      <w:marBottom w:val="0"/>
      <w:divBdr>
        <w:top w:val="none" w:sz="0" w:space="0" w:color="auto"/>
        <w:left w:val="none" w:sz="0" w:space="0" w:color="auto"/>
        <w:bottom w:val="none" w:sz="0" w:space="0" w:color="auto"/>
        <w:right w:val="none" w:sz="0" w:space="0" w:color="auto"/>
      </w:divBdr>
    </w:div>
    <w:div w:id="1291595177">
      <w:bodyDiv w:val="1"/>
      <w:marLeft w:val="0"/>
      <w:marRight w:val="0"/>
      <w:marTop w:val="0"/>
      <w:marBottom w:val="0"/>
      <w:divBdr>
        <w:top w:val="none" w:sz="0" w:space="0" w:color="auto"/>
        <w:left w:val="none" w:sz="0" w:space="0" w:color="auto"/>
        <w:bottom w:val="none" w:sz="0" w:space="0" w:color="auto"/>
        <w:right w:val="none" w:sz="0" w:space="0" w:color="auto"/>
      </w:divBdr>
    </w:div>
    <w:div w:id="1323583498">
      <w:bodyDiv w:val="1"/>
      <w:marLeft w:val="0"/>
      <w:marRight w:val="0"/>
      <w:marTop w:val="0"/>
      <w:marBottom w:val="0"/>
      <w:divBdr>
        <w:top w:val="none" w:sz="0" w:space="0" w:color="auto"/>
        <w:left w:val="none" w:sz="0" w:space="0" w:color="auto"/>
        <w:bottom w:val="none" w:sz="0" w:space="0" w:color="auto"/>
        <w:right w:val="none" w:sz="0" w:space="0" w:color="auto"/>
      </w:divBdr>
    </w:div>
    <w:div w:id="1351299773">
      <w:bodyDiv w:val="1"/>
      <w:marLeft w:val="0"/>
      <w:marRight w:val="0"/>
      <w:marTop w:val="0"/>
      <w:marBottom w:val="0"/>
      <w:divBdr>
        <w:top w:val="none" w:sz="0" w:space="0" w:color="auto"/>
        <w:left w:val="none" w:sz="0" w:space="0" w:color="auto"/>
        <w:bottom w:val="none" w:sz="0" w:space="0" w:color="auto"/>
        <w:right w:val="none" w:sz="0" w:space="0" w:color="auto"/>
      </w:divBdr>
    </w:div>
    <w:div w:id="1356804074">
      <w:bodyDiv w:val="1"/>
      <w:marLeft w:val="0"/>
      <w:marRight w:val="0"/>
      <w:marTop w:val="0"/>
      <w:marBottom w:val="0"/>
      <w:divBdr>
        <w:top w:val="none" w:sz="0" w:space="0" w:color="auto"/>
        <w:left w:val="none" w:sz="0" w:space="0" w:color="auto"/>
        <w:bottom w:val="none" w:sz="0" w:space="0" w:color="auto"/>
        <w:right w:val="none" w:sz="0" w:space="0" w:color="auto"/>
      </w:divBdr>
    </w:div>
    <w:div w:id="1442920386">
      <w:bodyDiv w:val="1"/>
      <w:marLeft w:val="0"/>
      <w:marRight w:val="0"/>
      <w:marTop w:val="0"/>
      <w:marBottom w:val="0"/>
      <w:divBdr>
        <w:top w:val="none" w:sz="0" w:space="0" w:color="auto"/>
        <w:left w:val="none" w:sz="0" w:space="0" w:color="auto"/>
        <w:bottom w:val="none" w:sz="0" w:space="0" w:color="auto"/>
        <w:right w:val="none" w:sz="0" w:space="0" w:color="auto"/>
      </w:divBdr>
    </w:div>
    <w:div w:id="1540236392">
      <w:bodyDiv w:val="1"/>
      <w:marLeft w:val="0"/>
      <w:marRight w:val="0"/>
      <w:marTop w:val="0"/>
      <w:marBottom w:val="0"/>
      <w:divBdr>
        <w:top w:val="none" w:sz="0" w:space="0" w:color="auto"/>
        <w:left w:val="none" w:sz="0" w:space="0" w:color="auto"/>
        <w:bottom w:val="none" w:sz="0" w:space="0" w:color="auto"/>
        <w:right w:val="none" w:sz="0" w:space="0" w:color="auto"/>
      </w:divBdr>
    </w:div>
    <w:div w:id="1542744150">
      <w:bodyDiv w:val="1"/>
      <w:marLeft w:val="0"/>
      <w:marRight w:val="0"/>
      <w:marTop w:val="0"/>
      <w:marBottom w:val="0"/>
      <w:divBdr>
        <w:top w:val="none" w:sz="0" w:space="0" w:color="auto"/>
        <w:left w:val="none" w:sz="0" w:space="0" w:color="auto"/>
        <w:bottom w:val="none" w:sz="0" w:space="0" w:color="auto"/>
        <w:right w:val="none" w:sz="0" w:space="0" w:color="auto"/>
      </w:divBdr>
    </w:div>
    <w:div w:id="1586693302">
      <w:bodyDiv w:val="1"/>
      <w:marLeft w:val="0"/>
      <w:marRight w:val="0"/>
      <w:marTop w:val="0"/>
      <w:marBottom w:val="0"/>
      <w:divBdr>
        <w:top w:val="none" w:sz="0" w:space="0" w:color="auto"/>
        <w:left w:val="none" w:sz="0" w:space="0" w:color="auto"/>
        <w:bottom w:val="none" w:sz="0" w:space="0" w:color="auto"/>
        <w:right w:val="none" w:sz="0" w:space="0" w:color="auto"/>
      </w:divBdr>
    </w:div>
    <w:div w:id="1595086034">
      <w:bodyDiv w:val="1"/>
      <w:marLeft w:val="0"/>
      <w:marRight w:val="0"/>
      <w:marTop w:val="0"/>
      <w:marBottom w:val="0"/>
      <w:divBdr>
        <w:top w:val="none" w:sz="0" w:space="0" w:color="auto"/>
        <w:left w:val="none" w:sz="0" w:space="0" w:color="auto"/>
        <w:bottom w:val="none" w:sz="0" w:space="0" w:color="auto"/>
        <w:right w:val="none" w:sz="0" w:space="0" w:color="auto"/>
      </w:divBdr>
    </w:div>
    <w:div w:id="1656957816">
      <w:bodyDiv w:val="1"/>
      <w:marLeft w:val="0"/>
      <w:marRight w:val="0"/>
      <w:marTop w:val="0"/>
      <w:marBottom w:val="0"/>
      <w:divBdr>
        <w:top w:val="none" w:sz="0" w:space="0" w:color="auto"/>
        <w:left w:val="none" w:sz="0" w:space="0" w:color="auto"/>
        <w:bottom w:val="none" w:sz="0" w:space="0" w:color="auto"/>
        <w:right w:val="none" w:sz="0" w:space="0" w:color="auto"/>
      </w:divBdr>
    </w:div>
    <w:div w:id="1694921016">
      <w:bodyDiv w:val="1"/>
      <w:marLeft w:val="0"/>
      <w:marRight w:val="0"/>
      <w:marTop w:val="0"/>
      <w:marBottom w:val="0"/>
      <w:divBdr>
        <w:top w:val="none" w:sz="0" w:space="0" w:color="auto"/>
        <w:left w:val="none" w:sz="0" w:space="0" w:color="auto"/>
        <w:bottom w:val="none" w:sz="0" w:space="0" w:color="auto"/>
        <w:right w:val="none" w:sz="0" w:space="0" w:color="auto"/>
      </w:divBdr>
    </w:div>
    <w:div w:id="1708488887">
      <w:bodyDiv w:val="1"/>
      <w:marLeft w:val="0"/>
      <w:marRight w:val="0"/>
      <w:marTop w:val="0"/>
      <w:marBottom w:val="0"/>
      <w:divBdr>
        <w:top w:val="none" w:sz="0" w:space="0" w:color="auto"/>
        <w:left w:val="none" w:sz="0" w:space="0" w:color="auto"/>
        <w:bottom w:val="none" w:sz="0" w:space="0" w:color="auto"/>
        <w:right w:val="none" w:sz="0" w:space="0" w:color="auto"/>
      </w:divBdr>
    </w:div>
    <w:div w:id="1867863184">
      <w:bodyDiv w:val="1"/>
      <w:marLeft w:val="0"/>
      <w:marRight w:val="0"/>
      <w:marTop w:val="0"/>
      <w:marBottom w:val="0"/>
      <w:divBdr>
        <w:top w:val="none" w:sz="0" w:space="0" w:color="auto"/>
        <w:left w:val="none" w:sz="0" w:space="0" w:color="auto"/>
        <w:bottom w:val="none" w:sz="0" w:space="0" w:color="auto"/>
        <w:right w:val="none" w:sz="0" w:space="0" w:color="auto"/>
      </w:divBdr>
    </w:div>
    <w:div w:id="1922106025">
      <w:bodyDiv w:val="1"/>
      <w:marLeft w:val="0"/>
      <w:marRight w:val="0"/>
      <w:marTop w:val="0"/>
      <w:marBottom w:val="0"/>
      <w:divBdr>
        <w:top w:val="none" w:sz="0" w:space="0" w:color="auto"/>
        <w:left w:val="none" w:sz="0" w:space="0" w:color="auto"/>
        <w:bottom w:val="none" w:sz="0" w:space="0" w:color="auto"/>
        <w:right w:val="none" w:sz="0" w:space="0" w:color="auto"/>
      </w:divBdr>
    </w:div>
    <w:div w:id="1929340276">
      <w:bodyDiv w:val="1"/>
      <w:marLeft w:val="0"/>
      <w:marRight w:val="0"/>
      <w:marTop w:val="0"/>
      <w:marBottom w:val="0"/>
      <w:divBdr>
        <w:top w:val="none" w:sz="0" w:space="0" w:color="auto"/>
        <w:left w:val="none" w:sz="0" w:space="0" w:color="auto"/>
        <w:bottom w:val="none" w:sz="0" w:space="0" w:color="auto"/>
        <w:right w:val="none" w:sz="0" w:space="0" w:color="auto"/>
      </w:divBdr>
    </w:div>
    <w:div w:id="2039575492">
      <w:bodyDiv w:val="1"/>
      <w:marLeft w:val="0"/>
      <w:marRight w:val="0"/>
      <w:marTop w:val="0"/>
      <w:marBottom w:val="0"/>
      <w:divBdr>
        <w:top w:val="none" w:sz="0" w:space="0" w:color="auto"/>
        <w:left w:val="none" w:sz="0" w:space="0" w:color="auto"/>
        <w:bottom w:val="none" w:sz="0" w:space="0" w:color="auto"/>
        <w:right w:val="none" w:sz="0" w:space="0" w:color="auto"/>
      </w:divBdr>
    </w:div>
    <w:div w:id="2073114348">
      <w:bodyDiv w:val="1"/>
      <w:marLeft w:val="0"/>
      <w:marRight w:val="0"/>
      <w:marTop w:val="0"/>
      <w:marBottom w:val="0"/>
      <w:divBdr>
        <w:top w:val="none" w:sz="0" w:space="0" w:color="auto"/>
        <w:left w:val="none" w:sz="0" w:space="0" w:color="auto"/>
        <w:bottom w:val="none" w:sz="0" w:space="0" w:color="auto"/>
        <w:right w:val="none" w:sz="0" w:space="0" w:color="auto"/>
      </w:divBdr>
    </w:div>
    <w:div w:id="2094668192">
      <w:bodyDiv w:val="1"/>
      <w:marLeft w:val="0"/>
      <w:marRight w:val="0"/>
      <w:marTop w:val="0"/>
      <w:marBottom w:val="0"/>
      <w:divBdr>
        <w:top w:val="none" w:sz="0" w:space="0" w:color="auto"/>
        <w:left w:val="none" w:sz="0" w:space="0" w:color="auto"/>
        <w:bottom w:val="none" w:sz="0" w:space="0" w:color="auto"/>
        <w:right w:val="none" w:sz="0" w:space="0" w:color="auto"/>
      </w:divBdr>
    </w:div>
    <w:div w:id="2120947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svg"/><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orcid.org/%200000-0002-0687-1814" TargetMode="External"/><Relationship Id="rId2" Type="http://schemas.openxmlformats.org/officeDocument/2006/relationships/image" Target="media/image2.gif"/><Relationship Id="rId1" Type="http://schemas.openxmlformats.org/officeDocument/2006/relationships/hyperlink" Target="https://orcid.org/%200009-0003-7862-185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3882</Words>
  <Characters>24459</Characters>
  <Application>Microsoft Office Word</Application>
  <DocSecurity>0</DocSecurity>
  <Lines>203</Lines>
  <Paragraphs>56</Paragraphs>
  <ScaleCrop>false</ScaleCrop>
  <HeadingPairs>
    <vt:vector size="2" baseType="variant">
      <vt:variant>
        <vt:lpstr>Titel</vt:lpstr>
      </vt:variant>
      <vt:variant>
        <vt:i4>1</vt:i4>
      </vt:variant>
    </vt:vector>
  </HeadingPairs>
  <TitlesOfParts>
    <vt:vector size="1" baseType="lpstr">
      <vt:lpstr>LNI-Autorenrichtlinien</vt:lpstr>
    </vt:vector>
  </TitlesOfParts>
  <Company>Universität Ulm</Company>
  <LinksUpToDate>false</LinksUpToDate>
  <CharactersWithSpaces>28285</CharactersWithSpaces>
  <SharedDoc>false</SharedDoc>
  <HLinks>
    <vt:vector size="78" baseType="variant">
      <vt:variant>
        <vt:i4>5832710</vt:i4>
      </vt:variant>
      <vt:variant>
        <vt:i4>15</vt:i4>
      </vt:variant>
      <vt:variant>
        <vt:i4>0</vt:i4>
      </vt:variant>
      <vt:variant>
        <vt:i4>5</vt:i4>
      </vt:variant>
      <vt:variant>
        <vt:lpwstr>http://www.gi-ev.at/</vt:lpwstr>
      </vt:variant>
      <vt:variant>
        <vt:lpwstr/>
      </vt:variant>
      <vt:variant>
        <vt:i4>458766</vt:i4>
      </vt:variant>
      <vt:variant>
        <vt:i4>12</vt:i4>
      </vt:variant>
      <vt:variant>
        <vt:i4>0</vt:i4>
      </vt:variant>
      <vt:variant>
        <vt:i4>5</vt:i4>
      </vt:variant>
      <vt:variant>
        <vt:lpwstr>https://github.com/gi-ev/biblatex-lni</vt:lpwstr>
      </vt:variant>
      <vt:variant>
        <vt:lpwstr/>
      </vt:variant>
      <vt:variant>
        <vt:i4>5374023</vt:i4>
      </vt:variant>
      <vt:variant>
        <vt:i4>9</vt:i4>
      </vt:variant>
      <vt:variant>
        <vt:i4>0</vt:i4>
      </vt:variant>
      <vt:variant>
        <vt:i4>5</vt:i4>
      </vt:variant>
      <vt:variant>
        <vt:lpwstr>https://github.com/citation-style-language/styles/blob/master/din-1505-2-alphanumeric.csl</vt:lpwstr>
      </vt:variant>
      <vt:variant>
        <vt:lpwstr/>
      </vt:variant>
      <vt:variant>
        <vt:i4>3080292</vt:i4>
      </vt:variant>
      <vt:variant>
        <vt:i4>6</vt:i4>
      </vt:variant>
      <vt:variant>
        <vt:i4>0</vt:i4>
      </vt:variant>
      <vt:variant>
        <vt:i4>5</vt:i4>
      </vt:variant>
      <vt:variant>
        <vt:lpwstr>https://help.citavi.com/knowledge-base/article/lni</vt:lpwstr>
      </vt:variant>
      <vt:variant>
        <vt:lpwstr/>
      </vt:variant>
      <vt:variant>
        <vt:i4>5242897</vt:i4>
      </vt:variant>
      <vt:variant>
        <vt:i4>16</vt:i4>
      </vt:variant>
      <vt:variant>
        <vt:i4>0</vt:i4>
      </vt:variant>
      <vt:variant>
        <vt:i4>5</vt:i4>
      </vt:variant>
      <vt:variant>
        <vt:lpwstr>https://orcid.org/0000-0002-1825-0097</vt:lpwstr>
      </vt:variant>
      <vt:variant>
        <vt:lpwstr/>
      </vt:variant>
      <vt:variant>
        <vt:i4>5242897</vt:i4>
      </vt:variant>
      <vt:variant>
        <vt:i4>14</vt:i4>
      </vt:variant>
      <vt:variant>
        <vt:i4>0</vt:i4>
      </vt:variant>
      <vt:variant>
        <vt:i4>5</vt:i4>
      </vt:variant>
      <vt:variant>
        <vt:lpwstr>https://orcid.org/0000-0002-1825-0097</vt:lpwstr>
      </vt:variant>
      <vt:variant>
        <vt:lpwstr/>
      </vt:variant>
      <vt:variant>
        <vt:i4>5242897</vt:i4>
      </vt:variant>
      <vt:variant>
        <vt:i4>12</vt:i4>
      </vt:variant>
      <vt:variant>
        <vt:i4>0</vt:i4>
      </vt:variant>
      <vt:variant>
        <vt:i4>5</vt:i4>
      </vt:variant>
      <vt:variant>
        <vt:lpwstr>https://orcid.org/0000-0002-1825-0097</vt:lpwstr>
      </vt:variant>
      <vt:variant>
        <vt:lpwstr/>
      </vt:variant>
      <vt:variant>
        <vt:i4>5242897</vt:i4>
      </vt:variant>
      <vt:variant>
        <vt:i4>10</vt:i4>
      </vt:variant>
      <vt:variant>
        <vt:i4>0</vt:i4>
      </vt:variant>
      <vt:variant>
        <vt:i4>5</vt:i4>
      </vt:variant>
      <vt:variant>
        <vt:lpwstr>https://orcid.org/0000-0002-1825-0097</vt:lpwstr>
      </vt:variant>
      <vt:variant>
        <vt:lpwstr/>
      </vt:variant>
      <vt:variant>
        <vt:i4>5242897</vt:i4>
      </vt:variant>
      <vt:variant>
        <vt:i4>8</vt:i4>
      </vt:variant>
      <vt:variant>
        <vt:i4>0</vt:i4>
      </vt:variant>
      <vt:variant>
        <vt:i4>5</vt:i4>
      </vt:variant>
      <vt:variant>
        <vt:lpwstr>https://orcid.org/0000-0002-1825-0097</vt:lpwstr>
      </vt:variant>
      <vt:variant>
        <vt:lpwstr/>
      </vt:variant>
      <vt:variant>
        <vt:i4>5242897</vt:i4>
      </vt:variant>
      <vt:variant>
        <vt:i4>6</vt:i4>
      </vt:variant>
      <vt:variant>
        <vt:i4>0</vt:i4>
      </vt:variant>
      <vt:variant>
        <vt:i4>5</vt:i4>
      </vt:variant>
      <vt:variant>
        <vt:lpwstr>https://orcid.org/0000-0002-1825-0097</vt:lpwstr>
      </vt:variant>
      <vt:variant>
        <vt:lpwstr/>
      </vt:variant>
      <vt:variant>
        <vt:i4>5242897</vt:i4>
      </vt:variant>
      <vt:variant>
        <vt:i4>4</vt:i4>
      </vt:variant>
      <vt:variant>
        <vt:i4>0</vt:i4>
      </vt:variant>
      <vt:variant>
        <vt:i4>5</vt:i4>
      </vt:variant>
      <vt:variant>
        <vt:lpwstr>https://orcid.org/0000-0002-1825-0097</vt:lpwstr>
      </vt:variant>
      <vt:variant>
        <vt:lpwstr/>
      </vt:variant>
      <vt:variant>
        <vt:i4>5242897</vt:i4>
      </vt:variant>
      <vt:variant>
        <vt:i4>2</vt:i4>
      </vt:variant>
      <vt:variant>
        <vt:i4>0</vt:i4>
      </vt:variant>
      <vt:variant>
        <vt:i4>5</vt:i4>
      </vt:variant>
      <vt:variant>
        <vt:lpwstr>https://orcid.org/0000-0002-1825-0097</vt:lpwstr>
      </vt:variant>
      <vt:variant>
        <vt:lpwstr/>
      </vt:variant>
      <vt:variant>
        <vt:i4>5242897</vt:i4>
      </vt:variant>
      <vt:variant>
        <vt:i4>0</vt:i4>
      </vt:variant>
      <vt:variant>
        <vt:i4>0</vt:i4>
      </vt:variant>
      <vt:variant>
        <vt:i4>5</vt:i4>
      </vt:variant>
      <vt:variant>
        <vt:lpwstr>https://orcid.org/0000-0002-1825-0097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LNI-Autorenrichtlinien</dc:title>
  <dc:subject/>
  <dc:creator>Microsoft Office User</dc:creator>
  <cp:keywords/>
  <cp:lastModifiedBy>Larissa Koch de Souza</cp:lastModifiedBy>
  <cp:revision>10</cp:revision>
  <cp:lastPrinted>2026-06-30T21:08:00Z</cp:lastPrinted>
  <dcterms:created xsi:type="dcterms:W3CDTF">2026-08-14T11:32:00Z</dcterms:created>
  <dcterms:modified xsi:type="dcterms:W3CDTF">2026-08-14T14:46:00Z</dcterms:modified>
</cp:coreProperties>
</file>