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footnotes.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wmf" ContentType="image/x-wmf"/>
  <Override PartName="/word/media/image3.wmf" ContentType="image/x-wmf"/>
  <Override PartName="/word/media/image4.wmf" ContentType="image/x-wmf"/>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wmf" ContentType="image/x-wmf"/>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lineRule="auto" w:line="240" w:before="0" w:after="459"/>
        <w:jc w:val="left"/>
        <w:rPr>
          <w:lang w:val="en-US"/>
        </w:rPr>
      </w:pPr>
      <w:r>
        <w:rPr>
          <w:b/>
          <w:bCs/>
          <w:lang w:val="en-US"/>
        </w:rPr>
        <w:t>AI model of a photovoltaic installation</w:t>
      </w:r>
    </w:p>
    <w:p>
      <w:pPr>
        <w:pStyle w:val="Author"/>
        <w:spacing w:lineRule="auto" w:line="240"/>
        <w:jc w:val="left"/>
        <w:rPr/>
      </w:pPr>
      <w:r>
        <w:rPr>
          <w:lang w:val="en-US"/>
        </w:rPr>
        <w:t>Paweł Kobiela</w:t>
      </w:r>
      <w:r>
        <w:rPr/>
        <w:drawing>
          <wp:inline distT="0" distB="0" distL="0" distR="0">
            <wp:extent cx="152400" cy="152400"/>
            <wp:effectExtent l="0" t="0" r="0" b="0"/>
            <wp:docPr id="1" name="Grafik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3" descr=""/>
                    <pic:cNvPicPr>
                      <a:picLocks noChangeAspect="1" noChangeArrowheads="1"/>
                    </pic:cNvPicPr>
                  </pic:nvPicPr>
                  <pic:blipFill>
                    <a:blip r:embed="rId2"/>
                    <a:stretch>
                      <a:fillRect/>
                    </a:stretch>
                  </pic:blipFill>
                  <pic:spPr bwMode="auto">
                    <a:xfrm>
                      <a:off x="0" y="0"/>
                      <a:ext cx="152400" cy="152400"/>
                    </a:xfrm>
                    <a:prstGeom prst="rect">
                      <a:avLst/>
                    </a:prstGeom>
                  </pic:spPr>
                </pic:pic>
              </a:graphicData>
            </a:graphic>
          </wp:inline>
        </w:drawing>
      </w:r>
      <w:r>
        <w:rPr>
          <w:vertAlign w:val="superscript"/>
          <w:lang w:val="en-US"/>
        </w:rPr>
        <w:t xml:space="preserve"> </w:t>
      </w:r>
      <w:r>
        <w:rPr>
          <w:rStyle w:val="FootnoteReference"/>
          <w:vertAlign w:val="superscript"/>
          <w:lang w:val="en-US"/>
        </w:rPr>
        <w:footnoteReference w:id="2"/>
      </w:r>
      <w:r>
        <w:rPr>
          <w:lang w:val="en-US"/>
        </w:rPr>
        <w:t>, Jarosław Stańczak</w:t>
      </w:r>
      <w:r>
        <w:rPr/>
        <w:drawing>
          <wp:inline distT="0" distB="0" distL="0" distR="0">
            <wp:extent cx="152400" cy="152400"/>
            <wp:effectExtent l="0" t="0" r="0" b="0"/>
            <wp:docPr id="2" name="Grafik 3 k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 kopia 1" descr=""/>
                    <pic:cNvPicPr>
                      <a:picLocks noChangeAspect="1" noChangeArrowheads="1"/>
                    </pic:cNvPicPr>
                  </pic:nvPicPr>
                  <pic:blipFill>
                    <a:blip r:embed="rId3"/>
                    <a:stretch>
                      <a:fillRect/>
                    </a:stretch>
                  </pic:blipFill>
                  <pic:spPr bwMode="auto">
                    <a:xfrm>
                      <a:off x="0" y="0"/>
                      <a:ext cx="152400" cy="152400"/>
                    </a:xfrm>
                    <a:prstGeom prst="rect">
                      <a:avLst/>
                    </a:prstGeom>
                  </pic:spPr>
                </pic:pic>
              </a:graphicData>
            </a:graphic>
          </wp:inline>
        </w:drawing>
      </w:r>
      <w:r>
        <w:rPr/>
        <w:t xml:space="preserve"> </w:t>
      </w:r>
      <w:r>
        <w:rPr>
          <w:rStyle w:val="FootnoteReference"/>
          <w:lang w:val="en-US"/>
        </w:rPr>
        <w:footnoteReference w:id="3"/>
      </w:r>
      <w:r>
        <w:rPr>
          <w:vertAlign w:val="superscript"/>
          <w:lang w:val="en-US"/>
        </w:rPr>
        <w:t>,</w:t>
      </w:r>
      <w:r>
        <w:rPr>
          <w:rStyle w:val="FootnoteReference"/>
          <w:vertAlign w:val="superscript"/>
          <w:lang w:val="en-US"/>
        </w:rPr>
        <w:footnoteReference w:id="4"/>
      </w:r>
      <w:r>
        <w:rPr>
          <w:vertAlign w:val="superscript"/>
          <w:lang w:val="en-US"/>
        </w:rPr>
        <w:t xml:space="preserve">, </w:t>
      </w:r>
      <w:r>
        <w:rPr>
          <w:lang w:val="en-US"/>
        </w:rPr>
        <w:t>and Paweł Bartoszczuk</w:t>
      </w:r>
      <w:r>
        <w:rPr/>
        <w:drawing>
          <wp:inline distT="0" distB="0" distL="0" distR="0">
            <wp:extent cx="152400" cy="152400"/>
            <wp:effectExtent l="0" t="0" r="0" b="0"/>
            <wp:docPr id="3" name="Grafik 3 kopia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kopia 2" descr=""/>
                    <pic:cNvPicPr>
                      <a:picLocks noChangeAspect="1" noChangeArrowheads="1"/>
                    </pic:cNvPicPr>
                  </pic:nvPicPr>
                  <pic:blipFill>
                    <a:blip r:embed="rId4"/>
                    <a:stretch>
                      <a:fillRect/>
                    </a:stretch>
                  </pic:blipFill>
                  <pic:spPr bwMode="auto">
                    <a:xfrm>
                      <a:off x="0" y="0"/>
                      <a:ext cx="152400" cy="152400"/>
                    </a:xfrm>
                    <a:prstGeom prst="rect">
                      <a:avLst/>
                    </a:prstGeom>
                  </pic:spPr>
                </pic:pic>
              </a:graphicData>
            </a:graphic>
          </wp:inline>
        </w:drawing>
      </w:r>
      <w:r>
        <w:rPr/>
        <w:t xml:space="preserve"> </w:t>
      </w:r>
      <w:r>
        <w:rPr>
          <w:rStyle w:val="FootnoteReference"/>
          <w:lang w:val="en-US"/>
        </w:rPr>
        <w:footnoteReference w:id="5"/>
      </w:r>
    </w:p>
    <w:p>
      <w:pPr>
        <w:pStyle w:val="Abstract"/>
        <w:spacing w:lineRule="auto" w:line="240"/>
        <w:rPr/>
      </w:pPr>
      <w:r>
        <w:rPr>
          <w:b/>
          <w:bCs/>
          <w:lang w:val="en-US"/>
        </w:rPr>
        <w:t xml:space="preserve">Abstract: </w:t>
      </w:r>
      <w:r>
        <w:rPr>
          <w:lang w:val="en-US"/>
        </w:rPr>
        <w:t>This work aims to develop two models to simulate the operation of a photovoltaic system and predict electricity production using weather data, including solar radiation and system operating temperature</w:t>
      </w:r>
      <w:r>
        <w:rPr>
          <w:sz w:val="18"/>
          <w:szCs w:val="18"/>
          <w:lang w:val="en-US"/>
        </w:rPr>
        <w:t xml:space="preserve">. A prototype measurement system was developed to collect data from an operating photovoltaic installation. </w:t>
      </w:r>
      <w:r>
        <w:rPr>
          <w:spacing w:val="-2"/>
          <w:sz w:val="18"/>
          <w:szCs w:val="18"/>
          <w:lang w:val="en-US"/>
        </w:rPr>
        <w:t>The obtained data set was prepared for developing linear regression and LSTM models simulating the operation of the installation. The models can be applied to estimate the value of electricity production for a specific installation in the future and the resulting ability to plan the production and the redistribution of this energy.</w:t>
      </w:r>
    </w:p>
    <w:p>
      <w:pPr>
        <w:pStyle w:val="Abstract"/>
        <w:spacing w:lineRule="auto" w:line="240" w:before="119" w:after="119"/>
        <w:rPr/>
      </w:pPr>
      <w:r>
        <w:rPr>
          <w:b/>
          <w:bCs/>
        </w:rPr>
        <w:t>Keywords:</w:t>
      </w:r>
      <w:r>
        <w:rPr/>
        <w:t xml:space="preserve"> photovoltaic system modeling, LSTM, neural network, linear regression.</w:t>
      </w:r>
    </w:p>
    <w:p>
      <w:pPr>
        <w:pStyle w:val="Heading11"/>
        <w:numPr>
          <w:ilvl w:val="0"/>
          <w:numId w:val="0"/>
        </w:numPr>
        <w:spacing w:lineRule="auto" w:line="240"/>
        <w:ind w:hanging="431" w:left="431"/>
        <w:rPr/>
      </w:pPr>
      <w:r>
        <w:rPr/>
        <w:t>1</w:t>
        <w:tab/>
        <w:t>Introduction</w:t>
      </w:r>
    </w:p>
    <w:p>
      <w:pPr>
        <w:pStyle w:val="P1a"/>
        <w:numPr>
          <w:ilvl w:val="0"/>
          <w:numId w:val="0"/>
        </w:numPr>
        <w:spacing w:lineRule="auto" w:line="240"/>
        <w:ind w:hanging="0" w:left="0"/>
        <w:rPr>
          <w:lang w:val="en-US"/>
        </w:rPr>
      </w:pPr>
      <w:r>
        <w:rPr>
          <w:sz w:val="20"/>
          <w:szCs w:val="20"/>
          <w:lang w:val="en-US"/>
        </w:rPr>
        <w:t xml:space="preserve">This work describes the process of developing artificial intelligence models that simulate the operation of a photovoltaic panel system depending on the seasonal data (such as solar radiation and system operating temperature) and can be used for predicting electricity production. The problem is quite new, but there are some works that show similar models using neural or agent approaches, but rather taking into account economic aspects [Ag22], [DD26], and no one has tried to describe collecting data using a device designed for this purpose. Our approach presented in this paper focuses on presenting the task from scratch, from constructing the data collection equipment, through data processing, to creating models using selected methods. </w:t>
      </w:r>
      <w:r>
        <w:rPr>
          <w:lang w:val="en-US"/>
        </w:rPr>
        <w:t xml:space="preserve">To build such a model, a special device has been constructed, which can store data directly from PV and can observe weather conditions. While there are computational models and formulas (shown in the next section) that describe PV panel parameters depending on changes in weather and other parameters, they are difficult to use directly because the specific parameters of the panels used are often unknown, as is the impact of their installation method and real weather conditions on their values. Therefore, their experimental identification is necessary. The next step was to collect the data, then process it, and use it to build models. </w:t>
      </w:r>
      <w:r>
        <w:rPr>
          <w:sz w:val="20"/>
          <w:szCs w:val="20"/>
          <w:lang w:val="en-US"/>
        </w:rPr>
        <w:t>Two models were used in this work: one simple, based on the least squares method, and the other, a much more complex one, employing an LSTM neural network. By creating two models, it was possible to compare their performance as predictors of electricity production.</w:t>
      </w:r>
      <w:r>
        <w:rPr>
          <w:lang w:val="en-US"/>
        </w:rPr>
        <w:t xml:space="preserve"> </w:t>
      </w:r>
    </w:p>
    <w:p>
      <w:pPr>
        <w:pStyle w:val="Heading11"/>
        <w:numPr>
          <w:ilvl w:val="0"/>
          <w:numId w:val="0"/>
        </w:numPr>
        <w:spacing w:lineRule="auto" w:line="240"/>
        <w:ind w:hanging="431" w:left="431"/>
        <w:rPr>
          <w:lang w:val="en-US"/>
        </w:rPr>
      </w:pPr>
      <w:r>
        <w:rPr>
          <w:b/>
          <w:bCs/>
          <w:sz w:val="24"/>
          <w:szCs w:val="24"/>
          <w:lang w:val="en-US"/>
        </w:rPr>
        <w:t>2</w:t>
        <w:tab/>
        <w:t>Basic concepts</w:t>
      </w:r>
    </w:p>
    <w:p>
      <w:pPr>
        <w:pStyle w:val="P1a"/>
        <w:numPr>
          <w:ilvl w:val="0"/>
          <w:numId w:val="0"/>
        </w:numPr>
        <w:spacing w:lineRule="auto" w:line="240"/>
        <w:ind w:hanging="0" w:left="0"/>
        <w:rPr>
          <w:lang w:val="en-US"/>
        </w:rPr>
      </w:pPr>
      <w:r>
        <w:rPr>
          <w:lang w:val="en-US"/>
        </w:rPr>
        <w:t xml:space="preserve">The operation of a photovoltaic cell is based on the photovoltaic effect, a key phenomenon in solid-state physics that occurs in semiconductors (see </w:t>
      </w:r>
      <w:r>
        <w:rPr>
          <w:rFonts w:cs="Times New Roman"/>
          <w:sz w:val="20"/>
          <w:szCs w:val="20"/>
          <w:lang w:val="en-US"/>
        </w:rPr>
        <w:t>[DLM24] or</w:t>
      </w:r>
      <w:r>
        <w:rPr>
          <w:rFonts w:cs="Times New Roman"/>
          <w:sz w:val="24"/>
          <w:szCs w:val="24"/>
          <w:lang w:val="en-US"/>
        </w:rPr>
        <w:t xml:space="preserve"> </w:t>
      </w:r>
      <w:r>
        <w:rPr>
          <w:rFonts w:cs="Times New Roman"/>
          <w:sz w:val="20"/>
          <w:szCs w:val="20"/>
          <w:lang w:val="en-US"/>
        </w:rPr>
        <w:t>[CO17]</w:t>
      </w:r>
      <w:r>
        <w:rPr>
          <w:lang w:val="en-US"/>
        </w:rPr>
        <w:t>). The basis of photovoltaic phenomena is a semiconductor material, most commonly crystalline silicon (Si). In pure silicon, the valence band is filled, and the conduction band is empty. The energy required for an electron to jump between the bands is determined by the band gap width (</w:t>
      </w:r>
      <w:r>
        <w:rPr>
          <w:i/>
          <w:iCs/>
          <w:lang w:val="en-US"/>
        </w:rPr>
        <w:t>E</w:t>
      </w:r>
      <w:r>
        <w:rPr>
          <w:i/>
          <w:iCs/>
          <w:vertAlign w:val="subscript"/>
          <w:lang w:val="en-US"/>
        </w:rPr>
        <w:t>g</w:t>
      </w:r>
      <w:r>
        <w:rPr>
          <w:lang w:val="en-US"/>
        </w:rPr>
        <w:t>). To facilitate conductivity, such a semiconductor is doped. To achieve n-type conductivity (electron conductivity, negative charges), it is doped with elements from group V of the periodic table, such as phosphorus (P). P-type conductivity (hole conductivity, positive charges) is obtained by doping with elements from group III, such as boron (B). At the boundary of the n and p layers, a layer of space charge is formed - the p-n junction - which is crucial for the operation of the photovoltaic cell. The photovoltaic effect is a process in which light is directly converted into electrical energy. To be absorbed and generate a carrier pair, a photon must have an energy greater than or equal to the band gap width (</w:t>
      </w:r>
      <w:r>
        <w:rPr>
          <w:i/>
          <w:iCs/>
          <w:lang w:val="en-US"/>
        </w:rPr>
        <w:t>E</w:t>
      </w:r>
      <w:r>
        <w:rPr>
          <w:i/>
          <w:iCs/>
          <w:vertAlign w:val="subscript"/>
          <w:lang w:val="en-US"/>
        </w:rPr>
        <w:t>g</w:t>
      </w:r>
      <w:r>
        <w:rPr>
          <w:lang w:val="en-US"/>
        </w:rPr>
        <w:t xml:space="preserve">). For crystalline silicon, </w:t>
      </w:r>
      <w:r>
        <w:rPr>
          <w:i/>
          <w:iCs/>
          <w:lang w:val="en-US"/>
        </w:rPr>
        <w:t>E</w:t>
      </w:r>
      <w:r>
        <w:rPr>
          <w:i/>
          <w:iCs/>
          <w:vertAlign w:val="subscript"/>
          <w:lang w:val="en-US"/>
        </w:rPr>
        <w:t>g</w:t>
      </w:r>
      <w:r>
        <w:rPr>
          <w:i/>
          <w:iCs/>
          <w:position w:val="0"/>
          <w:sz w:val="20"/>
          <w:sz w:val="20"/>
          <w:vertAlign w:val="baseline"/>
          <w:lang w:val="en-US"/>
        </w:rPr>
        <w:t> </w:t>
      </w:r>
      <w:r>
        <w:rPr>
          <w:lang w:val="en-US"/>
        </w:rPr>
        <w:t>≈ 1.12 eV. Absorption leads to the transition of an electron from the valence band to the conduction band. The electric field in the p-n junction acts as a barrier. Immediately after generation, electron-hole pairs are separated. It is this process of creating and separating charges of different signs at opposite ends of the cell that generates the voltage. Total solar power at the average distance from Earth to the Sun, often described as AM0 (Air Mass Zero) power, is approximately 1361 W/m² (the so-called solar constant). However, after passing through the Earth's atmosphere, this radiation weakens, and at the Earth's surface it ranges from about 1200 W/m</w:t>
      </w:r>
      <w:r>
        <w:rPr>
          <w:vertAlign w:val="superscript"/>
          <w:lang w:val="en-US"/>
        </w:rPr>
        <w:t>2</w:t>
      </w:r>
      <w:r>
        <w:rPr>
          <w:lang w:val="en-US"/>
        </w:rPr>
        <w:t xml:space="preserve"> at the equator, about 900 W/m</w:t>
      </w:r>
      <w:r>
        <w:rPr>
          <w:vertAlign w:val="superscript"/>
          <w:lang w:val="en-US"/>
        </w:rPr>
        <w:t>2</w:t>
      </w:r>
      <w:r>
        <w:rPr>
          <w:lang w:val="en-US"/>
        </w:rPr>
        <w:t xml:space="preserve"> in Central Europe, and about 500-700 W/m</w:t>
      </w:r>
      <w:r>
        <w:rPr>
          <w:vertAlign w:val="superscript"/>
          <w:lang w:val="en-US"/>
        </w:rPr>
        <w:t>2</w:t>
      </w:r>
      <w:r>
        <w:rPr>
          <w:lang w:val="en-US"/>
        </w:rPr>
        <w:t xml:space="preserve"> at the poles (at the highest position of the Sun). These parameters are called AM1.5 (Air Mass 1.5) values with the spectral composition of light appropriately modified by the atmosphere. Irradiance (</w:t>
      </w:r>
      <w:r>
        <w:rPr>
          <w:i/>
          <w:iCs/>
          <w:lang w:val="en-US"/>
        </w:rPr>
        <w:t>G</w:t>
      </w:r>
      <w:r>
        <w:rPr>
          <w:lang w:val="en-US"/>
        </w:rPr>
        <w:t>) is a fundamental indicator of the solar power reaching the module. Short-circuit current (</w:t>
      </w:r>
      <w:r>
        <w:rPr>
          <w:i/>
          <w:iCs/>
          <w:lang w:val="en-US"/>
        </w:rPr>
        <w:t>I</w:t>
      </w:r>
      <w:r>
        <w:rPr>
          <w:i/>
          <w:iCs/>
          <w:vertAlign w:val="subscript"/>
          <w:lang w:val="en-US"/>
        </w:rPr>
        <w:t>sc</w:t>
      </w:r>
      <w:r>
        <w:rPr>
          <w:lang w:val="en-US"/>
        </w:rPr>
        <w:t>) is almost perfectly linearly proportional to irradiance. This relationship is described by the formula (1):</w:t>
      </w:r>
    </w:p>
    <w:p>
      <w:pPr>
        <w:pStyle w:val="Equation"/>
        <w:spacing w:lineRule="auto" w:line="240"/>
        <w:rPr>
          <w:lang w:val="en-US"/>
        </w:rPr>
      </w:pPr>
      <w:r>
        <w:rPr/>
      </w:r>
      <m:oMath xmlns:m="http://schemas.openxmlformats.org/officeDocument/2006/math">
        <m:sSub>
          <m:e>
            <m:r>
              <w:rPr>
                <w:rFonts w:ascii="Cambria Math" w:hAnsi="Cambria Math"/>
              </w:rPr>
              <m:t xml:space="preserve">I</m:t>
            </m:r>
          </m:e>
          <m:sub>
            <m:r>
              <w:rPr>
                <w:rFonts w:ascii="Cambria Math" w:hAnsi="Cambria Math"/>
              </w:rPr>
              <m:t xml:space="preserve">sc</m:t>
            </m:r>
          </m:sub>
        </m:sSub>
        <m:d>
          <m:dPr>
            <m:begChr m:val="("/>
            <m:endChr m:val=")"/>
          </m:dPr>
          <m:e>
            <m:r>
              <w:rPr>
                <w:rFonts w:ascii="Cambria Math" w:hAnsi="Cambria Math"/>
              </w:rPr>
              <m:t xml:space="preserve">G</m:t>
            </m:r>
          </m:e>
        </m:d>
        <m:r>
          <w:rPr>
            <w:rFonts w:ascii="Cambria Math" w:hAnsi="Cambria Math"/>
          </w:rPr>
          <m:t xml:space="preserve">≈</m:t>
        </m:r>
        <m:f>
          <m:num>
            <m:sSub>
              <m:e>
                <m:r>
                  <w:rPr>
                    <w:rFonts w:ascii="Cambria Math" w:hAnsi="Cambria Math"/>
                  </w:rPr>
                  <m:t xml:space="preserve">I</m:t>
                </m:r>
              </m:e>
              <m:sub>
                <m:sSub>
                  <m:e>
                    <m:r>
                      <w:rPr>
                        <w:rFonts w:ascii="Cambria Math" w:hAnsi="Cambria Math"/>
                      </w:rPr>
                      <m:t xml:space="preserve">sc</m:t>
                    </m:r>
                  </m:e>
                  <m:sub>
                    <m:r>
                      <w:rPr>
                        <w:rFonts w:ascii="Cambria Math" w:hAnsi="Cambria Math"/>
                      </w:rPr>
                      <m:t xml:space="preserve">STC</m:t>
                    </m:r>
                  </m:sub>
                </m:sSub>
              </m:sub>
            </m:sSub>
            <m:r>
              <w:rPr>
                <w:rFonts w:ascii="Cambria Math" w:hAnsi="Cambria Math"/>
              </w:rPr>
              <m:t xml:space="preserve">∗</m:t>
            </m:r>
            <m:r>
              <w:rPr>
                <w:rFonts w:ascii="Cambria Math" w:hAnsi="Cambria Math"/>
              </w:rPr>
              <m:t xml:space="preserve">G</m:t>
            </m:r>
          </m:num>
          <m:den>
            <m:sSub>
              <m:e>
                <m:r>
                  <w:rPr>
                    <w:rFonts w:ascii="Cambria Math" w:hAnsi="Cambria Math"/>
                  </w:rPr>
                  <m:t xml:space="preserve">G</m:t>
                </m:r>
              </m:e>
              <m:sub>
                <m:r>
                  <w:rPr>
                    <w:rFonts w:ascii="Cambria Math" w:hAnsi="Cambria Math"/>
                  </w:rPr>
                  <m:t xml:space="preserve">STC</m:t>
                </m:r>
              </m:sub>
            </m:sSub>
          </m:den>
        </m:f>
      </m:oMath>
      <w:r>
        <w:rPr>
          <w:lang w:val="en-US"/>
        </w:rPr>
        <w:tab/>
        <w:tab/>
        <w:t>(1)</w:t>
      </w:r>
    </w:p>
    <w:p>
      <w:pPr>
        <w:pStyle w:val="P1a"/>
        <w:numPr>
          <w:ilvl w:val="0"/>
          <w:numId w:val="0"/>
        </w:numPr>
        <w:spacing w:lineRule="auto" w:line="240"/>
        <w:ind w:hanging="0" w:left="0"/>
        <w:rPr>
          <w:lang w:val="en-US"/>
        </w:rPr>
      </w:pPr>
      <w:r>
        <w:rPr>
          <w:lang w:val="en-US"/>
        </w:rPr>
        <w:t>An increase in irradiance causes a logarithmic increase in the open-circuit voltage (</w:t>
      </w:r>
      <w:r>
        <w:rPr>
          <w:i/>
          <w:iCs/>
          <w:lang w:val="en-US"/>
        </w:rPr>
        <w:t>V</w:t>
      </w:r>
      <w:r>
        <w:rPr>
          <w:i/>
          <w:iCs/>
          <w:vertAlign w:val="subscript"/>
          <w:lang w:val="en-US"/>
        </w:rPr>
        <w:t>oc</w:t>
      </w:r>
      <w:r>
        <w:rPr>
          <w:lang w:val="en-US"/>
        </w:rPr>
        <w:t>), which is a weaker relationship than that of current.</w:t>
      </w:r>
    </w:p>
    <w:p>
      <w:pPr>
        <w:pStyle w:val="Equation"/>
        <w:spacing w:lineRule="auto" w:line="240"/>
        <w:rPr>
          <w:lang w:val="en-US"/>
        </w:rPr>
      </w:pPr>
      <w:r>
        <w:rPr/>
      </w:r>
      <m:oMath xmlns:m="http://schemas.openxmlformats.org/officeDocument/2006/math">
        <m:sSub>
          <m:e>
            <m:r>
              <w:rPr>
                <w:rFonts w:ascii="Cambria Math" w:hAnsi="Cambria Math"/>
              </w:rPr>
              <m:t xml:space="preserve">V</m:t>
            </m:r>
          </m:e>
          <m:sub>
            <m:r>
              <w:rPr>
                <w:rFonts w:ascii="Cambria Math" w:hAnsi="Cambria Math"/>
              </w:rPr>
              <m:t xml:space="preserve">OC</m:t>
            </m:r>
          </m:sub>
        </m:sSub>
        <m:r>
          <m:rPr>
            <m:lit/>
            <m:nor/>
          </m:rPr>
          <w:rPr>
            <w:rFonts w:ascii="Cambria Math" w:hAnsi="Cambria Math"/>
          </w:rPr>
          <m:t xml:space="preserve">=</m:t>
        </m:r>
        <m:f>
          <m:num>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T</m:t>
            </m:r>
          </m:num>
          <m:den>
            <m:r>
              <w:rPr>
                <w:rFonts w:ascii="Cambria Math" w:hAnsi="Cambria Math"/>
              </w:rPr>
              <m:t xml:space="preserve">q</m:t>
            </m:r>
          </m:den>
        </m:f>
        <m:r>
          <w:rPr>
            <w:rFonts w:ascii="Cambria Math" w:hAnsi="Cambria Math"/>
          </w:rPr>
          <m:t xml:space="preserve">∗</m:t>
        </m:r>
        <m:r>
          <w:rPr>
            <w:rFonts w:ascii="Cambria Math" w:hAnsi="Cambria Math"/>
          </w:rPr>
          <m:t xml:space="preserve">ln</m:t>
        </m:r>
        <m:d>
          <m:dPr>
            <m:begChr m:val="("/>
            <m:endChr m:val=")"/>
          </m:dPr>
          <m:e>
            <m:f>
              <m:num>
                <m:sSub>
                  <m:e>
                    <m:r>
                      <w:rPr>
                        <w:rFonts w:ascii="Cambria Math" w:hAnsi="Cambria Math"/>
                      </w:rPr>
                      <m:t xml:space="preserve">I</m:t>
                    </m:r>
                  </m:e>
                  <m:sub>
                    <m:r>
                      <w:rPr>
                        <w:rFonts w:ascii="Cambria Math" w:hAnsi="Cambria Math"/>
                      </w:rPr>
                      <m:t xml:space="preserve">sc</m:t>
                    </m:r>
                  </m:sub>
                </m:sSub>
              </m:num>
              <m:den>
                <m:sSub>
                  <m:e>
                    <m:r>
                      <w:rPr>
                        <w:rFonts w:ascii="Cambria Math" w:hAnsi="Cambria Math"/>
                      </w:rPr>
                      <m:t xml:space="preserve">I</m:t>
                    </m:r>
                  </m:e>
                  <m:sub>
                    <m:r>
                      <w:rPr>
                        <w:rFonts w:ascii="Cambria Math" w:hAnsi="Cambria Math"/>
                      </w:rPr>
                      <m:t xml:space="preserve">o</m:t>
                    </m:r>
                  </m:sub>
                </m:sSub>
              </m:den>
            </m:f>
            <m:r>
              <m:rPr>
                <m:lit/>
                <m:nor/>
              </m:rPr>
              <w:rPr>
                <w:rFonts w:ascii="Cambria Math" w:hAnsi="Cambria Math"/>
              </w:rPr>
              <m:t xml:space="preserve">+</m:t>
            </m:r>
            <m:r>
              <w:rPr>
                <w:rFonts w:ascii="Cambria Math" w:hAnsi="Cambria Math"/>
              </w:rPr>
              <m:t xml:space="preserve">1</m:t>
            </m:r>
          </m:e>
        </m:d>
      </m:oMath>
      <w:r>
        <w:rPr>
          <w:lang w:val="en-US"/>
        </w:rPr>
        <w:tab/>
        <w:tab/>
        <w:t>(2)</w:t>
      </w:r>
    </w:p>
    <w:p>
      <w:pPr>
        <w:pStyle w:val="P1a"/>
        <w:numPr>
          <w:ilvl w:val="0"/>
          <w:numId w:val="1"/>
        </w:numPr>
        <w:spacing w:lineRule="auto" w:line="240"/>
        <w:ind w:hanging="0" w:left="0"/>
        <w:rPr>
          <w:sz w:val="16"/>
          <w:szCs w:val="16"/>
          <w:lang w:val="en-US"/>
        </w:rPr>
      </w:pPr>
      <w:r>
        <w:rPr>
          <w:i/>
          <w:iCs/>
          <w:sz w:val="16"/>
          <w:szCs w:val="16"/>
          <w:lang w:val="en-US"/>
        </w:rPr>
        <w:t>G</w:t>
      </w:r>
      <w:r>
        <w:rPr>
          <w:sz w:val="16"/>
          <w:szCs w:val="16"/>
          <w:lang w:val="en-US"/>
        </w:rPr>
        <w:t xml:space="preserve">, </w:t>
      </w:r>
      <w:r>
        <w:rPr>
          <w:i/>
          <w:iCs/>
          <w:sz w:val="16"/>
          <w:szCs w:val="16"/>
          <w:lang w:val="en-US"/>
        </w:rPr>
        <w:t>G</w:t>
      </w:r>
      <w:r>
        <w:rPr>
          <w:i/>
          <w:iCs/>
          <w:sz w:val="16"/>
          <w:szCs w:val="16"/>
          <w:vertAlign w:val="subscript"/>
          <w:lang w:val="en-US"/>
        </w:rPr>
        <w:t>STC</w:t>
      </w:r>
      <w:r>
        <w:rPr>
          <w:sz w:val="16"/>
          <w:szCs w:val="16"/>
          <w:lang w:val="en-US"/>
        </w:rPr>
        <w:t xml:space="preserve"> – irradiance, irradiance at Standard Test Conditions (STC, </w:t>
      </w:r>
      <w:r>
        <w:rPr>
          <w:i/>
          <w:iCs/>
          <w:sz w:val="16"/>
          <w:szCs w:val="16"/>
          <w:lang w:val="en-US"/>
        </w:rPr>
        <w:t>T</w:t>
      </w:r>
      <w:r>
        <w:rPr>
          <w:sz w:val="16"/>
          <w:szCs w:val="16"/>
          <w:lang w:val="en-US"/>
        </w:rPr>
        <w:t>=25</w:t>
      </w:r>
      <w:r>
        <w:rPr>
          <w:rFonts w:ascii="Liberation Serif" w:hAnsi="Liberation Serif"/>
          <w:sz w:val="16"/>
          <w:szCs w:val="16"/>
          <w:lang w:val="en-US"/>
        </w:rPr>
        <w:t>°C,</w:t>
      </w:r>
      <w:r>
        <w:rPr>
          <w:rFonts w:ascii="Liberation Serif" w:hAnsi="Liberation Serif"/>
          <w:i/>
          <w:iCs/>
          <w:sz w:val="16"/>
          <w:szCs w:val="16"/>
          <w:lang w:val="en-US"/>
        </w:rPr>
        <w:t xml:space="preserve"> P</w:t>
      </w:r>
      <w:r>
        <w:rPr>
          <w:rFonts w:ascii="Liberation Serif" w:hAnsi="Liberation Serif"/>
          <w:i/>
          <w:iCs/>
          <w:sz w:val="16"/>
          <w:szCs w:val="16"/>
          <w:vertAlign w:val="subscript"/>
          <w:lang w:val="en-US"/>
        </w:rPr>
        <w:t>light</w:t>
      </w:r>
      <w:r>
        <w:rPr>
          <w:rFonts w:ascii="Liberation Serif" w:hAnsi="Liberation Serif"/>
          <w:sz w:val="16"/>
          <w:szCs w:val="16"/>
          <w:lang w:val="en-US"/>
        </w:rPr>
        <w:t>=1000W/m</w:t>
      </w:r>
      <w:r>
        <w:rPr>
          <w:rFonts w:ascii="Liberation Serif" w:hAnsi="Liberation Serif"/>
          <w:sz w:val="16"/>
          <w:szCs w:val="16"/>
          <w:vertAlign w:val="superscript"/>
          <w:lang w:val="en-US"/>
        </w:rPr>
        <w:t>2</w:t>
      </w:r>
      <w:r>
        <w:rPr>
          <w:rFonts w:ascii="Liberation Serif" w:hAnsi="Liberation Serif"/>
          <w:sz w:val="16"/>
          <w:szCs w:val="16"/>
          <w:lang w:val="en-US"/>
        </w:rPr>
        <w:t xml:space="preserve">, AM1.5 light spectrum), </w:t>
      </w:r>
      <w:r>
        <w:rPr>
          <w:rFonts w:ascii="Liberation Serif" w:hAnsi="Liberation Serif"/>
          <w:i/>
          <w:iCs/>
          <w:sz w:val="16"/>
          <w:szCs w:val="16"/>
          <w:lang w:val="en-US"/>
        </w:rPr>
        <w:t>I</w:t>
      </w:r>
      <w:r>
        <w:rPr>
          <w:rFonts w:ascii="Liberation Serif" w:hAnsi="Liberation Serif"/>
          <w:i/>
          <w:iCs/>
          <w:sz w:val="16"/>
          <w:szCs w:val="16"/>
          <w:vertAlign w:val="subscript"/>
          <w:lang w:val="en-US"/>
        </w:rPr>
        <w:t>sc</w:t>
      </w:r>
      <w:r>
        <w:rPr>
          <w:rFonts w:ascii="Liberation Serif" w:hAnsi="Liberation Serif"/>
          <w:sz w:val="16"/>
          <w:szCs w:val="16"/>
          <w:lang w:val="en-US"/>
        </w:rPr>
        <w:t xml:space="preserve">, </w:t>
      </w:r>
      <w:r>
        <w:rPr>
          <w:rFonts w:ascii="Liberation Serif" w:hAnsi="Liberation Serif"/>
          <w:i/>
          <w:iCs/>
          <w:sz w:val="16"/>
          <w:szCs w:val="16"/>
          <w:lang w:val="en-US"/>
        </w:rPr>
        <w:t>I</w:t>
      </w:r>
      <w:r>
        <w:rPr>
          <w:rFonts w:ascii="Liberation Serif" w:hAnsi="Liberation Serif"/>
          <w:i/>
          <w:iCs/>
          <w:sz w:val="16"/>
          <w:szCs w:val="16"/>
          <w:vertAlign w:val="subscript"/>
          <w:lang w:val="en-US"/>
        </w:rPr>
        <w:t>sc_STC</w:t>
      </w:r>
      <w:r>
        <w:rPr>
          <w:rFonts w:ascii="Liberation Serif" w:hAnsi="Liberation Serif"/>
          <w:sz w:val="16"/>
          <w:szCs w:val="16"/>
          <w:lang w:val="en-US"/>
        </w:rPr>
        <w:t xml:space="preserve"> – short-circuit current, short-circuit current at STC, </w:t>
      </w:r>
      <w:r>
        <w:rPr>
          <w:rFonts w:ascii="Liberation Serif" w:hAnsi="Liberation Serif"/>
          <w:i/>
          <w:iCs/>
          <w:sz w:val="16"/>
          <w:szCs w:val="16"/>
          <w:lang w:val="en-US"/>
        </w:rPr>
        <w:t>I</w:t>
      </w:r>
      <w:r>
        <w:rPr>
          <w:rFonts w:ascii="Liberation Serif" w:hAnsi="Liberation Serif"/>
          <w:i/>
          <w:iCs/>
          <w:sz w:val="16"/>
          <w:szCs w:val="16"/>
          <w:vertAlign w:val="subscript"/>
          <w:lang w:val="en-US"/>
        </w:rPr>
        <w:t>o</w:t>
      </w:r>
      <w:r>
        <w:rPr>
          <w:rFonts w:ascii="Liberation Serif" w:hAnsi="Liberation Serif"/>
          <w:sz w:val="16"/>
          <w:szCs w:val="16"/>
          <w:lang w:val="en-US"/>
        </w:rPr>
        <w:t xml:space="preserve"> - saturation current of the p-n junction, </w:t>
      </w:r>
      <w:r>
        <w:rPr>
          <w:rFonts w:ascii="Liberation Serif" w:hAnsi="Liberation Serif"/>
          <w:i/>
          <w:iCs/>
          <w:sz w:val="16"/>
          <w:szCs w:val="16"/>
          <w:lang w:val="en-US"/>
        </w:rPr>
        <w:t>q</w:t>
      </w:r>
      <w:r>
        <w:rPr>
          <w:rFonts w:ascii="Liberation Serif" w:hAnsi="Liberation Serif"/>
          <w:sz w:val="16"/>
          <w:szCs w:val="16"/>
          <w:lang w:val="en-US"/>
        </w:rPr>
        <w:t xml:space="preserve"> - the charge of an electron (1.602⋅10</w:t>
      </w:r>
      <w:r>
        <w:rPr>
          <w:rFonts w:ascii="Liberation Serif" w:hAnsi="Liberation Serif"/>
          <w:sz w:val="16"/>
          <w:szCs w:val="16"/>
          <w:vertAlign w:val="superscript"/>
          <w:lang w:val="en-US"/>
        </w:rPr>
        <w:t xml:space="preserve">−19 </w:t>
      </w:r>
      <w:r>
        <w:rPr>
          <w:rFonts w:ascii="Liberation Serif" w:hAnsi="Liberation Serif"/>
          <w:sz w:val="16"/>
          <w:szCs w:val="16"/>
          <w:lang w:val="en-US"/>
        </w:rPr>
        <w:t xml:space="preserve">C), </w:t>
      </w:r>
      <w:r>
        <w:rPr>
          <w:rFonts w:ascii="Liberation Serif" w:hAnsi="Liberation Serif"/>
          <w:i/>
          <w:iCs/>
          <w:sz w:val="16"/>
          <w:szCs w:val="16"/>
          <w:lang w:val="en-US"/>
        </w:rPr>
        <w:t>V</w:t>
      </w:r>
      <w:r>
        <w:rPr>
          <w:rFonts w:ascii="Liberation Serif" w:hAnsi="Liberation Serif"/>
          <w:i/>
          <w:iCs/>
          <w:sz w:val="16"/>
          <w:szCs w:val="16"/>
          <w:vertAlign w:val="subscript"/>
          <w:lang w:val="en-US"/>
        </w:rPr>
        <w:t>oc</w:t>
      </w:r>
      <w:r>
        <w:rPr>
          <w:rFonts w:ascii="Liberation Serif" w:hAnsi="Liberation Serif"/>
          <w:sz w:val="16"/>
          <w:szCs w:val="16"/>
          <w:lang w:val="en-US"/>
        </w:rPr>
        <w:t xml:space="preserve"> – open circuit voltage, </w:t>
      </w:r>
      <w:r>
        <w:rPr>
          <w:rFonts w:ascii="Liberation Serif" w:hAnsi="Liberation Serif"/>
          <w:i/>
          <w:iCs/>
          <w:sz w:val="16"/>
          <w:szCs w:val="16"/>
          <w:lang w:val="en-US"/>
        </w:rPr>
        <w:t>n</w:t>
      </w:r>
      <w:r>
        <w:rPr>
          <w:rFonts w:ascii="Liberation Serif" w:hAnsi="Liberation Serif"/>
          <w:sz w:val="16"/>
          <w:szCs w:val="16"/>
          <w:lang w:val="en-US"/>
        </w:rPr>
        <w:t xml:space="preserve"> - diode quality factor (for Si cells ranges from 1 to 2), </w:t>
      </w:r>
      <w:r>
        <w:rPr>
          <w:rFonts w:ascii="Liberation Serif" w:hAnsi="Liberation Serif"/>
          <w:i/>
          <w:iCs/>
          <w:sz w:val="16"/>
          <w:szCs w:val="16"/>
          <w:lang w:val="en-US"/>
        </w:rPr>
        <w:t>k</w:t>
      </w:r>
      <w:r>
        <w:rPr>
          <w:rFonts w:ascii="Liberation Serif" w:hAnsi="Liberation Serif"/>
          <w:sz w:val="16"/>
          <w:szCs w:val="16"/>
          <w:lang w:val="en-US"/>
        </w:rPr>
        <w:t xml:space="preserve"> - Boltzmann constant (1.38⋅10</w:t>
      </w:r>
      <w:r>
        <w:rPr>
          <w:rFonts w:ascii="Liberation Serif" w:hAnsi="Liberation Serif"/>
          <w:sz w:val="16"/>
          <w:szCs w:val="16"/>
          <w:vertAlign w:val="superscript"/>
          <w:lang w:val="en-US"/>
        </w:rPr>
        <w:t>−23</w:t>
      </w:r>
      <w:r>
        <w:rPr>
          <w:rFonts w:ascii="Liberation Serif" w:hAnsi="Liberation Serif"/>
          <w:sz w:val="16"/>
          <w:szCs w:val="16"/>
          <w:lang w:val="en-US"/>
        </w:rPr>
        <w:t xml:space="preserve"> J/K), </w:t>
      </w:r>
      <w:r>
        <w:rPr>
          <w:rFonts w:ascii="Liberation Serif" w:hAnsi="Liberation Serif"/>
          <w:i/>
          <w:iCs/>
          <w:sz w:val="16"/>
          <w:szCs w:val="16"/>
          <w:lang w:val="en-US"/>
        </w:rPr>
        <w:t>T</w:t>
      </w:r>
      <w:r>
        <w:rPr>
          <w:rFonts w:ascii="Liberation Serif" w:hAnsi="Liberation Serif"/>
          <w:sz w:val="16"/>
          <w:szCs w:val="16"/>
          <w:lang w:val="en-US"/>
        </w:rPr>
        <w:t xml:space="preserve"> - cell temperature in Kelvin.</w:t>
      </w:r>
    </w:p>
    <w:p>
      <w:pPr>
        <w:pStyle w:val="P1a"/>
        <w:numPr>
          <w:ilvl w:val="0"/>
          <w:numId w:val="0"/>
        </w:numPr>
        <w:spacing w:lineRule="auto" w:line="240"/>
        <w:ind w:hanging="0" w:left="0"/>
        <w:rPr>
          <w:rFonts w:ascii="Times New Roman" w:hAnsi="Times New Roman"/>
          <w:lang w:val="en-US"/>
        </w:rPr>
      </w:pPr>
      <w:r>
        <w:rPr>
          <w:lang w:val="en-US"/>
        </w:rPr>
        <w:t>The power (</w:t>
      </w:r>
      <w:r>
        <w:rPr>
          <w:i/>
          <w:iCs/>
          <w:lang w:val="en-US"/>
        </w:rPr>
        <w:t>P</w:t>
      </w:r>
      <w:r>
        <w:rPr>
          <w:lang w:val="en-US"/>
        </w:rPr>
        <w:t>) of the electric current delivered at a certain moment is the product of the current and voltage (3), and the electric energy (</w:t>
      </w:r>
      <w:r>
        <w:rPr>
          <w:i/>
          <w:iCs/>
          <w:lang w:val="en-US"/>
        </w:rPr>
        <w:t>E</w:t>
      </w:r>
      <w:r>
        <w:rPr>
          <w:lang w:val="en-US"/>
        </w:rPr>
        <w:t>) is the integral of the current power during the operation of the panel (4).</w:t>
      </w:r>
    </w:p>
    <w:p>
      <w:pPr>
        <w:pStyle w:val="Equation"/>
        <w:spacing w:lineRule="auto" w:line="240"/>
        <w:rPr>
          <w:lang w:val="en-US"/>
        </w:rPr>
      </w:pPr>
      <w:r>
        <w:rPr>
          <w:rFonts w:ascii="Liberation Serif" w:hAnsi="Liberation Serif"/>
          <w:i/>
          <w:iCs/>
          <w:lang w:val="en-US"/>
        </w:rPr>
        <w:t>P</w:t>
      </w:r>
      <w:r>
        <w:rPr>
          <w:rFonts w:ascii="Liberation Serif" w:hAnsi="Liberation Serif"/>
          <w:lang w:val="en-US"/>
        </w:rPr>
        <w:t>(</w:t>
      </w:r>
      <w:r>
        <w:rPr>
          <w:rFonts w:ascii="Liberation Serif" w:hAnsi="Liberation Serif"/>
          <w:i/>
          <w:iCs/>
          <w:lang w:val="en-US"/>
        </w:rPr>
        <w:t>t</w:t>
      </w:r>
      <w:r>
        <w:rPr>
          <w:rFonts w:ascii="Liberation Serif" w:hAnsi="Liberation Serif"/>
          <w:lang w:val="en-US"/>
        </w:rPr>
        <w:t>)=</w:t>
      </w:r>
      <w:r>
        <w:rPr>
          <w:rFonts w:ascii="Liberation Serif" w:hAnsi="Liberation Serif"/>
          <w:i/>
          <w:iCs/>
          <w:lang w:val="en-US"/>
        </w:rPr>
        <w:t>I</w:t>
      </w:r>
      <w:r>
        <w:rPr>
          <w:rFonts w:ascii="Liberation Serif" w:hAnsi="Liberation Serif"/>
          <w:lang w:val="en-US"/>
        </w:rPr>
        <w:t>(</w:t>
      </w:r>
      <w:r>
        <w:rPr>
          <w:rFonts w:ascii="Liberation Serif" w:hAnsi="Liberation Serif"/>
          <w:i/>
          <w:iCs/>
          <w:lang w:val="en-US"/>
        </w:rPr>
        <w:t>t</w:t>
      </w:r>
      <w:r>
        <w:rPr>
          <w:rFonts w:ascii="Liberation Serif" w:hAnsi="Liberation Serif"/>
          <w:lang w:val="en-US"/>
        </w:rPr>
        <w:t>)*</w:t>
      </w:r>
      <w:r>
        <w:rPr>
          <w:rFonts w:ascii="Liberation Serif" w:hAnsi="Liberation Serif"/>
          <w:i/>
          <w:iCs/>
          <w:lang w:val="en-US"/>
        </w:rPr>
        <w:t>V</w:t>
      </w:r>
      <w:r>
        <w:rPr>
          <w:rFonts w:ascii="Liberation Serif" w:hAnsi="Liberation Serif"/>
          <w:lang w:val="en-US"/>
        </w:rPr>
        <w:t>(</w:t>
      </w:r>
      <w:r>
        <w:rPr>
          <w:rFonts w:ascii="Liberation Serif" w:hAnsi="Liberation Serif"/>
          <w:i/>
          <w:iCs/>
          <w:lang w:val="en-US"/>
        </w:rPr>
        <w:t>t</w:t>
      </w:r>
      <w:r>
        <w:rPr>
          <w:rFonts w:ascii="Liberation Serif" w:hAnsi="Liberation Serif"/>
          <w:lang w:val="en-US"/>
        </w:rPr>
        <w:t>)</w:t>
        <w:tab/>
        <w:tab/>
        <w:t>(3)</w:t>
      </w:r>
    </w:p>
    <w:p>
      <w:pPr>
        <w:pStyle w:val="Equation"/>
        <w:spacing w:lineRule="auto" w:line="240"/>
        <w:rPr>
          <w:lang w:val="en-US"/>
        </w:rPr>
      </w:pPr>
      <w:r>
        <w:rPr/>
      </w:r>
      <m:oMath xmlns:m="http://schemas.openxmlformats.org/officeDocument/2006/math">
        <m:r>
          <w:rPr>
            <w:rFonts w:ascii="Cambria Math" w:hAnsi="Cambria Math"/>
          </w:rPr>
          <m:t xml:space="preserve">E</m:t>
        </m:r>
        <m:r>
          <m:rPr>
            <m:lit/>
            <m:nor/>
          </m:rPr>
          <w:rPr>
            <w:rFonts w:ascii="Cambria Math" w:hAnsi="Cambria Math"/>
          </w:rPr>
          <m:t xml:space="preserve">=</m:t>
        </m:r>
        <m:nary>
          <m:naryPr>
            <m:chr m:val="∫"/>
          </m:naryPr>
          <m:sub>
            <m:r>
              <w:rPr>
                <w:rFonts w:ascii="Cambria Math" w:hAnsi="Cambria Math"/>
              </w:rPr>
              <m:t xml:space="preserve">t</m:t>
            </m:r>
            <m:r>
              <m:rPr>
                <m:lit/>
                <m:nor/>
              </m:rPr>
              <w:rPr>
                <w:rFonts w:ascii="Cambria Math" w:hAnsi="Cambria Math"/>
              </w:rPr>
              <m:t xml:space="preserve">=</m:t>
            </m:r>
            <m:sSub>
              <m:e>
                <m:r>
                  <w:rPr>
                    <w:rFonts w:ascii="Cambria Math" w:hAnsi="Cambria Math"/>
                  </w:rPr>
                  <m:t xml:space="preserve">t</m:t>
                </m:r>
              </m:e>
              <m:sub>
                <m:r>
                  <w:rPr>
                    <w:rFonts w:ascii="Cambria Math" w:hAnsi="Cambria Math"/>
                  </w:rPr>
                  <m:t xml:space="preserve">1</m:t>
                </m:r>
              </m:sub>
            </m:sSub>
          </m:sub>
          <m:sup>
            <m:sSub>
              <m:e>
                <m:r>
                  <w:rPr>
                    <w:rFonts w:ascii="Cambria Math" w:hAnsi="Cambria Math"/>
                  </w:rPr>
                  <m:t xml:space="preserve">t</m:t>
                </m:r>
              </m:e>
              <m:sub>
                <m:r>
                  <w:rPr>
                    <w:rFonts w:ascii="Cambria Math" w:hAnsi="Cambria Math"/>
                  </w:rPr>
                  <m:t xml:space="preserve">2</m:t>
                </m:r>
              </m:sub>
            </m:sSub>
          </m:sup>
          <m:e>
            <m:r>
              <w:rPr>
                <w:rFonts w:ascii="Cambria Math" w:hAnsi="Cambria Math"/>
              </w:rPr>
              <m:t xml:space="preserve">P</m:t>
            </m:r>
          </m:e>
        </m:nary>
        <m:d>
          <m:dPr>
            <m:begChr m:val="("/>
            <m:endChr m:val=")"/>
          </m:dPr>
          <m:e>
            <m:r>
              <w:rPr>
                <w:rFonts w:ascii="Cambria Math" w:hAnsi="Cambria Math"/>
              </w:rPr>
              <m:t xml:space="preserve">t</m:t>
            </m:r>
          </m:e>
        </m:d>
        <m:r>
          <w:rPr>
            <w:rFonts w:ascii="Cambria Math" w:hAnsi="Cambria Math"/>
          </w:rPr>
          <m:t xml:space="preserve">dt</m:t>
        </m:r>
      </m:oMath>
      <w:r>
        <w:rPr>
          <w:lang w:val="en-US"/>
        </w:rPr>
        <w:tab/>
        <w:tab/>
        <w:t>(4)</w:t>
      </w:r>
    </w:p>
    <w:p>
      <w:pPr>
        <w:pStyle w:val="P1a"/>
        <w:numPr>
          <w:ilvl w:val="0"/>
          <w:numId w:val="0"/>
        </w:numPr>
        <w:spacing w:lineRule="auto" w:line="240"/>
        <w:ind w:hanging="0" w:left="0"/>
        <w:rPr>
          <w:sz w:val="16"/>
          <w:szCs w:val="16"/>
          <w:lang w:val="en-US"/>
        </w:rPr>
      </w:pPr>
      <w:r>
        <w:rPr>
          <w:rFonts w:ascii="Liberation Serif" w:hAnsi="Liberation Serif"/>
          <w:i/>
          <w:iCs/>
          <w:sz w:val="16"/>
          <w:szCs w:val="16"/>
          <w:lang w:val="en-US"/>
        </w:rPr>
        <w:t>I</w:t>
      </w:r>
      <w:r>
        <w:rPr>
          <w:rFonts w:ascii="Liberation Serif" w:hAnsi="Liberation Serif"/>
          <w:sz w:val="16"/>
          <w:szCs w:val="16"/>
          <w:lang w:val="en-US"/>
        </w:rPr>
        <w:t>(</w:t>
      </w:r>
      <w:r>
        <w:rPr>
          <w:rFonts w:ascii="Liberation Serif" w:hAnsi="Liberation Serif"/>
          <w:i/>
          <w:iCs/>
          <w:sz w:val="16"/>
          <w:szCs w:val="16"/>
          <w:lang w:val="en-US"/>
        </w:rPr>
        <w:t>t</w:t>
      </w:r>
      <w:r>
        <w:rPr>
          <w:rFonts w:ascii="Liberation Serif" w:hAnsi="Liberation Serif"/>
          <w:sz w:val="16"/>
          <w:szCs w:val="16"/>
          <w:lang w:val="en-US"/>
        </w:rPr>
        <w:t xml:space="preserve">) - instantaneous value of electric current, </w:t>
      </w:r>
      <w:r>
        <w:rPr>
          <w:rFonts w:ascii="Liberation Serif" w:hAnsi="Liberation Serif"/>
          <w:i/>
          <w:iCs/>
          <w:sz w:val="16"/>
          <w:szCs w:val="16"/>
          <w:lang w:val="en-US"/>
        </w:rPr>
        <w:t>V</w:t>
      </w:r>
      <w:r>
        <w:rPr>
          <w:rFonts w:ascii="Liberation Serif" w:hAnsi="Liberation Serif"/>
          <w:sz w:val="16"/>
          <w:szCs w:val="16"/>
          <w:lang w:val="en-US"/>
        </w:rPr>
        <w:t>(</w:t>
      </w:r>
      <w:r>
        <w:rPr>
          <w:rFonts w:ascii="Liberation Serif" w:hAnsi="Liberation Serif"/>
          <w:i/>
          <w:iCs/>
          <w:sz w:val="16"/>
          <w:szCs w:val="16"/>
          <w:lang w:val="en-US"/>
        </w:rPr>
        <w:t>t</w:t>
      </w:r>
      <w:r>
        <w:rPr>
          <w:rFonts w:ascii="Liberation Serif" w:hAnsi="Liberation Serif"/>
          <w:sz w:val="16"/>
          <w:szCs w:val="16"/>
          <w:lang w:val="en-US"/>
        </w:rPr>
        <w:t xml:space="preserve">) - instantaneous value of electric voltage, </w:t>
      </w:r>
      <w:r>
        <w:rPr>
          <w:rFonts w:ascii="Liberation Serif" w:hAnsi="Liberation Serif"/>
          <w:i/>
          <w:iCs/>
          <w:sz w:val="16"/>
          <w:szCs w:val="16"/>
          <w:lang w:val="en-US"/>
        </w:rPr>
        <w:t>t</w:t>
      </w:r>
      <w:r>
        <w:rPr>
          <w:rFonts w:ascii="Liberation Serif" w:hAnsi="Liberation Serif"/>
          <w:sz w:val="16"/>
          <w:szCs w:val="16"/>
          <w:lang w:val="en-US"/>
        </w:rPr>
        <w:t xml:space="preserve">, </w:t>
      </w:r>
      <w:r>
        <w:rPr>
          <w:rFonts w:ascii="Liberation Serif" w:hAnsi="Liberation Serif"/>
          <w:i/>
          <w:iCs/>
          <w:sz w:val="16"/>
          <w:szCs w:val="16"/>
          <w:lang w:val="en-US"/>
        </w:rPr>
        <w:t>t</w:t>
      </w:r>
      <w:r>
        <w:rPr>
          <w:rFonts w:ascii="Liberation Serif" w:hAnsi="Liberation Serif"/>
          <w:sz w:val="16"/>
          <w:szCs w:val="16"/>
          <w:vertAlign w:val="subscript"/>
          <w:lang w:val="en-US"/>
        </w:rPr>
        <w:t>1</w:t>
      </w:r>
      <w:r>
        <w:rPr>
          <w:rFonts w:ascii="Liberation Serif" w:hAnsi="Liberation Serif"/>
          <w:sz w:val="16"/>
          <w:szCs w:val="16"/>
          <w:lang w:val="en-US"/>
        </w:rPr>
        <w:t xml:space="preserve">, </w:t>
      </w:r>
      <w:r>
        <w:rPr>
          <w:rFonts w:ascii="Liberation Serif" w:hAnsi="Liberation Serif"/>
          <w:i/>
          <w:iCs/>
          <w:sz w:val="16"/>
          <w:szCs w:val="16"/>
          <w:lang w:val="en-US"/>
        </w:rPr>
        <w:t>t</w:t>
      </w:r>
      <w:r>
        <w:rPr>
          <w:rFonts w:ascii="Liberation Serif" w:hAnsi="Liberation Serif"/>
          <w:sz w:val="16"/>
          <w:szCs w:val="16"/>
          <w:vertAlign w:val="subscript"/>
          <w:lang w:val="en-US"/>
        </w:rPr>
        <w:t>2</w:t>
      </w:r>
      <w:r>
        <w:rPr>
          <w:rFonts w:ascii="Liberation Serif" w:hAnsi="Liberation Serif"/>
          <w:sz w:val="16"/>
          <w:szCs w:val="16"/>
          <w:lang w:val="en-US"/>
        </w:rPr>
        <w:t xml:space="preserve"> – time, start and end time of the system operation. </w:t>
      </w:r>
    </w:p>
    <w:p>
      <w:pPr>
        <w:pStyle w:val="P1a"/>
        <w:numPr>
          <w:ilvl w:val="0"/>
          <w:numId w:val="0"/>
        </w:numPr>
        <w:spacing w:lineRule="auto" w:line="240"/>
        <w:ind w:hanging="0" w:left="0"/>
        <w:rPr>
          <w:spacing w:val="-2"/>
          <w:lang w:val="en-US"/>
        </w:rPr>
      </w:pPr>
      <w:r>
        <w:rPr>
          <w:rFonts w:ascii="Liberation Serif" w:hAnsi="Liberation Serif"/>
          <w:spacing w:val="-2"/>
          <w:lang w:val="en-US"/>
        </w:rPr>
        <w:t xml:space="preserve">Instantaneous values of </w:t>
      </w:r>
      <w:r>
        <w:rPr>
          <w:rFonts w:ascii="Liberation Serif" w:hAnsi="Liberation Serif"/>
          <w:i/>
          <w:iCs/>
          <w:spacing w:val="-2"/>
          <w:lang w:val="en-US"/>
        </w:rPr>
        <w:t>I</w:t>
      </w:r>
      <w:r>
        <w:rPr>
          <w:rFonts w:ascii="Liberation Serif" w:hAnsi="Liberation Serif"/>
          <w:spacing w:val="-2"/>
          <w:lang w:val="en-US"/>
        </w:rPr>
        <w:t xml:space="preserve"> and </w:t>
      </w:r>
      <w:r>
        <w:rPr>
          <w:rFonts w:ascii="Liberation Serif" w:hAnsi="Liberation Serif"/>
          <w:i/>
          <w:iCs/>
          <w:spacing w:val="-2"/>
          <w:lang w:val="en-US"/>
        </w:rPr>
        <w:t>V</w:t>
      </w:r>
      <w:r>
        <w:rPr>
          <w:rFonts w:ascii="Liberation Serif" w:hAnsi="Liberation Serif"/>
          <w:spacing w:val="-2"/>
          <w:lang w:val="en-US"/>
        </w:rPr>
        <w:t xml:space="preserve"> are not exactly equal to those calculated from formulas (1) and (2); those given above are rather their upper estimates. The panels produce direct current (DC) with variable parameters. Connecting them to the power grid requires an inverter that converts the DC to alternating current (AC) (see Fig. 1). </w:t>
      </w:r>
    </w:p>
    <w:p>
      <w:pPr>
        <w:pStyle w:val="P1a"/>
        <w:numPr>
          <w:ilvl w:val="0"/>
          <w:numId w:val="1"/>
        </w:numPr>
        <w:tabs>
          <w:tab w:val="clear" w:pos="720"/>
        </w:tabs>
        <w:spacing w:lineRule="auto" w:line="240" w:before="0" w:after="159"/>
        <w:ind w:hanging="0" w:left="0"/>
        <w:jc w:val="center"/>
        <w:rPr>
          <w:lang w:val="en-US"/>
        </w:rPr>
      </w:pPr>
      <w:r>
        <w:rPr/>
        <w:drawing>
          <wp:inline distT="0" distB="0" distL="0" distR="0">
            <wp:extent cx="2160270" cy="1080135"/>
            <wp:effectExtent l="0" t="0" r="0" b="0"/>
            <wp:docPr id="4" name="Obraz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4" descr=""/>
                    <pic:cNvPicPr>
                      <a:picLocks noChangeAspect="1" noChangeArrowheads="1"/>
                    </pic:cNvPicPr>
                  </pic:nvPicPr>
                  <pic:blipFill>
                    <a:blip r:embed="rId5"/>
                    <a:stretch>
                      <a:fillRect/>
                    </a:stretch>
                  </pic:blipFill>
                  <pic:spPr bwMode="auto">
                    <a:xfrm>
                      <a:off x="0" y="0"/>
                      <a:ext cx="2160270" cy="1080135"/>
                    </a:xfrm>
                    <a:prstGeom prst="rect">
                      <a:avLst/>
                    </a:prstGeom>
                  </pic:spPr>
                </pic:pic>
              </a:graphicData>
            </a:graphic>
          </wp:inline>
        </w:drawing>
      </w:r>
    </w:p>
    <w:p>
      <w:pPr>
        <w:pStyle w:val="Figurecaption"/>
        <w:rPr/>
      </w:pPr>
      <w:r>
        <w:rPr>
          <w:rStyle w:val="Heading31"/>
          <w:rFonts w:ascii="Liberation Serif" w:hAnsi="Liberation Serif"/>
          <w:b w:val="false"/>
          <w:bCs w:val="false"/>
        </w:rPr>
        <w:t>Fig. 1: Diagram of connecting PV panels and an inverter to the power grid.</w:t>
      </w:r>
    </w:p>
    <w:p>
      <w:pPr>
        <w:pStyle w:val="P1a"/>
        <w:numPr>
          <w:ilvl w:val="0"/>
          <w:numId w:val="0"/>
        </w:numPr>
        <w:spacing w:lineRule="auto" w:line="240"/>
        <w:ind w:hanging="0" w:left="0"/>
        <w:rPr/>
      </w:pPr>
      <w:r>
        <w:rPr>
          <w:rFonts w:ascii="Liberation Serif" w:hAnsi="Liberation Serif"/>
          <w:lang w:val="en-US"/>
        </w:rPr>
        <w:t xml:space="preserve">Generally speaking, the values of </w:t>
      </w:r>
      <w:r>
        <w:rPr>
          <w:rFonts w:ascii="Liberation Serif" w:hAnsi="Liberation Serif"/>
          <w:i/>
          <w:iCs/>
          <w:lang w:val="en-US"/>
        </w:rPr>
        <w:t>t</w:t>
      </w:r>
      <w:r>
        <w:rPr>
          <w:rFonts w:ascii="Liberation Serif" w:hAnsi="Liberation Serif"/>
          <w:vertAlign w:val="subscript"/>
          <w:lang w:val="en-US"/>
        </w:rPr>
        <w:t>1</w:t>
      </w:r>
      <w:r>
        <w:rPr>
          <w:rFonts w:ascii="Liberation Serif" w:hAnsi="Liberation Serif"/>
          <w:lang w:val="en-US"/>
        </w:rPr>
        <w:t xml:space="preserve"> and </w:t>
      </w:r>
      <w:r>
        <w:rPr>
          <w:rFonts w:ascii="Liberation Serif" w:hAnsi="Liberation Serif"/>
          <w:i/>
          <w:iCs/>
          <w:lang w:val="en-US"/>
        </w:rPr>
        <w:t>t</w:t>
      </w:r>
      <w:r>
        <w:rPr>
          <w:rFonts w:ascii="Liberation Serif" w:hAnsi="Liberation Serif"/>
          <w:vertAlign w:val="subscript"/>
          <w:lang w:val="en-US"/>
        </w:rPr>
        <w:t>2</w:t>
      </w:r>
      <w:r>
        <w:rPr>
          <w:rFonts w:ascii="Liberation Serif" w:hAnsi="Liberation Serif"/>
          <w:lang w:val="en-US"/>
        </w:rPr>
        <w:t xml:space="preserve"> are determined by sunrise and sunset, but in reality, by the switching on and off of the inverter. All the above formulas show the most important factors that influence the power of the panel, such as irradiance, length of day, height of the sun above the horizon, junction temperature, and the material from which it is made, and more unpredictable factors such as cloud cover, dust, snow, hoarfrost, rain, and similar. It is not possible to examine their overall impact analytically, and experimental research is needed.</w:t>
      </w:r>
    </w:p>
    <w:p>
      <w:pPr>
        <w:pStyle w:val="Heading11"/>
        <w:numPr>
          <w:ilvl w:val="0"/>
          <w:numId w:val="0"/>
        </w:numPr>
        <w:spacing w:lineRule="auto" w:line="240"/>
        <w:ind w:hanging="431" w:left="431"/>
        <w:rPr/>
      </w:pPr>
      <w:r>
        <w:rPr>
          <w:rStyle w:val="Heading31"/>
          <w:b/>
          <w:bCs/>
          <w:sz w:val="24"/>
          <w:szCs w:val="24"/>
          <w:lang w:val="en-US"/>
        </w:rPr>
        <w:t>3</w:t>
        <w:tab/>
        <w:t>The system used to collect data during PV operation</w:t>
      </w:r>
    </w:p>
    <w:p>
      <w:pPr>
        <w:pStyle w:val="P1a"/>
        <w:numPr>
          <w:ilvl w:val="0"/>
          <w:numId w:val="0"/>
        </w:numPr>
        <w:spacing w:lineRule="auto" w:line="240" w:before="0" w:after="238"/>
        <w:ind w:hanging="0" w:left="0"/>
        <w:rPr>
          <w:lang w:val="en-US"/>
        </w:rPr>
      </w:pPr>
      <w:r>
        <w:rPr>
          <w:lang w:val="en-US"/>
        </w:rPr>
        <w:t xml:space="preserve">Collecting data on the performance of PV panels requires a significant amount of data. Some of this data can be collected from the PV-inverter system. But data such as irradiance and panel temperature must be collected separately using a specially designed device, resembling a weather station, placed next to the panels. </w:t>
      </w:r>
    </w:p>
    <w:p>
      <w:pPr>
        <w:pStyle w:val="Heading21"/>
        <w:numPr>
          <w:ilvl w:val="0"/>
          <w:numId w:val="0"/>
        </w:numPr>
        <w:spacing w:lineRule="auto" w:line="240"/>
        <w:ind w:hanging="578" w:left="578"/>
        <w:rPr>
          <w:lang w:val="en-US"/>
        </w:rPr>
      </w:pPr>
      <w:r>
        <w:rPr>
          <w:lang w:val="en-US"/>
        </w:rPr>
        <w:t>3.1</w:t>
        <w:tab/>
        <w:t>The hardware</w:t>
      </w:r>
    </w:p>
    <w:p>
      <w:pPr>
        <w:pStyle w:val="P1a"/>
        <w:numPr>
          <w:ilvl w:val="0"/>
          <w:numId w:val="0"/>
        </w:numPr>
        <w:spacing w:lineRule="auto" w:line="240"/>
        <w:ind w:hanging="0" w:left="0"/>
        <w:rPr>
          <w:lang w:val="en-US"/>
        </w:rPr>
      </w:pPr>
      <w:r>
        <w:rPr>
          <w:lang w:val="en-US"/>
        </w:rPr>
        <w:t>The device consists of a measurement system controller and connected light (irradiation) and temperature sensors. Access to the inverter is via a Wi-Fi router, which provides access to the local LAN and internet services (see Fig. 2). The main device of the system is a well-supported Raspberry PI minicomputer, which serves as the measurement system controller. This device is quick and easy to configure thanks to prebuilt drivers. It supports both C and Python compilers. Both languages have the necessary libraries for communication via serial interfaces, such as I2C and 1-Wire. The device is connected to sensors via GPIO ports and their associated interfaces, as well as a built-in Wi-Fi module for communication with a router and LAN. The minicomputer monitors the operation of temperature and light sensors, collecting data at predefined intervals, and reads production results from the inverter. The inverter transforms the output voltage and also monitors the operation of the photovoltaic system. Communication with the inverter is via TCP/IP using a local router, to which both the controller and the inverter are connected. The local router also provides internet connectivity for remote services such as Gmail, GitHub, and SSH.</w:t>
      </w:r>
    </w:p>
    <w:p>
      <w:pPr>
        <w:pStyle w:val="P1a"/>
        <w:numPr>
          <w:ilvl w:val="0"/>
          <w:numId w:val="1"/>
        </w:numPr>
        <w:tabs>
          <w:tab w:val="clear" w:pos="720"/>
        </w:tabs>
        <w:spacing w:lineRule="auto" w:line="240" w:before="0" w:after="0"/>
        <w:ind w:hanging="0" w:left="0"/>
        <w:jc w:val="center"/>
        <w:rPr>
          <w:lang w:val="en-US"/>
        </w:rPr>
      </w:pPr>
      <w:r>
        <w:rPr/>
        <w:drawing>
          <wp:inline distT="0" distB="0" distL="0" distR="0">
            <wp:extent cx="1800225" cy="89979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1800225" cy="899795"/>
                    </a:xfrm>
                    <a:prstGeom prst="rect">
                      <a:avLst/>
                    </a:prstGeom>
                  </pic:spPr>
                </pic:pic>
              </a:graphicData>
            </a:graphic>
          </wp:inline>
        </w:drawing>
      </w:r>
    </w:p>
    <w:p>
      <w:pPr>
        <w:pStyle w:val="Figurecaption"/>
        <w:spacing w:lineRule="auto" w:line="240"/>
        <w:jc w:val="center"/>
        <w:rPr>
          <w:lang w:val="en-US"/>
        </w:rPr>
      </w:pPr>
      <w:r>
        <w:rPr>
          <w:b w:val="false"/>
          <w:bCs w:val="false"/>
          <w:lang w:val="en-US"/>
        </w:rPr>
        <w:t xml:space="preserve">Fig. 2: </w:t>
      </w:r>
      <w:r>
        <w:rPr>
          <w:lang w:val="en-US"/>
        </w:rPr>
        <w:t>System structure diagram</w:t>
      </w:r>
    </w:p>
    <w:p>
      <w:pPr>
        <w:pStyle w:val="P1a"/>
        <w:numPr>
          <w:ilvl w:val="0"/>
          <w:numId w:val="0"/>
        </w:numPr>
        <w:spacing w:lineRule="auto" w:line="240"/>
        <w:ind w:hanging="0" w:left="0"/>
        <w:rPr>
          <w:spacing w:val="-2"/>
          <w:lang w:val="en-US"/>
        </w:rPr>
      </w:pPr>
      <w:r>
        <w:rPr>
          <w:spacing w:val="-2"/>
          <w:lang w:val="en-US"/>
        </w:rPr>
        <w:t xml:space="preserve">The measurement system reads data from the sensors, collects a 24-hour data set, which the controller saves to a CSV file kept locally on the SD card. The file is closed at midnight, and a daily report is generated and sent to Gmail. Then, the measurement system restarts the controller, logs into the LAN via Wi-Fi, and updates the software from GitHub. Next, it automatically launches the measurement script, and another daily cycle is executed. </w:t>
      </w:r>
    </w:p>
    <w:tbl>
      <w:tblPr>
        <w:tblW w:w="7142" w:type="dxa"/>
        <w:jc w:val="left"/>
        <w:tblInd w:w="9" w:type="dxa"/>
        <w:tblLayout w:type="fixed"/>
        <w:tblCellMar>
          <w:top w:w="0" w:type="dxa"/>
          <w:left w:w="0" w:type="dxa"/>
          <w:bottom w:w="0" w:type="dxa"/>
          <w:right w:w="0" w:type="dxa"/>
        </w:tblCellMar>
      </w:tblPr>
      <w:tblGrid>
        <w:gridCol w:w="1691"/>
        <w:gridCol w:w="2384"/>
        <w:gridCol w:w="1597"/>
        <w:gridCol w:w="1469"/>
      </w:tblGrid>
      <w:tr>
        <w:trPr/>
        <w:tc>
          <w:tcPr>
            <w:tcW w:w="1691" w:type="dxa"/>
            <w:tcBorders>
              <w:top w:val="single" w:sz="6" w:space="0" w:color="000000"/>
              <w:bottom w:val="single" w:sz="6" w:space="0" w:color="000000"/>
            </w:tcBorders>
          </w:tcPr>
          <w:p>
            <w:pPr>
              <w:pStyle w:val="P1a"/>
              <w:keepNext w:val="true"/>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Device</w:t>
            </w:r>
            <w:r>
              <w:rPr>
                <w:rStyle w:val="FootnoteReference"/>
                <w:rFonts w:ascii="Liberation Serif" w:hAnsi="Liberation Serif"/>
                <w:b w:val="false"/>
                <w:bCs w:val="false"/>
                <w:i w:val="false"/>
                <w:iCs w:val="false"/>
                <w:strike w:val="false"/>
                <w:dstrike w:val="false"/>
                <w:outline w:val="false"/>
                <w:shadow w:val="false"/>
                <w:color w:val="000000"/>
                <w:sz w:val="20"/>
                <w:szCs w:val="20"/>
                <w:u w:val="none"/>
                <w:lang w:val="en-US"/>
              </w:rPr>
              <w:footnoteReference w:id="6"/>
            </w:r>
          </w:p>
        </w:tc>
        <w:tc>
          <w:tcPr>
            <w:tcW w:w="2384" w:type="dxa"/>
            <w:tcBorders>
              <w:top w:val="single" w:sz="6" w:space="0" w:color="000000"/>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Type</w:t>
            </w:r>
          </w:p>
        </w:tc>
        <w:tc>
          <w:tcPr>
            <w:tcW w:w="1597" w:type="dxa"/>
            <w:tcBorders>
              <w:top w:val="single" w:sz="6" w:space="0" w:color="000000"/>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Bus</w:t>
            </w:r>
          </w:p>
        </w:tc>
        <w:tc>
          <w:tcPr>
            <w:tcW w:w="1469" w:type="dxa"/>
            <w:tcBorders>
              <w:top w:val="single" w:sz="6" w:space="0" w:color="000000"/>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Parameters</w:t>
            </w:r>
          </w:p>
        </w:tc>
      </w:tr>
      <w:tr>
        <w:trPr/>
        <w:tc>
          <w:tcPr>
            <w:tcW w:w="1691" w:type="dxa"/>
            <w:tcBorders/>
          </w:tcPr>
          <w:p>
            <w:pPr>
              <w:pStyle w:val="P1a"/>
              <w:keepNext w:val="true"/>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Termometer</w:t>
            </w:r>
          </w:p>
        </w:tc>
        <w:tc>
          <w:tcPr>
            <w:tcW w:w="2384"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DS18B20</w:t>
            </w:r>
          </w:p>
        </w:tc>
        <w:tc>
          <w:tcPr>
            <w:tcW w:w="1597"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1-WIRE</w:t>
            </w:r>
          </w:p>
        </w:tc>
        <w:tc>
          <w:tcPr>
            <w:tcW w:w="146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-55°C – 125°C</w:t>
            </w:r>
          </w:p>
        </w:tc>
      </w:tr>
      <w:tr>
        <w:trPr/>
        <w:tc>
          <w:tcPr>
            <w:tcW w:w="1691" w:type="dxa"/>
            <w:tcBorders/>
          </w:tcPr>
          <w:p>
            <w:pPr>
              <w:pStyle w:val="P1a"/>
              <w:keepNext w:val="true"/>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Light sensor</w:t>
            </w:r>
            <w:r>
              <w:rPr>
                <w:rStyle w:val="FootnoteReference"/>
                <w:rFonts w:ascii="Liberation Serif" w:hAnsi="Liberation Serif"/>
                <w:b w:val="false"/>
                <w:bCs w:val="false"/>
                <w:i w:val="false"/>
                <w:iCs w:val="false"/>
                <w:strike w:val="false"/>
                <w:dstrike w:val="false"/>
                <w:outline w:val="false"/>
                <w:shadow w:val="false"/>
                <w:color w:val="000000"/>
                <w:sz w:val="20"/>
                <w:szCs w:val="20"/>
                <w:u w:val="none"/>
                <w:lang w:val="en-US"/>
              </w:rPr>
              <w:footnoteReference w:id="7"/>
            </w:r>
          </w:p>
        </w:tc>
        <w:tc>
          <w:tcPr>
            <w:tcW w:w="2384"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B-LUX-V30</w:t>
            </w:r>
          </w:p>
        </w:tc>
        <w:tc>
          <w:tcPr>
            <w:tcW w:w="1597"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I2C</w:t>
            </w:r>
          </w:p>
        </w:tc>
        <w:tc>
          <w:tcPr>
            <w:tcW w:w="146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 – 200 klm</w:t>
            </w:r>
          </w:p>
        </w:tc>
      </w:tr>
      <w:tr>
        <w:trPr/>
        <w:tc>
          <w:tcPr>
            <w:tcW w:w="1691" w:type="dxa"/>
            <w:tcBorders/>
          </w:tcPr>
          <w:p>
            <w:pPr>
              <w:pStyle w:val="P1a"/>
              <w:keepNext w:val="true"/>
              <w:numPr>
                <w:ilvl w:val="0"/>
                <w:numId w:val="0"/>
              </w:numPr>
              <w:spacing w:lineRule="auto" w:line="240" w:before="0" w:after="0"/>
              <w:ind w:hanging="0" w:left="0"/>
              <w:jc w:val="left"/>
              <w:rPr>
                <w:sz w:val="20"/>
                <w:szCs w:val="20"/>
              </w:rPr>
            </w:pPr>
            <w:r>
              <w:rPr>
                <w:rFonts w:eastAsia="Aptos"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Microcomputer</w:t>
            </w:r>
          </w:p>
        </w:tc>
        <w:tc>
          <w:tcPr>
            <w:tcW w:w="2384" w:type="dxa"/>
            <w:tcBorders/>
          </w:tcPr>
          <w:p>
            <w:pPr>
              <w:pStyle w:val="P1a"/>
              <w:numPr>
                <w:ilvl w:val="0"/>
                <w:numId w:val="0"/>
              </w:numPr>
              <w:spacing w:lineRule="auto" w:line="240" w:before="0" w:after="0"/>
              <w:ind w:hanging="0" w:left="0"/>
              <w:jc w:val="left"/>
              <w:rPr>
                <w:sz w:val="20"/>
                <w:szCs w:val="20"/>
              </w:rPr>
            </w:pPr>
            <w:r>
              <w:rPr>
                <w:rFonts w:eastAsia="Aptos"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xml:space="preserve">Raspberry Pi Zero 2W </w:t>
            </w:r>
            <w:r>
              <w:rPr>
                <w:rFonts w:ascii="Liberation Serif" w:hAnsi="Liberation Serif"/>
                <w:b w:val="false"/>
                <w:bCs w:val="false"/>
                <w:i w:val="false"/>
                <w:iCs w:val="false"/>
                <w:strike w:val="false"/>
                <w:dstrike w:val="false"/>
                <w:outline w:val="false"/>
                <w:shadow w:val="false"/>
                <w:color w:val="000000"/>
                <w:sz w:val="20"/>
                <w:szCs w:val="20"/>
                <w:u w:val="none"/>
                <w:lang w:val="en-US"/>
              </w:rPr>
              <w:t>WH 512MB RAM - WiFi</w:t>
            </w:r>
          </w:p>
        </w:tc>
        <w:tc>
          <w:tcPr>
            <w:tcW w:w="1597"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WiFi, Bluetooth, 1-WIRE, I2C</w:t>
            </w:r>
          </w:p>
        </w:tc>
        <w:tc>
          <w:tcPr>
            <w:tcW w:w="1469" w:type="dxa"/>
            <w:tcBorders/>
          </w:tcPr>
          <w:p>
            <w:pPr>
              <w:pStyle w:val="P1a"/>
              <w:numPr>
                <w:ilvl w:val="0"/>
                <w:numId w:val="0"/>
              </w:numPr>
              <w:spacing w:lineRule="auto" w:line="240" w:before="0" w:after="0"/>
              <w:ind w:hanging="0" w:left="0"/>
              <w:jc w:val="left"/>
              <w:rPr>
                <w:sz w:val="20"/>
                <w:szCs w:val="20"/>
                <w:lang w:val="en-US"/>
              </w:rPr>
            </w:pPr>
            <w:r>
              <w:rPr>
                <w:sz w:val="20"/>
                <w:szCs w:val="20"/>
                <w:lang w:val="en-US"/>
              </w:rPr>
            </w:r>
          </w:p>
        </w:tc>
      </w:tr>
      <w:tr>
        <w:trPr/>
        <w:tc>
          <w:tcPr>
            <w:tcW w:w="1691" w:type="dxa"/>
            <w:tcBorders/>
          </w:tcPr>
          <w:p>
            <w:pPr>
              <w:pStyle w:val="P1a"/>
              <w:keepNext w:val="true"/>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Inverter</w:t>
            </w:r>
          </w:p>
        </w:tc>
        <w:tc>
          <w:tcPr>
            <w:tcW w:w="2384" w:type="dxa"/>
            <w:tcBorders/>
          </w:tcPr>
          <w:p>
            <w:pPr>
              <w:pStyle w:val="P1a"/>
              <w:numPr>
                <w:ilvl w:val="0"/>
                <w:numId w:val="0"/>
              </w:numPr>
              <w:spacing w:lineRule="auto" w:line="240" w:before="0" w:after="0"/>
              <w:ind w:hanging="0" w:left="0"/>
              <w:jc w:val="left"/>
              <w:rPr>
                <w:spacing w:val="-2"/>
                <w:sz w:val="20"/>
                <w:szCs w:val="20"/>
              </w:rPr>
            </w:pPr>
            <w:r>
              <w:rPr>
                <w:rFonts w:ascii="Liberation Serif" w:hAnsi="Liberation Serif"/>
                <w:b w:val="false"/>
                <w:bCs w:val="false"/>
                <w:i w:val="false"/>
                <w:iCs w:val="false"/>
                <w:strike w:val="false"/>
                <w:dstrike w:val="false"/>
                <w:outline w:val="false"/>
                <w:shadow w:val="false"/>
                <w:color w:val="000000"/>
                <w:spacing w:val="-2"/>
                <w:sz w:val="20"/>
                <w:szCs w:val="20"/>
                <w:u w:val="none"/>
                <w:lang w:val="en-US"/>
              </w:rPr>
              <w:t>FRONIUS SYMO 6.0-3-M</w:t>
            </w:r>
          </w:p>
        </w:tc>
        <w:tc>
          <w:tcPr>
            <w:tcW w:w="1597"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WiFi</w:t>
            </w:r>
          </w:p>
        </w:tc>
        <w:tc>
          <w:tcPr>
            <w:tcW w:w="146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P</w:t>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max_out</w:t>
            </w:r>
            <w:r>
              <w:rPr>
                <w:rStyle w:val="FootnoteReference"/>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footnoteReference w:id="8"/>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 xml:space="preserve"> </w:t>
            </w:r>
            <w:r>
              <w:rPr>
                <w:rFonts w:ascii="Liberation Serif" w:hAnsi="Liberation Serif"/>
                <w:b w:val="false"/>
                <w:bCs w:val="false"/>
                <w:i w:val="false"/>
                <w:iCs w:val="false"/>
                <w:strike w:val="false"/>
                <w:dstrike w:val="false"/>
                <w:outline w:val="false"/>
                <w:shadow w:val="false"/>
                <w:color w:val="000000"/>
                <w:sz w:val="20"/>
                <w:szCs w:val="20"/>
                <w:u w:val="none"/>
                <w:lang w:val="en-US"/>
              </w:rPr>
              <w:t>= 6kW</w:t>
            </w:r>
          </w:p>
        </w:tc>
      </w:tr>
      <w:tr>
        <w:trPr/>
        <w:tc>
          <w:tcPr>
            <w:tcW w:w="1691" w:type="dxa"/>
            <w:tcBorders>
              <w:bottom w:val="single" w:sz="6" w:space="0" w:color="000000"/>
            </w:tcBorders>
          </w:tcPr>
          <w:p>
            <w:pPr>
              <w:pStyle w:val="P1a"/>
              <w:numPr>
                <w:ilvl w:val="0"/>
                <w:numId w:val="0"/>
              </w:numPr>
              <w:spacing w:lineRule="auto" w:line="240" w:before="0" w:after="0"/>
              <w:ind w:hanging="0" w:left="0"/>
              <w:jc w:val="left"/>
              <w:rPr>
                <w:spacing w:val="-2"/>
                <w:sz w:val="20"/>
                <w:szCs w:val="20"/>
              </w:rPr>
            </w:pPr>
            <w:r>
              <w:rPr>
                <w:rFonts w:ascii="Liberation Serif" w:hAnsi="Liberation Serif"/>
                <w:b w:val="false"/>
                <w:bCs w:val="false"/>
                <w:i w:val="false"/>
                <w:iCs w:val="false"/>
                <w:strike w:val="false"/>
                <w:dstrike w:val="false"/>
                <w:outline w:val="false"/>
                <w:shadow w:val="false"/>
                <w:color w:val="000000"/>
                <w:spacing w:val="-2"/>
                <w:sz w:val="20"/>
                <w:szCs w:val="20"/>
                <w:u w:val="none"/>
                <w:lang w:val="en-US"/>
              </w:rPr>
              <w:t>Photovoltaic modules (22pcs.)</w:t>
            </w:r>
          </w:p>
        </w:tc>
        <w:tc>
          <w:tcPr>
            <w:tcW w:w="2384" w:type="dxa"/>
            <w:tcBorders>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Q.ANTUM Q.PEAK DUO-G5 305-330</w:t>
            </w:r>
          </w:p>
        </w:tc>
        <w:tc>
          <w:tcPr>
            <w:tcW w:w="1597" w:type="dxa"/>
            <w:tcBorders>
              <w:bottom w:val="single" w:sz="6" w:space="0" w:color="000000"/>
            </w:tcBorders>
          </w:tcPr>
          <w:p>
            <w:pPr>
              <w:pStyle w:val="P1a"/>
              <w:numPr>
                <w:ilvl w:val="0"/>
                <w:numId w:val="0"/>
              </w:numPr>
              <w:spacing w:lineRule="auto" w:line="240" w:before="0" w:after="0"/>
              <w:ind w:hanging="0" w:left="0"/>
              <w:jc w:val="left"/>
              <w:rPr>
                <w:sz w:val="20"/>
                <w:szCs w:val="20"/>
                <w:lang w:val="en-US"/>
              </w:rPr>
            </w:pPr>
            <w:r>
              <w:rPr>
                <w:sz w:val="20"/>
                <w:szCs w:val="20"/>
                <w:lang w:val="en-US"/>
              </w:rPr>
            </w:r>
          </w:p>
        </w:tc>
        <w:tc>
          <w:tcPr>
            <w:tcW w:w="1469" w:type="dxa"/>
            <w:tcBorders>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P</w:t>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 xml:space="preserve">MPP </w:t>
            </w:r>
            <w:r>
              <w:rPr>
                <w:rStyle w:val="FootnoteReference"/>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footnoteReference w:id="9"/>
            </w:r>
            <w:r>
              <w:rPr>
                <w:rFonts w:ascii="Liberation Serif" w:hAnsi="Liberation Serif"/>
                <w:b w:val="false"/>
                <w:bCs w:val="false"/>
                <w:i w:val="false"/>
                <w:iCs w:val="false"/>
                <w:strike w:val="false"/>
                <w:dstrike w:val="false"/>
                <w:outline w:val="false"/>
                <w:shadow w:val="false"/>
                <w:color w:val="000000"/>
                <w:sz w:val="20"/>
                <w:szCs w:val="20"/>
                <w:u w:val="none"/>
                <w:lang w:val="en-US"/>
              </w:rPr>
              <w:t>= 330W</w:t>
            </w:r>
          </w:p>
        </w:tc>
      </w:tr>
    </w:tbl>
    <w:p>
      <w:pPr>
        <w:pStyle w:val="Tablecaption"/>
        <w:numPr>
          <w:ilvl w:val="0"/>
          <w:numId w:val="0"/>
        </w:numPr>
        <w:spacing w:lineRule="auto" w:line="240"/>
        <w:ind w:hanging="0" w:left="567"/>
        <w:rPr>
          <w:lang w:val="en-US"/>
        </w:rPr>
      </w:pPr>
      <w:r>
        <w:rPr>
          <w:b w:val="false"/>
          <w:bCs w:val="false"/>
          <w:lang w:val="en-US"/>
        </w:rPr>
        <w:t>Tab. 1:</w:t>
      </w:r>
      <w:r>
        <w:rPr>
          <w:lang w:val="en-US"/>
        </w:rPr>
        <w:t xml:space="preserve"> Devices from which the system is built</w:t>
      </w:r>
    </w:p>
    <w:p>
      <w:pPr>
        <w:pStyle w:val="Heading21"/>
        <w:numPr>
          <w:ilvl w:val="0"/>
          <w:numId w:val="0"/>
        </w:numPr>
        <w:spacing w:lineRule="auto" w:line="240"/>
        <w:ind w:hanging="578" w:left="578"/>
        <w:rPr>
          <w:lang w:val="en-US"/>
        </w:rPr>
      </w:pPr>
      <w:r>
        <w:rPr>
          <w:lang w:val="en-US"/>
        </w:rPr>
        <w:t>3.2</w:t>
        <w:tab/>
        <w:t>The software</w:t>
      </w:r>
    </w:p>
    <w:p>
      <w:pPr>
        <w:pStyle w:val="P1a"/>
        <w:numPr>
          <w:ilvl w:val="0"/>
          <w:numId w:val="0"/>
        </w:numPr>
        <w:spacing w:lineRule="auto" w:line="240"/>
        <w:ind w:hanging="0" w:left="0"/>
        <w:rPr>
          <w:lang w:val="en-US"/>
        </w:rPr>
      </w:pPr>
      <w:r>
        <w:rPr>
          <w:lang w:val="en-US"/>
        </w:rPr>
        <w:t>The measurement system software consists of a set of scripts run in a planned order, placed together with libraries on the Raspberry PI device. The project has been placed in a GITHUB repository. You can download its latest version from the PVLogger.git repository. This solution provides great flexibility in the development and creation of code corrections. The measurement system has been programmed mainly in Python, C++, and shell commands to carry out individual subroutines in a certain logical order, which enables the implementation of the daily measurement cycle. Starting at midnight, the system executes scripts from MYSCRIPT.SERVICE containing scripts controlling the measurement system. The script AUTOSTART starts the internet connection, updates the software, and runs the main program. PVLOGGER is the main program that collects data in a loop at a specified time interval. Finally, each working day, the program sends the results and status notifications by email. Then, at midnight, it restarts and clears the data again. The block diagram of the system operation is shown in Fig. 3.</w:t>
      </w:r>
    </w:p>
    <w:p>
      <w:pPr>
        <w:pStyle w:val="P1a"/>
        <w:numPr>
          <w:ilvl w:val="0"/>
          <w:numId w:val="1"/>
        </w:numPr>
        <w:spacing w:lineRule="auto" w:line="240" w:before="0" w:after="159"/>
        <w:ind w:hanging="0" w:left="0"/>
        <w:jc w:val="center"/>
        <w:rPr>
          <w:lang w:val="en-US"/>
        </w:rPr>
      </w:pPr>
      <w:r>
        <w:rPr/>
        <w:drawing>
          <wp:inline distT="0" distB="0" distL="0" distR="0">
            <wp:extent cx="2339975" cy="108013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2339975" cy="1080135"/>
                    </a:xfrm>
                    <a:prstGeom prst="rect">
                      <a:avLst/>
                    </a:prstGeom>
                  </pic:spPr>
                </pic:pic>
              </a:graphicData>
            </a:graphic>
          </wp:inline>
        </w:drawing>
      </w:r>
    </w:p>
    <w:p>
      <w:pPr>
        <w:pStyle w:val="Figurecaption"/>
        <w:spacing w:lineRule="auto" w:line="240"/>
        <w:jc w:val="center"/>
        <w:rPr/>
      </w:pPr>
      <w:r>
        <w:rPr>
          <w:rStyle w:val="Heading31"/>
          <w:b w:val="false"/>
          <w:bCs w:val="false"/>
          <w:lang w:val="en-US"/>
        </w:rPr>
        <w:t>Fig. 3: The block diagram of the automatic measurement system operation</w:t>
      </w:r>
    </w:p>
    <w:p>
      <w:pPr>
        <w:pStyle w:val="Heading11"/>
        <w:numPr>
          <w:ilvl w:val="0"/>
          <w:numId w:val="0"/>
        </w:numPr>
        <w:spacing w:lineRule="auto" w:line="240"/>
        <w:ind w:hanging="431" w:left="431"/>
        <w:rPr>
          <w:lang w:val="en-US"/>
        </w:rPr>
      </w:pPr>
      <w:r>
        <w:rPr>
          <w:lang w:val="en-US"/>
        </w:rPr>
        <w:t>4</w:t>
        <w:tab/>
        <w:t>Results obtained</w:t>
      </w:r>
    </w:p>
    <w:p>
      <w:pPr>
        <w:pStyle w:val="Heading21"/>
        <w:numPr>
          <w:ilvl w:val="0"/>
          <w:numId w:val="0"/>
        </w:numPr>
        <w:spacing w:lineRule="auto" w:line="240"/>
        <w:ind w:hanging="578" w:left="578"/>
        <w:rPr>
          <w:lang w:val="en-US"/>
        </w:rPr>
      </w:pPr>
      <w:r>
        <w:rPr>
          <w:lang w:val="en-US"/>
        </w:rPr>
        <w:t>4.1</w:t>
        <w:tab/>
        <w:t>The data preprocessing</w:t>
      </w:r>
    </w:p>
    <w:p>
      <w:pPr>
        <w:pStyle w:val="P1a"/>
        <w:numPr>
          <w:ilvl w:val="0"/>
          <w:numId w:val="0"/>
        </w:numPr>
        <w:spacing w:lineRule="auto" w:line="240"/>
        <w:ind w:hanging="0" w:left="0"/>
        <w:rPr>
          <w:lang w:val="en-US"/>
        </w:rPr>
      </w:pPr>
      <w:r>
        <w:rPr>
          <w:lang w:val="en-US"/>
        </w:rPr>
        <w:t xml:space="preserve">The first stage of processing the data obtained from the constructed device was to appropriately filter the data to eliminate sensor errors, interference, and data obtained without lighting. Raw data collected from the sensor during one day (2024/07/15) are presented in Fig. 4a). Apart from the data series, one can notice two series that are certainly erroneous because they contain data with impossible illuminance values. </w:t>
      </w:r>
      <w:r>
        <w:rPr>
          <w:sz w:val="20"/>
          <w:szCs w:val="20"/>
          <w:lang w:val="en-US"/>
        </w:rPr>
        <w:t xml:space="preserve">Therefore, the following data preprocessing was performed (results are shown in Fig. 4b)). The erroneous data were deleted, and </w:t>
      </w:r>
      <w:r>
        <w:rPr>
          <w:lang w:val="en-US"/>
        </w:rPr>
        <w:t>the remaining data were filtered to remove noise and outliers using a Gaussian filter (5) (see [OS094]).</w:t>
      </w:r>
    </w:p>
    <w:p>
      <w:pPr>
        <w:pStyle w:val="P1a"/>
        <w:numPr>
          <w:ilvl w:val="0"/>
          <w:numId w:val="0"/>
        </w:numPr>
        <w:spacing w:lineRule="auto" w:line="240" w:before="0" w:after="159"/>
        <w:ind w:hanging="0" w:left="0"/>
        <w:jc w:val="center"/>
        <w:rPr>
          <w:lang w:val="en-US"/>
        </w:rPr>
      </w:pPr>
      <w:r>
        <w:rPr>
          <w:lang w:val="en-US"/>
        </w:rPr>
        <w:t xml:space="preserve">a) </w:t>
      </w:r>
      <w:r>
        <w:rPr/>
        <w:drawing>
          <wp:inline distT="0" distB="0" distL="0" distR="0">
            <wp:extent cx="1800225" cy="108013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1800225" cy="1080135"/>
                    </a:xfrm>
                    <a:prstGeom prst="rect">
                      <a:avLst/>
                    </a:prstGeom>
                  </pic:spPr>
                </pic:pic>
              </a:graphicData>
            </a:graphic>
          </wp:inline>
        </w:drawing>
      </w:r>
      <w:r>
        <w:rPr>
          <w:lang w:val="en-US"/>
        </w:rPr>
        <w:tab/>
        <w:t xml:space="preserve">b) </w:t>
      </w:r>
      <w:r>
        <w:rPr/>
        <w:drawing>
          <wp:inline distT="0" distB="0" distL="0" distR="0">
            <wp:extent cx="1800225" cy="108013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1800225" cy="1080135"/>
                    </a:xfrm>
                    <a:prstGeom prst="rect">
                      <a:avLst/>
                    </a:prstGeom>
                  </pic:spPr>
                </pic:pic>
              </a:graphicData>
            </a:graphic>
          </wp:inline>
        </w:drawing>
      </w:r>
    </w:p>
    <w:p>
      <w:pPr>
        <w:pStyle w:val="Figurecaption"/>
        <w:spacing w:lineRule="auto" w:line="240"/>
        <w:jc w:val="center"/>
        <w:rPr>
          <w:lang w:val="en-US"/>
        </w:rPr>
      </w:pPr>
      <w:r>
        <w:rPr>
          <w:b w:val="false"/>
          <w:bCs w:val="false"/>
          <w:lang w:val="en-US"/>
        </w:rPr>
        <w:t>Fig. 4: a)</w:t>
      </w:r>
      <w:r>
        <w:rPr>
          <w:lang w:val="en-US"/>
        </w:rPr>
        <w:t xml:space="preserve"> The noisy raw data obtained from the light sensor and </w:t>
      </w:r>
      <w:r>
        <w:rPr>
          <w:b w:val="false"/>
          <w:bCs w:val="false"/>
          <w:lang w:val="en-US"/>
        </w:rPr>
        <w:t>b)</w:t>
      </w:r>
      <w:r>
        <w:rPr>
          <w:lang w:val="en-US"/>
        </w:rPr>
        <w:t xml:space="preserve"> the data after preprocessing using a Gaussian filter (</w:t>
      </w:r>
      <w:r>
        <w:rPr>
          <w:rFonts w:ascii="DejaVu Sans" w:hAnsi="DejaVu Sans"/>
          <w:lang w:val="en-US"/>
        </w:rPr>
        <w:t>σ</w:t>
      </w:r>
      <w:r>
        <w:rPr>
          <w:lang w:val="en-US"/>
        </w:rPr>
        <w:t>=2)</w:t>
      </w:r>
    </w:p>
    <w:p>
      <w:pPr>
        <w:pStyle w:val="Equation"/>
        <w:spacing w:lineRule="auto" w:line="240"/>
        <w:rPr>
          <w:lang w:val="en-US"/>
        </w:rPr>
      </w:pP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1</m:t>
            </m:r>
          </m:num>
          <m:den>
            <m:rad>
              <m:radPr>
                <m:degHide m:val="1"/>
              </m:radPr>
              <m:deg/>
              <m:e>
                <m:sSup>
                  <m:e>
                    <m:r>
                      <w:rPr>
                        <w:rFonts w:ascii="Cambria Math" w:hAnsi="Cambria Math"/>
                      </w:rPr>
                      <m:t xml:space="preserve">2</m:t>
                    </m:r>
                    <m:r>
                      <w:rPr>
                        <w:rFonts w:ascii="Cambria Math" w:hAnsi="Cambria Math"/>
                      </w:rPr>
                      <m:t xml:space="preserve">πσ</m:t>
                    </m:r>
                  </m:e>
                  <m:sup>
                    <m:r>
                      <w:rPr>
                        <w:rFonts w:ascii="Cambria Math" w:hAnsi="Cambria Math"/>
                      </w:rPr>
                      <m:t xml:space="preserve">2</m:t>
                    </m:r>
                  </m:sup>
                </m:sSup>
              </m:e>
            </m:rad>
          </m:den>
        </m:f>
        <m:r>
          <w:rPr>
            <w:rFonts w:ascii="Cambria Math" w:hAnsi="Cambria Math"/>
          </w:rPr>
          <m:t xml:space="preserve">exp</m:t>
        </m:r>
        <m:r>
          <w:rPr>
            <w:rFonts w:ascii="Cambria Math" w:hAnsi="Cambria Math"/>
          </w:rPr>
          <m:t xml:space="preserve">⁡</m:t>
        </m:r>
        <m:d>
          <m:dPr>
            <m:begChr m:val="("/>
            <m:endChr m:val=")"/>
          </m:dPr>
          <m:e>
            <m:f>
              <m:num>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num>
              <m:den>
                <m:sSup>
                  <m:e>
                    <m:r>
                      <w:rPr>
                        <w:rFonts w:ascii="Cambria Math" w:hAnsi="Cambria Math"/>
                      </w:rPr>
                      <m:t xml:space="preserve">2</m:t>
                    </m:r>
                    <m:r>
                      <w:rPr>
                        <w:rFonts w:ascii="Cambria Math" w:hAnsi="Cambria Math"/>
                      </w:rPr>
                      <m:t xml:space="preserve">σ</m:t>
                    </m:r>
                  </m:e>
                  <m:sup>
                    <m:r>
                      <w:rPr>
                        <w:rFonts w:ascii="Cambria Math" w:hAnsi="Cambria Math"/>
                      </w:rPr>
                      <m:t xml:space="preserve">2</m:t>
                    </m:r>
                  </m:sup>
                </m:sSup>
              </m:den>
            </m:f>
          </m:e>
        </m:d>
      </m:oMath>
      <w:r>
        <w:rPr>
          <w:lang w:val="en-US"/>
        </w:rPr>
        <w:tab/>
        <w:tab/>
        <w:t>(5)</w:t>
      </w:r>
    </w:p>
    <w:p>
      <w:pPr>
        <w:pStyle w:val="P1a"/>
        <w:numPr>
          <w:ilvl w:val="0"/>
          <w:numId w:val="0"/>
        </w:numPr>
        <w:spacing w:lineRule="auto" w:line="240"/>
        <w:ind w:hanging="0" w:left="0"/>
        <w:rPr>
          <w:spacing w:val="-2"/>
          <w:sz w:val="16"/>
          <w:szCs w:val="16"/>
          <w:lang w:val="en-US"/>
        </w:rPr>
      </w:pPr>
      <w:r>
        <w:rPr>
          <w:i/>
          <w:iCs/>
          <w:spacing w:val="-2"/>
          <w:sz w:val="16"/>
          <w:szCs w:val="16"/>
          <w:lang w:val="en-US"/>
        </w:rPr>
        <w:t>G</w:t>
      </w:r>
      <w:r>
        <w:rPr>
          <w:spacing w:val="-2"/>
          <w:sz w:val="16"/>
          <w:szCs w:val="16"/>
          <w:lang w:val="en-US"/>
        </w:rPr>
        <w:t>(</w:t>
      </w:r>
      <w:r>
        <w:rPr>
          <w:i/>
          <w:iCs/>
          <w:spacing w:val="-2"/>
          <w:sz w:val="16"/>
          <w:szCs w:val="16"/>
          <w:lang w:val="en-US"/>
        </w:rPr>
        <w:t>x</w:t>
      </w:r>
      <w:r>
        <w:rPr>
          <w:spacing w:val="-2"/>
          <w:sz w:val="16"/>
          <w:szCs w:val="16"/>
          <w:lang w:val="en-US"/>
        </w:rPr>
        <w:t xml:space="preserve">) – the value of the Gaussian function at point </w:t>
      </w:r>
      <w:r>
        <w:rPr>
          <w:i/>
          <w:iCs/>
          <w:spacing w:val="-2"/>
          <w:sz w:val="16"/>
          <w:szCs w:val="16"/>
          <w:lang w:val="en-US"/>
        </w:rPr>
        <w:t>x</w:t>
      </w:r>
      <w:r>
        <w:rPr>
          <w:spacing w:val="-2"/>
          <w:sz w:val="16"/>
          <w:szCs w:val="16"/>
          <w:lang w:val="en-US"/>
        </w:rPr>
        <w:t xml:space="preserve">, </w:t>
      </w:r>
      <w:r>
        <w:rPr>
          <w:i/>
          <w:iCs/>
          <w:spacing w:val="-2"/>
          <w:sz w:val="16"/>
          <w:szCs w:val="16"/>
          <w:lang w:val="en-US"/>
        </w:rPr>
        <w:t>σ</w:t>
      </w:r>
      <w:r>
        <w:rPr>
          <w:spacing w:val="-2"/>
          <w:sz w:val="16"/>
          <w:szCs w:val="16"/>
          <w:lang w:val="en-US"/>
        </w:rPr>
        <w:t xml:space="preserve"> – standard deviation (controls the "blurring" of the filter), </w:t>
      </w:r>
      <w:r>
        <w:rPr>
          <w:i/>
          <w:iCs/>
          <w:spacing w:val="-2"/>
          <w:sz w:val="16"/>
          <w:szCs w:val="16"/>
          <w:lang w:val="en-US"/>
        </w:rPr>
        <w:t>x</w:t>
      </w:r>
      <w:r>
        <w:rPr>
          <w:spacing w:val="-2"/>
          <w:sz w:val="16"/>
          <w:szCs w:val="16"/>
          <w:lang w:val="en-US"/>
        </w:rPr>
        <w:t xml:space="preserve"> – distance from the center (can be, for example, -1, 0, 1 for a 3-element filter).</w:t>
      </w:r>
    </w:p>
    <w:p>
      <w:pPr>
        <w:pStyle w:val="Heading21"/>
        <w:numPr>
          <w:ilvl w:val="0"/>
          <w:numId w:val="0"/>
        </w:numPr>
        <w:spacing w:lineRule="auto" w:line="240"/>
        <w:ind w:hanging="578" w:left="578"/>
        <w:rPr>
          <w:lang w:val="en-US"/>
        </w:rPr>
      </w:pPr>
      <w:r>
        <w:rPr>
          <w:lang w:val="en-US"/>
        </w:rPr>
        <w:t>4.2</w:t>
        <w:tab/>
        <w:t>The models</w:t>
      </w:r>
    </w:p>
    <w:p>
      <w:pPr>
        <w:pStyle w:val="P1a"/>
        <w:numPr>
          <w:ilvl w:val="0"/>
          <w:numId w:val="1"/>
        </w:numPr>
        <w:spacing w:lineRule="auto" w:line="240"/>
        <w:ind w:hanging="0" w:left="0"/>
        <w:rPr>
          <w:lang w:val="en-US"/>
        </w:rPr>
      </w:pPr>
      <w:r>
        <w:rPr>
          <w:rFonts w:cs="Times New Roman"/>
          <w:b/>
          <w:bCs/>
          <w:sz w:val="20"/>
          <w:szCs w:val="20"/>
          <w:lang w:val="en-US"/>
        </w:rPr>
        <w:t>Linear regression model.</w:t>
      </w:r>
      <w:r>
        <w:rPr>
          <w:rFonts w:cs="Times New Roman"/>
          <w:sz w:val="20"/>
          <w:szCs w:val="20"/>
          <w:lang w:val="en-US"/>
        </w:rPr>
        <w:t xml:space="preserve"> </w:t>
      </w:r>
      <w:r>
        <w:rPr>
          <w:lang w:val="en-US"/>
        </w:rPr>
        <w:t>The method of least squares (OLS – Ordinary Least Squares) [Co03] consists of fitting a simple regression line/surface to minimize the sum of squares of differences between the observed and predicted values of the dependent variable. The coefficients of the regression surface (6) are determined from the formula (7).</w:t>
      </w:r>
    </w:p>
    <w:p>
      <w:pPr>
        <w:pStyle w:val="Equation"/>
        <w:spacing w:lineRule="auto" w:line="240"/>
        <w:rPr>
          <w:lang w:val="en-US"/>
        </w:rPr>
      </w:pPr>
      <w:r>
        <w:rPr/>
      </w:r>
      <m:oMath xmlns:m="http://schemas.openxmlformats.org/officeDocument/2006/math">
        <m:r>
          <w:rPr>
            <w:rFonts w:ascii="Cambria Math" w:hAnsi="Cambria Math"/>
          </w:rPr>
          <m:t xml:space="preserve">y</m:t>
        </m:r>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m:rPr>
            <m:lit/>
            <m:nor/>
          </m:rPr>
          <w:rPr>
            <w:rFonts w:ascii="Cambria Math" w:hAnsi="Cambria Math"/>
          </w:rPr>
          <m:t xml:space="preserve">+</m:t>
        </m:r>
        <m:r>
          <w:rPr>
            <w:rFonts w:ascii="Cambria Math" w:hAnsi="Cambria Math"/>
          </w:rPr>
          <m:t xml:space="preserve">b</m:t>
        </m:r>
      </m:oMath>
      <w:r>
        <w:rPr>
          <w:lang w:val="en-US"/>
        </w:rPr>
        <w:tab/>
        <w:tab/>
        <w:t>(6)</w:t>
      </w:r>
    </w:p>
    <w:p>
      <w:pPr>
        <w:pStyle w:val="Equation"/>
        <w:spacing w:lineRule="auto" w:line="240"/>
        <w:rPr>
          <w:lang w:val="en-US"/>
        </w:rPr>
      </w:pPr>
      <w:r>
        <w:rPr/>
      </w:r>
      <m:oMath xmlns:m="http://schemas.openxmlformats.org/officeDocument/2006/math">
        <m:r>
          <w:rPr>
            <w:rFonts w:ascii="Cambria Math" w:hAnsi="Cambria Math"/>
          </w:rPr>
          <m:t xml:space="preserve">A</m:t>
        </m:r>
        <m:r>
          <m:rPr>
            <m:lit/>
            <m:nor/>
          </m:rPr>
          <w:rPr>
            <w:rFonts w:ascii="Cambria Math" w:hAnsi="Cambria Math"/>
          </w:rPr>
          <m:t xml:space="preserve">=</m:t>
        </m:r>
        <m:sSup>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X</m:t>
                </m:r>
              </m:e>
            </m:d>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Y</m:t>
        </m:r>
      </m:oMath>
      <w:r>
        <w:rPr>
          <w:lang w:val="en-US"/>
        </w:rPr>
        <w:tab/>
        <w:tab/>
        <w:t>(7)</w:t>
      </w:r>
    </w:p>
    <w:p>
      <w:pPr>
        <w:pStyle w:val="P1a"/>
        <w:numPr>
          <w:ilvl w:val="0"/>
          <w:numId w:val="0"/>
        </w:numPr>
        <w:spacing w:lineRule="auto" w:line="240"/>
        <w:ind w:hanging="0" w:left="0"/>
        <w:rPr>
          <w:sz w:val="16"/>
          <w:szCs w:val="16"/>
          <w:lang w:val="en-US"/>
        </w:rPr>
      </w:pPr>
      <w:r>
        <w:rPr>
          <w:i/>
          <w:iCs/>
          <w:sz w:val="16"/>
          <w:szCs w:val="16"/>
          <w:lang w:val="en-US"/>
        </w:rPr>
        <w:t>Y</w:t>
      </w:r>
      <w:r>
        <w:rPr>
          <w:sz w:val="16"/>
          <w:szCs w:val="16"/>
          <w:lang w:val="en-US"/>
        </w:rPr>
        <w:t xml:space="preserve"> is a dependent data vector, and X is a matrix of independent data supplemented with a unit vector, A = [</w:t>
      </w:r>
      <w:r>
        <w:rPr>
          <w:i/>
          <w:iCs/>
          <w:sz w:val="16"/>
          <w:szCs w:val="16"/>
          <w:lang w:val="en-US"/>
        </w:rPr>
        <w:t>a</w:t>
      </w:r>
      <w:r>
        <w:rPr>
          <w:sz w:val="16"/>
          <w:szCs w:val="16"/>
          <w:vertAlign w:val="subscript"/>
          <w:lang w:val="en-US"/>
        </w:rPr>
        <w:t>1</w:t>
      </w:r>
      <w:r>
        <w:rPr>
          <w:sz w:val="16"/>
          <w:szCs w:val="16"/>
          <w:lang w:val="en-US"/>
        </w:rPr>
        <w:t xml:space="preserve">, </w:t>
      </w:r>
      <w:r>
        <w:rPr>
          <w:i/>
          <w:iCs/>
          <w:sz w:val="16"/>
          <w:szCs w:val="16"/>
          <w:lang w:val="en-US"/>
        </w:rPr>
        <w:t>a</w:t>
      </w:r>
      <w:r>
        <w:rPr>
          <w:sz w:val="16"/>
          <w:szCs w:val="16"/>
          <w:vertAlign w:val="subscript"/>
          <w:lang w:val="en-US"/>
        </w:rPr>
        <w:t>2</w:t>
      </w:r>
      <w:r>
        <w:rPr>
          <w:sz w:val="16"/>
          <w:szCs w:val="16"/>
          <w:lang w:val="en-US"/>
        </w:rPr>
        <w:t xml:space="preserve">, </w:t>
      </w:r>
      <w:r>
        <w:rPr>
          <w:i/>
          <w:iCs/>
          <w:sz w:val="16"/>
          <w:szCs w:val="16"/>
          <w:lang w:val="en-US"/>
        </w:rPr>
        <w:t>b</w:t>
      </w:r>
      <w:r>
        <w:rPr>
          <w:sz w:val="16"/>
          <w:szCs w:val="16"/>
          <w:lang w:val="en-US"/>
        </w:rPr>
        <w:t>] – a vector of searched regression parameters.</w:t>
      </w:r>
    </w:p>
    <w:tbl>
      <w:tblPr>
        <w:tblW w:w="7028" w:type="dxa"/>
        <w:jc w:val="left"/>
        <w:tblInd w:w="77" w:type="dxa"/>
        <w:tblLayout w:type="fixed"/>
        <w:tblCellMar>
          <w:top w:w="0" w:type="dxa"/>
          <w:left w:w="0" w:type="dxa"/>
          <w:bottom w:w="0" w:type="dxa"/>
          <w:right w:w="0" w:type="dxa"/>
        </w:tblCellMar>
      </w:tblPr>
      <w:tblGrid>
        <w:gridCol w:w="1019"/>
        <w:gridCol w:w="1135"/>
        <w:gridCol w:w="1135"/>
        <w:gridCol w:w="1021"/>
        <w:gridCol w:w="1072"/>
        <w:gridCol w:w="1645"/>
      </w:tblGrid>
      <w:tr>
        <w:trPr/>
        <w:tc>
          <w:tcPr>
            <w:tcW w:w="1019" w:type="dxa"/>
            <w:tcBorders>
              <w:top w:val="single" w:sz="6" w:space="0" w:color="000000"/>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Time</w:t>
            </w:r>
          </w:p>
        </w:tc>
        <w:tc>
          <w:tcPr>
            <w:tcW w:w="1135" w:type="dxa"/>
            <w:tcBorders>
              <w:top w:val="single" w:sz="6" w:space="0" w:color="000000"/>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iCs/>
                <w:strike w:val="false"/>
                <w:dstrike w:val="false"/>
                <w:outline w:val="false"/>
                <w:shadow w:val="false"/>
                <w:color w:val="000000"/>
                <w:sz w:val="20"/>
                <w:szCs w:val="20"/>
                <w:u w:val="none"/>
                <w:lang w:val="en-US"/>
              </w:rPr>
              <w:t>a</w:t>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1</w:t>
            </w:r>
          </w:p>
          <w:p>
            <w:pPr>
              <w:pStyle w:val="P1a"/>
              <w:numPr>
                <w:ilvl w:val="0"/>
                <w:numId w:val="0"/>
              </w:numPr>
              <w:spacing w:lineRule="auto" w:line="240" w:before="0" w:after="0"/>
              <w:ind w:hanging="0" w:left="0"/>
              <w:jc w:val="left"/>
              <w:rPr>
                <w:sz w:val="16"/>
                <w:szCs w:val="16"/>
              </w:rPr>
            </w:pPr>
            <w:r>
              <w:rPr>
                <w:rFonts w:ascii="Liberation Serif" w:hAnsi="Liberation Serif"/>
                <w:b w:val="false"/>
                <w:bCs w:val="false"/>
                <w:i w:val="false"/>
                <w:iCs w:val="false"/>
                <w:strike w:val="false"/>
                <w:dstrike w:val="false"/>
                <w:outline w:val="false"/>
                <w:shadow w:val="false"/>
                <w:color w:val="000000"/>
                <w:position w:val="0"/>
                <w:sz w:val="16"/>
                <w:sz w:val="16"/>
                <w:szCs w:val="16"/>
                <w:u w:val="none"/>
                <w:vertAlign w:val="baseline"/>
                <w:lang w:val="en-US"/>
              </w:rPr>
              <w:t>(temperature)</w:t>
            </w:r>
          </w:p>
        </w:tc>
        <w:tc>
          <w:tcPr>
            <w:tcW w:w="1135" w:type="dxa"/>
            <w:tcBorders>
              <w:top w:val="single" w:sz="6" w:space="0" w:color="000000"/>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iCs/>
                <w:strike w:val="false"/>
                <w:dstrike w:val="false"/>
                <w:outline w:val="false"/>
                <w:shadow w:val="false"/>
                <w:color w:val="000000"/>
                <w:sz w:val="20"/>
                <w:szCs w:val="20"/>
                <w:u w:val="none"/>
                <w:lang w:val="en-US"/>
              </w:rPr>
              <w:t>a</w:t>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2</w:t>
            </w:r>
          </w:p>
          <w:p>
            <w:pPr>
              <w:pStyle w:val="Normal"/>
              <w:numPr>
                <w:ilvl w:val="0"/>
                <w:numId w:val="0"/>
              </w:numPr>
              <w:spacing w:lineRule="auto" w:line="240" w:before="0" w:after="0"/>
              <w:ind w:hanging="0" w:left="0"/>
              <w:jc w:val="left"/>
              <w:rPr>
                <w:sz w:val="16"/>
                <w:szCs w:val="16"/>
              </w:rPr>
            </w:pPr>
            <w:r>
              <w:rPr>
                <w:rFonts w:ascii="Liberation Serif" w:hAnsi="Liberation Serif"/>
                <w:b w:val="false"/>
                <w:bCs w:val="false"/>
                <w:i w:val="false"/>
                <w:iCs w:val="false"/>
                <w:strike w:val="false"/>
                <w:dstrike w:val="false"/>
                <w:outline w:val="false"/>
                <w:shadow w:val="false"/>
                <w:color w:val="000000"/>
                <w:sz w:val="16"/>
                <w:szCs w:val="16"/>
                <w:u w:val="none"/>
                <w:lang w:val="en-US"/>
              </w:rPr>
              <w:t>(irradiation)</w:t>
            </w:r>
          </w:p>
        </w:tc>
        <w:tc>
          <w:tcPr>
            <w:tcW w:w="1021" w:type="dxa"/>
            <w:tcBorders>
              <w:top w:val="single" w:sz="6" w:space="0" w:color="000000"/>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iCs/>
                <w:strike w:val="false"/>
                <w:dstrike w:val="false"/>
                <w:outline w:val="false"/>
                <w:shadow w:val="false"/>
                <w:color w:val="000000"/>
                <w:sz w:val="20"/>
                <w:szCs w:val="20"/>
                <w:u w:val="none"/>
                <w:lang w:val="en-US"/>
              </w:rPr>
              <w:t>b</w:t>
            </w:r>
          </w:p>
        </w:tc>
        <w:tc>
          <w:tcPr>
            <w:tcW w:w="1072" w:type="dxa"/>
            <w:tcBorders>
              <w:top w:val="single" w:sz="6" w:space="0" w:color="000000"/>
              <w:bottom w:val="single" w:sz="6" w:space="0" w:color="000000"/>
            </w:tcBorders>
          </w:tcPr>
          <w:p>
            <w:pPr>
              <w:pStyle w:val="P1a"/>
              <w:numPr>
                <w:ilvl w:val="0"/>
                <w:numId w:val="0"/>
              </w:numPr>
              <w:spacing w:lineRule="auto" w:line="240" w:before="0" w:after="0"/>
              <w:ind w:hanging="0" w:left="0"/>
              <w:jc w:val="left"/>
              <w:rPr>
                <w:sz w:val="20"/>
                <w:szCs w:val="20"/>
              </w:rPr>
            </w:pPr>
            <w:r>
              <w:rPr>
                <w:rFont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R</w:t>
            </w:r>
            <w:r>
              <w:rPr>
                <w:rFonts w:cs="Times New Roman" w:ascii="Liberation Serif" w:hAnsi="Liberation Serif"/>
                <w:b w:val="false"/>
                <w:bCs w:val="false"/>
                <w:i w:val="false"/>
                <w:iCs w:val="false"/>
                <w:strike w:val="false"/>
                <w:dstrike w:val="false"/>
                <w:outline w:val="false"/>
                <w:shadow w:val="false"/>
                <w:color w:val="000000"/>
                <w:kern w:val="2"/>
                <w:sz w:val="20"/>
                <w:szCs w:val="20"/>
                <w:u w:val="none"/>
                <w:vertAlign w:val="superscript"/>
                <w:lang w:val="en-US" w:eastAsia="en-US" w:bidi="ar-SA"/>
              </w:rPr>
              <w:t>2</w:t>
            </w:r>
          </w:p>
        </w:tc>
        <w:tc>
          <w:tcPr>
            <w:tcW w:w="1645" w:type="dxa"/>
            <w:tcBorders>
              <w:top w:val="single" w:sz="6" w:space="0" w:color="000000"/>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Number of days</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07-2024</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10.282</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0.061775</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-2942.5</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0.9637</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31</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08-2024</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14.243</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0.062507</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-4109.9</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0.9571</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12</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09-2024</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15.437</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0.077128</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-4444.7</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0.9509</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12</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10-2024</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4.7887</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0.071981</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-1332.1</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0.9117</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12</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11-2024</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57.765</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0.050808</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-1594.9</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0.7200</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6</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12-2024</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5.7580</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0.077986</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-1605.7</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0.9424</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2024</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3.5798</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0.065990</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-947.85</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0.94643</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78</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01-2025</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1.1715</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0.035135</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-341.31</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0.3700</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13</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02-2025</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4.9480</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0.076804</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-1401.0</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0.9325</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17</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03-2025</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5.7610</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0.083579</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-1565.0</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0.9731</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24</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04-2025</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4.1314</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0.082172</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-1084.8</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0.9502</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30</w:t>
            </w:r>
          </w:p>
        </w:tc>
      </w:tr>
      <w:tr>
        <w:trPr/>
        <w:tc>
          <w:tcPr>
            <w:tcW w:w="1019"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2025</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5.6454</w:t>
            </w:r>
          </w:p>
        </w:tc>
        <w:tc>
          <w:tcPr>
            <w:tcW w:w="113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0.083158</w:t>
            </w:r>
          </w:p>
        </w:tc>
        <w:tc>
          <w:tcPr>
            <w:tcW w:w="1021"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-1566.3</w:t>
            </w:r>
          </w:p>
        </w:tc>
        <w:tc>
          <w:tcPr>
            <w:tcW w:w="1072"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0.9622</w:t>
            </w:r>
          </w:p>
        </w:tc>
        <w:tc>
          <w:tcPr>
            <w:tcW w:w="1645" w:type="dxa"/>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85</w:t>
            </w:r>
          </w:p>
        </w:tc>
      </w:tr>
      <w:tr>
        <w:trPr/>
        <w:tc>
          <w:tcPr>
            <w:tcW w:w="1019" w:type="dxa"/>
            <w:tcBorders>
              <w:bottom w:val="single" w:sz="6" w:space="0" w:color="000000"/>
            </w:tcBorders>
          </w:tcPr>
          <w:p>
            <w:pPr>
              <w:pStyle w:val="P1a"/>
              <w:numPr>
                <w:ilvl w:val="0"/>
                <w:numId w:val="0"/>
              </w:numPr>
              <w:spacing w:lineRule="auto" w:line="240" w:before="0" w:after="0"/>
              <w:ind w:hanging="0" w:left="0"/>
              <w:jc w:val="left"/>
              <w:rPr>
                <w:b w:val="false"/>
                <w:bCs w:val="false"/>
                <w:sz w:val="20"/>
                <w:szCs w:val="20"/>
              </w:rPr>
            </w:pPr>
            <w:r>
              <w:rPr>
                <w:rFont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Total</w:t>
            </w:r>
          </w:p>
        </w:tc>
        <w:tc>
          <w:tcPr>
            <w:tcW w:w="1135" w:type="dxa"/>
            <w:tcBorders>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-4.3980</w:t>
            </w:r>
          </w:p>
        </w:tc>
        <w:tc>
          <w:tcPr>
            <w:tcW w:w="1135" w:type="dxa"/>
            <w:tcBorders>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0.075880</w:t>
            </w:r>
          </w:p>
        </w:tc>
        <w:tc>
          <w:tcPr>
            <w:tcW w:w="1021" w:type="dxa"/>
            <w:tcBorders>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1348.1</w:t>
            </w:r>
          </w:p>
        </w:tc>
        <w:tc>
          <w:tcPr>
            <w:tcW w:w="1072" w:type="dxa"/>
            <w:tcBorders>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0.9381</w:t>
            </w:r>
          </w:p>
        </w:tc>
        <w:tc>
          <w:tcPr>
            <w:tcW w:w="1645" w:type="dxa"/>
            <w:tcBorders>
              <w:bottom w:val="single" w:sz="6" w:space="0" w:color="000000"/>
            </w:tcBorders>
          </w:tcPr>
          <w:p>
            <w:pPr>
              <w:pStyle w:val="P1a"/>
              <w:numPr>
                <w:ilvl w:val="0"/>
                <w:numId w:val="0"/>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163</w:t>
            </w:r>
          </w:p>
        </w:tc>
      </w:tr>
    </w:tbl>
    <w:p>
      <w:pPr>
        <w:pStyle w:val="Tablecaption"/>
        <w:numPr>
          <w:ilvl w:val="0"/>
          <w:numId w:val="0"/>
        </w:numPr>
        <w:spacing w:lineRule="auto" w:line="240"/>
        <w:ind w:hanging="0" w:left="0"/>
        <w:rPr>
          <w:lang w:val="en-US"/>
        </w:rPr>
      </w:pPr>
      <w:r>
        <w:rPr>
          <w:rFonts w:cs="Times New Roman"/>
          <w:b w:val="false"/>
          <w:bCs w:val="false"/>
          <w:lang w:val="en-US"/>
        </w:rPr>
        <w:t>Tab. 2:</w:t>
      </w:r>
      <w:r>
        <w:rPr>
          <w:rFonts w:cs="Times New Roman"/>
          <w:lang w:val="en-US"/>
        </w:rPr>
        <w:t xml:space="preserve"> Summary of linear regression results for individual months, parts of 2024 and 2025, and for all data (</w:t>
      </w:r>
      <w:r>
        <w:rPr>
          <w:rFonts w:cs="Times New Roman"/>
          <w:i/>
          <w:iCs/>
          <w:lang w:val="en-US"/>
        </w:rPr>
        <w:t>a</w:t>
      </w:r>
      <w:r>
        <w:rPr>
          <w:rFonts w:cs="Times New Roman"/>
          <w:i w:val="false"/>
          <w:iCs w:val="false"/>
          <w:vertAlign w:val="subscript"/>
          <w:lang w:val="en-US"/>
        </w:rPr>
        <w:t>1</w:t>
      </w:r>
      <w:r>
        <w:rPr>
          <w:rFonts w:cs="Times New Roman"/>
          <w:i/>
          <w:iCs/>
          <w:lang w:val="en-US"/>
        </w:rPr>
        <w:t>, a</w:t>
      </w:r>
      <w:r>
        <w:rPr>
          <w:rFonts w:cs="Times New Roman"/>
          <w:i w:val="false"/>
          <w:iCs w:val="false"/>
          <w:vertAlign w:val="subscript"/>
          <w:lang w:val="en-US"/>
        </w:rPr>
        <w:t>2</w:t>
      </w:r>
      <w:r>
        <w:rPr>
          <w:rFonts w:cs="Times New Roman"/>
          <w:lang w:val="en-US"/>
        </w:rPr>
        <w:t xml:space="preserve">, and </w:t>
      </w:r>
      <w:r>
        <w:rPr>
          <w:rFonts w:cs="Times New Roman"/>
          <w:i/>
          <w:iCs/>
          <w:lang w:val="en-US"/>
        </w:rPr>
        <w:t>b</w:t>
      </w:r>
      <w:r>
        <w:rPr>
          <w:rFonts w:cs="Times New Roman"/>
          <w:lang w:val="en-US"/>
        </w:rPr>
        <w:t xml:space="preserve"> – regression parameters, </w:t>
      </w:r>
      <w:r>
        <w:rPr>
          <w:rFonts w:cs="Times New Roman"/>
          <w:i/>
          <w:iCs/>
          <w:lang w:val="en-US"/>
        </w:rPr>
        <w:t>R</w:t>
      </w:r>
      <w:r>
        <w:rPr>
          <w:rFonts w:cs="Times New Roman"/>
          <w:vertAlign w:val="superscript"/>
          <w:lang w:val="en-US"/>
        </w:rPr>
        <w:t>2</w:t>
      </w:r>
      <w:r>
        <w:rPr>
          <w:rFonts w:cs="Times New Roman"/>
          <w:lang w:val="en-US"/>
        </w:rPr>
        <w:t xml:space="preserve"> - </w:t>
      </w:r>
      <w:r>
        <w:rPr>
          <w:lang w:val="en-US"/>
        </w:rPr>
        <w:t xml:space="preserve">the </w:t>
      </w:r>
      <w:r>
        <w:rPr>
          <w:b w:val="false"/>
          <w:bCs w:val="false"/>
          <w:lang w:val="en-US"/>
        </w:rPr>
        <w:t>coefficient of determination)</w:t>
      </w:r>
    </w:p>
    <w:p>
      <w:pPr>
        <w:pStyle w:val="P1a"/>
        <w:numPr>
          <w:ilvl w:val="0"/>
          <w:numId w:val="0"/>
        </w:numPr>
        <w:spacing w:lineRule="auto" w:line="240" w:before="238" w:after="238"/>
        <w:ind w:hanging="0" w:left="0"/>
        <w:rPr>
          <w:lang w:val="en-US"/>
        </w:rPr>
      </w:pPr>
      <w:r>
        <w:rPr>
          <w:lang w:val="en-US"/>
        </w:rPr>
        <w:t>The model parameters presented in Tab. 2 are quite surprising, because while for all shorter periods they are quite similar, especially the dependence on irradiance, for the entire data set, the obtained model is different and, interestingly, more similar to the physical dependence of panel efficiency on temperature.</w:t>
      </w:r>
      <w:r>
        <w:rPr>
          <w:sz w:val="20"/>
          <w:szCs w:val="20"/>
          <w:lang w:val="en-US"/>
        </w:rPr>
        <w:t xml:space="preserve"> Fig. 5 shows graphs presenting the features of selected models.</w:t>
      </w:r>
    </w:p>
    <w:p>
      <w:pPr>
        <w:pStyle w:val="P1a"/>
        <w:numPr>
          <w:ilvl w:val="0"/>
          <w:numId w:val="1"/>
        </w:numPr>
        <w:spacing w:lineRule="auto" w:line="240"/>
        <w:jc w:val="center"/>
        <w:rPr>
          <w:lang w:val="en-US"/>
        </w:rPr>
      </w:pPr>
      <w:r>
        <w:rPr>
          <w:sz w:val="18"/>
          <w:szCs w:val="18"/>
          <w:lang w:val="en-US"/>
        </w:rPr>
        <w:t xml:space="preserve">a) </w:t>
      </w:r>
      <w:r>
        <w:rPr/>
        <w:drawing>
          <wp:inline distT="0" distB="0" distL="0" distR="0">
            <wp:extent cx="1800225" cy="1080135"/>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1800225" cy="1080135"/>
                    </a:xfrm>
                    <a:prstGeom prst="rect">
                      <a:avLst/>
                    </a:prstGeom>
                  </pic:spPr>
                </pic:pic>
              </a:graphicData>
            </a:graphic>
          </wp:inline>
        </w:drawing>
      </w:r>
      <w:r>
        <w:rPr>
          <w:rFonts w:cs="Times New Roman"/>
          <w:sz w:val="24"/>
          <w:szCs w:val="24"/>
          <w:lang w:val="en-US"/>
        </w:rPr>
        <w:tab/>
      </w:r>
      <w:r>
        <w:rPr>
          <w:rFonts w:cs="Times New Roman"/>
          <w:sz w:val="18"/>
          <w:szCs w:val="18"/>
          <w:lang w:val="en-US"/>
        </w:rPr>
        <w:t xml:space="preserve">b) </w:t>
      </w:r>
      <w:r>
        <w:rPr/>
        <w:drawing>
          <wp:inline distT="0" distB="0" distL="0" distR="0">
            <wp:extent cx="1800225" cy="1080135"/>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1800225" cy="1080135"/>
                    </a:xfrm>
                    <a:prstGeom prst="rect">
                      <a:avLst/>
                    </a:prstGeom>
                  </pic:spPr>
                </pic:pic>
              </a:graphicData>
            </a:graphic>
          </wp:inline>
        </w:drawing>
      </w:r>
    </w:p>
    <w:p>
      <w:pPr>
        <w:pStyle w:val="Figurecaption"/>
        <w:spacing w:lineRule="auto" w:line="240"/>
        <w:jc w:val="center"/>
        <w:rPr>
          <w:lang w:val="en-US"/>
        </w:rPr>
      </w:pPr>
      <w:r>
        <w:rPr>
          <w:b w:val="false"/>
          <w:bCs w:val="false"/>
          <w:lang w:val="en-US"/>
        </w:rPr>
        <w:t xml:space="preserve">Fig. 5: </w:t>
      </w:r>
      <w:r>
        <w:rPr>
          <w:lang w:val="en-US"/>
        </w:rPr>
        <w:t xml:space="preserve">3D linear regression model obtained for all data, the dependence of electricity production a) on panel temperature; </w:t>
      </w:r>
      <w:r>
        <w:rPr>
          <w:b w:val="false"/>
          <w:bCs w:val="false"/>
          <w:lang w:val="en-US"/>
        </w:rPr>
        <w:t>b)</w:t>
      </w:r>
      <w:r>
        <w:rPr>
          <w:lang w:val="en-US"/>
        </w:rPr>
        <w:t xml:space="preserve"> on solar radiation and temperature of panels</w:t>
      </w:r>
    </w:p>
    <w:p>
      <w:pPr>
        <w:pStyle w:val="P1a"/>
        <w:numPr>
          <w:ilvl w:val="0"/>
          <w:numId w:val="1"/>
        </w:numPr>
        <w:rPr/>
      </w:pPr>
      <w:r>
        <w:rPr>
          <w:rFonts w:cs="Times New Roman"/>
          <w:b/>
          <w:bCs/>
          <w:sz w:val="20"/>
          <w:szCs w:val="20"/>
        </w:rPr>
        <w:t>LSTM neural network.</w:t>
      </w:r>
      <w:r>
        <w:rPr>
          <w:rFonts w:cs="Times New Roman"/>
          <w:b w:val="false"/>
          <w:bCs w:val="false"/>
          <w:sz w:val="20"/>
          <w:szCs w:val="20"/>
        </w:rPr>
        <w:t xml:space="preserve"> The LSTM </w:t>
      </w:r>
      <w:r>
        <w:rPr>
          <w:b w:val="false"/>
          <w:bCs w:val="false"/>
          <w:sz w:val="20"/>
          <w:szCs w:val="20"/>
        </w:rPr>
        <w:t xml:space="preserve">(Long Short-Term Memory) </w:t>
      </w:r>
      <w:r>
        <w:rPr>
          <w:rFonts w:cs="Times New Roman"/>
          <w:b w:val="false"/>
          <w:bCs w:val="false"/>
          <w:sz w:val="20"/>
          <w:szCs w:val="20"/>
        </w:rPr>
        <w:t xml:space="preserve">neural network (see Fig. 6) belongs to the category of recurrent networks, which are characterized by the ability to process data in a time-dependent manner based on current and past values ([GSC00], [CO17]). This enables deeper analysis of dependencies and introduces an element of memory or inertia, which is clearly present in the operation of PV panels. </w:t>
      </w:r>
      <w:r>
        <w:rPr>
          <w:rFonts w:cs="Times New Roman"/>
          <w:b w:val="false"/>
          <w:bCs w:val="false"/>
          <w:sz w:val="20"/>
          <w:szCs w:val="20"/>
          <w:lang w:val="en-US"/>
        </w:rPr>
        <w:t>The operation of the LSTM network is described by formulas (8)–(11).</w:t>
      </w:r>
    </w:p>
    <w:p>
      <w:pPr>
        <w:pStyle w:val="P1a"/>
        <w:numPr>
          <w:ilvl w:val="0"/>
          <w:numId w:val="1"/>
        </w:numPr>
        <w:spacing w:lineRule="auto" w:line="240" w:before="0" w:after="159"/>
        <w:ind w:hanging="0" w:left="0"/>
        <w:jc w:val="center"/>
        <w:rPr>
          <w:lang w:val="en-US"/>
        </w:rPr>
      </w:pPr>
      <w:r>
        <w:rPr/>
        <w:drawing>
          <wp:inline distT="0" distB="0" distL="0" distR="0">
            <wp:extent cx="2160270" cy="1080135"/>
            <wp:effectExtent l="0" t="0" r="0" b="0"/>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12"/>
                    <a:stretch>
                      <a:fillRect/>
                    </a:stretch>
                  </pic:blipFill>
                  <pic:spPr bwMode="auto">
                    <a:xfrm>
                      <a:off x="0" y="0"/>
                      <a:ext cx="2160270" cy="1080135"/>
                    </a:xfrm>
                    <a:prstGeom prst="rect">
                      <a:avLst/>
                    </a:prstGeom>
                  </pic:spPr>
                </pic:pic>
              </a:graphicData>
            </a:graphic>
          </wp:inline>
        </w:drawing>
      </w:r>
    </w:p>
    <w:p>
      <w:pPr>
        <w:pStyle w:val="Figurecaption"/>
        <w:spacing w:lineRule="auto" w:line="240"/>
        <w:jc w:val="center"/>
        <w:rPr>
          <w:lang w:val="en-US"/>
        </w:rPr>
      </w:pPr>
      <w:r>
        <w:rPr>
          <w:b w:val="false"/>
          <w:bCs w:val="false"/>
          <w:lang w:val="en-US"/>
        </w:rPr>
        <w:t>Fig. 6:</w:t>
      </w:r>
      <w:r>
        <w:rPr>
          <w:lang w:val="en-US"/>
        </w:rPr>
        <w:t xml:space="preserve"> Schematic diagram of the structure of one segment of the LSTM network</w:t>
      </w:r>
    </w:p>
    <w:p>
      <w:pPr>
        <w:pStyle w:val="Equation"/>
        <w:spacing w:lineRule="auto" w:line="240" w:before="0" w:after="159"/>
        <w:rPr>
          <w:lang w:val="en-US"/>
        </w:rPr>
      </w:pPr>
      <w:r>
        <w:rPr/>
      </w:r>
      <m:oMath xmlns:m="http://schemas.openxmlformats.org/officeDocument/2006/math">
        <m:sSub>
          <m:e>
            <m:r>
              <w:rPr>
                <w:rFonts w:ascii="Cambria Math" w:hAnsi="Cambria Math"/>
              </w:rPr>
              <m:t xml:space="preserve">s</m:t>
            </m:r>
          </m:e>
          <m:sub>
            <m:r>
              <w:rPr>
                <w:rFonts w:ascii="Cambria Math" w:hAnsi="Cambria Math"/>
              </w:rPr>
              <m:t xml:space="preserve">i</m:t>
            </m:r>
          </m:sub>
        </m:sSub>
        <m:r>
          <m:rPr>
            <m:lit/>
            <m:nor/>
          </m:rPr>
          <w:rPr>
            <w:rFonts w:ascii="Cambria Math" w:hAnsi="Cambria Math"/>
          </w:rPr>
          <m:t xml:space="preserve">=</m:t>
        </m:r>
        <m:sSub>
          <m:e>
            <m:r>
              <w:rPr>
                <w:rFonts w:ascii="Cambria Math" w:hAnsi="Cambria Math"/>
              </w:rPr>
              <m:t xml:space="preserve">σ</m:t>
            </m:r>
          </m:e>
          <m:sub>
            <m:r>
              <w:rPr>
                <w:rFonts w:ascii="Cambria Math" w:hAnsi="Cambria Math"/>
              </w:rPr>
              <m:t xml:space="preserve">i</m:t>
            </m:r>
          </m:sub>
        </m:sSub>
        <m:d>
          <m:dPr>
            <m:begChr m:val="("/>
            <m:endChr m:val=")"/>
          </m:dPr>
          <m:e>
            <m:sSub>
              <m:e>
                <m:r>
                  <w:rPr>
                    <w:rFonts w:ascii="Cambria Math" w:hAnsi="Cambria Math"/>
                  </w:rPr>
                  <m:t xml:space="preserve">W</m:t>
                </m:r>
              </m:e>
              <m:sub>
                <m:sSub>
                  <m:e>
                    <m:r>
                      <w:rPr>
                        <w:rFonts w:ascii="Cambria Math" w:hAnsi="Cambria Math"/>
                      </w:rPr>
                      <m:t xml:space="preserve">x</m:t>
                    </m:r>
                  </m:e>
                  <m:sub>
                    <m:r>
                      <w:rPr>
                        <w:rFonts w:ascii="Cambria Math" w:hAnsi="Cambria Math"/>
                      </w:rPr>
                      <m:t xml:space="preserve">i</m:t>
                    </m:r>
                  </m:sub>
                </m:sSub>
              </m:sub>
            </m:sSub>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W</m:t>
                </m:r>
              </m:e>
              <m:sub>
                <m:sSub>
                  <m:e>
                    <m:r>
                      <w:rPr>
                        <w:rFonts w:ascii="Cambria Math" w:hAnsi="Cambria Math"/>
                      </w:rPr>
                      <m:t xml:space="preserve">h</m:t>
                    </m:r>
                  </m:e>
                  <m:sub>
                    <m:r>
                      <w:rPr>
                        <w:rFonts w:ascii="Cambria Math" w:hAnsi="Cambria Math"/>
                      </w:rPr>
                      <m:t xml:space="preserve">i</m:t>
                    </m:r>
                  </m:sub>
                </m:sSub>
              </m:sub>
            </m:sSub>
            <m:r>
              <w:rPr>
                <w:rFonts w:ascii="Cambria Math" w:hAnsi="Cambria Math"/>
              </w:rPr>
              <m:t xml:space="preserve">⋅</m:t>
            </m:r>
            <m:sSub>
              <m:e>
                <m:r>
                  <w:rPr>
                    <w:rFonts w:ascii="Cambria Math" w:hAnsi="Cambria Math"/>
                  </w:rPr>
                  <m:t xml:space="preserve">h</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e>
        </m:d>
        <m:r>
          <w:rPr>
            <w:rFonts w:ascii="Cambria Math" w:hAnsi="Cambria Math"/>
          </w:rPr>
          <m:t xml:space="preserve">i</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oMath>
      <w:r>
        <w:rPr>
          <w:lang w:val="en-US"/>
        </w:rPr>
        <w:tab/>
      </w:r>
      <w:r>
        <w:rPr>
          <w:b w:val="false"/>
          <w:bCs w:val="false"/>
          <w:lang w:val="en-US"/>
        </w:rPr>
        <w:t>(8)</w:t>
      </w:r>
    </w:p>
    <w:p>
      <w:pPr>
        <w:pStyle w:val="Equation"/>
        <w:spacing w:lineRule="auto" w:line="240" w:before="0" w:after="159"/>
        <w:rPr>
          <w:lang w:val="en-US"/>
        </w:rPr>
      </w:pPr>
      <w:r>
        <w:rPr/>
      </w:r>
      <m:oMath xmlns:m="http://schemas.openxmlformats.org/officeDocument/2006/math">
        <m:sSub>
          <m:e>
            <m:r>
              <w:rPr>
                <w:rFonts w:ascii="Cambria Math" w:hAnsi="Cambria Math"/>
              </w:rPr>
              <m:t xml:space="preserve">s</m:t>
            </m:r>
          </m:e>
          <m:sub>
            <m:r>
              <w:rPr>
                <w:rFonts w:ascii="Cambria Math" w:hAnsi="Cambria Math"/>
              </w:rPr>
              <m:t xml:space="preserve">4</m:t>
            </m:r>
          </m:sub>
        </m:sSub>
        <m:r>
          <m:rPr>
            <m:lit/>
            <m:nor/>
          </m:rPr>
          <w:rPr>
            <w:rFonts w:ascii="Cambria Math" w:hAnsi="Cambria Math"/>
          </w:rPr>
          <m:t xml:space="preserve">=</m:t>
        </m:r>
        <m:sSub>
          <m:e>
            <m:r>
              <w:rPr>
                <w:rFonts w:ascii="Cambria Math" w:hAnsi="Cambria Math"/>
              </w:rPr>
              <m:t xml:space="preserve">tanh</m:t>
            </m:r>
          </m:e>
          <m:sub>
            <m:r>
              <w:rPr>
                <w:rFonts w:ascii="Cambria Math" w:hAnsi="Cambria Math"/>
              </w:rPr>
              <m:t xml:space="preserve">1</m:t>
            </m:r>
          </m:sub>
        </m:sSub>
        <m:d>
          <m:dPr>
            <m:begChr m:val="("/>
            <m:endChr m:val=")"/>
          </m:dPr>
          <m:e>
            <m:sSub>
              <m:e>
                <m:r>
                  <w:rPr>
                    <w:rFonts w:ascii="Cambria Math" w:hAnsi="Cambria Math"/>
                  </w:rPr>
                  <m:t xml:space="preserve">W</m:t>
                </m:r>
              </m:e>
              <m:sub>
                <m:sSub>
                  <m:e>
                    <m:r>
                      <w:rPr>
                        <w:rFonts w:ascii="Cambria Math" w:hAnsi="Cambria Math"/>
                      </w:rPr>
                      <m:t xml:space="preserve">x</m:t>
                    </m:r>
                  </m:e>
                  <m:sub>
                    <m:r>
                      <w:rPr>
                        <w:rFonts w:ascii="Cambria Math" w:hAnsi="Cambria Math"/>
                      </w:rPr>
                      <m:t xml:space="preserve">4</m:t>
                    </m:r>
                  </m:sub>
                </m:sSub>
              </m:sub>
            </m:sSub>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W</m:t>
                </m:r>
              </m:e>
              <m:sub>
                <m:sSub>
                  <m:e>
                    <m:r>
                      <w:rPr>
                        <w:rFonts w:ascii="Cambria Math" w:hAnsi="Cambria Math"/>
                      </w:rPr>
                      <m:t xml:space="preserve">h</m:t>
                    </m:r>
                  </m:e>
                  <m:sub>
                    <m:r>
                      <w:rPr>
                        <w:rFonts w:ascii="Cambria Math" w:hAnsi="Cambria Math"/>
                      </w:rPr>
                      <m:t xml:space="preserve">4</m:t>
                    </m:r>
                  </m:sub>
                </m:sSub>
              </m:sub>
            </m:sSub>
            <m:r>
              <w:rPr>
                <w:rFonts w:ascii="Cambria Math" w:hAnsi="Cambria Math"/>
              </w:rPr>
              <m:t xml:space="preserve">⋅</m:t>
            </m:r>
            <m:sSub>
              <m:e>
                <m:r>
                  <w:rPr>
                    <w:rFonts w:ascii="Cambria Math" w:hAnsi="Cambria Math"/>
                  </w:rPr>
                  <m:t xml:space="preserve">h</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b</m:t>
                </m:r>
              </m:e>
              <m:sub>
                <m:r>
                  <w:rPr>
                    <w:rFonts w:ascii="Cambria Math" w:hAnsi="Cambria Math"/>
                  </w:rPr>
                  <m:t xml:space="preserve">4</m:t>
                </m:r>
              </m:sub>
            </m:sSub>
          </m:e>
        </m:d>
      </m:oMath>
      <w:r>
        <w:rPr>
          <w:lang w:val="en-US"/>
        </w:rPr>
        <w:tab/>
      </w:r>
      <w:r>
        <w:rPr>
          <w:b w:val="false"/>
          <w:bCs w:val="false"/>
          <w:lang w:val="en-US"/>
        </w:rPr>
        <w:tab/>
        <w:t>(9)</w:t>
      </w:r>
    </w:p>
    <w:p>
      <w:pPr>
        <w:pStyle w:val="Equation"/>
        <w:spacing w:lineRule="auto" w:line="240" w:before="0" w:after="159"/>
        <w:rPr>
          <w:lang w:val="en-US"/>
        </w:rPr>
      </w:pPr>
      <w:r>
        <w:rPr/>
      </w:r>
      <m:oMath xmlns:m="http://schemas.openxmlformats.org/officeDocument/2006/math">
        <m:sSub>
          <m:e>
            <m:r>
              <w:rPr>
                <w:rFonts w:ascii="Cambria Math" w:hAnsi="Cambria Math"/>
              </w:rPr>
              <m:t xml:space="preserve">c</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oMath>
      <w:r>
        <w:rPr>
          <w:lang w:val="en-US"/>
        </w:rPr>
        <w:tab/>
      </w:r>
      <w:r>
        <w:rPr>
          <w:b w:val="false"/>
          <w:bCs w:val="false"/>
          <w:lang w:val="en-US"/>
        </w:rPr>
        <w:tab/>
        <w:t>(10)</w:t>
      </w:r>
    </w:p>
    <w:p>
      <w:pPr>
        <w:pStyle w:val="Equation"/>
        <w:spacing w:lineRule="auto" w:line="240" w:before="0" w:after="159"/>
        <w:rPr>
          <w:lang w:val="en-US"/>
        </w:rPr>
      </w:pPr>
      <w:r>
        <w:rPr/>
      </w:r>
      <m:oMath xmlns:m="http://schemas.openxmlformats.org/officeDocument/2006/math">
        <m:sSub>
          <m:e>
            <m:r>
              <w:rPr>
                <w:rFonts w:ascii="Cambria Math" w:hAnsi="Cambria Math"/>
              </w:rPr>
              <m:t xml:space="preserve">h</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tanh</m:t>
            </m:r>
          </m:e>
          <m:sub>
            <m:r>
              <w:rPr>
                <w:rFonts w:ascii="Cambria Math" w:hAnsi="Cambria Math"/>
              </w:rPr>
              <m:t xml:space="preserve">2</m:t>
            </m:r>
          </m:sub>
        </m:sSub>
        <m:d>
          <m:dPr>
            <m:begChr m:val="("/>
            <m:endChr m:val=")"/>
          </m:dPr>
          <m:e>
            <m:sSub>
              <m:e>
                <m:r>
                  <w:rPr>
                    <w:rFonts w:ascii="Cambria Math" w:hAnsi="Cambria Math"/>
                  </w:rPr>
                  <m:t xml:space="preserve">W</m:t>
                </m:r>
              </m:e>
              <m:sub>
                <m:sSub>
                  <m:e>
                    <m:r>
                      <w:rPr>
                        <w:rFonts w:ascii="Cambria Math" w:hAnsi="Cambria Math"/>
                      </w:rPr>
                      <m:t xml:space="preserve">c</m:t>
                    </m:r>
                  </m:e>
                  <m:sub>
                    <m:r>
                      <w:rPr>
                        <w:rFonts w:ascii="Cambria Math" w:hAnsi="Cambria Math"/>
                      </w:rPr>
                      <m:t xml:space="preserve">t</m:t>
                    </m:r>
                  </m:sub>
                </m:sSub>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b</m:t>
                </m:r>
              </m:e>
              <m:sub>
                <m:sSub>
                  <m:e>
                    <m:r>
                      <w:rPr>
                        <w:rFonts w:ascii="Cambria Math" w:hAnsi="Cambria Math"/>
                      </w:rPr>
                      <m:t xml:space="preserve">c</m:t>
                    </m:r>
                  </m:e>
                  <m:sub>
                    <m:r>
                      <w:rPr>
                        <w:rFonts w:ascii="Cambria Math" w:hAnsi="Cambria Math"/>
                      </w:rPr>
                      <m:t xml:space="preserve">t</m:t>
                    </m:r>
                  </m:sub>
                </m:sSub>
              </m:sub>
            </m:sSub>
          </m:e>
        </m:d>
      </m:oMath>
      <w:r>
        <w:rPr>
          <w:lang w:val="en-US"/>
        </w:rPr>
        <w:tab/>
      </w:r>
      <w:r>
        <w:rPr>
          <w:b w:val="false"/>
          <w:bCs w:val="false"/>
          <w:lang w:val="en-US"/>
        </w:rPr>
        <w:tab/>
        <w:t>(11)</w:t>
      </w:r>
    </w:p>
    <w:p>
      <w:pPr>
        <w:pStyle w:val="P1a"/>
        <w:numPr>
          <w:ilvl w:val="0"/>
          <w:numId w:val="1"/>
        </w:numPr>
        <w:spacing w:lineRule="auto" w:line="240"/>
        <w:ind w:hanging="0" w:left="0"/>
        <w:rPr>
          <w:sz w:val="16"/>
          <w:szCs w:val="16"/>
          <w:lang w:val="en-US"/>
        </w:rPr>
      </w:pPr>
      <w:r>
        <w:rPr>
          <w:rFonts w:cs="Times New Roman"/>
          <w:b w:val="false"/>
          <w:bCs w:val="false"/>
          <w:i/>
          <w:iCs/>
          <w:sz w:val="16"/>
          <w:szCs w:val="16"/>
          <w:lang w:val="en-US"/>
        </w:rPr>
        <w:t>W</w:t>
      </w:r>
      <w:r>
        <w:rPr>
          <w:rFonts w:cs="Times New Roman"/>
          <w:b w:val="false"/>
          <w:bCs w:val="false"/>
          <w:i/>
          <w:iCs/>
          <w:sz w:val="16"/>
          <w:szCs w:val="16"/>
          <w:vertAlign w:val="subscript"/>
          <w:lang w:val="en-US"/>
        </w:rPr>
        <w:t>x</w:t>
      </w:r>
      <w:r>
        <w:rPr>
          <w:rFonts w:cs="Times New Roman"/>
          <w:b w:val="false"/>
          <w:bCs w:val="false"/>
          <w:i/>
          <w:iCs/>
          <w:position w:val="-5"/>
          <w:sz w:val="16"/>
          <w:szCs w:val="16"/>
          <w:lang w:val="en-US"/>
        </w:rPr>
        <w:t>i</w:t>
      </w:r>
      <w:r>
        <w:rPr>
          <w:rFonts w:cs="Times New Roman"/>
          <w:b w:val="false"/>
          <w:bCs w:val="false"/>
          <w:sz w:val="16"/>
          <w:szCs w:val="16"/>
          <w:lang w:val="en-US"/>
        </w:rPr>
        <w:t xml:space="preserve">, </w:t>
      </w:r>
      <w:r>
        <w:rPr>
          <w:rFonts w:cs="Times New Roman"/>
          <w:b w:val="false"/>
          <w:bCs w:val="false"/>
          <w:i/>
          <w:iCs/>
          <w:sz w:val="16"/>
          <w:szCs w:val="16"/>
          <w:lang w:val="en-US"/>
        </w:rPr>
        <w:t>W</w:t>
      </w:r>
      <w:r>
        <w:rPr>
          <w:rFonts w:cs="Times New Roman"/>
          <w:b w:val="false"/>
          <w:bCs w:val="false"/>
          <w:i/>
          <w:iCs/>
          <w:sz w:val="16"/>
          <w:szCs w:val="16"/>
          <w:vertAlign w:val="subscript"/>
          <w:lang w:val="en-US"/>
        </w:rPr>
        <w:t>x</w:t>
      </w:r>
      <w:r>
        <w:rPr>
          <w:rFonts w:eastAsia="Times New Roman" w:cs="Times New Roman"/>
          <w:b w:val="false"/>
          <w:bCs w:val="false"/>
          <w:color w:val="auto"/>
          <w:kern w:val="0"/>
          <w:position w:val="-5"/>
          <w:sz w:val="16"/>
          <w:szCs w:val="16"/>
          <w:lang w:val="en-US" w:eastAsia="en-US" w:bidi="ar-SA"/>
        </w:rPr>
        <w:t>4</w:t>
      </w:r>
      <w:r>
        <w:rPr>
          <w:rFonts w:cs="Times New Roman"/>
          <w:b w:val="false"/>
          <w:bCs w:val="false"/>
          <w:sz w:val="16"/>
          <w:szCs w:val="16"/>
          <w:lang w:val="en-US"/>
        </w:rPr>
        <w:t xml:space="preserve"> – weights for the input signal; </w:t>
      </w:r>
      <w:r>
        <w:rPr>
          <w:rFonts w:cs="Times New Roman"/>
          <w:b w:val="false"/>
          <w:bCs w:val="false"/>
          <w:i/>
          <w:iCs/>
          <w:sz w:val="16"/>
          <w:szCs w:val="16"/>
          <w:lang w:val="en-US"/>
        </w:rPr>
        <w:t>W</w:t>
      </w:r>
      <w:r>
        <w:rPr>
          <w:rFonts w:cs="Times New Roman"/>
          <w:b w:val="false"/>
          <w:bCs w:val="false"/>
          <w:i/>
          <w:iCs/>
          <w:sz w:val="16"/>
          <w:szCs w:val="16"/>
          <w:vertAlign w:val="subscript"/>
          <w:lang w:val="en-US"/>
        </w:rPr>
        <w:t>h</w:t>
      </w:r>
      <w:r>
        <w:rPr>
          <w:rFonts w:eastAsia="Times New Roman" w:cs="Times New Roman"/>
          <w:b w:val="false"/>
          <w:bCs w:val="false"/>
          <w:i/>
          <w:iCs/>
          <w:color w:val="auto"/>
          <w:kern w:val="0"/>
          <w:position w:val="-5"/>
          <w:sz w:val="16"/>
          <w:szCs w:val="16"/>
          <w:lang w:val="en-US" w:eastAsia="en-US" w:bidi="ar-SA"/>
        </w:rPr>
        <w:t>i</w:t>
      </w:r>
      <w:r>
        <w:rPr>
          <w:rFonts w:cs="Times New Roman"/>
          <w:b w:val="false"/>
          <w:bCs w:val="false"/>
          <w:sz w:val="16"/>
          <w:szCs w:val="16"/>
          <w:lang w:val="en-US"/>
        </w:rPr>
        <w:t xml:space="preserve">, </w:t>
      </w:r>
      <w:r>
        <w:rPr>
          <w:rFonts w:cs="Times New Roman"/>
          <w:b w:val="false"/>
          <w:bCs w:val="false"/>
          <w:i/>
          <w:iCs/>
          <w:sz w:val="16"/>
          <w:szCs w:val="16"/>
          <w:lang w:val="en-US"/>
        </w:rPr>
        <w:t>W</w:t>
      </w:r>
      <w:r>
        <w:rPr>
          <w:rFonts w:cs="Times New Roman"/>
          <w:b w:val="false"/>
          <w:bCs w:val="false"/>
          <w:i/>
          <w:iCs/>
          <w:sz w:val="16"/>
          <w:szCs w:val="16"/>
          <w:vertAlign w:val="subscript"/>
          <w:lang w:val="en-US"/>
        </w:rPr>
        <w:t>h</w:t>
      </w:r>
      <w:r>
        <w:rPr>
          <w:rFonts w:eastAsia="Times New Roman" w:cs="Times New Roman"/>
          <w:b w:val="false"/>
          <w:bCs w:val="false"/>
          <w:color w:val="auto"/>
          <w:kern w:val="0"/>
          <w:position w:val="-5"/>
          <w:sz w:val="16"/>
          <w:szCs w:val="16"/>
          <w:lang w:val="en-US" w:eastAsia="en-US" w:bidi="ar-SA"/>
        </w:rPr>
        <w:t>4</w:t>
      </w:r>
      <w:r>
        <w:rPr>
          <w:rFonts w:cs="Times New Roman"/>
          <w:b w:val="false"/>
          <w:bCs w:val="false"/>
          <w:sz w:val="16"/>
          <w:szCs w:val="16"/>
          <w:lang w:val="en-US"/>
        </w:rPr>
        <w:t xml:space="preserve">, </w:t>
      </w:r>
      <w:r>
        <w:rPr>
          <w:rFonts w:cs="Times New Roman"/>
          <w:b w:val="false"/>
          <w:bCs w:val="false"/>
          <w:i/>
          <w:iCs/>
          <w:sz w:val="16"/>
          <w:szCs w:val="16"/>
          <w:lang w:val="en-US"/>
        </w:rPr>
        <w:t>W</w:t>
      </w:r>
      <w:r>
        <w:rPr>
          <w:rFonts w:cs="Times New Roman"/>
          <w:b w:val="false"/>
          <w:bCs w:val="false"/>
          <w:i/>
          <w:iCs/>
          <w:sz w:val="16"/>
          <w:szCs w:val="16"/>
          <w:vertAlign w:val="subscript"/>
          <w:lang w:val="en-US"/>
        </w:rPr>
        <w:t>c</w:t>
      </w:r>
      <w:r>
        <w:rPr>
          <w:rFonts w:eastAsia="Times New Roman" w:cs="Times New Roman"/>
          <w:b w:val="false"/>
          <w:bCs w:val="false"/>
          <w:i/>
          <w:iCs/>
          <w:color w:val="auto"/>
          <w:kern w:val="0"/>
          <w:position w:val="-5"/>
          <w:sz w:val="16"/>
          <w:szCs w:val="16"/>
          <w:lang w:val="en-US" w:eastAsia="en-US" w:bidi="ar-SA"/>
        </w:rPr>
        <w:t>t</w:t>
      </w:r>
      <w:r>
        <w:rPr>
          <w:rFonts w:cs="Times New Roman"/>
          <w:b w:val="false"/>
          <w:bCs w:val="false"/>
          <w:sz w:val="16"/>
          <w:szCs w:val="16"/>
          <w:lang w:val="en-US"/>
        </w:rPr>
        <w:t xml:space="preserve"> – weights for the short-term and long-term signal; </w:t>
      </w:r>
      <w:r>
        <w:rPr>
          <w:rFonts w:cs="Times New Roman"/>
          <w:b w:val="false"/>
          <w:bCs w:val="false"/>
          <w:i/>
          <w:iCs/>
          <w:sz w:val="16"/>
          <w:szCs w:val="16"/>
          <w:lang w:val="en-US"/>
        </w:rPr>
        <w:t>b</w:t>
      </w:r>
      <w:r>
        <w:rPr>
          <w:rFonts w:cs="Times New Roman"/>
          <w:b w:val="false"/>
          <w:bCs w:val="false"/>
          <w:i/>
          <w:iCs/>
          <w:sz w:val="16"/>
          <w:szCs w:val="16"/>
          <w:vertAlign w:val="subscript"/>
          <w:lang w:val="en-US"/>
        </w:rPr>
        <w:t>i</w:t>
      </w:r>
      <w:r>
        <w:rPr>
          <w:rFonts w:cs="Times New Roman"/>
          <w:b w:val="false"/>
          <w:bCs w:val="false"/>
          <w:sz w:val="16"/>
          <w:szCs w:val="16"/>
          <w:lang w:val="en-US"/>
        </w:rPr>
        <w:t xml:space="preserve">, </w:t>
      </w:r>
      <w:r>
        <w:rPr>
          <w:rFonts w:cs="Times New Roman"/>
          <w:b w:val="false"/>
          <w:bCs w:val="false"/>
          <w:i/>
          <w:iCs/>
          <w:sz w:val="16"/>
          <w:szCs w:val="16"/>
          <w:lang w:val="en-US"/>
        </w:rPr>
        <w:t>b</w:t>
      </w:r>
      <w:r>
        <w:rPr>
          <w:rFonts w:cs="Times New Roman"/>
          <w:b w:val="false"/>
          <w:bCs w:val="false"/>
          <w:sz w:val="16"/>
          <w:szCs w:val="16"/>
          <w:vertAlign w:val="subscript"/>
          <w:lang w:val="en-US"/>
        </w:rPr>
        <w:t>4</w:t>
      </w:r>
      <w:r>
        <w:rPr>
          <w:rFonts w:cs="Times New Roman"/>
          <w:b w:val="false"/>
          <w:bCs w:val="false"/>
          <w:sz w:val="16"/>
          <w:szCs w:val="16"/>
          <w:lang w:val="en-US"/>
        </w:rPr>
        <w:t xml:space="preserve">, </w:t>
      </w:r>
      <w:r>
        <w:rPr>
          <w:rFonts w:cs="Times New Roman"/>
          <w:b w:val="false"/>
          <w:bCs w:val="false"/>
          <w:i/>
          <w:iCs/>
          <w:sz w:val="16"/>
          <w:szCs w:val="16"/>
          <w:lang w:val="en-US"/>
        </w:rPr>
        <w:t>b</w:t>
      </w:r>
      <w:r>
        <w:rPr>
          <w:rFonts w:cs="Times New Roman"/>
          <w:b w:val="false"/>
          <w:bCs w:val="false"/>
          <w:i/>
          <w:iCs/>
          <w:sz w:val="16"/>
          <w:szCs w:val="16"/>
          <w:vertAlign w:val="subscript"/>
          <w:lang w:val="en-US"/>
        </w:rPr>
        <w:t>c</w:t>
      </w:r>
      <w:r>
        <w:rPr>
          <w:rFonts w:eastAsia="Times New Roman" w:cs="Times New Roman"/>
          <w:b w:val="false"/>
          <w:bCs w:val="false"/>
          <w:i/>
          <w:iCs/>
          <w:color w:val="auto"/>
          <w:kern w:val="0"/>
          <w:position w:val="-5"/>
          <w:sz w:val="16"/>
          <w:szCs w:val="16"/>
          <w:lang w:val="en-US" w:eastAsia="en-US" w:bidi="ar-SA"/>
        </w:rPr>
        <w:t>t</w:t>
      </w:r>
      <w:r>
        <w:rPr>
          <w:rFonts w:cs="Times New Roman"/>
          <w:b w:val="false"/>
          <w:bCs w:val="false"/>
          <w:sz w:val="16"/>
          <w:szCs w:val="16"/>
          <w:lang w:val="en-US"/>
        </w:rPr>
        <w:t xml:space="preserve"> – threshold values (biases); </w:t>
      </w:r>
      <w:r>
        <w:rPr>
          <w:rFonts w:cs="Times New Roman"/>
          <w:b w:val="false"/>
          <w:bCs w:val="false"/>
          <w:i/>
          <w:iCs/>
          <w:sz w:val="16"/>
          <w:szCs w:val="16"/>
          <w:lang w:val="en-US"/>
        </w:rPr>
        <w:t>s</w:t>
      </w:r>
      <w:r>
        <w:rPr>
          <w:rFonts w:cs="Times New Roman"/>
          <w:b w:val="false"/>
          <w:bCs w:val="false"/>
          <w:i/>
          <w:iCs/>
          <w:sz w:val="16"/>
          <w:szCs w:val="16"/>
          <w:vertAlign w:val="subscript"/>
          <w:lang w:val="en-US"/>
        </w:rPr>
        <w:t>i</w:t>
      </w:r>
      <w:r>
        <w:rPr>
          <w:rFonts w:cs="Times New Roman"/>
          <w:b w:val="false"/>
          <w:bCs w:val="false"/>
          <w:sz w:val="16"/>
          <w:szCs w:val="16"/>
          <w:lang w:val="en-US"/>
        </w:rPr>
        <w:t xml:space="preserve">, </w:t>
      </w:r>
      <w:r>
        <w:rPr>
          <w:rFonts w:cs="Times New Roman"/>
          <w:b w:val="false"/>
          <w:bCs w:val="false"/>
          <w:i/>
          <w:iCs/>
          <w:sz w:val="16"/>
          <w:szCs w:val="16"/>
          <w:lang w:val="en-US"/>
        </w:rPr>
        <w:t>s</w:t>
      </w:r>
      <w:r>
        <w:rPr>
          <w:rFonts w:cs="Times New Roman"/>
          <w:b w:val="false"/>
          <w:bCs w:val="false"/>
          <w:sz w:val="16"/>
          <w:szCs w:val="16"/>
          <w:vertAlign w:val="subscript"/>
          <w:lang w:val="en-US"/>
        </w:rPr>
        <w:t>4</w:t>
      </w:r>
      <w:r>
        <w:rPr>
          <w:rFonts w:cs="Times New Roman"/>
          <w:b w:val="false"/>
          <w:bCs w:val="false"/>
          <w:sz w:val="16"/>
          <w:szCs w:val="16"/>
          <w:lang w:val="en-US"/>
        </w:rPr>
        <w:t xml:space="preserve"> – auxiliary symbols for the output signals from the corresponding activation function modules; </w:t>
      </w:r>
      <w:r>
        <w:rPr>
          <w:rFonts w:cs="Times New Roman"/>
          <w:b w:val="false"/>
          <w:bCs w:val="false"/>
          <w:i/>
          <w:iCs/>
          <w:sz w:val="16"/>
          <w:szCs w:val="16"/>
          <w:lang w:val="en-US"/>
        </w:rPr>
        <w:t>c</w:t>
      </w:r>
      <w:r>
        <w:rPr>
          <w:rFonts w:cs="Times New Roman"/>
          <w:b w:val="false"/>
          <w:bCs w:val="false"/>
          <w:i/>
          <w:iCs/>
          <w:sz w:val="16"/>
          <w:szCs w:val="16"/>
          <w:vertAlign w:val="subscript"/>
          <w:lang w:val="en-US"/>
        </w:rPr>
        <w:t>t</w:t>
      </w:r>
      <w:r>
        <w:rPr>
          <w:rFonts w:cs="Times New Roman"/>
          <w:b w:val="false"/>
          <w:bCs w:val="false"/>
          <w:sz w:val="16"/>
          <w:szCs w:val="16"/>
          <w:lang w:val="en-US"/>
        </w:rPr>
        <w:t xml:space="preserve"> - long-term signal; </w:t>
      </w:r>
      <w:r>
        <w:rPr>
          <w:rFonts w:cs="Times New Roman"/>
          <w:b w:val="false"/>
          <w:bCs w:val="false"/>
          <w:i/>
          <w:iCs/>
          <w:sz w:val="16"/>
          <w:szCs w:val="16"/>
          <w:lang w:val="en-US"/>
        </w:rPr>
        <w:t>h</w:t>
      </w:r>
      <w:r>
        <w:rPr>
          <w:rFonts w:cs="Times New Roman"/>
          <w:b w:val="false"/>
          <w:bCs w:val="false"/>
          <w:i/>
          <w:iCs/>
          <w:sz w:val="16"/>
          <w:szCs w:val="16"/>
          <w:vertAlign w:val="subscript"/>
          <w:lang w:val="en-US"/>
        </w:rPr>
        <w:t>t</w:t>
      </w:r>
      <w:r>
        <w:rPr>
          <w:rFonts w:cs="Times New Roman"/>
          <w:b w:val="false"/>
          <w:bCs w:val="false"/>
          <w:sz w:val="16"/>
          <w:szCs w:val="16"/>
          <w:lang w:val="en-US"/>
        </w:rPr>
        <w:t xml:space="preserve"> - short-term input signal; </w:t>
      </w:r>
      <w:r>
        <w:rPr>
          <w:rFonts w:cs="Times New Roman"/>
          <w:b w:val="false"/>
          <w:bCs w:val="false"/>
          <w:i/>
          <w:iCs/>
          <w:sz w:val="16"/>
          <w:szCs w:val="16"/>
          <w:lang w:val="en-US"/>
        </w:rPr>
        <w:t>t</w:t>
      </w:r>
      <w:r>
        <w:rPr>
          <w:rFonts w:cs="Times New Roman"/>
          <w:b w:val="false"/>
          <w:bCs w:val="false"/>
          <w:sz w:val="16"/>
          <w:szCs w:val="16"/>
          <w:lang w:val="en-US"/>
        </w:rPr>
        <w:t xml:space="preserve">, </w:t>
      </w:r>
      <w:r>
        <w:rPr>
          <w:rFonts w:cs="Times New Roman"/>
          <w:b w:val="false"/>
          <w:bCs w:val="false"/>
          <w:i/>
          <w:iCs/>
          <w:sz w:val="16"/>
          <w:szCs w:val="16"/>
          <w:lang w:val="en-US"/>
        </w:rPr>
        <w:t>t-</w:t>
      </w:r>
      <w:r>
        <w:rPr>
          <w:rFonts w:cs="Times New Roman"/>
          <w:b w:val="false"/>
          <w:bCs w:val="false"/>
          <w:sz w:val="16"/>
          <w:szCs w:val="16"/>
          <w:lang w:val="en-US"/>
        </w:rPr>
        <w:t>1 – subsequent time moments.</w:t>
      </w:r>
    </w:p>
    <w:p>
      <w:pPr>
        <w:pStyle w:val="P1a"/>
        <w:numPr>
          <w:ilvl w:val="0"/>
          <w:numId w:val="1"/>
        </w:numPr>
        <w:spacing w:lineRule="auto" w:line="240"/>
        <w:ind w:hanging="0" w:left="0"/>
        <w:rPr>
          <w:lang w:val="en-US"/>
        </w:rPr>
      </w:pPr>
      <w:r>
        <w:rPr>
          <w:lang w:val="en-US"/>
        </w:rPr>
        <w:t>The input values were: irradiance, panel temperature, time, day of the week, and day of the year. The vector of standard output signals was the PV power production. The data was indexed at a time resolution of 1 minute. The data was appropriately preprocessed and normalized, and divided into training and validation parts. The data selected for learning and testing the considered models were selected randomly, but using data from the whole days. The</w:t>
      </w:r>
      <w:r>
        <w:rPr>
          <w:rFonts w:cs="Times New Roman"/>
          <w:b w:val="false"/>
          <w:bCs w:val="false"/>
          <w:sz w:val="20"/>
          <w:szCs w:val="20"/>
          <w:lang w:val="en-US"/>
        </w:rPr>
        <w:t xml:space="preserve"> key challenge is selecting appropriate network parameters and training procedures. The well-chosen parameters yield good results with an R</w:t>
      </w:r>
      <w:r>
        <w:rPr>
          <w:rFonts w:cs="Times New Roman"/>
          <w:b w:val="false"/>
          <w:bCs w:val="false"/>
          <w:sz w:val="20"/>
          <w:szCs w:val="20"/>
          <w:vertAlign w:val="superscript"/>
          <w:lang w:val="en-US"/>
        </w:rPr>
        <w:t>2</w:t>
      </w:r>
      <w:r>
        <w:rPr>
          <w:rFonts w:cs="Times New Roman"/>
          <w:b w:val="false"/>
          <w:bCs w:val="false"/>
          <w:sz w:val="20"/>
          <w:szCs w:val="20"/>
          <w:lang w:val="en-US"/>
        </w:rPr>
        <w:t xml:space="preserve"> value better than 0.99. </w:t>
      </w:r>
      <w:r>
        <w:rPr>
          <w:lang w:val="en-US"/>
        </w:rPr>
        <w:t xml:space="preserve">Results obtained using the LSTM network are shown in Fig. 7. The figures show that the model obtained using the LSTM network is very accurate. </w:t>
      </w:r>
    </w:p>
    <w:p>
      <w:pPr>
        <w:pStyle w:val="P1a"/>
        <w:numPr>
          <w:ilvl w:val="0"/>
          <w:numId w:val="1"/>
        </w:numPr>
        <w:spacing w:lineRule="auto" w:line="240"/>
        <w:ind w:hanging="0" w:left="0"/>
        <w:jc w:val="center"/>
        <w:rPr>
          <w:lang w:val="en-US"/>
        </w:rPr>
      </w:pPr>
      <w:r>
        <w:rPr>
          <w:lang w:val="en-US"/>
        </w:rPr>
        <w:t xml:space="preserve">a) </w:t>
      </w:r>
      <w:r>
        <w:rPr/>
        <w:drawing>
          <wp:inline distT="0" distB="0" distL="0" distR="0">
            <wp:extent cx="1800225" cy="1080135"/>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3"/>
                    <a:stretch>
                      <a:fillRect/>
                    </a:stretch>
                  </pic:blipFill>
                  <pic:spPr bwMode="auto">
                    <a:xfrm>
                      <a:off x="0" y="0"/>
                      <a:ext cx="1800225" cy="1080135"/>
                    </a:xfrm>
                    <a:prstGeom prst="rect">
                      <a:avLst/>
                    </a:prstGeom>
                  </pic:spPr>
                </pic:pic>
              </a:graphicData>
            </a:graphic>
          </wp:inline>
        </w:drawing>
      </w:r>
      <w:r>
        <w:rPr>
          <w:lang w:val="en-US"/>
        </w:rPr>
        <w:tab/>
        <w:t xml:space="preserve">b) </w:t>
      </w:r>
      <w:r>
        <w:rPr/>
        <w:drawing>
          <wp:inline distT="0" distB="0" distL="0" distR="0">
            <wp:extent cx="1800225" cy="1080135"/>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1800225" cy="1080135"/>
                    </a:xfrm>
                    <a:prstGeom prst="rect">
                      <a:avLst/>
                    </a:prstGeom>
                  </pic:spPr>
                </pic:pic>
              </a:graphicData>
            </a:graphic>
          </wp:inline>
        </w:drawing>
      </w:r>
    </w:p>
    <w:p>
      <w:pPr>
        <w:pStyle w:val="Figurecaption"/>
        <w:spacing w:lineRule="auto" w:line="240"/>
        <w:jc w:val="center"/>
        <w:rPr>
          <w:lang w:val="en-US"/>
        </w:rPr>
      </w:pPr>
      <w:r>
        <w:rPr>
          <w:b w:val="false"/>
          <w:bCs w:val="false"/>
          <w:lang w:val="en-US"/>
        </w:rPr>
        <w:t>Fig. 7: The comparison of real and obtained results, a)</w:t>
      </w:r>
      <w:r>
        <w:rPr>
          <w:lang w:val="en-US"/>
        </w:rPr>
        <w:t xml:space="preserve"> real data and test data; </w:t>
      </w:r>
      <w:r>
        <w:rPr>
          <w:b w:val="false"/>
          <w:bCs w:val="false"/>
          <w:lang w:val="en-US"/>
        </w:rPr>
        <w:t>b)</w:t>
      </w:r>
      <w:r>
        <w:rPr>
          <w:b/>
          <w:bCs/>
          <w:lang w:val="en-US"/>
        </w:rPr>
        <w:t xml:space="preserve"> </w:t>
      </w:r>
      <w:r>
        <w:rPr>
          <w:lang w:val="en-US"/>
        </w:rPr>
        <w:t>LSTM predictions for March 21, 2025.</w:t>
      </w:r>
    </w:p>
    <w:p>
      <w:pPr>
        <w:pStyle w:val="Heading21"/>
        <w:numPr>
          <w:ilvl w:val="0"/>
          <w:numId w:val="0"/>
        </w:numPr>
        <w:spacing w:lineRule="auto" w:line="240"/>
        <w:ind w:hanging="578" w:left="578"/>
        <w:rPr>
          <w:lang w:val="en-US"/>
        </w:rPr>
      </w:pPr>
      <w:r>
        <w:rPr>
          <w:lang w:val="en-US"/>
        </w:rPr>
        <w:t>4.3</w:t>
        <w:tab/>
        <w:t>PV output power prediction</w:t>
      </w:r>
    </w:p>
    <w:p>
      <w:pPr>
        <w:pStyle w:val="P1a"/>
        <w:numPr>
          <w:ilvl w:val="0"/>
          <w:numId w:val="1"/>
        </w:numPr>
        <w:spacing w:lineRule="auto" w:line="240"/>
        <w:ind w:hanging="0" w:left="0"/>
        <w:rPr>
          <w:spacing w:val="-2"/>
        </w:rPr>
      </w:pPr>
      <w:r>
        <w:rPr>
          <w:spacing w:val="-2"/>
          <w:lang w:val="en-US"/>
        </w:rPr>
        <w:t xml:space="preserve">Tab. 3 presents the results of predicting the electricity production for selected days of the training data. The significant advantage of the LSTM-based model is evident, although the OLS method also gives acceptable results, considering the effort required to create the LSTM model. Tab. 4 shows the results obtained for testing data. The obtained accuracies (12) are lower than for training data, but for the LSTM, they are still very high, demonstrating the enormous potential of using it for modeling. </w:t>
      </w:r>
    </w:p>
    <w:p>
      <w:pPr>
        <w:pStyle w:val="Equation"/>
        <w:spacing w:lineRule="auto" w:line="240"/>
        <w:rPr>
          <w:lang w:val="en-US"/>
        </w:rPr>
      </w:pPr>
      <w:r>
        <w:rPr>
          <w:lang w:val="en-US"/>
        </w:rPr>
        <w:tab/>
      </w:r>
      <w:r>
        <w:rPr/>
      </w:r>
      <m:oMath xmlns:m="http://schemas.openxmlformats.org/officeDocument/2006/math">
        <m:sSub>
          <m:e>
            <m:r>
              <w:rPr>
                <w:rFonts w:ascii="Cambria Math" w:hAnsi="Cambria Math"/>
              </w:rPr>
              <m:t xml:space="preserve">S</m:t>
            </m:r>
          </m:e>
          <m:sub>
            <m:r>
              <w:rPr>
                <w:rFonts w:ascii="Cambria Math" w:hAnsi="Cambria Math"/>
              </w:rPr>
              <m:t xml:space="preserve">p</m:t>
            </m:r>
          </m:sub>
        </m:sSub>
        <m:r>
          <m:rPr>
            <m:lit/>
            <m:nor/>
          </m:rPr>
          <w:rPr>
            <w:rFonts w:ascii="Cambria Math" w:hAnsi="Cambria Math"/>
          </w:rPr>
          <m:t xml:space="preserve">=</m:t>
        </m:r>
        <m:f>
          <m:num>
            <m:d>
              <m:dPr>
                <m:begChr m:val="("/>
                <m:endChr m:val=")"/>
              </m:dPr>
              <m:e>
                <m:sSub>
                  <m:e>
                    <m:r>
                      <w:rPr>
                        <w:rFonts w:ascii="Cambria Math" w:hAnsi="Cambria Math"/>
                      </w:rPr>
                      <m:t xml:space="preserve">E</m:t>
                    </m:r>
                  </m:e>
                  <m:sub>
                    <m:r>
                      <w:rPr>
                        <w:rFonts w:ascii="Cambria Math" w:hAnsi="Cambria Math"/>
                      </w:rPr>
                      <m:t xml:space="preserve">r</m:t>
                    </m:r>
                  </m:sub>
                </m:sSub>
                <m:r>
                  <w:rPr>
                    <w:rFonts w:ascii="Cambria Math" w:hAnsi="Cambria Math"/>
                  </w:rPr>
                  <m:t xml:space="preserve">−</m:t>
                </m:r>
                <m:d>
                  <m:dPr>
                    <m:begChr m:val="|"/>
                    <m:endChr m:val="|"/>
                  </m:dPr>
                  <m:e>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r</m:t>
                        </m:r>
                      </m:sub>
                    </m:sSub>
                  </m:e>
                </m:d>
              </m:e>
            </m:d>
            <m:r>
              <w:rPr>
                <w:rFonts w:ascii="Cambria Math" w:hAnsi="Cambria Math"/>
              </w:rPr>
              <m:t xml:space="preserve">∗</m:t>
            </m:r>
            <m:r>
              <w:rPr>
                <w:rFonts w:ascii="Cambria Math" w:hAnsi="Cambria Math"/>
              </w:rPr>
              <m:t xml:space="preserve">100</m:t>
            </m:r>
            <m:r>
              <m:rPr>
                <m:lit/>
                <m:nor/>
              </m:rPr>
              <w:rPr>
                <w:rFonts w:ascii="Cambria Math" w:hAnsi="Cambria Math"/>
              </w:rPr>
              <m:t xml:space="preserve">%</m:t>
            </m:r>
          </m:num>
          <m:den>
            <m:sSub>
              <m:e>
                <m:r>
                  <w:rPr>
                    <w:rFonts w:ascii="Cambria Math" w:hAnsi="Cambria Math"/>
                  </w:rPr>
                  <m:t xml:space="preserve">E</m:t>
                </m:r>
              </m:e>
              <m:sub>
                <m:r>
                  <w:rPr>
                    <w:rFonts w:ascii="Cambria Math" w:hAnsi="Cambria Math"/>
                  </w:rPr>
                  <m:t xml:space="preserve">r</m:t>
                </m:r>
              </m:sub>
            </m:sSub>
          </m:den>
        </m:f>
      </m:oMath>
      <w:r>
        <w:rPr>
          <w:lang w:val="en-US"/>
        </w:rPr>
        <w:tab/>
        <w:t>(12)</w:t>
      </w:r>
    </w:p>
    <w:p>
      <w:pPr>
        <w:pStyle w:val="P1a"/>
        <w:numPr>
          <w:ilvl w:val="0"/>
          <w:numId w:val="1"/>
        </w:numPr>
        <w:spacing w:lineRule="auto" w:line="240"/>
        <w:rPr>
          <w:lang w:val="en-US"/>
        </w:rPr>
      </w:pPr>
      <w:r>
        <w:rPr>
          <w:i/>
          <w:iCs/>
          <w:sz w:val="18"/>
          <w:szCs w:val="18"/>
          <w:lang w:val="en-US"/>
        </w:rPr>
        <w:t>S</w:t>
      </w:r>
      <w:r>
        <w:rPr>
          <w:i/>
          <w:iCs/>
          <w:sz w:val="18"/>
          <w:szCs w:val="18"/>
          <w:vertAlign w:val="subscript"/>
          <w:lang w:val="en-US"/>
        </w:rPr>
        <w:t>p</w:t>
      </w:r>
      <w:r>
        <w:rPr>
          <w:sz w:val="18"/>
          <w:szCs w:val="18"/>
          <w:lang w:val="en-US"/>
        </w:rPr>
        <w:t xml:space="preserve"> </w:t>
      </w:r>
      <w:r>
        <w:rPr>
          <w:rFonts w:cs="Times New Roman"/>
          <w:b w:val="false"/>
          <w:bCs w:val="false"/>
          <w:sz w:val="18"/>
          <w:szCs w:val="18"/>
          <w:lang w:val="en-US"/>
        </w:rPr>
        <w:t>–</w:t>
      </w:r>
      <w:r>
        <w:rPr>
          <w:sz w:val="18"/>
          <w:szCs w:val="18"/>
          <w:lang w:val="en-US"/>
        </w:rPr>
        <w:t xml:space="preserve"> daily prediction accuracy, </w:t>
      </w:r>
      <w:r>
        <w:rPr>
          <w:i/>
          <w:iCs/>
          <w:sz w:val="18"/>
          <w:szCs w:val="18"/>
          <w:lang w:val="en-US"/>
        </w:rPr>
        <w:t>E</w:t>
      </w:r>
      <w:r>
        <w:rPr>
          <w:i/>
          <w:iCs/>
          <w:sz w:val="18"/>
          <w:szCs w:val="18"/>
          <w:vertAlign w:val="subscript"/>
          <w:lang w:val="en-US"/>
        </w:rPr>
        <w:t>r</w:t>
      </w:r>
      <w:r>
        <w:rPr>
          <w:sz w:val="18"/>
          <w:szCs w:val="18"/>
          <w:lang w:val="en-US"/>
        </w:rPr>
        <w:t xml:space="preserve"> – produced energy, </w:t>
      </w:r>
      <w:r>
        <w:rPr>
          <w:i/>
          <w:iCs/>
          <w:sz w:val="18"/>
          <w:szCs w:val="18"/>
          <w:lang w:val="en-US"/>
        </w:rPr>
        <w:t>E</w:t>
      </w:r>
      <w:r>
        <w:rPr>
          <w:i/>
          <w:iCs/>
          <w:sz w:val="18"/>
          <w:szCs w:val="18"/>
          <w:vertAlign w:val="subscript"/>
          <w:lang w:val="en-US"/>
        </w:rPr>
        <w:t xml:space="preserve">p  </w:t>
      </w:r>
      <w:r>
        <w:rPr>
          <w:i w:val="false"/>
          <w:iCs w:val="false"/>
          <w:position w:val="0"/>
          <w:sz w:val="18"/>
          <w:sz w:val="18"/>
          <w:szCs w:val="18"/>
          <w:vertAlign w:val="baseline"/>
          <w:lang w:val="en-US"/>
        </w:rPr>
        <w:t>-</w:t>
      </w:r>
      <w:r>
        <w:rPr>
          <w:i/>
          <w:iCs/>
          <w:sz w:val="18"/>
          <w:szCs w:val="18"/>
          <w:vertAlign w:val="subscript"/>
          <w:lang w:val="en-US"/>
        </w:rPr>
        <w:t xml:space="preserve"> </w:t>
      </w:r>
      <w:r>
        <w:rPr>
          <w:sz w:val="18"/>
          <w:szCs w:val="18"/>
          <w:lang w:val="en-US"/>
        </w:rPr>
        <w:t>prediction of the evaluated model.</w:t>
      </w:r>
    </w:p>
    <w:tbl>
      <w:tblPr>
        <w:tblW w:w="7135" w:type="dxa"/>
        <w:jc w:val="left"/>
        <w:tblInd w:w="0" w:type="dxa"/>
        <w:tblLayout w:type="fixed"/>
        <w:tblCellMar>
          <w:top w:w="0" w:type="dxa"/>
          <w:left w:w="0" w:type="dxa"/>
          <w:bottom w:w="0" w:type="dxa"/>
          <w:right w:w="0" w:type="dxa"/>
        </w:tblCellMar>
      </w:tblPr>
      <w:tblGrid>
        <w:gridCol w:w="1187"/>
        <w:gridCol w:w="792"/>
        <w:gridCol w:w="1196"/>
        <w:gridCol w:w="1355"/>
        <w:gridCol w:w="1302"/>
        <w:gridCol w:w="1302"/>
      </w:tblGrid>
      <w:tr>
        <w:trPr>
          <w:trHeight w:val="300" w:hRule="atLeast"/>
        </w:trPr>
        <w:tc>
          <w:tcPr>
            <w:tcW w:w="1187" w:type="dxa"/>
            <w:tcBorders>
              <w:top w:val="single" w:sz="6" w:space="0" w:color="000000"/>
              <w:bottom w:val="single" w:sz="6" w:space="0" w:color="000000"/>
            </w:tcBorders>
          </w:tcPr>
          <w:p>
            <w:pPr>
              <w:pStyle w:val="P1a"/>
              <w:numPr>
                <w:ilvl w:val="0"/>
                <w:numId w:val="1"/>
              </w:numPr>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Date</w:t>
            </w:r>
          </w:p>
        </w:tc>
        <w:tc>
          <w:tcPr>
            <w:tcW w:w="792" w:type="dxa"/>
            <w:tcBorders>
              <w:top w:val="single" w:sz="6" w:space="0" w:color="000000"/>
              <w:bottom w:val="single" w:sz="6" w:space="0" w:color="000000"/>
            </w:tcBorders>
          </w:tcPr>
          <w:p>
            <w:pPr>
              <w:pStyle w:val="P1a"/>
              <w:numPr>
                <w:ilvl w:val="0"/>
                <w:numId w:val="1"/>
              </w:numPr>
              <w:spacing w:lineRule="auto" w:line="240" w:before="0" w:after="0"/>
              <w:ind w:hanging="0" w:left="0"/>
              <w:jc w:val="lef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Energy [kWh]</w:t>
            </w:r>
          </w:p>
        </w:tc>
        <w:tc>
          <w:tcPr>
            <w:tcW w:w="1196" w:type="dxa"/>
            <w:tcBorders>
              <w:top w:val="single" w:sz="6" w:space="0" w:color="000000"/>
              <w:bottom w:val="single" w:sz="6" w:space="0" w:color="000000"/>
            </w:tcBorders>
          </w:tcPr>
          <w:p>
            <w:pPr>
              <w:pStyle w:val="P1a"/>
              <w:numPr>
                <w:ilvl w:val="0"/>
                <w:numId w:val="1"/>
              </w:numPr>
              <w:spacing w:lineRule="auto" w:line="240" w:before="0" w:after="0"/>
              <w:ind w:hanging="0" w:left="0"/>
              <w:jc w:val="lef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Prediction: OLS</w:t>
            </w:r>
            <w:r>
              <w:rPr>
                <w:rFonts w:eastAsia="Aptos" w:cs="Times New Roman" w:ascii="Liberation Serif" w:hAnsi="Liberation Serif"/>
                <w:b/>
                <w:bCs/>
                <w:i w:val="false"/>
                <w:iCs w:val="false"/>
                <w:strike w:val="false"/>
                <w:dstrike w:val="false"/>
                <w:outline w:val="false"/>
                <w:shadow w:val="false"/>
                <w:color w:val="000000"/>
                <w:kern w:val="2"/>
                <w:sz w:val="20"/>
                <w:szCs w:val="20"/>
                <w:u w:val="none"/>
                <w:lang w:val="en-US" w:eastAsia="en-US" w:bidi="ar-SA"/>
              </w:rPr>
              <w:t xml:space="preserve"> </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[kWh]</w:t>
            </w:r>
          </w:p>
        </w:tc>
        <w:tc>
          <w:tcPr>
            <w:tcW w:w="1355" w:type="dxa"/>
            <w:tcBorders>
              <w:top w:val="single" w:sz="6" w:space="0" w:color="000000"/>
              <w:bottom w:val="single" w:sz="6" w:space="0" w:color="000000"/>
            </w:tcBorders>
          </w:tcPr>
          <w:p>
            <w:pPr>
              <w:pStyle w:val="P1a"/>
              <w:numPr>
                <w:ilvl w:val="0"/>
                <w:numId w:val="1"/>
              </w:numPr>
              <w:spacing w:lineRule="auto" w:line="240" w:before="0" w:after="0"/>
              <w:ind w:hanging="0" w:left="0"/>
              <w:jc w:val="lef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Prediction: LSTM [kWh]</w:t>
            </w:r>
          </w:p>
        </w:tc>
        <w:tc>
          <w:tcPr>
            <w:tcW w:w="1302" w:type="dxa"/>
            <w:tcBorders>
              <w:top w:val="single" w:sz="6" w:space="0" w:color="000000"/>
              <w:bottom w:val="single" w:sz="6" w:space="0" w:color="000000"/>
            </w:tcBorders>
          </w:tcPr>
          <w:p>
            <w:pPr>
              <w:pStyle w:val="P1a"/>
              <w:numPr>
                <w:ilvl w:val="0"/>
                <w:numId w:val="1"/>
              </w:numPr>
              <w:spacing w:lineRule="auto" w:line="240" w:before="0" w:after="0"/>
              <w:ind w:hanging="0" w:left="0"/>
              <w:jc w:val="lef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Accuracy (</w:t>
            </w:r>
            <w:r>
              <w:rPr>
                <w:rFonts w:eastAsia="Apto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S</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OLS [%]</w:t>
            </w:r>
          </w:p>
        </w:tc>
        <w:tc>
          <w:tcPr>
            <w:tcW w:w="1302" w:type="dxa"/>
            <w:tcBorders>
              <w:top w:val="single" w:sz="6" w:space="0" w:color="000000"/>
              <w:bottom w:val="single" w:sz="6" w:space="0" w:color="000000"/>
            </w:tcBorders>
          </w:tcPr>
          <w:p>
            <w:pPr>
              <w:pStyle w:val="P1a"/>
              <w:numPr>
                <w:ilvl w:val="0"/>
                <w:numId w:val="1"/>
              </w:numPr>
              <w:spacing w:lineRule="auto" w:line="240" w:before="0" w:after="0"/>
              <w:ind w:hanging="0" w:left="0"/>
              <w:jc w:val="lef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Accuracy (</w:t>
            </w:r>
            <w:r>
              <w:rPr>
                <w:rFonts w:eastAsia="Apto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S</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LSTM [%]</w:t>
            </w:r>
          </w:p>
        </w:tc>
      </w:tr>
      <w:tr>
        <w:trPr/>
        <w:tc>
          <w:tcPr>
            <w:tcW w:w="1187"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15-08-2024</w:t>
            </w:r>
          </w:p>
        </w:tc>
        <w:tc>
          <w:tcPr>
            <w:tcW w:w="792"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32.195</w:t>
            </w:r>
          </w:p>
        </w:tc>
        <w:tc>
          <w:tcPr>
            <w:tcW w:w="1196"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34.792</w:t>
            </w:r>
          </w:p>
        </w:tc>
        <w:tc>
          <w:tcPr>
            <w:tcW w:w="1355"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31.302</w:t>
            </w:r>
          </w:p>
        </w:tc>
        <w:tc>
          <w:tcPr>
            <w:tcW w:w="1302"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91.934</w:t>
            </w:r>
          </w:p>
        </w:tc>
        <w:tc>
          <w:tcPr>
            <w:tcW w:w="1302"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97.226</w:t>
            </w:r>
          </w:p>
        </w:tc>
      </w:tr>
      <w:tr>
        <w:trPr/>
        <w:tc>
          <w:tcPr>
            <w:tcW w:w="1187"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15-10-2024</w:t>
            </w:r>
          </w:p>
        </w:tc>
        <w:tc>
          <w:tcPr>
            <w:tcW w:w="792"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5.094</w:t>
            </w:r>
          </w:p>
        </w:tc>
        <w:tc>
          <w:tcPr>
            <w:tcW w:w="1196"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5.599</w:t>
            </w:r>
          </w:p>
        </w:tc>
        <w:tc>
          <w:tcPr>
            <w:tcW w:w="1355"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4.68</w:t>
            </w:r>
          </w:p>
        </w:tc>
        <w:tc>
          <w:tcPr>
            <w:tcW w:w="1302"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90.086</w:t>
            </w:r>
          </w:p>
        </w:tc>
        <w:tc>
          <w:tcPr>
            <w:tcW w:w="1302"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91.873</w:t>
            </w:r>
          </w:p>
        </w:tc>
      </w:tr>
      <w:tr>
        <w:trPr/>
        <w:tc>
          <w:tcPr>
            <w:tcW w:w="1187"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15-02-2025</w:t>
            </w:r>
          </w:p>
        </w:tc>
        <w:tc>
          <w:tcPr>
            <w:tcW w:w="792"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4.028</w:t>
            </w:r>
          </w:p>
        </w:tc>
        <w:tc>
          <w:tcPr>
            <w:tcW w:w="1196"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5.375</w:t>
            </w:r>
          </w:p>
        </w:tc>
        <w:tc>
          <w:tcPr>
            <w:tcW w:w="1355"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3.689</w:t>
            </w:r>
          </w:p>
        </w:tc>
        <w:tc>
          <w:tcPr>
            <w:tcW w:w="1302"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66.559</w:t>
            </w:r>
          </w:p>
        </w:tc>
        <w:tc>
          <w:tcPr>
            <w:tcW w:w="1302" w:type="dxa"/>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91.584</w:t>
            </w:r>
          </w:p>
        </w:tc>
      </w:tr>
      <w:tr>
        <w:trPr/>
        <w:tc>
          <w:tcPr>
            <w:tcW w:w="1187" w:type="dxa"/>
            <w:tcBorders>
              <w:bottom w:val="single" w:sz="6" w:space="0" w:color="000000"/>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21-03-2025</w:t>
            </w:r>
          </w:p>
        </w:tc>
        <w:tc>
          <w:tcPr>
            <w:tcW w:w="792" w:type="dxa"/>
            <w:tcBorders>
              <w:bottom w:val="single" w:sz="6" w:space="0" w:color="000000"/>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26.621</w:t>
            </w:r>
          </w:p>
        </w:tc>
        <w:tc>
          <w:tcPr>
            <w:tcW w:w="1196" w:type="dxa"/>
            <w:tcBorders>
              <w:bottom w:val="single" w:sz="6" w:space="0" w:color="000000"/>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23.231</w:t>
            </w:r>
          </w:p>
        </w:tc>
        <w:tc>
          <w:tcPr>
            <w:tcW w:w="1355" w:type="dxa"/>
            <w:tcBorders>
              <w:bottom w:val="single" w:sz="6" w:space="0" w:color="000000"/>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26.026</w:t>
            </w:r>
          </w:p>
        </w:tc>
        <w:tc>
          <w:tcPr>
            <w:tcW w:w="1302" w:type="dxa"/>
            <w:tcBorders>
              <w:bottom w:val="single" w:sz="6" w:space="0" w:color="000000"/>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87.266</w:t>
            </w:r>
          </w:p>
        </w:tc>
        <w:tc>
          <w:tcPr>
            <w:tcW w:w="1302" w:type="dxa"/>
            <w:tcBorders>
              <w:bottom w:val="single" w:sz="6" w:space="0" w:color="000000"/>
            </w:tcBorders>
            <w:vAlign w:val="center"/>
          </w:tcPr>
          <w:p>
            <w:pPr>
              <w:pStyle w:val="P1a"/>
              <w:numPr>
                <w:ilvl w:val="0"/>
                <w:numId w:val="1"/>
              </w:numPr>
              <w:suppressAutoHyphens w:val="false"/>
              <w:spacing w:lineRule="auto" w:line="240" w:before="0" w:after="0"/>
              <w:ind w:hanging="0" w:left="0"/>
              <w:jc w:val="lef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97.765</w:t>
            </w:r>
          </w:p>
        </w:tc>
      </w:tr>
    </w:tbl>
    <w:p>
      <w:pPr>
        <w:pStyle w:val="Tablecaption"/>
        <w:keepNext w:val="false"/>
        <w:numPr>
          <w:ilvl w:val="0"/>
          <w:numId w:val="0"/>
        </w:numPr>
        <w:suppressAutoHyphens w:val="true"/>
        <w:spacing w:lineRule="auto" w:line="240"/>
        <w:ind w:hanging="0" w:left="0"/>
        <w:rPr/>
      </w:pPr>
      <w:r>
        <w:rPr>
          <w:b w:val="false"/>
          <w:bCs w:val="false"/>
          <w:lang w:val="en-US"/>
        </w:rPr>
        <w:t>Tab. 3:</w:t>
      </w:r>
      <w:r>
        <w:rPr>
          <w:lang w:val="en-US"/>
        </w:rPr>
        <w:t xml:space="preserve"> Prediction results of daily electricity production for the training data.</w:t>
      </w:r>
    </w:p>
    <w:tbl>
      <w:tblPr>
        <w:tblW w:w="7135" w:type="dxa"/>
        <w:jc w:val="left"/>
        <w:tblInd w:w="0" w:type="dxa"/>
        <w:tblLayout w:type="fixed"/>
        <w:tblCellMar>
          <w:top w:w="0" w:type="dxa"/>
          <w:left w:w="0" w:type="dxa"/>
          <w:bottom w:w="0" w:type="dxa"/>
          <w:right w:w="0" w:type="dxa"/>
        </w:tblCellMar>
      </w:tblPr>
      <w:tblGrid>
        <w:gridCol w:w="1180"/>
        <w:gridCol w:w="799"/>
        <w:gridCol w:w="1188"/>
        <w:gridCol w:w="1363"/>
        <w:gridCol w:w="1250"/>
        <w:gridCol w:w="1354"/>
      </w:tblGrid>
      <w:tr>
        <w:trPr/>
        <w:tc>
          <w:tcPr>
            <w:tcW w:w="1180" w:type="dxa"/>
            <w:tcBorders>
              <w:top w:val="single" w:sz="6" w:space="0" w:color="000000"/>
              <w:bottom w:val="single" w:sz="6" w:space="0" w:color="000000"/>
            </w:tcBorders>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Date</w:t>
            </w:r>
          </w:p>
        </w:tc>
        <w:tc>
          <w:tcPr>
            <w:tcW w:w="799" w:type="dxa"/>
            <w:tcBorders>
              <w:top w:val="single" w:sz="6" w:space="0" w:color="000000"/>
              <w:bottom w:val="single" w:sz="6" w:space="0" w:color="000000"/>
            </w:tcBorders>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Energy [kWh]</w:t>
            </w:r>
          </w:p>
        </w:tc>
        <w:tc>
          <w:tcPr>
            <w:tcW w:w="1188" w:type="dxa"/>
            <w:tcBorders>
              <w:top w:val="single" w:sz="6" w:space="0" w:color="000000"/>
              <w:bottom w:val="single" w:sz="6" w:space="0" w:color="000000"/>
            </w:tcBorders>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Prediction: OLS [kWh]</w:t>
            </w:r>
          </w:p>
        </w:tc>
        <w:tc>
          <w:tcPr>
            <w:tcW w:w="1363" w:type="dxa"/>
            <w:tcBorders>
              <w:top w:val="single" w:sz="6" w:space="0" w:color="000000"/>
              <w:bottom w:val="single" w:sz="6" w:space="0" w:color="000000"/>
            </w:tcBorders>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Prediction: LSTM [kWh]</w:t>
            </w:r>
          </w:p>
        </w:tc>
        <w:tc>
          <w:tcPr>
            <w:tcW w:w="1250" w:type="dxa"/>
            <w:tcBorders>
              <w:top w:val="single" w:sz="6" w:space="0" w:color="000000"/>
              <w:bottom w:val="single" w:sz="6" w:space="0" w:color="000000"/>
            </w:tcBorders>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Accuracy (</w:t>
            </w:r>
            <w:r>
              <w:rPr>
                <w:rFonts w:eastAsia="Apto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S</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OLS</w:t>
            </w:r>
            <w:r>
              <w:rPr>
                <w:rFonts w:eastAsia="Aptos" w:cs="Times New Roman" w:ascii="Liberation Serif" w:hAnsi="Liberation Serif"/>
                <w:b/>
                <w:bCs/>
                <w:i w:val="false"/>
                <w:iCs w:val="false"/>
                <w:strike w:val="false"/>
                <w:dstrike w:val="false"/>
                <w:outline w:val="false"/>
                <w:shadow w:val="false"/>
                <w:color w:val="000000"/>
                <w:kern w:val="2"/>
                <w:sz w:val="20"/>
                <w:szCs w:val="20"/>
                <w:u w:val="none"/>
                <w:lang w:val="en-US" w:eastAsia="en-US" w:bidi="ar-SA"/>
              </w:rPr>
              <w:t xml:space="preserve"> </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w:t>
            </w:r>
          </w:p>
        </w:tc>
        <w:tc>
          <w:tcPr>
            <w:tcW w:w="1354" w:type="dxa"/>
            <w:tcBorders>
              <w:top w:val="single" w:sz="6" w:space="0" w:color="000000"/>
              <w:bottom w:val="single" w:sz="6" w:space="0" w:color="000000"/>
            </w:tcBorders>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Accuracy (</w:t>
            </w:r>
            <w:r>
              <w:rPr>
                <w:rFonts w:eastAsia="Apto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S</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LSTM</w:t>
            </w:r>
            <w:r>
              <w:rPr>
                <w:rFonts w:eastAsia="Aptos" w:cs="Times New Roman" w:ascii="Liberation Serif" w:hAnsi="Liberation Serif"/>
                <w:b/>
                <w:bCs/>
                <w:i w:val="false"/>
                <w:iCs w:val="false"/>
                <w:strike w:val="false"/>
                <w:dstrike w:val="false"/>
                <w:outline w:val="false"/>
                <w:shadow w:val="false"/>
                <w:color w:val="000000"/>
                <w:kern w:val="2"/>
                <w:sz w:val="20"/>
                <w:szCs w:val="20"/>
                <w:u w:val="none"/>
                <w:lang w:val="en-US" w:eastAsia="en-US" w:bidi="ar-SA"/>
              </w:rPr>
              <w:t xml:space="preserve"> </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w:t>
            </w:r>
          </w:p>
        </w:tc>
      </w:tr>
      <w:tr>
        <w:trPr/>
        <w:tc>
          <w:tcPr>
            <w:tcW w:w="1180"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14-06-2025</w:t>
            </w:r>
          </w:p>
        </w:tc>
        <w:tc>
          <w:tcPr>
            <w:tcW w:w="799"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40.911</w:t>
            </w:r>
          </w:p>
        </w:tc>
        <w:tc>
          <w:tcPr>
            <w:tcW w:w="1188"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32.546</w:t>
            </w:r>
          </w:p>
        </w:tc>
        <w:tc>
          <w:tcPr>
            <w:tcW w:w="1363"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39.769</w:t>
            </w:r>
          </w:p>
        </w:tc>
        <w:tc>
          <w:tcPr>
            <w:tcW w:w="1250"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79.355</w:t>
            </w:r>
          </w:p>
        </w:tc>
        <w:tc>
          <w:tcPr>
            <w:tcW w:w="1354"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97.209</w:t>
            </w:r>
          </w:p>
        </w:tc>
      </w:tr>
      <w:tr>
        <w:trPr/>
        <w:tc>
          <w:tcPr>
            <w:tcW w:w="1180"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15-07-2025</w:t>
            </w:r>
          </w:p>
        </w:tc>
        <w:tc>
          <w:tcPr>
            <w:tcW w:w="799"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30.513</w:t>
            </w:r>
          </w:p>
        </w:tc>
        <w:tc>
          <w:tcPr>
            <w:tcW w:w="1188"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24.701</w:t>
            </w:r>
          </w:p>
        </w:tc>
        <w:tc>
          <w:tcPr>
            <w:tcW w:w="1363"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28.717</w:t>
            </w:r>
          </w:p>
        </w:tc>
        <w:tc>
          <w:tcPr>
            <w:tcW w:w="1250"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80.952</w:t>
            </w:r>
          </w:p>
        </w:tc>
        <w:tc>
          <w:tcPr>
            <w:tcW w:w="1354" w:type="dxa"/>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94.113</w:t>
            </w:r>
          </w:p>
        </w:tc>
      </w:tr>
      <w:tr>
        <w:trPr/>
        <w:tc>
          <w:tcPr>
            <w:tcW w:w="1180" w:type="dxa"/>
            <w:tcBorders>
              <w:bottom w:val="single" w:sz="6" w:space="0" w:color="000000"/>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11-08-2025</w:t>
            </w:r>
          </w:p>
        </w:tc>
        <w:tc>
          <w:tcPr>
            <w:tcW w:w="799" w:type="dxa"/>
            <w:tcBorders>
              <w:bottom w:val="single" w:sz="6" w:space="0" w:color="000000"/>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29.960</w:t>
            </w:r>
          </w:p>
        </w:tc>
        <w:tc>
          <w:tcPr>
            <w:tcW w:w="1188" w:type="dxa"/>
            <w:tcBorders>
              <w:bottom w:val="single" w:sz="6" w:space="0" w:color="000000"/>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24.142</w:t>
            </w:r>
          </w:p>
        </w:tc>
        <w:tc>
          <w:tcPr>
            <w:tcW w:w="1363" w:type="dxa"/>
            <w:tcBorders>
              <w:bottom w:val="single" w:sz="6" w:space="0" w:color="000000"/>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28.406</w:t>
            </w:r>
          </w:p>
        </w:tc>
        <w:tc>
          <w:tcPr>
            <w:tcW w:w="1250" w:type="dxa"/>
            <w:tcBorders>
              <w:bottom w:val="single" w:sz="6" w:space="0" w:color="000000"/>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80.581</w:t>
            </w:r>
          </w:p>
        </w:tc>
        <w:tc>
          <w:tcPr>
            <w:tcW w:w="1354" w:type="dxa"/>
            <w:tcBorders>
              <w:bottom w:val="single" w:sz="6" w:space="0" w:color="000000"/>
            </w:tcBorders>
            <w:vAlign w:val="center"/>
          </w:tcPr>
          <w:p>
            <w:pPr>
              <w:pStyle w:val="P1a"/>
              <w:keepNext w:val="false"/>
              <w:numPr>
                <w:ilvl w:val="0"/>
                <w:numId w:val="1"/>
              </w:numPr>
              <w:spacing w:lineRule="auto" w:line="240" w:before="0" w:after="0"/>
              <w:ind w:hanging="0" w:left="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94.813</w:t>
            </w:r>
          </w:p>
        </w:tc>
      </w:tr>
    </w:tbl>
    <w:p>
      <w:pPr>
        <w:pStyle w:val="Tablecaption"/>
        <w:keepNext w:val="false"/>
        <w:numPr>
          <w:ilvl w:val="0"/>
          <w:numId w:val="0"/>
        </w:numPr>
        <w:spacing w:before="119" w:after="0"/>
        <w:ind w:hanging="0" w:left="0"/>
        <w:rPr/>
      </w:pPr>
      <w:r>
        <w:rPr>
          <w:b w:val="false"/>
          <w:bCs w:val="false"/>
          <w:lang w:val="en-US"/>
        </w:rPr>
        <w:t>Tab. 4:</w:t>
      </w:r>
      <w:r>
        <w:rPr>
          <w:lang w:val="en-US"/>
        </w:rPr>
        <w:t xml:space="preserve"> Prediction results of daily electricity production for the testing data.</w:t>
      </w:r>
    </w:p>
    <w:p>
      <w:pPr>
        <w:pStyle w:val="Heading11"/>
        <w:numPr>
          <w:ilvl w:val="0"/>
          <w:numId w:val="0"/>
        </w:numPr>
        <w:suppressAutoHyphens w:val="true"/>
        <w:spacing w:lineRule="auto" w:line="240" w:before="482" w:after="238"/>
        <w:ind w:hanging="431" w:left="431"/>
        <w:jc w:val="left"/>
        <w:rPr>
          <w:lang w:val="en-US"/>
        </w:rPr>
      </w:pPr>
      <w:r>
        <w:rPr>
          <w:lang w:val="en-US"/>
        </w:rPr>
        <w:t>5</w:t>
        <w:tab/>
        <w:t>Summary</w:t>
      </w:r>
    </w:p>
    <w:p>
      <w:pPr>
        <w:pStyle w:val="P1a"/>
        <w:numPr>
          <w:ilvl w:val="0"/>
          <w:numId w:val="1"/>
        </w:numPr>
        <w:spacing w:lineRule="auto" w:line="240"/>
        <w:ind w:hanging="0" w:left="0"/>
        <w:rPr/>
      </w:pPr>
      <w:r>
        <w:rPr>
          <w:lang w:val="en-US"/>
        </w:rPr>
        <w:t>The developed device allows for estimating production data from any time range and can be used as a predictor to estimate energy loss in the event of a forced shutdown. It is also possible to use the model as a predictor of energy production for a specific time period in the future. In this case, the forecast of irradiance and temperature for that time period is required. These data can be supplied either from external sources or estimated using another prediction model. It should be emphasized, that the system is quite simple, containing only two basic sensors.</w:t>
      </w:r>
    </w:p>
    <w:p>
      <w:pPr>
        <w:pStyle w:val="Heading11"/>
        <w:numPr>
          <w:ilvl w:val="0"/>
          <w:numId w:val="0"/>
        </w:numPr>
        <w:spacing w:lineRule="auto" w:line="240"/>
        <w:ind w:hanging="0" w:left="0"/>
        <w:rPr>
          <w:lang w:val="en-US"/>
        </w:rPr>
      </w:pPr>
      <w:r>
        <w:rPr>
          <w:lang w:val="en-US"/>
        </w:rPr>
        <w:t>Bibliography</w:t>
      </w:r>
    </w:p>
    <w:p>
      <w:pPr>
        <w:pStyle w:val="Bibliography"/>
        <w:spacing w:lineRule="auto" w:line="240"/>
        <w:rPr/>
      </w:pPr>
      <w:r>
        <w:rPr>
          <w:rFonts w:eastAsia="Times New Roman" w:cs="Times New Roman"/>
          <w:color w:val="auto"/>
          <w:kern w:val="0"/>
          <w:sz w:val="18"/>
          <w:szCs w:val="18"/>
          <w:lang w:val="de-DE" w:eastAsia="en-US" w:bidi="ar-SA"/>
        </w:rPr>
        <w:t>[Ag22]</w:t>
        <w:tab/>
        <w:t>Agga</w:t>
      </w:r>
      <w:r>
        <w:rPr>
          <w:rFonts w:cs="Times New Roman"/>
          <w:sz w:val="18"/>
          <w:szCs w:val="18"/>
          <w:lang w:val="en-US"/>
        </w:rPr>
        <w:t>, A. et al.: CNN-LSTM: An efficient hybrid deep learning architecture for predicting short-term photovoltaic power production. Electric Power Systems Research 204, article no 107908, Elsevier, 2022.</w:t>
      </w:r>
    </w:p>
    <w:p>
      <w:pPr>
        <w:pStyle w:val="Bibliography"/>
        <w:spacing w:lineRule="auto" w:line="240"/>
        <w:rPr/>
      </w:pPr>
      <w:r>
        <w:rPr>
          <w:rFonts w:cs="Times New Roman"/>
          <w:sz w:val="18"/>
          <w:szCs w:val="18"/>
          <w:lang w:val="en-US"/>
        </w:rPr>
        <w:t>[CO17]</w:t>
        <w:tab/>
        <w:t xml:space="preserve">Carroll, B., Ostile, D.: </w:t>
      </w:r>
      <w:r>
        <w:rPr>
          <w:rFonts w:cs="Times New Roman"/>
          <w:i w:val="false"/>
          <w:iCs w:val="false"/>
          <w:sz w:val="18"/>
          <w:szCs w:val="18"/>
          <w:lang w:val="en-US"/>
        </w:rPr>
        <w:t>An Introduction to Modern Astrophysics</w:t>
      </w:r>
      <w:r>
        <w:rPr>
          <w:rFonts w:cs="Times New Roman"/>
          <w:sz w:val="18"/>
          <w:szCs w:val="18"/>
          <w:lang w:val="en-US"/>
        </w:rPr>
        <w:t>, Cambridge University Press, Cambridge, 2017.</w:t>
      </w:r>
    </w:p>
    <w:p>
      <w:pPr>
        <w:pStyle w:val="Bibliography"/>
        <w:spacing w:lineRule="auto" w:line="240"/>
        <w:rPr/>
      </w:pPr>
      <w:r>
        <w:rPr>
          <w:rFonts w:cs="Times New Roman"/>
          <w:sz w:val="18"/>
          <w:szCs w:val="18"/>
          <w:lang w:val="en-US"/>
        </w:rPr>
        <w:t>[Ch23]</w:t>
        <w:tab/>
        <w:t xml:space="preserve">Charu, A.: </w:t>
      </w:r>
      <w:r>
        <w:rPr>
          <w:rFonts w:cs="Times New Roman"/>
          <w:i/>
          <w:iCs/>
          <w:sz w:val="18"/>
          <w:szCs w:val="18"/>
          <w:lang w:val="en-US"/>
        </w:rPr>
        <w:t>Neural Networks and Deep Learning</w:t>
      </w:r>
      <w:r>
        <w:rPr>
          <w:rFonts w:cs="Times New Roman"/>
          <w:sz w:val="18"/>
          <w:szCs w:val="18"/>
          <w:lang w:val="en-US"/>
        </w:rPr>
        <w:t xml:space="preserve">, Springer, Hamburg, Germany, 2023. </w:t>
      </w:r>
    </w:p>
    <w:p>
      <w:pPr>
        <w:pStyle w:val="Bibliography"/>
        <w:spacing w:lineRule="auto" w:line="240"/>
        <w:rPr/>
      </w:pPr>
      <w:r>
        <w:rPr>
          <w:rFonts w:cs="Times New Roman"/>
          <w:sz w:val="18"/>
          <w:szCs w:val="18"/>
          <w:lang w:val="en-US"/>
        </w:rPr>
        <w:t>[Co03]</w:t>
        <w:tab/>
        <w:t xml:space="preserve">Cohen, J., et al.: </w:t>
      </w:r>
      <w:r>
        <w:rPr>
          <w:rFonts w:cs="Times New Roman"/>
          <w:i w:val="false"/>
          <w:iCs w:val="false"/>
          <w:sz w:val="18"/>
          <w:szCs w:val="18"/>
          <w:lang w:val="en-US"/>
        </w:rPr>
        <w:t>Applied multiple regression/correlation analysis for the behavioral sciences</w:t>
      </w:r>
      <w:r>
        <w:rPr>
          <w:rFonts w:cs="Times New Roman"/>
          <w:sz w:val="18"/>
          <w:szCs w:val="18"/>
          <w:lang w:val="en-US"/>
        </w:rPr>
        <w:t>, Hillsdale, NJ: Lawrence Erlbaum Associates, 2003.</w:t>
      </w:r>
    </w:p>
    <w:p>
      <w:pPr>
        <w:pStyle w:val="Bibliography"/>
        <w:spacing w:lineRule="auto" w:line="240"/>
        <w:rPr/>
      </w:pPr>
      <w:r>
        <w:rPr>
          <w:lang w:val="en-US"/>
        </w:rPr>
        <w:t>[DD26]</w:t>
        <w:tab/>
        <w:t xml:space="preserve">Dragomir, F., Dragomir, O.: </w:t>
      </w:r>
      <w:r>
        <w:rPr>
          <w:i/>
          <w:iCs/>
          <w:lang w:val="en-US"/>
        </w:rPr>
        <w:t>Photovoltaic Power Forecasting with AI: A Cost–Benefit Framework Across Multiple Time Horizons</w:t>
      </w:r>
      <w:r>
        <w:rPr>
          <w:lang w:val="en-US"/>
        </w:rPr>
        <w:t xml:space="preserve">, </w:t>
      </w:r>
      <w:hyperlink r:id="rId15">
        <w:r>
          <w:rPr>
            <w:rStyle w:val="Hyperlink"/>
            <w:lang w:val="en-US"/>
          </w:rPr>
          <w:t>Future Internet</w:t>
        </w:r>
      </w:hyperlink>
      <w:r>
        <w:rPr>
          <w:lang w:val="en-US"/>
        </w:rPr>
        <w:t xml:space="preserve"> 18(6):291, MDPI, 2026.</w:t>
      </w:r>
    </w:p>
    <w:p>
      <w:pPr>
        <w:pStyle w:val="Bibliography"/>
        <w:spacing w:lineRule="auto" w:line="240"/>
        <w:rPr/>
      </w:pPr>
      <w:r>
        <w:rPr>
          <w:rFonts w:cs="Times New Roman"/>
          <w:sz w:val="18"/>
          <w:szCs w:val="18"/>
          <w:lang w:val="en-US"/>
        </w:rPr>
        <w:t>[DLM24]</w:t>
        <w:tab/>
      </w:r>
      <w:r>
        <w:rPr>
          <w:rFonts w:cs="Times New Roman"/>
          <w:spacing w:val="-2"/>
          <w:sz w:val="18"/>
          <w:szCs w:val="18"/>
          <w:lang w:val="en-US"/>
        </w:rPr>
        <w:t xml:space="preserve">Dyndał, K., Lewińska, G., Marszałek K.: </w:t>
      </w:r>
      <w:r>
        <w:rPr>
          <w:rFonts w:cs="Times New Roman"/>
          <w:i w:val="false"/>
          <w:iCs w:val="false"/>
          <w:spacing w:val="-2"/>
          <w:sz w:val="18"/>
          <w:szCs w:val="18"/>
          <w:lang w:val="en-US"/>
        </w:rPr>
        <w:t>Fotowoltaika</w:t>
      </w:r>
      <w:r>
        <w:rPr>
          <w:rFonts w:cs="Times New Roman"/>
          <w:spacing w:val="-2"/>
          <w:sz w:val="18"/>
          <w:szCs w:val="18"/>
          <w:lang w:val="en-US"/>
        </w:rPr>
        <w:t xml:space="preserve">, Kraków Open AGH e-Podręczniki, 2024, </w:t>
      </w:r>
      <w:hyperlink r:id="rId16">
        <w:r>
          <w:rPr>
            <w:rStyle w:val="Hyperlink"/>
            <w:rFonts w:cs="Times New Roman"/>
            <w:color w:val="000000"/>
            <w:spacing w:val="-2"/>
            <w:sz w:val="18"/>
            <w:szCs w:val="18"/>
            <w:u w:val="none"/>
            <w:lang w:val="en-US"/>
          </w:rPr>
          <w:t>https://epodreczniki.open.agh.edu.pl/handbook/35</w:t>
        </w:r>
      </w:hyperlink>
      <w:r>
        <w:rPr>
          <w:rStyle w:val="Hyperlink"/>
          <w:rFonts w:cs="Times New Roman"/>
          <w:color w:val="000000"/>
          <w:spacing w:val="-2"/>
          <w:sz w:val="18"/>
          <w:szCs w:val="18"/>
          <w:u w:val="none"/>
          <w:lang w:val="en-US"/>
        </w:rPr>
        <w:t>, accessed 2026/04/13</w:t>
      </w:r>
    </w:p>
    <w:p>
      <w:pPr>
        <w:pStyle w:val="Bibliography"/>
        <w:spacing w:lineRule="auto" w:line="240"/>
        <w:rPr/>
      </w:pPr>
      <w:r>
        <w:rPr>
          <w:rStyle w:val="Quotation"/>
          <w:rFonts w:cs="Times New Roman"/>
          <w:i w:val="false"/>
          <w:iCs w:val="false"/>
          <w:color w:val="000000"/>
          <w:sz w:val="18"/>
          <w:szCs w:val="18"/>
          <w:u w:val="none"/>
          <w:lang w:val="en-US"/>
        </w:rPr>
        <w:t>[GSC00]</w:t>
        <w:tab/>
        <w:t xml:space="preserve">Gers, F., Schmidhuber, J., Cummins, F.: Learning to Forget: Continual Prediction with LSTM, Neural Computation, </w:t>
      </w:r>
      <w:r>
        <w:rPr>
          <w:rStyle w:val="Quotation"/>
          <w:rFonts w:cs="Times New Roman"/>
          <w:b w:val="false"/>
          <w:bCs w:val="false"/>
          <w:i w:val="false"/>
          <w:iCs w:val="false"/>
          <w:color w:val="000000"/>
          <w:sz w:val="18"/>
          <w:szCs w:val="18"/>
          <w:u w:val="none"/>
          <w:lang w:val="en-US"/>
        </w:rPr>
        <w:t>12</w:t>
      </w:r>
      <w:r>
        <w:rPr>
          <w:rStyle w:val="Quotation"/>
          <w:rFonts w:cs="Times New Roman"/>
          <w:i w:val="false"/>
          <w:iCs w:val="false"/>
          <w:color w:val="000000"/>
          <w:sz w:val="18"/>
          <w:szCs w:val="18"/>
          <w:u w:val="none"/>
          <w:lang w:val="en-US"/>
        </w:rPr>
        <w:t xml:space="preserve"> (10): 2451–2471, (2000)</w:t>
      </w:r>
      <w:r>
        <w:rPr>
          <w:rStyle w:val="Quotation"/>
          <w:rFonts w:cs="Times New Roman"/>
          <w:color w:val="000000"/>
          <w:sz w:val="18"/>
          <w:szCs w:val="18"/>
          <w:u w:val="none"/>
          <w:lang w:val="en-US"/>
        </w:rPr>
        <w:t xml:space="preserve"> </w:t>
      </w:r>
    </w:p>
    <w:p>
      <w:pPr>
        <w:pStyle w:val="Bibliography"/>
        <w:spacing w:lineRule="auto" w:line="240"/>
        <w:rPr/>
      </w:pPr>
      <w:r>
        <w:rPr>
          <w:rStyle w:val="Hyperlink"/>
        </w:rPr>
        <w:t>[Al26]</w:t>
        <w:tab/>
      </w:r>
      <w:r>
        <w:rPr>
          <w:rStyle w:val="Hyperlink"/>
          <w:spacing w:val="-2"/>
        </w:rPr>
        <w:t xml:space="preserve">Alldatasheet, </w:t>
      </w:r>
      <w:hyperlink r:id="rId17">
        <w:r>
          <w:rPr>
            <w:rStyle w:val="Hyperlink"/>
            <w:spacing w:val="-2"/>
          </w:rPr>
          <w:t>www.alldatasheet.com/datasheet-pdf/pdf/58557/DALLAS/</w:t>
        </w:r>
      </w:hyperlink>
      <w:r>
        <w:rPr>
          <w:rStyle w:val="Hyperlink"/>
          <w:spacing w:val="-2"/>
        </w:rPr>
        <w:t>DS18B20.html, accessed 2026/04/14</w:t>
      </w:r>
    </w:p>
    <w:p>
      <w:pPr>
        <w:pStyle w:val="Bibliography"/>
        <w:spacing w:lineRule="auto" w:line="240"/>
        <w:rPr>
          <w:rStyle w:val="Hyperlink"/>
        </w:rPr>
      </w:pPr>
      <w:r>
        <w:rPr>
          <w:rStyle w:val="Hyperlink"/>
        </w:rPr>
        <w:t>[Df26]</w:t>
        <w:tab/>
        <w:t>Dfimg, dfimg.dfrobot.com/wiki/18648/SEN0390_b-lux-v30b-ambient-light-sensor_</w:t>
        <w:br/>
        <w:t>datasheet_V1.0.pdf, accessed: 2026/04/14</w:t>
      </w:r>
    </w:p>
    <w:p>
      <w:pPr>
        <w:pStyle w:val="Bibliography"/>
        <w:spacing w:lineRule="auto" w:line="240"/>
        <w:rPr/>
      </w:pPr>
      <w:r>
        <w:rPr>
          <w:rStyle w:val="Hyperlink"/>
        </w:rPr>
        <w:t>[Ra26]</w:t>
        <w:tab/>
        <w:t xml:space="preserve">Raspberry Pi, </w:t>
      </w:r>
      <w:r>
        <w:fldChar w:fldCharType="begin"/>
      </w:r>
      <w:r>
        <w:rPr>
          <w:rStyle w:val="Hyperlink"/>
        </w:rPr>
        <w:instrText xml:space="preserve"> HYPERLINK "https://www.raspberrypi.com/documentation/computers/os.html" \l "gpio-and-the-40-pin-header"</w:instrText>
      </w:r>
      <w:r>
        <w:rPr>
          <w:rStyle w:val="Hyperlink"/>
        </w:rPr>
        <w:fldChar w:fldCharType="separate"/>
      </w:r>
      <w:r>
        <w:rPr>
          <w:rStyle w:val="Hyperlink"/>
        </w:rPr>
        <w:t>www.raspberrypi.com/documentation/computers/os.html#gpio-and-the-40-pin-header</w:t>
      </w:r>
      <w:r>
        <w:rPr>
          <w:rStyle w:val="Hyperlink"/>
        </w:rPr>
        <w:fldChar w:fldCharType="end"/>
      </w:r>
      <w:r>
        <w:rPr>
          <w:rStyle w:val="Hyperlink"/>
        </w:rPr>
        <w:t>, accessed 2026/04/14</w:t>
      </w:r>
    </w:p>
    <w:p>
      <w:pPr>
        <w:pStyle w:val="Bibliography"/>
        <w:spacing w:lineRule="auto" w:line="240"/>
        <w:rPr/>
      </w:pPr>
      <w:r>
        <w:rPr>
          <w:rStyle w:val="Hyperlink"/>
        </w:rPr>
        <w:t>[Fr26]</w:t>
        <w:tab/>
        <w:t xml:space="preserve">Fronius, </w:t>
      </w:r>
      <w:hyperlink r:id="rId18">
        <w:r>
          <w:rPr>
            <w:rStyle w:val="Hyperlink"/>
          </w:rPr>
          <w:t>www.fronius.com/en-gb/uk/search-page?searchword=fronius-symo-3-0-3-m&amp;activeDepartment=solarenergy&amp;categoryFacet=category-downloads</w:t>
        </w:r>
      </w:hyperlink>
      <w:r>
        <w:rPr>
          <w:rStyle w:val="Hyperlink"/>
        </w:rPr>
        <w:t>, accessed 2026/04/14</w:t>
      </w:r>
    </w:p>
    <w:p>
      <w:pPr>
        <w:pStyle w:val="Bibliography"/>
        <w:spacing w:lineRule="auto" w:line="240"/>
        <w:rPr/>
      </w:pPr>
      <w:r>
        <w:rPr>
          <w:rStyle w:val="Hyperlink"/>
        </w:rPr>
        <w:t>[Mp26]</w:t>
        <w:tab/>
        <w:t xml:space="preserve">Mpe-online, </w:t>
      </w:r>
      <w:hyperlink r:id="rId19">
        <w:r>
          <w:rPr>
            <w:rStyle w:val="Hyperlink"/>
          </w:rPr>
          <w:t>mpe-online.ie/wp-content/uploads/2018/11/Hanwha_Q_CELLS_Data_</w:t>
          <w:br/>
          <w:t>sheet</w:t>
        </w:r>
      </w:hyperlink>
      <w:hyperlink r:id="rId20">
        <w:r>
          <w:rPr>
            <w:rStyle w:val="Hyperlink"/>
          </w:rPr>
          <w:t>_QPEAK_DUO-G5_305-330_2017-10_Rev01_EN.pdf</w:t>
        </w:r>
      </w:hyperlink>
      <w:r>
        <w:rPr>
          <w:rStyle w:val="Hyperlink"/>
        </w:rPr>
        <w:t>, accessed 2026/04/14</w:t>
      </w:r>
    </w:p>
    <w:p>
      <w:pPr>
        <w:pStyle w:val="Bibliography"/>
        <w:spacing w:lineRule="auto" w:line="240" w:before="0" w:after="120"/>
        <w:rPr/>
      </w:pPr>
      <w:r>
        <w:rPr>
          <w:rStyle w:val="Heading31"/>
          <w:rFonts w:cs="Times New Roman"/>
          <w:b w:val="false"/>
          <w:bCs w:val="false"/>
          <w:sz w:val="18"/>
          <w:szCs w:val="18"/>
          <w:lang w:val="en-US"/>
        </w:rPr>
        <w:t>[OS09]</w:t>
        <w:tab/>
        <w:t xml:space="preserve">Oppenheim, A., Schafer, R.: </w:t>
      </w:r>
      <w:r>
        <w:rPr>
          <w:rStyle w:val="Heading31"/>
          <w:rFonts w:cs="Times New Roman"/>
          <w:b w:val="false"/>
          <w:bCs w:val="false"/>
          <w:i w:val="false"/>
          <w:iCs w:val="false"/>
          <w:sz w:val="18"/>
          <w:szCs w:val="18"/>
          <w:lang w:val="en-US"/>
        </w:rPr>
        <w:t>Discrete-Time Signal Processing</w:t>
      </w:r>
      <w:r>
        <w:rPr>
          <w:rStyle w:val="Heading31"/>
          <w:rFonts w:cs="Times New Roman"/>
          <w:b w:val="false"/>
          <w:bCs w:val="false"/>
          <w:sz w:val="18"/>
          <w:szCs w:val="18"/>
          <w:lang w:val="en-US"/>
        </w:rPr>
        <w:t>, Pearson, 2009.</w:t>
      </w:r>
    </w:p>
    <w:sectPr>
      <w:headerReference w:type="even" r:id="rId21"/>
      <w:headerReference w:type="default" r:id="rId22"/>
      <w:headerReference w:type="first" r:id="rId23"/>
      <w:footerReference w:type="even" r:id="rId24"/>
      <w:footerReference w:type="default" r:id="rId25"/>
      <w:footerReference w:type="first" r:id="rId26"/>
      <w:footnotePr>
        <w:numFmt w:val="decimal"/>
      </w:footnotePr>
      <w:type w:val="nextPage"/>
      <w:pgSz w:w="8787" w:h="13323"/>
      <w:pgMar w:left="1361" w:right="283" w:gutter="0" w:header="1219" w:top="1786" w:footer="1219" w:bottom="1843"/>
      <w:pgNumType w:fmt="decimal"/>
      <w:formProt w:val="false"/>
      <w:titlePg/>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DejaVu Sans">
    <w:charset w:val="01"/>
    <w:family w:val="roman"/>
    <w:pitch w:val="variable"/>
  </w:font>
  <w:font w:name="times new roman">
    <w:charset w:val="01"/>
    <w:family w:val="roman"/>
    <w:pitch w:val="variable"/>
  </w:font>
  <w:font w:name="Symbol">
    <w:charset w:val="02"/>
    <w:family w:val="auto"/>
    <w:pitch w:val="default"/>
  </w:font>
  <w:font w:name="Times New Roman">
    <w:charset w:val="01"/>
    <w:family w:val="roman"/>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pacing w:before="0" w:after="200"/>
        <w:contextualSpacing/>
        <w:rPr/>
      </w:pPr>
      <w:r>
        <w:rPr>
          <w:rStyle w:val="Znakiprzypiswdolnych"/>
        </w:rPr>
        <w:footnoteRef/>
      </w:r>
      <w:r>
        <w:rPr/>
        <w:tab/>
        <w:t xml:space="preserve">WIT Academy, Newelska 6, Warsaw, 01-447, Poland, P.Kobiela@wit.edu.pl, </w:t>
      </w:r>
      <w:r>
        <w:rPr/>
        <w:drawing>
          <wp:inline distT="0" distB="0" distL="0" distR="0">
            <wp:extent cx="152400" cy="152400"/>
            <wp:effectExtent l="0" t="0" r="0" b="0"/>
            <wp:docPr id="14" name="Grafik 1" descr="iD icon">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descr="iD icon">
                      <a:hlinkClick r:id="rId2"/>
                    </pic:cNvPr>
                    <pic:cNvPicPr>
                      <a:picLocks noChangeAspect="1" noChangeArrowheads="1"/>
                    </pic:cNvPicPr>
                  </pic:nvPicPr>
                  <pic:blipFill>
                    <a:blip r:embed="rId1"/>
                    <a:stretch>
                      <a:fillRect/>
                    </a:stretch>
                  </pic:blipFill>
                  <pic:spPr bwMode="auto">
                    <a:xfrm>
                      <a:off x="0" y="0"/>
                      <a:ext cx="152400" cy="152400"/>
                    </a:xfrm>
                    <a:prstGeom prst="rect">
                      <a:avLst/>
                    </a:prstGeom>
                  </pic:spPr>
                </pic:pic>
              </a:graphicData>
            </a:graphic>
          </wp:inline>
        </w:drawing>
      </w:r>
      <w:r>
        <w:rPr/>
        <w:t xml:space="preserve"> h</w:t>
      </w:r>
      <w:r>
        <w:rPr>
          <w:szCs w:val="16"/>
          <w:lang w:val="en-GB"/>
        </w:rPr>
        <w:t>ttps://orcid.org/</w:t>
      </w:r>
      <w:r>
        <w:rPr>
          <w:rStyle w:val="ORCID"/>
          <w:position w:val="0"/>
          <w:sz w:val="16"/>
          <w:sz w:val="16"/>
          <w:szCs w:val="16"/>
          <w:vertAlign w:val="baseline"/>
          <w:lang w:val="en-US"/>
        </w:rPr>
        <w:t>0009-0003-7786-5934</w:t>
      </w:r>
    </w:p>
  </w:footnote>
  <w:footnote w:id="3">
    <w:p>
      <w:pPr>
        <w:pStyle w:val="Footnote"/>
        <w:spacing w:before="0" w:after="200"/>
        <w:contextualSpacing/>
        <w:rPr/>
      </w:pPr>
      <w:r>
        <w:rPr>
          <w:rStyle w:val="Znakiprzypiswdolnych"/>
        </w:rPr>
        <w:footnoteRef/>
      </w:r>
      <w:r>
        <w:rPr/>
        <w:tab/>
        <w:t xml:space="preserve">Systems Research Institute, Polish Academy of Sciences, Newelska 6, Warsaw, 01-447, Poland, </w:t>
      </w:r>
      <w:hyperlink r:id="rId3">
        <w:r>
          <w:rPr>
            <w:rStyle w:val="Hyperlink"/>
          </w:rPr>
          <w:t>stanczak@ibspan.waw.pl</w:t>
        </w:r>
      </w:hyperlink>
      <w:r>
        <w:rPr/>
        <w:t xml:space="preserve">, </w:t>
      </w:r>
      <w:r>
        <w:rPr/>
        <w:drawing>
          <wp:inline distT="0" distB="0" distL="0" distR="0">
            <wp:extent cx="152400" cy="152400"/>
            <wp:effectExtent l="0" t="0" r="0" b="0"/>
            <wp:docPr id="15" name="" descr="iD ico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iD icon">
                      <a:hlinkClick r:id="rId5"/>
                    </pic:cNvPr>
                    <pic:cNvPicPr>
                      <a:picLocks noChangeAspect="1" noChangeArrowheads="1"/>
                    </pic:cNvPicPr>
                  </pic:nvPicPr>
                  <pic:blipFill>
                    <a:blip r:embed="rId4"/>
                    <a:stretch>
                      <a:fillRect/>
                    </a:stretch>
                  </pic:blipFill>
                  <pic:spPr bwMode="auto">
                    <a:xfrm>
                      <a:off x="0" y="0"/>
                      <a:ext cx="152400" cy="152400"/>
                    </a:xfrm>
                    <a:prstGeom prst="rect">
                      <a:avLst/>
                    </a:prstGeom>
                  </pic:spPr>
                </pic:pic>
              </a:graphicData>
            </a:graphic>
          </wp:inline>
        </w:drawing>
      </w:r>
      <w:r>
        <w:rPr/>
        <w:t xml:space="preserve"> h</w:t>
      </w:r>
      <w:r>
        <w:rPr>
          <w:szCs w:val="16"/>
          <w:lang w:val="en-GB"/>
        </w:rPr>
        <w:t>ttps://orcid.org/</w:t>
      </w:r>
      <w:r>
        <w:rPr>
          <w:rStyle w:val="ORCID"/>
          <w:position w:val="0"/>
          <w:sz w:val="16"/>
          <w:sz w:val="16"/>
          <w:szCs w:val="16"/>
          <w:vertAlign w:val="baseline"/>
          <w:lang w:val="en-US"/>
        </w:rPr>
        <w:t>0000-0003-3722-0085</w:t>
      </w:r>
    </w:p>
  </w:footnote>
  <w:footnote w:id="4">
    <w:p>
      <w:pPr>
        <w:pStyle w:val="Footnote"/>
        <w:spacing w:before="0" w:after="200"/>
        <w:contextualSpacing/>
        <w:rPr/>
      </w:pPr>
      <w:r>
        <w:rPr>
          <w:rStyle w:val="Znakiprzypiswdolnych"/>
        </w:rPr>
        <w:footnoteRef/>
      </w:r>
      <w:r>
        <w:rPr/>
        <w:tab/>
        <w:t>WIT Academy, Newelska 6, Warsaw, 01-447, Poland, J.Stanczak@wit.edu.pl</w:t>
      </w:r>
    </w:p>
  </w:footnote>
  <w:footnote w:id="5">
    <w:p>
      <w:pPr>
        <w:pStyle w:val="Footnote"/>
        <w:spacing w:before="0" w:after="200"/>
        <w:contextualSpacing/>
        <w:rPr/>
      </w:pPr>
      <w:r>
        <w:rPr>
          <w:rStyle w:val="Znakiprzypiswdolnych"/>
        </w:rPr>
        <w:footnoteRef/>
      </w:r>
      <w:r>
        <w:rPr/>
        <w:tab/>
        <w:t xml:space="preserve">SGH Warsaw School of Economics, al. Niepodległości 16, Warsaw, 202-554, Poland, </w:t>
      </w:r>
      <w:hyperlink r:id="rId6">
        <w:r>
          <w:rPr>
            <w:rStyle w:val="Hyperlink"/>
            <w:rFonts w:ascii="times new roman" w:hAnsi="times new roman"/>
          </w:rPr>
          <w:t>pbarto1@sgh.waw.pl</w:t>
        </w:r>
      </w:hyperlink>
      <w:r>
        <w:rPr>
          <w:rStyle w:val="E-mail"/>
          <w:rFonts w:ascii="times new roman" w:hAnsi="times new roman"/>
        </w:rPr>
        <w:t>,</w:t>
      </w:r>
      <w:r>
        <w:rPr/>
        <w:drawing>
          <wp:inline distT="0" distB="0" distL="0" distR="0">
            <wp:extent cx="152400" cy="152400"/>
            <wp:effectExtent l="0" t="0" r="0" b="0"/>
            <wp:docPr id="16" name="" descr="iD ico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iD icon">
                      <a:hlinkClick r:id="rId8"/>
                    </pic:cNvPr>
                    <pic:cNvPicPr>
                      <a:picLocks noChangeAspect="1" noChangeArrowheads="1"/>
                    </pic:cNvPicPr>
                  </pic:nvPicPr>
                  <pic:blipFill>
                    <a:blip r:embed="rId7"/>
                    <a:stretch>
                      <a:fillRect/>
                    </a:stretch>
                  </pic:blipFill>
                  <pic:spPr bwMode="auto">
                    <a:xfrm>
                      <a:off x="0" y="0"/>
                      <a:ext cx="152400" cy="152400"/>
                    </a:xfrm>
                    <a:prstGeom prst="rect">
                      <a:avLst/>
                    </a:prstGeom>
                  </pic:spPr>
                </pic:pic>
              </a:graphicData>
            </a:graphic>
          </wp:inline>
        </w:drawing>
      </w:r>
      <w:r>
        <w:rPr>
          <w:rStyle w:val="E-mail"/>
          <w:rFonts w:ascii="times new roman" w:hAnsi="times new roman"/>
        </w:rPr>
        <w:t xml:space="preserve"> h</w:t>
      </w:r>
      <w:r>
        <w:rPr>
          <w:rStyle w:val="E-mail"/>
          <w:rFonts w:ascii="times new roman" w:hAnsi="times new roman"/>
          <w:szCs w:val="16"/>
          <w:lang w:val="en-GB"/>
        </w:rPr>
        <w:t>ttps://orcid.org</w:t>
      </w:r>
      <w:r>
        <w:rPr>
          <w:rStyle w:val="E-mail"/>
          <w:szCs w:val="16"/>
          <w:lang w:val="en-GB"/>
        </w:rPr>
        <w:t>/</w:t>
      </w:r>
      <w:r>
        <w:rPr>
          <w:rStyle w:val="ORCID"/>
          <w:position w:val="0"/>
          <w:sz w:val="16"/>
          <w:sz w:val="16"/>
          <w:szCs w:val="16"/>
          <w:vertAlign w:val="baseline"/>
          <w:lang w:val="en-US"/>
        </w:rPr>
        <w:t>0000-0002-2208-5960</w:t>
      </w:r>
    </w:p>
  </w:footnote>
  <w:footnote w:id="6">
    <w:p>
      <w:pPr>
        <w:pStyle w:val="Footnote"/>
        <w:spacing w:before="0" w:after="200"/>
        <w:contextualSpacing/>
        <w:rPr/>
      </w:pPr>
      <w:r>
        <w:rPr>
          <w:rStyle w:val="Znakiprzypiswdolnych"/>
        </w:rPr>
        <w:footnoteRef/>
      </w:r>
      <w:r>
        <w:rPr/>
        <w:tab/>
        <w:t>Detailed information about the devices used can be found, in [Al26], [Df26], [Ra26], [Fr26], and [Mp26].</w:t>
      </w:r>
    </w:p>
  </w:footnote>
  <w:footnote w:id="7">
    <w:p>
      <w:pPr>
        <w:pStyle w:val="Footnote"/>
        <w:spacing w:before="0" w:after="200"/>
        <w:contextualSpacing/>
        <w:rPr/>
      </w:pPr>
      <w:r>
        <w:rPr>
          <w:rStyle w:val="Znakiprzypiswdolnych"/>
        </w:rPr>
        <w:footnoteRef/>
      </w:r>
      <w:r>
        <w:rPr/>
        <w:tab/>
        <w:t>The light sensor used measures illuminance in [lm], but the energy of the light is connected with irradiance [W/m</w:t>
      </w:r>
      <w:r>
        <w:rPr>
          <w:vertAlign w:val="superscript"/>
        </w:rPr>
        <w:t>2</w:t>
      </w:r>
      <w:r>
        <w:rPr/>
        <w:t>]. However, these quantities are linearly related for a given light source (solar light spectrum) and can be recalculated using a formula: 685 Lux [lm/m</w:t>
      </w:r>
      <w:r>
        <w:rPr>
          <w:vertAlign w:val="superscript"/>
        </w:rPr>
        <w:t>2</w:t>
      </w:r>
      <w:r>
        <w:rPr/>
        <w:t>] = 1 W/m</w:t>
      </w:r>
      <w:r>
        <w:rPr>
          <w:vertAlign w:val="superscript"/>
        </w:rPr>
        <w:t>2</w:t>
      </w:r>
      <w:r>
        <w:rPr/>
        <w:t xml:space="preserve"> or 1 Lux = 0.0079 W/m</w:t>
      </w:r>
      <w:r>
        <w:rPr>
          <w:vertAlign w:val="superscript"/>
        </w:rPr>
        <w:t>2</w:t>
      </w:r>
      <w:r>
        <w:rPr/>
        <w:t>.</w:t>
      </w:r>
    </w:p>
  </w:footnote>
  <w:footnote w:id="8">
    <w:p>
      <w:pPr>
        <w:pStyle w:val="Footnote"/>
        <w:spacing w:before="0" w:after="0"/>
        <w:contextualSpacing/>
        <w:rPr/>
      </w:pPr>
      <w:r>
        <w:rPr>
          <w:rStyle w:val="Znakiprzypiswdolnych"/>
        </w:rPr>
        <w:footnoteRef/>
      </w:r>
      <w:r>
        <w:rPr/>
        <w:tab/>
        <w:t>P</w:t>
      </w:r>
      <w:r>
        <w:rPr>
          <w:vertAlign w:val="subscript"/>
        </w:rPr>
        <w:t>max_out</w:t>
      </w:r>
      <w:r>
        <w:rPr/>
        <w:t xml:space="preserve"> - maximum inverter power fed into the power grid.</w:t>
      </w:r>
    </w:p>
  </w:footnote>
  <w:footnote w:id="9">
    <w:p>
      <w:pPr>
        <w:pStyle w:val="Footnote"/>
        <w:spacing w:lineRule="auto" w:line="240" w:before="0" w:after="200"/>
        <w:ind w:hanging="85" w:left="85"/>
        <w:contextualSpacing/>
        <w:jc w:val="left"/>
        <w:textAlignment w:val="auto"/>
        <w:rPr/>
      </w:pPr>
      <w:r>
        <w:rPr>
          <w:rStyle w:val="Znakiprzypiswdolnych"/>
        </w:rPr>
        <w:footnoteRef/>
      </w:r>
      <w:r>
        <w:rPr>
          <w:sz w:val="16"/>
          <w:szCs w:val="16"/>
          <w:lang w:val="en-US"/>
        </w:rPr>
        <w:tab/>
        <w:t>P</w:t>
      </w:r>
      <w:r>
        <w:rPr>
          <w:sz w:val="16"/>
          <w:szCs w:val="16"/>
          <w:vertAlign w:val="subscript"/>
          <w:lang w:val="en-US"/>
        </w:rPr>
        <w:t>MPP</w:t>
      </w:r>
      <w:r>
        <w:rPr>
          <w:position w:val="0"/>
          <w:sz w:val="16"/>
          <w:sz w:val="16"/>
          <w:szCs w:val="16"/>
          <w:vertAlign w:val="baseline"/>
          <w:lang w:val="en-US"/>
        </w:rPr>
        <w:t xml:space="preserve"> – maximum electrical power generated under STC conditions (</w:t>
      </w:r>
      <w:r>
        <w:rPr>
          <w:rStyle w:val="Strong"/>
          <w:b w:val="false"/>
          <w:bCs w:val="false"/>
          <w:position w:val="0"/>
          <w:sz w:val="16"/>
          <w:sz w:val="16"/>
          <w:szCs w:val="16"/>
          <w:vertAlign w:val="baseline"/>
          <w:lang w:val="en-US"/>
        </w:rPr>
        <w:t>Maximum Power Point).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left"/>
      <w:rPr>
        <w:lang w:val="en-US"/>
      </w:rPr>
    </w:pPr>
    <w:r>
      <w:rPr>
        <w:lang w:val="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right"/>
      <w:rPr>
        <w:lang w:val="en-US"/>
      </w:rPr>
    </w:pPr>
    <w:r>
      <w:rPr>
        <w:lang w:val="en-US"/>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abstractNum w:abstractNumId="3">
    <w:lvl w:ilvl="0">
      <w:start w:val="1"/>
      <w:numFmt w:val="bullet"/>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
    <w:lvl w:ilvl="0">
      <w:start w:val="1"/>
      <w:numFmt w:val="decimal"/>
      <w:lvlText w:val="%1."/>
      <w:lvlJc w:val="right"/>
      <w:pPr>
        <w:tabs>
          <w:tab w:val="num" w:pos="0"/>
        </w:tabs>
        <w:ind w:left="227" w:hanging="57"/>
      </w:pPr>
      <w:rPr/>
    </w:lvl>
    <w:lvl w:ilvl="1">
      <w:start w:val="1"/>
      <w:numFmt w:val="lowerLetter"/>
      <w:lvlText w:val="%2."/>
      <w:lvlJc w:val="left"/>
      <w:pPr>
        <w:tabs>
          <w:tab w:val="num" w:pos="227"/>
        </w:tabs>
        <w:ind w:left="454" w:hanging="227"/>
      </w:pPr>
      <w:rPr/>
    </w:lvl>
    <w:lvl w:ilvl="2">
      <w:start w:val="1"/>
      <w:numFmt w:val="decimal"/>
      <w:lvlText w:val="(%3)"/>
      <w:lvlJc w:val="left"/>
      <w:pPr>
        <w:tabs>
          <w:tab w:val="num" w:pos="454"/>
        </w:tabs>
        <w:ind w:left="794" w:hanging="340"/>
      </w:pPr>
      <w:rPr/>
    </w:lvl>
    <w:lvl w:ilvl="3">
      <w:start w:val="1"/>
      <w:numFmt w:val="lowerRoman"/>
      <w:lvlText w:val="%4."/>
      <w:lvlJc w:val="left"/>
      <w:pPr>
        <w:tabs>
          <w:tab w:val="num" w:pos="794"/>
        </w:tabs>
        <w:ind w:left="1077" w:hanging="283"/>
      </w:pPr>
      <w:rPr/>
    </w:lvl>
    <w:lvl w:ilvl="4">
      <w:start w:val="1"/>
      <w:numFmt w:val="lowerLetter"/>
      <w:lvlText w:val="(%5)"/>
      <w:lvlJc w:val="left"/>
      <w:pPr>
        <w:tabs>
          <w:tab w:val="num" w:pos="1077"/>
        </w:tabs>
        <w:ind w:left="1360" w:hanging="283"/>
      </w:pPr>
      <w:rPr/>
    </w:lvl>
    <w:lvl w:ilvl="5">
      <w:start w:val="1"/>
      <w:numFmt w:val="upperLetter"/>
      <w:lvlText w:val="%6."/>
      <w:lvlJc w:val="left"/>
      <w:pPr>
        <w:tabs>
          <w:tab w:val="num" w:pos="1360"/>
        </w:tabs>
        <w:ind w:left="1700" w:hanging="34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decimal"/>
      <w:lvlText w:val="%1)"/>
      <w:lvlJc w:val="left"/>
      <w:pPr>
        <w:tabs>
          <w:tab w:val="num" w:pos="567"/>
        </w:tabs>
        <w:ind w:left="567" w:hanging="567"/>
      </w:pPr>
      <w:rPr/>
    </w:lvl>
    <w:lvl w:ilvl="1">
      <w:start w:val="1"/>
      <w:numFmt w:val="decimal"/>
      <w:lvlText w:val="%1.%2"/>
      <w:lvlJc w:val="left"/>
      <w:pPr>
        <w:tabs>
          <w:tab w:val="num" w:pos="567"/>
        </w:tabs>
        <w:ind w:left="567" w:hanging="567"/>
      </w:pPr>
      <w:rPr/>
    </w:lvl>
    <w:lvl w:ilvl="2">
      <w:start w:val="1"/>
      <w:numFmt w:val="decimal"/>
      <w:lvlText w:val="%1.%2.%3"/>
      <w:lvlJc w:val="left"/>
      <w:pPr>
        <w:tabs>
          <w:tab w:val="num" w:pos="851"/>
        </w:tabs>
        <w:ind w:left="851" w:hanging="851"/>
      </w:pPr>
      <w:rPr/>
    </w:lvl>
    <w:lvl w:ilvl="3">
      <w:start w:val="1"/>
      <w:numFmt w:val="decimal"/>
      <w:lvlText w:val="%1.%2.%3.%4"/>
      <w:lvlJc w:val="left"/>
      <w:pPr>
        <w:tabs>
          <w:tab w:val="num" w:pos="851"/>
        </w:tabs>
        <w:ind w:left="851" w:hanging="851"/>
      </w:pPr>
      <w:rPr/>
    </w:lvl>
    <w:lvl w:ilvl="4">
      <w:start w:val="1"/>
      <w:numFmt w:val="decimal"/>
      <w:lvlText w:val="%1.%2.%3.%4.%5"/>
      <w:lvlJc w:val="left"/>
      <w:pPr>
        <w:tabs>
          <w:tab w:val="num" w:pos="964"/>
        </w:tabs>
        <w:ind w:left="964" w:hanging="964"/>
      </w:pPr>
      <w:rPr>
        <w:sz w:val="20"/>
        <w:i/>
        <w:b w:val="false"/>
        <w:rFonts w:ascii="Times New Roman" w:hAnsi="Times New Roman"/>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decimal"/>
      <w:lvlText w:val="%1."/>
      <w:lvlJc w:val="right"/>
      <w:pPr>
        <w:tabs>
          <w:tab w:val="num" w:pos="341"/>
        </w:tabs>
        <w:ind w:left="341" w:hanging="114"/>
      </w:pPr>
      <w:rPr/>
    </w:lvl>
    <w:lvl w:ilvl="1">
      <w:start w:val="1"/>
      <w:numFmt w:val="lowerLetter"/>
      <w:lvlText w:val="%2."/>
      <w:lvlJc w:val="left"/>
      <w:pPr>
        <w:tabs>
          <w:tab w:val="num" w:pos="1896"/>
        </w:tabs>
        <w:ind w:left="1896" w:hanging="360"/>
      </w:pPr>
      <w:rPr/>
    </w:lvl>
    <w:lvl w:ilvl="2">
      <w:start w:val="1"/>
      <w:numFmt w:val="lowerRoman"/>
      <w:lvlText w:val="%3."/>
      <w:lvlJc w:val="right"/>
      <w:pPr>
        <w:tabs>
          <w:tab w:val="num" w:pos="2616"/>
        </w:tabs>
        <w:ind w:left="2616" w:hanging="180"/>
      </w:pPr>
      <w:rPr/>
    </w:lvl>
    <w:lvl w:ilvl="3">
      <w:start w:val="1"/>
      <w:numFmt w:val="decimal"/>
      <w:lvlText w:val="%4."/>
      <w:lvlJc w:val="left"/>
      <w:pPr>
        <w:tabs>
          <w:tab w:val="num" w:pos="3336"/>
        </w:tabs>
        <w:ind w:left="3336" w:hanging="360"/>
      </w:pPr>
      <w:rPr/>
    </w:lvl>
    <w:lvl w:ilvl="4">
      <w:start w:val="1"/>
      <w:numFmt w:val="lowerLetter"/>
      <w:lvlText w:val="%5."/>
      <w:lvlJc w:val="left"/>
      <w:pPr>
        <w:tabs>
          <w:tab w:val="num" w:pos="4056"/>
        </w:tabs>
        <w:ind w:left="4056" w:hanging="360"/>
      </w:pPr>
      <w:rPr/>
    </w:lvl>
    <w:lvl w:ilvl="5">
      <w:start w:val="1"/>
      <w:numFmt w:val="lowerRoman"/>
      <w:lvlText w:val="%6."/>
      <w:lvlJc w:val="right"/>
      <w:pPr>
        <w:tabs>
          <w:tab w:val="num" w:pos="4776"/>
        </w:tabs>
        <w:ind w:left="4776" w:hanging="180"/>
      </w:pPr>
      <w:rPr/>
    </w:lvl>
    <w:lvl w:ilvl="6">
      <w:start w:val="1"/>
      <w:numFmt w:val="decimal"/>
      <w:lvlText w:val="%7."/>
      <w:lvlJc w:val="left"/>
      <w:pPr>
        <w:tabs>
          <w:tab w:val="num" w:pos="5496"/>
        </w:tabs>
        <w:ind w:left="5496" w:hanging="360"/>
      </w:pPr>
      <w:rPr/>
    </w:lvl>
    <w:lvl w:ilvl="7">
      <w:start w:val="1"/>
      <w:numFmt w:val="lowerLetter"/>
      <w:lvlText w:val="%8."/>
      <w:lvlJc w:val="left"/>
      <w:pPr>
        <w:tabs>
          <w:tab w:val="num" w:pos="6216"/>
        </w:tabs>
        <w:ind w:left="6216" w:hanging="360"/>
      </w:pPr>
      <w:rPr/>
    </w:lvl>
    <w:lvl w:ilvl="8">
      <w:start w:val="1"/>
      <w:numFmt w:val="lowerRoman"/>
      <w:lvlText w:val="%9."/>
      <w:lvlJc w:val="right"/>
      <w:pPr>
        <w:tabs>
          <w:tab w:val="num" w:pos="6936"/>
        </w:tabs>
        <w:ind w:left="6936"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99"/>
  <w:defaultTabStop w:val="720"/>
  <w:autoHyphenation w:val="true"/>
  <w:doNotHyphenateCaps/>
  <w:hyphenationZone w:val="400"/>
  <w:evenAndOddHeaders/>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Times New Roman"/>
        <w:lang w:val="en-US" w:eastAsia="en-US" w:bidi="ar-SA"/>
      </w:rPr>
    </w:rPrDefault>
    <w:pPrDefault>
      <w:pPr>
        <w:suppressAutoHyphens w:val="true"/>
      </w:pPr>
    </w:pPrDefault>
  </w:docDefaults>
  <w:latentStyles w:defLockedState="0" w:defUIPriority="0" w:defSemiHidden="1" w:defUnhideWhenUsed="0" w:defQFormat="0" w:count="267">
    <w:lsdException w:name="Normal" w:semiHidden="0" w:qFormat="1"/>
  </w:latentStyles>
  <w:style w:type="paragraph" w:styleId="Normal" w:default="1">
    <w:name w:val="Normal"/>
    <w:qFormat/>
    <w:rsid w:val="00ce7667"/>
    <w:pPr>
      <w:widowControl/>
      <w:suppressAutoHyphens w:val="false"/>
      <w:overflowPunct w:val="true"/>
      <w:bidi w:val="0"/>
      <w:spacing w:lineRule="atLeast" w:line="240" w:before="0" w:after="0"/>
      <w:ind w:firstLine="227"/>
      <w:jc w:val="both"/>
      <w:textAlignment w:val="baseline"/>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left="567"/>
      <w:jc w:val="lef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left="567"/>
      <w:jc w:val="lef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w:hAnsi="Courier"/>
    </w:rPr>
  </w:style>
  <w:style w:type="character" w:styleId="FootnoteCharacters">
    <w:name w:val="Footnote Characters"/>
    <w:qFormat/>
    <w:rPr>
      <w:vertAlign w:val="superscript"/>
    </w:rPr>
  </w:style>
  <w:style w:type="character" w:styleId="Znakiprzypiswdolnych">
    <w:name w:val="Znaki przypisów dolnych"/>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qFormat/>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
    <w:name w:val="Endnote Characters"/>
    <w:qFormat/>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Quotation">
    <w:name w:val="Quotation"/>
    <w:qFormat/>
    <w:rPr>
      <w:i/>
      <w:iCs/>
    </w:rPr>
  </w:style>
  <w:style w:type="character" w:styleId="Znakinumeracji">
    <w:name w:val="Znaki numeracji"/>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w:rPr>
  </w:style>
  <w:style w:type="paragraph" w:styleId="Caption1">
    <w:name w:val="caption1"/>
    <w:basedOn w:val="Normal"/>
    <w:qFormat/>
    <w:pPr>
      <w:suppressLineNumbers/>
      <w:spacing w:before="120" w:after="120"/>
    </w:pPr>
    <w:rPr>
      <w:rFonts w:cs="Noto Sans Devanagari"/>
      <w:i/>
      <w:iCs/>
      <w:sz w:val="24"/>
      <w:szCs w:val="24"/>
    </w:rPr>
  </w:style>
  <w:style w:type="paragraph" w:styleId="Caption11">
    <w:name w:val="caption11"/>
    <w:basedOn w:val="Normal"/>
    <w:qFormat/>
    <w:pPr>
      <w:suppressLineNumbers/>
      <w:spacing w:before="120" w:after="120"/>
    </w:pPr>
    <w:rPr>
      <w:rFonts w:cs="Noto Sans Devanagari"/>
      <w:i/>
      <w:iCs/>
      <w:sz w:val="24"/>
      <w:szCs w:val="24"/>
    </w:rPr>
  </w:style>
  <w:style w:type="paragraph" w:styleId="Caption111">
    <w:name w:val="caption111"/>
    <w:basedOn w:val="Normal"/>
    <w:qFormat/>
    <w:pPr>
      <w:suppressLineNumbers/>
      <w:spacing w:before="120" w:after="120"/>
    </w:pPr>
    <w:rPr>
      <w:rFonts w:cs="Noto Sans Devanagari"/>
      <w:i/>
      <w:iCs/>
      <w:sz w:val="24"/>
      <w:szCs w:val="24"/>
    </w:rPr>
  </w:style>
  <w:style w:type="paragraph" w:styleId="Abstract" w:customStyle="1">
    <w:name w:val="abstract"/>
    <w:basedOn w:val="Normal"/>
    <w:qFormat/>
    <w:pPr>
      <w:suppressAutoHyphens w:val="true"/>
      <w:spacing w:lineRule="auto" w:line="240" w:before="601" w:after="119"/>
      <w:ind w:hanging="0" w:left="0" w:right="0"/>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2"/>
      </w:numPr>
      <w:spacing w:before="160" w:after="160"/>
      <w:contextualSpacing/>
    </w:pPr>
    <w:rPr/>
  </w:style>
  <w:style w:type="paragraph" w:styleId="Dashitem" w:customStyle="1">
    <w:name w:val="dashitem"/>
    <w:basedOn w:val="Normal"/>
    <w:qFormat/>
    <w:pPr>
      <w:numPr>
        <w:ilvl w:val="0"/>
        <w:numId w:val="3"/>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lineRule="auto" w:line="240" w:before="119" w:after="119"/>
      <w:ind w:hanging="0" w:left="283"/>
      <w:jc w:val="right"/>
    </w:pPr>
    <w:rPr/>
  </w:style>
  <w:style w:type="paragraph" w:styleId="Figurecaption" w:customStyle="1">
    <w:name w:val="figurecaption"/>
    <w:basedOn w:val="Normal"/>
    <w:next w:val="Normal"/>
    <w:qFormat/>
    <w:pPr>
      <w:keepLines/>
      <w:spacing w:lineRule="auto" w:line="240" w:before="119" w:after="119"/>
      <w:ind w:hanging="0"/>
      <w:jc w:val="center"/>
    </w:pPr>
    <w:rPr>
      <w:sz w:val="18"/>
    </w:rPr>
  </w:style>
  <w:style w:type="paragraph" w:styleId="Gwkaistopka">
    <w:name w:val="Główka i stopka"/>
    <w:basedOn w:val="Normal"/>
    <w:qFormat/>
    <w:pPr/>
    <w:rPr/>
  </w:style>
  <w:style w:type="paragraph" w:styleId="Footer">
    <w:name w:val="Footer"/>
    <w:basedOn w:val="Normal"/>
    <w:semiHidden/>
    <w:unhideWhenUsed/>
    <w:pPr/>
    <w:rPr>
      <w:rFonts w:ascii="Times New Roman" w:hAnsi="Times New Roman" w:eastAsia="Times New Roman"/>
      <w:sz w:val="20"/>
      <w:szCs w:val="20"/>
    </w:rPr>
  </w:style>
  <w:style w:type="paragraph" w:styleId="Heading11" w:customStyle="1">
    <w:name w:val="heading1"/>
    <w:basedOn w:val="Normal"/>
    <w:next w:val="P1a"/>
    <w:qFormat/>
    <w:pPr>
      <w:keepNext w:val="true"/>
      <w:keepLines/>
      <w:numPr>
        <w:ilvl w:val="0"/>
        <w:numId w:val="5"/>
      </w:numPr>
      <w:tabs>
        <w:tab w:val="clear" w:pos="720"/>
      </w:tabs>
      <w:suppressAutoHyphens w:val="true"/>
      <w:spacing w:lineRule="auto" w:line="240" w:before="482" w:after="238"/>
      <w:ind w:hanging="431" w:left="431"/>
      <w:jc w:val="both"/>
      <w:textAlignment w:val="auto"/>
      <w:outlineLvl w:val="0"/>
    </w:pPr>
    <w:rPr>
      <w:b/>
      <w:sz w:val="24"/>
      <w:lang w:val="en-US"/>
    </w:rPr>
  </w:style>
  <w:style w:type="paragraph" w:styleId="Heading21" w:customStyle="1">
    <w:name w:val="heading2"/>
    <w:basedOn w:val="Normal"/>
    <w:next w:val="P1a"/>
    <w:qFormat/>
    <w:pPr>
      <w:keepNext w:val="true"/>
      <w:keepLines/>
      <w:numPr>
        <w:ilvl w:val="1"/>
        <w:numId w:val="5"/>
      </w:numPr>
      <w:tabs>
        <w:tab w:val="clear" w:pos="720"/>
      </w:tabs>
      <w:suppressAutoHyphens w:val="true"/>
      <w:spacing w:lineRule="auto" w:line="240" w:before="403" w:after="198"/>
      <w:ind w:hanging="578" w:left="578"/>
      <w:jc w:val="left"/>
      <w:outlineLvl w:val="1"/>
    </w:pPr>
    <w:rPr>
      <w:b/>
    </w:rPr>
  </w:style>
  <w:style w:type="paragraph" w:styleId="Acknowlegments">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jc w:val="lef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4"/>
      </w:numPr>
      <w:spacing w:before="160" w:after="160"/>
      <w:contextualSpacing/>
    </w:pPr>
    <w:rPr/>
  </w:style>
  <w:style w:type="paragraph" w:styleId="P1a" w:customStyle="1">
    <w:name w:val="p1a"/>
    <w:basedOn w:val="Normal"/>
    <w:next w:val="Normal"/>
    <w:qFormat/>
    <w:pPr>
      <w:numPr>
        <w:ilvl w:val="0"/>
        <w:numId w:val="1"/>
      </w:numPr>
      <w:suppressAutoHyphens w:val="true"/>
      <w:spacing w:lineRule="auto" w:line="240" w:before="0" w:after="159"/>
      <w:ind w:hanging="0"/>
      <w:outlineLvl w:val="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left"/>
    </w:pPr>
    <w:rPr>
      <w:rFonts w:ascii="Courier" w:hAnsi="Courier"/>
    </w:rPr>
  </w:style>
  <w:style w:type="paragraph" w:styleId="Referenceitem" w:customStyle="1">
    <w:name w:val="referenceitem"/>
    <w:basedOn w:val="Normal"/>
    <w:qFormat/>
    <w:pPr>
      <w:numPr>
        <w:ilvl w:val="0"/>
        <w:numId w:val="6"/>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lef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lef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numPr>
        <w:ilvl w:val="0"/>
        <w:numId w:val="5"/>
      </w:numPr>
      <w:suppressAutoHyphens w:val="true"/>
      <w:spacing w:lineRule="auto" w:line="240" w:before="119" w:after="119"/>
      <w:ind w:hanging="0" w:left="0"/>
      <w:jc w:val="center"/>
      <w:textAlignment w:val="auto"/>
    </w:pPr>
    <w:rPr>
      <w:sz w:val="18"/>
    </w:rPr>
  </w:style>
  <w:style w:type="paragraph" w:styleId="FootnoteText">
    <w:name w:val="Footnote Text"/>
    <w:basedOn w:val="Normal"/>
    <w:semiHidden/>
    <w:pPr>
      <w:spacing w:lineRule="atLeast" w:line="220"/>
      <w:ind w:hanging="227" w:left="227"/>
    </w:pPr>
    <w:rPr>
      <w:sz w:val="16"/>
    </w:rPr>
  </w:style>
  <w:style w:type="paragraph" w:styleId="ReferenceLine" w:customStyle="1">
    <w:name w:val="ReferenceLine"/>
    <w:basedOn w:val="P1a"/>
    <w:semiHidden/>
    <w:unhideWhenUsed/>
    <w:qFormat/>
    <w:pPr>
      <w:numPr>
        <w:ilvl w:val="0"/>
        <w:numId w:val="0"/>
      </w:numPr>
      <w:spacing w:lineRule="exact" w:line="200"/>
      <w:ind w:hanging="0"/>
      <w:outlineLvl w:val="9"/>
    </w:pPr>
    <w:rPr>
      <w:sz w:val="16"/>
    </w:rPr>
  </w:style>
  <w:style w:type="paragraph" w:styleId="Zawartotabeli">
    <w:name w:val="Zawartość tabeli"/>
    <w:basedOn w:val="Normal"/>
    <w:qFormat/>
    <w:pPr>
      <w:widowControl w:val="false"/>
      <w:suppressLineNumbers/>
    </w:pPr>
    <w:rPr/>
  </w:style>
  <w:style w:type="paragraph" w:styleId="Footnote">
    <w:name w:val="footnote"/>
    <w:basedOn w:val="Address"/>
    <w:qFormat/>
    <w:pPr>
      <w:tabs>
        <w:tab w:val="clear" w:pos="720"/>
      </w:tabs>
      <w:spacing w:lineRule="auto" w:line="240"/>
      <w:ind w:hanging="85" w:left="85"/>
      <w:jc w:val="left"/>
      <w:textAlignment w:val="auto"/>
    </w:pPr>
    <w:rPr>
      <w:sz w:val="16"/>
      <w:szCs w:val="16"/>
      <w:lang w:val="en-US"/>
    </w:rPr>
  </w:style>
  <w:style w:type="paragraph" w:styleId="Bibliography">
    <w:name w:val="Bibliography"/>
    <w:basedOn w:val="Normal"/>
    <w:qFormat/>
    <w:pPr>
      <w:tabs>
        <w:tab w:val="clear" w:pos="720"/>
        <w:tab w:val="left" w:pos="850" w:leader="none"/>
      </w:tabs>
      <w:spacing w:before="0" w:after="120"/>
      <w:ind w:hanging="851" w:left="851"/>
    </w:pPr>
    <w:rPr>
      <w:sz w:val="18"/>
      <w:lang w:val="en-GB"/>
    </w:rPr>
  </w:style>
  <w:style w:type="numbering" w:styleId="Bezlisty" w:default="1">
    <w:name w:val="Bez listy"/>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Normal Table">
    <w:name w:val="Normal Table"/>
    <w:uiPriority w:val="99"/>
    <w:semiHidden/>
    <w:unhideWhenUsed/>
    <w:tblPr>
      <w:tblCellMar>
        <w:top w:w="57" w:type="dxa"/>
        <w:left w:w="57" w:type="dxa"/>
        <w:bottom w:w="57" w:type="dxa"/>
        <w:right w:w="57"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wmf"/><Relationship Id="rId6" Type="http://schemas.openxmlformats.org/officeDocument/2006/relationships/image" Target="media/image3.wmf"/><Relationship Id="rId7" Type="http://schemas.openxmlformats.org/officeDocument/2006/relationships/image" Target="media/image4.wmf"/><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wmf"/><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yperlink" Target="https://www.researchgate.net/journal/Future-Internet-1999-5903?_tp=eyJjb250ZXh0Ijp7ImZpcnN0UGFnZSI6Il9kaXJlY3QiLCJwYWdlIjoicHVibGljYXRpb24iLCJwcmV2aW91c1BhZ2UiOiJzZWFyY2giLCJwb3NpdGlvbiI6InBhZ2VIZWFkZXIifX0" TargetMode="External"/><Relationship Id="rId16" Type="http://schemas.openxmlformats.org/officeDocument/2006/relationships/hyperlink" Target="https://epodreczniki.open.agh.edu.pl/handbook/35" TargetMode="External"/><Relationship Id="rId17" Type="http://schemas.openxmlformats.org/officeDocument/2006/relationships/hyperlink" Target="http://www.alldatasheet.com/datasheet-pdf/pdf/58557/DALLAS/" TargetMode="External"/><Relationship Id="rId18" Type="http://schemas.openxmlformats.org/officeDocument/2006/relationships/hyperlink" Target="https://www.fronius.com/en-gb/uk/search-page?searchword=fronius-symo-3-0-3-m&amp;activeDepartment=solarenergy&amp;categoryFacet=category-downloads" TargetMode="External"/><Relationship Id="rId19" Type="http://schemas.openxmlformats.org/officeDocument/2006/relationships/hyperlink" Target="https://mpe-online.ie/wp-content/uploads/2018/11/Hanwha_Q_CELLS_Data_sheet" TargetMode="External"/><Relationship Id="rId20" Type="http://schemas.openxmlformats.org/officeDocument/2006/relationships/hyperlink" Target="https://mpe-online.ie/wp-content/uploads/2018/11/Hanwha_Q_CELLS_Data_sheet_QPEAK_DUO-G5_305-330_2017-10_Rev01_EN.pdf"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footnotes" Target="footnote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s://orcid.org/0000-0002-1825-0097" TargetMode="External"/><Relationship Id="rId3" Type="http://schemas.openxmlformats.org/officeDocument/2006/relationships/hyperlink" Target="mailto:stanczak@ibspan.waw.pl" TargetMode="External"/><Relationship Id="rId4" Type="http://schemas.openxmlformats.org/officeDocument/2006/relationships/image" Target="media/image12.png"/><Relationship Id="rId5" Type="http://schemas.openxmlformats.org/officeDocument/2006/relationships/hyperlink" Target="https://orcid.org/0000-0002-1825-0097" TargetMode="External"/><Relationship Id="rId6" Type="http://schemas.openxmlformats.org/officeDocument/2006/relationships/hyperlink" Target="mailto:pbarto1@sgh.waw.pl" TargetMode="External"/><Relationship Id="rId7" Type="http://schemas.openxmlformats.org/officeDocument/2006/relationships/image" Target="media/image12.png"/><Relationship Id="rId8" Type="http://schemas.openxmlformats.org/officeDocument/2006/relationships/hyperlink" Target="https://orcid.org/0000-0002-1825-0097" TargetMode="External"/>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2557</TotalTime>
  <Application>LibreOffice/7.6.2.1$Linux_X86_64 LibreOffice_project/60$Build-1</Application>
  <AppVersion>15.0000</AppVersion>
  <Pages>10</Pages>
  <Words>3025</Words>
  <Characters>16945</Characters>
  <CharactersWithSpaces>19781</CharactersWithSpaces>
  <Paragraphs>252</Paragraphs>
  <Company>dataspect IT-Services, Neckargemuend, Germany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
  <dc:description>Styles and macros for Springer Lecture Notes</dc:description>
  <dc:language>pl-PL</dc:language>
  <cp:lastModifiedBy/>
  <cp:lastPrinted>2026-09-04T15:21:22Z</cp:lastPrinted>
  <dcterms:modified xsi:type="dcterms:W3CDTF">2026-09-04T15:21:51Z</dcterms:modified>
  <cp:revision>162</cp:revision>
  <dc:subject/>
  <dc:title>AI model of a photovoltaic installation</dc:title>
</cp:coreProperties>
</file>

<file path=docProps/custom.xml><?xml version="1.0" encoding="utf-8"?>
<Properties xmlns="http://schemas.openxmlformats.org/officeDocument/2006/custom-properties" xmlns:vt="http://schemas.openxmlformats.org/officeDocument/2006/docPropsVTypes"/>
</file>