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40" w:before="300" w:line="360"/>
        <w:jc w:val="center"/>
      </w:pPr>
      <w:r>
        <w:rPr>
          <w:rFonts w:ascii="Calibri" w:cs="Calibri" w:eastAsia="Calibri" w:hAnsi="Calibri"/>
          <w:b/>
          <w:bCs/>
          <w:i w:val="false"/>
          <w:iCs w:val="false"/>
          <w:color w:val="1E40AF"/>
          <w:sz w:val="24"/>
          <w:szCs w:val="24"/>
        </w:rPr>
        <w:t xml:space="preserve">TSHWANE UNIVERSITY OF TECHNOLOGY</w:t>
      </w:r>
    </w:p>
    <w:p>
      <w:pPr>
        <w:keepNext w:val="false"/>
        <w:spacing w:after="20" w:before="0" w:line="360"/>
        <w:jc w:val="center"/>
      </w:pPr>
      <w:r>
        <w:rPr>
          <w:rFonts w:ascii="Calibri" w:cs="Calibri" w:eastAsia="Calibri" w:hAnsi="Calibri"/>
          <w:b w:val="false"/>
          <w:bCs w:val="false"/>
          <w:i w:val="false"/>
          <w:iCs w:val="false"/>
          <w:color w:val="475569"/>
          <w:sz w:val="21"/>
          <w:szCs w:val="21"/>
        </w:rPr>
        <w:t xml:space="preserve">Faculty of Information and Communication Technology</w:t>
      </w:r>
    </w:p>
    <w:p>
      <w:pPr>
        <w:keepNext w:val="false"/>
        <w:spacing w:after="240" w:before="0" w:line="360"/>
        <w:jc w:val="center"/>
      </w:pPr>
      <w:r>
        <w:rPr>
          <w:rFonts w:ascii="Calibri" w:cs="Calibri" w:eastAsia="Calibri" w:hAnsi="Calibri"/>
          <w:b w:val="false"/>
          <w:bCs w:val="false"/>
          <w:i w:val="false"/>
          <w:iCs w:val="false"/>
          <w:color w:val="475569"/>
          <w:sz w:val="21"/>
          <w:szCs w:val="21"/>
        </w:rPr>
        <w:t xml:space="preserve">Department of Computer Science</w:t>
      </w:r>
    </w:p>
    <w:p>
      <w:pPr>
        <w:spacing w:after="200" w:before="12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 cy="914400"/>
                    </a:xfrm>
                    <a:prstGeom prst="rect">
                      <a:avLst/>
                    </a:prstGeom>
                  </pic:spPr>
                </pic:pic>
              </a:graphicData>
            </a:graphic>
          </wp:inline>
        </w:drawing>
      </w:r>
    </w:p>
    <w:p>
      <w:pPr>
        <w:pBdr>
          <w:bottom w:val="single" w:color="1E40AF" w:sz="8" w:space="6"/>
        </w:pBdr>
        <w:spacing w:after="200" w:before="60"/>
      </w:pPr>
      <w:r>
        <w:rPr>
          <w:rFonts w:ascii="Calibri" w:cs="Calibri" w:eastAsia="Calibri" w:hAnsi="Calibri"/>
          <w:color w:val="0F172A"/>
          <w:sz w:val="22"/>
          <w:szCs w:val="22"/>
        </w:rPr>
        <w:t xml:space="preserve"/>
      </w:r>
    </w:p>
    <w:p>
      <w:pPr>
        <w:keepNext w:val="false"/>
        <w:spacing w:after="200" w:before="0" w:line="360"/>
        <w:jc w:val="center"/>
      </w:pPr>
      <w:r>
        <w:rPr>
          <w:rFonts w:ascii="Calibri" w:cs="Calibri" w:eastAsia="Calibri" w:hAnsi="Calibri"/>
          <w:b/>
          <w:bCs/>
          <w:i w:val="false"/>
          <w:iCs w:val="false"/>
          <w:color w:val="475569"/>
          <w:sz w:val="22"/>
          <w:szCs w:val="22"/>
        </w:rPr>
        <w:t xml:space="preserve">INTEGRATED SOFTWARE PROJECT   ·   ISJ107V   ·   2026</w:t>
      </w:r>
    </w:p>
    <w:p>
      <w:pPr>
        <w:keepNext w:val="false"/>
        <w:spacing w:after="120" w:before="0" w:line="360"/>
        <w:jc w:val="center"/>
      </w:pPr>
      <w:r>
        <w:rPr>
          <w:rFonts w:ascii="Calibri" w:cs="Calibri" w:eastAsia="Calibri" w:hAnsi="Calibri"/>
          <w:b/>
          <w:bCs/>
          <w:i w:val="false"/>
          <w:iCs w:val="false"/>
          <w:color w:val="5B21B6"/>
          <w:sz w:val="24"/>
          <w:szCs w:val="24"/>
        </w:rPr>
        <w:t xml:space="preserve">ASSIGNMENT 4</w:t>
      </w:r>
    </w:p>
    <w:p>
      <w:pPr>
        <w:keepNext w:val="false"/>
        <w:spacing w:after="120" w:before="0" w:line="300"/>
        <w:jc w:val="center"/>
      </w:pPr>
      <w:r>
        <w:rPr>
          <w:rFonts w:ascii="Calibri" w:cs="Calibri" w:eastAsia="Calibri" w:hAnsi="Calibri"/>
          <w:b/>
          <w:bCs/>
          <w:i w:val="false"/>
          <w:iCs w:val="false"/>
          <w:color w:val="0F172A"/>
          <w:sz w:val="40"/>
          <w:szCs w:val="40"/>
        </w:rPr>
        <w:t xml:space="preserve">Applicable Technologies</w:t>
      </w:r>
    </w:p>
    <w:p>
      <w:pPr>
        <w:keepNext w:val="false"/>
        <w:spacing w:after="200" w:before="0" w:line="360"/>
        <w:jc w:val="center"/>
      </w:pPr>
      <w:r>
        <w:rPr>
          <w:rFonts w:ascii="Calibri" w:cs="Calibri" w:eastAsia="Calibri" w:hAnsi="Calibri"/>
          <w:b w:val="false"/>
          <w:bCs w:val="false"/>
          <w:i/>
          <w:iCs/>
          <w:color w:val="475569"/>
          <w:sz w:val="22"/>
          <w:szCs w:val="22"/>
        </w:rPr>
        <w:t xml:space="preserve">Candid — technology selection, cloud services, DevOps practice and interoperability</w:t>
      </w:r>
    </w:p>
    <w:p>
      <w:pPr>
        <w:pBdr>
          <w:bottom w:val="single" w:color="1E40AF" w:sz="8" w:space="6"/>
        </w:pBdr>
        <w:spacing w:after="200" w:before="60"/>
      </w:pPr>
      <w:r>
        <w:rPr>
          <w:rFonts w:ascii="Calibri" w:cs="Calibri" w:eastAsia="Calibri" w:hAnsi="Calibri"/>
          <w:color w:val="0F172A"/>
          <w:sz w:val="22"/>
          <w:szCs w:val="22"/>
        </w:rPr>
        <w:t xml:space="preserve"/>
      </w:r>
    </w:p>
    <w:tbl>
      <w:tblPr>
        <w:tblW w:type="dxa" w:w="8312"/>
        <w:tblBorders>
          <w:top w:val="none"/>
          <w:left w:val="none"/>
          <w:bottom w:val="none"/>
          <w:right w:val="none"/>
          <w:insideH w:val="none"/>
          <w:insideV w:val="none"/>
        </w:tblBorders>
      </w:tblPr>
      <w:tblGrid>
        <w:gridCol w:w="2600"/>
        <w:gridCol w:w="5712"/>
      </w:tblGrid>
      <w:tr>
        <w:tc>
          <w:tcPr>
            <w:tcW w:type="dxa" w:w="2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Student</w:t>
            </w:r>
          </w:p>
        </w:tc>
        <w:tc>
          <w:tcPr>
            <w:tcW w:type="dxa" w:w="5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Dennis Mmachoene Ramara</w:t>
            </w:r>
          </w:p>
        </w:tc>
      </w:tr>
      <w:tr>
        <w:tc>
          <w:tcPr>
            <w:tcW w:type="dxa" w:w="2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Student number</w:t>
            </w:r>
          </w:p>
        </w:tc>
        <w:tc>
          <w:tcPr>
            <w:tcW w:type="dxa" w:w="5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[STUDENT NUMBER]</w:t>
            </w:r>
          </w:p>
        </w:tc>
      </w:tr>
      <w:tr>
        <w:tc>
          <w:tcPr>
            <w:tcW w:type="dxa" w:w="2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Qualification</w:t>
            </w:r>
          </w:p>
        </w:tc>
        <w:tc>
          <w:tcPr>
            <w:tcW w:type="dxa" w:w="5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Advanced Diploma in Computer Science</w:t>
            </w:r>
          </w:p>
        </w:tc>
      </w:tr>
      <w:tr>
        <w:tc>
          <w:tcPr>
            <w:tcW w:type="dxa" w:w="2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NQF level / credits</w:t>
            </w:r>
          </w:p>
        </w:tc>
        <w:tc>
          <w:tcPr>
            <w:tcW w:type="dxa" w:w="5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NQF 7 · 15 credits</w:t>
            </w:r>
          </w:p>
        </w:tc>
      </w:tr>
      <w:tr>
        <w:tc>
          <w:tcPr>
            <w:tcW w:type="dxa" w:w="2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Assessment weight</w:t>
            </w:r>
          </w:p>
        </w:tc>
        <w:tc>
          <w:tcPr>
            <w:tcW w:type="dxa" w:w="5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15% of the predicate mark (assessment plan, study guide §24)</w:t>
            </w:r>
          </w:p>
        </w:tc>
      </w:tr>
      <w:tr>
        <w:tc>
          <w:tcPr>
            <w:tcW w:type="dxa" w:w="2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Lecturer</w:t>
            </w:r>
          </w:p>
        </w:tc>
        <w:tc>
          <w:tcPr>
            <w:tcW w:type="dxa" w:w="5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Mr HD Masethe</w:t>
            </w:r>
          </w:p>
        </w:tc>
      </w:tr>
      <w:tr>
        <w:tc>
          <w:tcPr>
            <w:tcW w:type="dxa" w:w="2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Submitted</w:t>
            </w:r>
          </w:p>
        </w:tc>
        <w:tc>
          <w:tcPr>
            <w:tcW w:type="dxa" w:w="5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2 August 2026</w:t>
            </w:r>
          </w:p>
        </w:tc>
      </w:tr>
      <w:tr>
        <w:tc>
          <w:tcPr>
            <w:tcW w:type="dxa" w:w="2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System documented</w:t>
            </w:r>
          </w:p>
        </w:tc>
        <w:tc>
          <w:tcPr>
            <w:tcW w:type="dxa" w:w="5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Candid — github.com/dennis-mmachoene/candid</w:t>
            </w:r>
          </w:p>
        </w:tc>
      </w:tr>
    </w:tbl>
    <w:p>
      <w:r>
        <w:br w:type="page"/>
      </w:r>
    </w:p>
    <w:p>
      <w:pPr>
        <w:pStyle w:val="Heading1"/>
        <w:keepNext/>
        <w:spacing w:after="200" w:before="360" w:line="360"/>
      </w:pPr>
      <w:r>
        <w:rPr>
          <w:rFonts w:ascii="Calibri" w:cs="Calibri" w:eastAsia="Calibri" w:hAnsi="Calibri"/>
          <w:b/>
          <w:bCs/>
          <w:color w:val="1E40AF"/>
          <w:sz w:val="32"/>
          <w:szCs w:val="32"/>
        </w:rPr>
        <w:t xml:space="preserve">Declaration of originality</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I, the undersigned, hereby declare that:</w:t>
      </w:r>
    </w:p>
    <w:p>
      <w:pPr>
        <w:pStyle w:val="ListParagraph"/>
        <w:numPr>
          <w:ilvl w:val="0"/>
          <w:numId w:val="2"/>
        </w:numPr>
        <w:spacing w:after="80" w:line="360"/>
        <w:jc w:val="left"/>
      </w:pPr>
      <w:r>
        <w:rPr>
          <w:rFonts w:ascii="Calibri" w:cs="Calibri" w:eastAsia="Calibri" w:hAnsi="Calibri"/>
          <w:color w:val="0F172A"/>
          <w:sz w:val="22"/>
          <w:szCs w:val="22"/>
        </w:rPr>
        <w:t xml:space="preserve">This assignment is my own original work. Where the work of others has been used, it has been acknowledged and referenced in accordance with the Harvard method of referencing.</w:t>
      </w:r>
    </w:p>
    <w:p>
      <w:pPr>
        <w:pStyle w:val="ListParagraph"/>
        <w:numPr>
          <w:ilvl w:val="0"/>
          <w:numId w:val="2"/>
        </w:numPr>
        <w:spacing w:after="80" w:line="360"/>
        <w:jc w:val="left"/>
      </w:pPr>
      <w:r>
        <w:rPr>
          <w:rFonts w:ascii="Calibri" w:cs="Calibri" w:eastAsia="Calibri" w:hAnsi="Calibri"/>
          <w:color w:val="0F172A"/>
          <w:sz w:val="22"/>
          <w:szCs w:val="22"/>
        </w:rPr>
        <w:t xml:space="preserve">I have not allowed, and will not allow, any other person to copy this work with the intention of presenting it as their own.</w:t>
      </w:r>
    </w:p>
    <w:p>
      <w:pPr>
        <w:pStyle w:val="ListParagraph"/>
        <w:numPr>
          <w:ilvl w:val="0"/>
          <w:numId w:val="2"/>
        </w:numPr>
        <w:spacing w:after="80" w:line="360"/>
        <w:jc w:val="left"/>
      </w:pPr>
      <w:r>
        <w:rPr>
          <w:rFonts w:ascii="Calibri" w:cs="Calibri" w:eastAsia="Calibri" w:hAnsi="Calibri"/>
          <w:color w:val="0F172A"/>
          <w:sz w:val="22"/>
          <w:szCs w:val="22"/>
        </w:rPr>
        <w:t xml:space="preserve">I understand that plagiarism is a form of misconduct under Chapter 15 of the Students’ Rules and Regulations, rule 15.1.16, and under the Tshwane University of Technology plagiarism policy RIPPOL067.</w:t>
      </w:r>
    </w:p>
    <w:p>
      <w:pPr>
        <w:pStyle w:val="ListParagraph"/>
        <w:numPr>
          <w:ilvl w:val="0"/>
          <w:numId w:val="2"/>
        </w:numPr>
        <w:spacing w:after="80" w:line="360"/>
        <w:jc w:val="left"/>
      </w:pPr>
      <w:r>
        <w:rPr>
          <w:rFonts w:ascii="Calibri" w:cs="Calibri" w:eastAsia="Calibri" w:hAnsi="Calibri"/>
          <w:color w:val="0F172A"/>
          <w:sz w:val="22"/>
          <w:szCs w:val="22"/>
        </w:rPr>
        <w:t xml:space="preserve">Every internet source used is cited with its full uniform resource locator and the date on which it was accessed.</w:t>
      </w:r>
    </w:p>
    <w:p>
      <w:pPr>
        <w:pStyle w:val="ListParagraph"/>
        <w:numPr>
          <w:ilvl w:val="0"/>
          <w:numId w:val="2"/>
        </w:numPr>
        <w:spacing w:after="80" w:line="360"/>
        <w:jc w:val="left"/>
      </w:pPr>
      <w:r>
        <w:rPr>
          <w:rFonts w:ascii="Calibri" w:cs="Calibri" w:eastAsia="Calibri" w:hAnsi="Calibri"/>
          <w:color w:val="0F172A"/>
          <w:sz w:val="22"/>
          <w:szCs w:val="22"/>
        </w:rPr>
        <w:t xml:space="preserve">The software system described in this document was designed and implemented by me. The full source code, its commit history and its continuous integration results are publicly available at github.com/dennis-mmachoene/candid and may be inspected in support of every claim made here.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
      </w:r>
    </w:p>
    <w:tbl>
      <w:tblPr>
        <w:tblW w:type="dxa" w:w="8312"/>
        <w:tblBorders>
          <w:top w:val="single" w:color="5B21B6" w:sz="4"/>
          <w:left w:val="single" w:color="5B21B6" w:sz="18"/>
          <w:bottom w:val="single" w:color="5B21B6" w:sz="4"/>
          <w:right w:val="single" w:color="5B21B6" w:sz="4"/>
          <w:insideH w:val="none"/>
          <w:insideV w:val="none"/>
        </w:tblBorders>
      </w:tblPr>
      <w:tblGrid>
        <w:gridCol w:w="8312"/>
      </w:tblGrid>
      <w:tr>
        <w:tc>
          <w:tcPr>
            <w:tcW w:type="dxa" w:w="8312"/>
            <w:shd w:fill="EDE9FE" w:val="clear"/>
            <w:tcMar>
              <w:top w:type="dxa" w:w="140"/>
              <w:left w:type="dxa" w:w="180"/>
              <w:bottom w:type="dxa" w:w="140"/>
              <w:right w:type="dxa" w:w="180"/>
            </w:tcMar>
          </w:tcPr>
          <w:p>
            <w:pPr>
              <w:spacing w:after="80" w:line="360"/>
            </w:pPr>
            <w:r>
              <w:rPr>
                <w:rFonts w:ascii="Calibri" w:cs="Calibri" w:eastAsia="Calibri" w:hAnsi="Calibri"/>
                <w:b/>
                <w:bCs/>
                <w:color w:val="5B21B6"/>
                <w:sz w:val="21"/>
                <w:szCs w:val="21"/>
              </w:rPr>
              <w:t xml:space="preserve">A note on verifiability</w:t>
            </w:r>
          </w:p>
          <w:p>
            <w:pPr>
              <w:spacing w:after="60" w:line="360"/>
              <w:jc w:val="both"/>
            </w:pPr>
            <w:r>
              <w:rPr>
                <w:rFonts w:ascii="Calibri" w:cs="Calibri" w:eastAsia="Calibri" w:hAnsi="Calibri"/>
                <w:color w:val="0F172A"/>
                <w:sz w:val="21"/>
                <w:szCs w:val="21"/>
              </w:rPr>
              <w:t xml:space="preserve">Every quantitative claim in this document is reproducible from the repository. Test counts come from running the suites, not from memory; file paths, table names and column names are quoted from the source. Section 1.4 lists the exact commands a marker can run to check them.</w:t>
            </w:r>
          </w:p>
        </w:tc>
      </w:tr>
    </w:tbl>
    <w:p>
      <w:pPr>
        <w:keepNext w:val="false"/>
        <w:spacing w:after="120" w:before="0" w:line="360"/>
        <w:jc w:val="both"/>
      </w:pPr>
      <w:r>
        <w:rPr>
          <w:rFonts w:ascii="Calibri" w:cs="Calibri" w:eastAsia="Calibri" w:hAnsi="Calibri"/>
          <w:b w:val="false"/>
          <w:bCs w:val="false"/>
          <w:i w:val="false"/>
          <w:iCs w:val="false"/>
          <w:color w:val="0F172A"/>
          <w:sz w:val="22"/>
          <w:szCs w:val="22"/>
        </w:rPr>
        <w:t xml:space="preserve"/>
      </w:r>
    </w:p>
    <w:tbl>
      <w:tblPr>
        <w:tblW w:type="dxa" w:w="8312"/>
        <w:tblBorders>
          <w:top w:val="none"/>
          <w:left w:val="none"/>
          <w:bottom w:val="none"/>
          <w:right w:val="none"/>
          <w:insideH w:val="none"/>
          <w:insideV w:val="none"/>
        </w:tblBorders>
      </w:tblPr>
      <w:tblGrid>
        <w:gridCol w:w="3600"/>
        <w:gridCol w:w="4712"/>
      </w:tblGrid>
      <w:tr>
        <w:tc>
          <w:tcPr>
            <w:tcW w:type="dxa" w:w="3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Full name</w:t>
            </w:r>
          </w:p>
        </w:tc>
        <w:tc>
          <w:tcPr>
            <w:tcW w:type="dxa" w:w="4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Dennis Mmachoene Ramara</w:t>
            </w:r>
          </w:p>
        </w:tc>
      </w:tr>
      <w:tr>
        <w:tc>
          <w:tcPr>
            <w:tcW w:type="dxa" w:w="3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Student number</w:t>
            </w:r>
          </w:p>
        </w:tc>
        <w:tc>
          <w:tcPr>
            <w:tcW w:type="dxa" w:w="4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[STUDENT NUMBER]</w:t>
            </w:r>
          </w:p>
        </w:tc>
      </w:tr>
      <w:tr>
        <w:tc>
          <w:tcPr>
            <w:tcW w:type="dxa" w:w="3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Signature</w:t>
            </w:r>
          </w:p>
        </w:tc>
        <w:tc>
          <w:tcPr>
            <w:tcW w:type="dxa" w:w="4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__________________________________</w:t>
            </w:r>
          </w:p>
        </w:tc>
      </w:tr>
      <w:tr>
        <w:tc>
          <w:tcPr>
            <w:tcW w:type="dxa" w:w="3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Date</w:t>
            </w:r>
          </w:p>
        </w:tc>
        <w:tc>
          <w:tcPr>
            <w:tcW w:type="dxa" w:w="4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__________________________________</w:t>
            </w:r>
          </w:p>
        </w:tc>
      </w:tr>
    </w:tbl>
    <w:p>
      <w:pPr>
        <w:keepNext w:val="false"/>
        <w:spacing w:after="80" w:before="0" w:line="360"/>
        <w:jc w:val="both"/>
      </w:pPr>
      <w:r>
        <w:rPr>
          <w:rFonts w:ascii="Calibri" w:cs="Calibri" w:eastAsia="Calibri" w:hAnsi="Calibri"/>
          <w:b w:val="false"/>
          <w:bCs w:val="false"/>
          <w:i w:val="false"/>
          <w:iCs w:val="false"/>
          <w:color w:val="0F172A"/>
          <w:sz w:val="22"/>
          <w:szCs w:val="22"/>
        </w:rPr>
        <w:t xml:space="preserve"/>
      </w:r>
    </w:p>
    <w:p>
      <w:pPr>
        <w:keepNext w:val="false"/>
        <w:spacing w:after="120" w:before="0" w:line="360"/>
        <w:jc w:val="both"/>
      </w:pPr>
      <w:r>
        <w:rPr>
          <w:rFonts w:ascii="Calibri" w:cs="Calibri" w:eastAsia="Calibri" w:hAnsi="Calibri"/>
          <w:b w:val="false"/>
          <w:bCs w:val="false"/>
          <w:i/>
          <w:iCs/>
          <w:color w:val="475569"/>
          <w:sz w:val="19"/>
          <w:szCs w:val="19"/>
        </w:rPr>
        <w:t xml:space="preserve">The study guide requires a signed Declaration of Originality on the form supplied as Annexure A or B. If your lecturer supplies that form, attach it in front of this page; this declaration does not replace it.</w:t>
      </w:r>
    </w:p>
    <w:p>
      <w:r>
        <w:br w:type="page"/>
      </w:r>
    </w:p>
    <w:p>
      <w:pPr>
        <w:pStyle w:val="Heading1"/>
        <w:keepNext/>
        <w:spacing w:after="200" w:before="360" w:line="360"/>
      </w:pPr>
      <w:r>
        <w:rPr>
          <w:rFonts w:ascii="Calibri" w:cs="Calibri" w:eastAsia="Calibri" w:hAnsi="Calibri"/>
          <w:b/>
          <w:bCs/>
          <w:color w:val="1E40AF"/>
          <w:sz w:val="32"/>
          <w:szCs w:val="32"/>
        </w:rPr>
        <w:t xml:space="preserve">Table of contents</w:t>
      </w:r>
    </w:p>
    <w:p>
      <w:pPr>
        <w:keepNext w:val="false"/>
        <w:spacing w:after="120" w:before="0" w:line="360"/>
        <w:jc w:val="both"/>
      </w:pPr>
      <w:r>
        <w:rPr>
          <w:rFonts w:ascii="Calibri" w:cs="Calibri" w:eastAsia="Calibri" w:hAnsi="Calibri"/>
          <w:b w:val="false"/>
          <w:bCs w:val="false"/>
          <w:i/>
          <w:iCs/>
          <w:color w:val="475569"/>
          <w:sz w:val="19"/>
          <w:szCs w:val="19"/>
        </w:rPr>
        <w:t xml:space="preserve">The table below is a Word field. Open the document, click anywhere in it and press F9, or right-click and choose Update Field, to populate it with the current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200" w:before="360" w:line="360"/>
      </w:pPr>
      <w:r>
        <w:rPr>
          <w:rFonts w:ascii="Calibri" w:cs="Calibri" w:eastAsia="Calibri" w:hAnsi="Calibri"/>
          <w:b/>
          <w:bCs/>
          <w:color w:val="1E40AF"/>
          <w:sz w:val="32"/>
          <w:szCs w:val="32"/>
        </w:rPr>
        <w:t xml:space="preserve">1   Introduction</w:t>
      </w:r>
    </w:p>
    <w:p>
      <w:pPr>
        <w:pStyle w:val="Heading2"/>
        <w:keepNext/>
        <w:spacing w:after="140" w:before="280" w:line="360"/>
      </w:pPr>
      <w:r>
        <w:rPr>
          <w:rFonts w:ascii="Calibri" w:cs="Calibri" w:eastAsia="Calibri" w:hAnsi="Calibri"/>
          <w:b/>
          <w:bCs/>
          <w:color w:val="0F172A"/>
          <w:sz w:val="26"/>
          <w:szCs w:val="26"/>
        </w:rPr>
        <w:t xml:space="preserve">1.1   Purpose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This document sets out the technologies used to build Candid, why each was selected against the design specification rather than by preference, how cloud services and DevOps practices are applied, and how the system achieves multi-platform functionality and interoperability. It addresses Learning Outcome D.1 in full and supports Outcome A.1.</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It is written as a set of decisions with reasons and consequences, because a list of technologies with no justification demonstrates nothing. Where a technology was rejected, the rejection is recorded with it, since a decision is only visible against the alternative that was not taken.</w:t>
      </w:r>
    </w:p>
    <w:p>
      <w:pPr>
        <w:pStyle w:val="Heading2"/>
        <w:keepNext/>
        <w:spacing w:after="140" w:before="280" w:line="360"/>
      </w:pPr>
      <w:r>
        <w:rPr>
          <w:rFonts w:ascii="Calibri" w:cs="Calibri" w:eastAsia="Calibri" w:hAnsi="Calibri"/>
          <w:b/>
          <w:bCs/>
          <w:color w:val="0F172A"/>
          <w:sz w:val="26"/>
          <w:szCs w:val="26"/>
        </w:rPr>
        <w:t xml:space="preserve">1.2   The specification the technology has to satisfy</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Every selection below was assessed against the same five constraints, which come from the system specification rather than from taste. They are repeated here because they are the criteria used throughout section 3.</w:t>
      </w:r>
    </w:p>
    <w:p>
      <w:pPr>
        <w:pStyle w:val="ListParagraph"/>
        <w:numPr>
          <w:ilvl w:val="0"/>
          <w:numId w:val="2"/>
        </w:numPr>
        <w:spacing w:after="80" w:line="360"/>
        <w:jc w:val="left"/>
      </w:pPr>
      <w:r>
        <w:rPr>
          <w:rFonts w:ascii="Calibri" w:cs="Calibri" w:eastAsia="Calibri" w:hAnsi="Calibri"/>
          <w:b/>
          <w:bCs/>
          <w:color w:val="0F172A"/>
          <w:sz w:val="22"/>
          <w:szCs w:val="22"/>
        </w:rPr>
        <w:t xml:space="preserve">The two guarantees must be testable in isolation. </w:t>
      </w:r>
      <w:r>
        <w:rPr>
          <w:rFonts w:ascii="Calibri" w:cs="Calibri" w:eastAsia="Calibri" w:hAnsi="Calibri"/>
          <w:color w:val="0F172A"/>
          <w:sz w:val="22"/>
          <w:szCs w:val="22"/>
        </w:rPr>
        <w:t xml:space="preserve">Any technology that makes it impossible to test the anti-fabrication rule without a network or an API key is disqualified.</w:t>
      </w:r>
    </w:p>
    <w:p>
      <w:pPr>
        <w:pStyle w:val="ListParagraph"/>
        <w:numPr>
          <w:ilvl w:val="0"/>
          <w:numId w:val="2"/>
        </w:numPr>
        <w:spacing w:after="80" w:line="360"/>
        <w:jc w:val="left"/>
      </w:pPr>
      <w:r>
        <w:rPr>
          <w:rFonts w:ascii="Calibri" w:cs="Calibri" w:eastAsia="Calibri" w:hAnsi="Calibri"/>
          <w:b/>
          <w:bCs/>
          <w:color w:val="0F172A"/>
          <w:sz w:val="22"/>
          <w:szCs w:val="22"/>
        </w:rPr>
        <w:t xml:space="preserve">Personal information must not leave the server unnecessarily. </w:t>
      </w:r>
      <w:r>
        <w:rPr>
          <w:rFonts w:ascii="Calibri" w:cs="Calibri" w:eastAsia="Calibri" w:hAnsi="Calibri"/>
          <w:color w:val="0F172A"/>
          <w:sz w:val="22"/>
          <w:szCs w:val="22"/>
        </w:rPr>
        <w:t xml:space="preserve">This rules out client-side processing of CV content and any third-party script with access to page data.</w:t>
      </w:r>
    </w:p>
    <w:p>
      <w:pPr>
        <w:pStyle w:val="ListParagraph"/>
        <w:numPr>
          <w:ilvl w:val="0"/>
          <w:numId w:val="2"/>
        </w:numPr>
        <w:spacing w:after="80" w:line="360"/>
        <w:jc w:val="left"/>
      </w:pPr>
      <w:r>
        <w:rPr>
          <w:rFonts w:ascii="Calibri" w:cs="Calibri" w:eastAsia="Calibri" w:hAnsi="Calibri"/>
          <w:b/>
          <w:bCs/>
          <w:color w:val="0F172A"/>
          <w:sz w:val="22"/>
          <w:szCs w:val="22"/>
        </w:rPr>
        <w:t xml:space="preserve">The AI provider must be replaceable. </w:t>
      </w:r>
      <w:r>
        <w:rPr>
          <w:rFonts w:ascii="Calibri" w:cs="Calibri" w:eastAsia="Calibri" w:hAnsi="Calibri"/>
          <w:color w:val="0F172A"/>
          <w:sz w:val="22"/>
          <w:szCs w:val="22"/>
        </w:rPr>
        <w:t xml:space="preserve">A technology that couples business rules to one vendor’s SDK is disqualified.</w:t>
      </w:r>
    </w:p>
    <w:p>
      <w:pPr>
        <w:pStyle w:val="ListParagraph"/>
        <w:numPr>
          <w:ilvl w:val="0"/>
          <w:numId w:val="2"/>
        </w:numPr>
        <w:spacing w:after="80" w:line="360"/>
        <w:jc w:val="left"/>
      </w:pPr>
      <w:r>
        <w:rPr>
          <w:rFonts w:ascii="Calibri" w:cs="Calibri" w:eastAsia="Calibri" w:hAnsi="Calibri"/>
          <w:b/>
          <w:bCs/>
          <w:color w:val="0F172A"/>
          <w:sz w:val="22"/>
          <w:szCs w:val="22"/>
        </w:rPr>
        <w:t xml:space="preserve">The build must succeed without production credentials. </w:t>
      </w:r>
      <w:r>
        <w:rPr>
          <w:rFonts w:ascii="Calibri" w:cs="Calibri" w:eastAsia="Calibri" w:hAnsi="Calibri"/>
          <w:color w:val="0F172A"/>
          <w:sz w:val="22"/>
          <w:szCs w:val="22"/>
        </w:rPr>
        <w:t xml:space="preserve">The repository is public and continuous integration must not require secrets to verify the code.</w:t>
      </w:r>
    </w:p>
    <w:p>
      <w:pPr>
        <w:pStyle w:val="ListParagraph"/>
        <w:numPr>
          <w:ilvl w:val="0"/>
          <w:numId w:val="2"/>
        </w:numPr>
        <w:spacing w:after="80" w:line="360"/>
        <w:jc w:val="left"/>
      </w:pPr>
      <w:r>
        <w:rPr>
          <w:rFonts w:ascii="Calibri" w:cs="Calibri" w:eastAsia="Calibri" w:hAnsi="Calibri"/>
          <w:b/>
          <w:bCs/>
          <w:color w:val="0F172A"/>
          <w:sz w:val="22"/>
          <w:szCs w:val="22"/>
        </w:rPr>
        <w:t xml:space="preserve">Running cost must approach zero at low volume. </w:t>
      </w:r>
      <w:r>
        <w:rPr>
          <w:rFonts w:ascii="Calibri" w:cs="Calibri" w:eastAsia="Calibri" w:hAnsi="Calibri"/>
          <w:color w:val="0F172A"/>
          <w:sz w:val="22"/>
          <w:szCs w:val="22"/>
        </w:rPr>
        <w:t xml:space="preserve">The system has no revenue and is built by one student.</w:t>
      </w:r>
    </w:p>
    <w:p>
      <w:r>
        <w:br w:type="page"/>
      </w:r>
    </w:p>
    <w:p>
      <w:pPr>
        <w:pStyle w:val="Heading1"/>
        <w:keepNext/>
        <w:spacing w:after="200" w:before="360" w:line="360"/>
      </w:pPr>
      <w:r>
        <w:rPr>
          <w:rFonts w:ascii="Calibri" w:cs="Calibri" w:eastAsia="Calibri" w:hAnsi="Calibri"/>
          <w:b/>
          <w:bCs/>
          <w:color w:val="1E40AF"/>
          <w:sz w:val="32"/>
          <w:szCs w:val="32"/>
        </w:rPr>
        <w:t xml:space="preserve">2   Technology selection method</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Each candidate technology was assessed against the five constraints above, plus three practical questions: does it have a credible maintenance future, does it work on the platforms the target user actually has, and can a single developer operate it without a team.</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One principle governed the whole exercise and is worth stating because it produced several of the decisions that follow: prefer a technology that makes the wrong thing impossible over one that makes the right thing convenient. A type system that refuses to compile a leak is worth more than a linting rule that warns about one, and a database that refuses a query is worth more than an application that remembers to filter.</w:t>
      </w:r>
    </w:p>
    <w:p>
      <w:r>
        <w:br w:type="page"/>
      </w:r>
    </w:p>
    <w:p>
      <w:pPr>
        <w:pStyle w:val="Heading1"/>
        <w:keepNext/>
        <w:spacing w:after="200" w:before="360" w:line="360"/>
      </w:pPr>
      <w:r>
        <w:rPr>
          <w:rFonts w:ascii="Calibri" w:cs="Calibri" w:eastAsia="Calibri" w:hAnsi="Calibri"/>
          <w:b/>
          <w:bCs/>
          <w:color w:val="1E40AF"/>
          <w:sz w:val="32"/>
          <w:szCs w:val="32"/>
        </w:rPr>
        <w:t xml:space="preserve">3   The technology stack, decision by decision</w:t>
      </w:r>
    </w:p>
    <w:p>
      <w:pPr>
        <w:pStyle w:val="Heading2"/>
        <w:keepNext/>
        <w:spacing w:after="140" w:before="280" w:line="360"/>
      </w:pPr>
      <w:r>
        <w:rPr>
          <w:rFonts w:ascii="Calibri" w:cs="Calibri" w:eastAsia="Calibri" w:hAnsi="Calibri"/>
          <w:b/>
          <w:bCs/>
          <w:color w:val="0F172A"/>
          <w:sz w:val="26"/>
          <w:szCs w:val="26"/>
        </w:rPr>
        <w:t xml:space="preserve">3.1   Application framework — Next.js 15.5.22</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Next.js was selected for one property above the others: React Server Components allow CV processing to run on the server by default, with no opt-in required and no possibility of a component accidentally shipping CV content to the browser. In a client-rendered single-page application the default runs the other way, and keeping personal information off the client becomes a discipline rather than a default.</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Server Actions remove an entire category of endpoint. Upload, tailoring, consent and deletion are function calls rather than hand-written API routes, so there is no route that can be reached without its authorisation check because the check is in the function.</w:t>
      </w:r>
    </w:p>
    <w:tbl>
      <w:tblPr>
        <w:tblW w:type="dxa" w:w="8312"/>
        <w:tblBorders>
          <w:top w:val="single" w:color="B91C1C" w:sz="4"/>
          <w:left w:val="single" w:color="B91C1C" w:sz="18"/>
          <w:bottom w:val="single" w:color="B91C1C" w:sz="4"/>
          <w:right w:val="single" w:color="B91C1C" w:sz="4"/>
          <w:insideH w:val="none"/>
          <w:insideV w:val="none"/>
        </w:tblBorders>
      </w:tblPr>
      <w:tblGrid>
        <w:gridCol w:w="8312"/>
      </w:tblGrid>
      <w:tr>
        <w:tc>
          <w:tcPr>
            <w:tcW w:type="dxa" w:w="8312"/>
            <w:shd w:fill="FEE2E2" w:val="clear"/>
            <w:tcMar>
              <w:top w:type="dxa" w:w="140"/>
              <w:left w:type="dxa" w:w="180"/>
              <w:bottom w:type="dxa" w:w="140"/>
              <w:right w:type="dxa" w:w="180"/>
            </w:tcMar>
          </w:tcPr>
          <w:p>
            <w:pPr>
              <w:spacing w:after="80" w:line="360"/>
            </w:pPr>
            <w:r>
              <w:rPr>
                <w:rFonts w:ascii="Calibri" w:cs="Calibri" w:eastAsia="Calibri" w:hAnsi="Calibri"/>
                <w:b/>
                <w:bCs/>
                <w:color w:val="B91C1C"/>
                <w:sz w:val="21"/>
                <w:szCs w:val="21"/>
              </w:rPr>
              <w:t xml:space="preserve">A version detail that would have broken the system silently</w:t>
            </w:r>
          </w:p>
          <w:p>
            <w:pPr>
              <w:spacing w:after="60" w:line="360"/>
              <w:jc w:val="both"/>
            </w:pPr>
            <w:r>
              <w:rPr>
                <w:rFonts w:ascii="Calibri" w:cs="Calibri" w:eastAsia="Calibri" w:hAnsi="Calibri"/>
                <w:color w:val="0F172A"/>
                <w:sz w:val="21"/>
                <w:szCs w:val="21"/>
              </w:rPr>
              <w:t xml:space="preserve">Supabase’s current documentation shows session refresh implemented in a file named proxy.ts. That is the Next.js 16 rename. The installed version is 15.5.22, which uses middleware.ts, and this was verified by reading the constant in the installed package rather than by assuming. Following the documentation verbatim would have produced a file the framework never invokes — so sessions would silently never refresh, and the failure would appear days later as users being logged out for no apparent reason.</w:t>
            </w:r>
          </w:p>
        </w:tc>
      </w:tr>
    </w:tbl>
    <w:p>
      <w:pPr>
        <w:pStyle w:val="Heading2"/>
        <w:keepNext/>
        <w:spacing w:after="140" w:before="280" w:line="360"/>
      </w:pPr>
      <w:r>
        <w:rPr>
          <w:rFonts w:ascii="Calibri" w:cs="Calibri" w:eastAsia="Calibri" w:hAnsi="Calibri"/>
          <w:b/>
          <w:bCs/>
          <w:color w:val="0F172A"/>
          <w:sz w:val="26"/>
          <w:szCs w:val="26"/>
        </w:rPr>
        <w:t xml:space="preserve">3.2   Language — TypeScript 5.9.3</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TypeScript earns its place here in a way it does not on every project. The AIProvider port has no field for a name, an e-mail address or a telephone number, which means that leaking identity to the model is a compilation error. The DocumentBlock union has no table or image variant, which means an applicant-tracking-hostile construct cannot be expressed. Both guarantees are partly carried by the type system, so a dynamically typed language would have moved them into runtime checks that a future contributor could omit.</w:t>
      </w:r>
    </w:p>
    <w:p>
      <w:pPr>
        <w:pStyle w:val="Heading2"/>
        <w:keepNext/>
        <w:spacing w:after="140" w:before="280" w:line="360"/>
      </w:pPr>
      <w:r>
        <w:rPr>
          <w:rFonts w:ascii="Calibri" w:cs="Calibri" w:eastAsia="Calibri" w:hAnsi="Calibri"/>
          <w:b/>
          <w:bCs/>
          <w:color w:val="0F172A"/>
          <w:sz w:val="26"/>
          <w:szCs w:val="26"/>
        </w:rPr>
        <w:t xml:space="preserve">3.3   Authentication and database — Supabase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Supabase provides managed PostgreSQL, authentication and Row-Level Security as one service. Row-Level Security is the decisive feature: it moves authorisation from application code, where a missed filter is a data breach, into the database, where the policy applies to every query including ones nobody anticipated.</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One choice inside Supabase deserves recording because the platform is mid-migration. Candid uses the publishable and secret key model rather than the older anonymous and service-role keys, which are deprecated. The publishable key is used by both the browser client and the server client so that every query runs under the caller’s session; the secret key bypasses Row-Level Security entirely and is read in exactly one file.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Authentication is Google OAuth only. Apple sign-in was evaluated and rejected: it would add a second identity provider, a second entry in the consent disclosure and a second failure mode, for no benefit to a South African job seeker who almost certainly already holds a Google account.</w:t>
      </w:r>
    </w:p>
    <w:p>
      <w:pPr>
        <w:pStyle w:val="Heading2"/>
        <w:keepNext/>
        <w:spacing w:after="140" w:before="280" w:line="360"/>
      </w:pPr>
      <w:r>
        <w:rPr>
          <w:rFonts w:ascii="Calibri" w:cs="Calibri" w:eastAsia="Calibri" w:hAnsi="Calibri"/>
          <w:b/>
          <w:bCs/>
          <w:color w:val="0F172A"/>
          <w:sz w:val="26"/>
          <w:szCs w:val="26"/>
        </w:rPr>
        <w:t xml:space="preserve">3.4   Artificial intelligence — Anthropic Claude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model is reached through the AIProvider port and pinned to a dated snapshot rather than a moving alias. That pinning is a correctness decision rather than a stability preference: an alias means the model can change underneath a build that has already passed its tests, and the thing being tested here is honesty.</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Structured outputs are used, so the reply is constrained to a schema at the boundary and a malformed response is rejected before it reaches the domain. The advertisement is delimited and the model instructed to treat it as reference data — and the design assumes that instruction will eventually fail, which is why the reply is judged against the user’s own inventory regardless.</w:t>
      </w:r>
    </w:p>
    <w:p>
      <w:pPr>
        <w:pStyle w:val="Heading2"/>
        <w:keepNext/>
        <w:spacing w:after="140" w:before="280" w:line="360"/>
      </w:pPr>
      <w:r>
        <w:rPr>
          <w:rFonts w:ascii="Calibri" w:cs="Calibri" w:eastAsia="Calibri" w:hAnsi="Calibri"/>
          <w:b/>
          <w:bCs/>
          <w:color w:val="0F172A"/>
          <w:sz w:val="26"/>
          <w:szCs w:val="26"/>
        </w:rPr>
        <w:t xml:space="preserve">3.5   Validation — Zod 4.4.3</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Zod validates at three boundaries: the environment at startup, the model’s reply before it enters the domain, and JSON columns read back from the database. That last one is easy to overlook. A JSON column is typed as “some JSON” by the database and as “whatever you assert” by TypeScript, so reading one without validating it is an unchecked cast wearing a type annotation. Introducing typed schemas is what surfaced every such cast in the codebase and replaced it with a checked read.</w:t>
      </w:r>
    </w:p>
    <w:p>
      <w:pPr>
        <w:pStyle w:val="Heading2"/>
        <w:keepNext/>
        <w:spacing w:after="140" w:before="280" w:line="360"/>
      </w:pPr>
      <w:r>
        <w:rPr>
          <w:rFonts w:ascii="Calibri" w:cs="Calibri" w:eastAsia="Calibri" w:hAnsi="Calibri"/>
          <w:b/>
          <w:bCs/>
          <w:color w:val="0F172A"/>
          <w:sz w:val="26"/>
          <w:szCs w:val="26"/>
        </w:rPr>
        <w:t xml:space="preserve">3.6   Document generation — pdf-lib and docx</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Both libraries were chosen for what they refuse to do as much as for what they do. Neither requires a headless browser, which keeps the serverless function small and fast. Both produce real text rather than an image, which is what an applicant tracking system needs.</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document model sits above both, and the exporters consume that model rather than composing documents directly. This is why the ATS constraints hold: the renderers have no path to a table or an image because the model they read has no way to describe one.</w:t>
      </w:r>
    </w:p>
    <w:p>
      <w:pPr>
        <w:pStyle w:val="Heading2"/>
        <w:keepNext/>
        <w:spacing w:after="140" w:before="280" w:line="360"/>
      </w:pPr>
      <w:r>
        <w:rPr>
          <w:rFonts w:ascii="Calibri" w:cs="Calibri" w:eastAsia="Calibri" w:hAnsi="Calibri"/>
          <w:b/>
          <w:bCs/>
          <w:color w:val="0F172A"/>
          <w:sz w:val="26"/>
          <w:szCs w:val="26"/>
        </w:rPr>
        <w:t xml:space="preserve">3.7   Parsing — unpdf and mammoth</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Two libraries are needed because PDF and DOCX are unrelated formats. unpdf is a serverless-oriented build of the PDF.js extraction pipeline; mammoth converts Word documents to text without attempting to preserve layout, which is exactly right when the goal is content.</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Both are third-party code processing an attacker-controlled binary, which is a category with a long history of going wrong. The input is therefore bounded before either library sees it: a 5 MB size cap, a 30-page cap and a 200 000-character extraction cap, with the format determined from magic bytes rather than from anything the browser claimed.</w:t>
      </w:r>
    </w:p>
    <w:p>
      <w:pPr>
        <w:pStyle w:val="Heading2"/>
        <w:keepNext/>
        <w:spacing w:after="140" w:before="280" w:line="360"/>
      </w:pPr>
      <w:r>
        <w:rPr>
          <w:rFonts w:ascii="Calibri" w:cs="Calibri" w:eastAsia="Calibri" w:hAnsi="Calibri"/>
          <w:b/>
          <w:bCs/>
          <w:color w:val="0F172A"/>
          <w:sz w:val="26"/>
          <w:szCs w:val="26"/>
        </w:rPr>
        <w:t xml:space="preserve">3.8   Styling — Tailwind CSS 4 and shadcn/ui</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Tailwind produces styling with no runtime, which matters under a strict Content Security Policy: a CSS-in-JS library that injects style tags at runtime would have made the policy harder rather than easier. shadcn/ui supplies components as source in the repository rather than as an opaque dependency, which is what made it possible to fix the heading-semantics defect described in Assignment 3 — the component was ours to correct.</w:t>
      </w:r>
    </w:p>
    <w:p>
      <w:pPr>
        <w:pStyle w:val="Heading2"/>
        <w:keepNext/>
        <w:spacing w:after="140" w:before="280" w:line="360"/>
      </w:pPr>
      <w:r>
        <w:rPr>
          <w:rFonts w:ascii="Calibri" w:cs="Calibri" w:eastAsia="Calibri" w:hAnsi="Calibri"/>
          <w:b/>
          <w:bCs/>
          <w:color w:val="0F172A"/>
          <w:sz w:val="26"/>
          <w:szCs w:val="26"/>
        </w:rPr>
        <w:t xml:space="preserve">3.9   Testing — Vitest and Playwright</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Vitest runs the 125 unit and integration tests. The domain layer has no vendor dependencies, so those tests need no mocking framework, no database and no network — they construct a fake provider and a hand-built inventory and assert on verdicts.</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Playwright drives a real browser for the 55 end-to-end tests. A real browser is not optional for this system: the Content Security Policy, the nonce reaching the inline theme script, heading semantics and horizontal overflow are all properties that only exist once a page is rendered.</w:t>
      </w:r>
    </w:p>
    <w:p>
      <w:pPr>
        <w:pStyle w:val="Heading2"/>
        <w:keepNext/>
        <w:spacing w:after="140" w:before="280" w:line="360"/>
      </w:pPr>
      <w:r>
        <w:rPr>
          <w:rFonts w:ascii="Calibri" w:cs="Calibri" w:eastAsia="Calibri" w:hAnsi="Calibri"/>
          <w:b/>
          <w:bCs/>
          <w:color w:val="0F172A"/>
          <w:sz w:val="26"/>
          <w:szCs w:val="26"/>
        </w:rPr>
        <w:t xml:space="preserve">3.10   Alternatives considered and rejected</w:t>
      </w:r>
    </w:p>
    <w:p>
      <w:pPr>
        <w:keepNext/>
        <w:spacing w:after="100" w:before="200"/>
        <w:jc w:val="left"/>
      </w:pPr>
      <w:r>
        <w:rPr>
          <w:rFonts w:ascii="Calibri" w:cs="Calibri" w:eastAsia="Calibri" w:hAnsi="Calibri"/>
          <w:b/>
          <w:bCs/>
          <w:color w:val="475569"/>
          <w:sz w:val="19"/>
          <w:szCs w:val="19"/>
        </w:rPr>
        <w:t xml:space="preserve">Table 1: </w:t>
      </w:r>
      <w:r>
        <w:rPr>
          <w:rFonts w:ascii="Calibri" w:cs="Calibri" w:eastAsia="Calibri" w:hAnsi="Calibri"/>
          <w:i/>
          <w:iCs/>
          <w:color w:val="475569"/>
          <w:sz w:val="19"/>
          <w:szCs w:val="19"/>
        </w:rPr>
        <w:t xml:space="preserve">Technologies evaluated and not selected, with the constraint that ruled each out</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2000"/>
        <w:gridCol w:w="2400"/>
        <w:gridCol w:w="3912"/>
      </w:tblGrid>
      <w:tr>
        <w:trPr>
          <w:tblHeader/>
        </w:trPr>
        <w:tc>
          <w:tcPr>
            <w:tcW w:type="dxa" w:w="20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Candidate</w:t>
            </w:r>
          </w:p>
        </w:tc>
        <w:tc>
          <w:tcPr>
            <w:tcW w:type="dxa" w:w="24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Considered for</w:t>
            </w:r>
          </w:p>
        </w:tc>
        <w:tc>
          <w:tcPr>
            <w:tcW w:type="dxa" w:w="39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Why it was rejected</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Create React App / Vite SPA</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Front end</w:t>
            </w:r>
          </w:p>
        </w:tc>
        <w:tc>
          <w:tcPr>
            <w:tcW w:type="dxa" w:w="3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Client-side rendering by default means CV content reaches the browser unless prevented. The wrong default for this system.</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Express and a hand-rolled API</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Back end</w:t>
            </w:r>
          </w:p>
        </w:tc>
        <w:tc>
          <w:tcPr>
            <w:tcW w:type="dxa" w:w="3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Every endpoint would need its own authorisation check, and a missed one is a breach. Server Actions make the check part of the function.</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Firebase</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Database and auth</w:t>
            </w:r>
          </w:p>
        </w:tc>
        <w:tc>
          <w:tcPr>
            <w:tcW w:type="dxa" w:w="3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Security rules are less expressive than Row-Level Security for row ownership, and the data model is a poor fit for relational cascade deletion, which POPIA erasure depends on.</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MongoDB</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Database</w:t>
            </w:r>
          </w:p>
        </w:tc>
        <w:tc>
          <w:tcPr>
            <w:tcW w:type="dxa" w:w="3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No equivalent of Row-Level Security. Authorisation would return to application code, which is precisely what the design avoids.</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Redis for rate limiting</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Abuse control</w:t>
            </w:r>
          </w:p>
        </w:tc>
        <w:tc>
          <w:tcPr>
            <w:tcW w:type="dxa" w:w="3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second stateful service to operate and pay for, when a PostgreSQL table with a SECURITY DEFINER function does the same job inside a database that is already there.</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Puppeteer for PDF generation</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Export</w:t>
            </w:r>
          </w:p>
        </w:tc>
        <w:tc>
          <w:tcPr>
            <w:tcW w:type="dxa" w:w="3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Requires a headless Chromium in a serverless function — slow, large, and prone to producing a PDF that is an image rather than text.</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Jest</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Unit testing</w:t>
            </w:r>
          </w:p>
        </w:tc>
        <w:tc>
          <w:tcPr>
            <w:tcW w:type="dxa" w:w="3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Vitest starts faster and reads the same TypeScript configuration as the build, so tests and build cannot diverge in their module resolution.</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Apple sign-in</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Authentication</w:t>
            </w:r>
          </w:p>
        </w:tc>
        <w:tc>
          <w:tcPr>
            <w:tcW w:type="dxa" w:w="3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second identity provider, a second consent disclosure and a second failure mode, for no benefit to the target user.</w:t>
            </w:r>
          </w:p>
        </w:tc>
      </w:tr>
    </w:tbl>
    <w:p>
      <w:r>
        <w:br w:type="page"/>
      </w:r>
    </w:p>
    <w:p>
      <w:pPr>
        <w:pStyle w:val="Heading1"/>
        <w:keepNext/>
        <w:spacing w:after="200" w:before="360" w:line="360"/>
      </w:pPr>
      <w:r>
        <w:rPr>
          <w:rFonts w:ascii="Calibri" w:cs="Calibri" w:eastAsia="Calibri" w:hAnsi="Calibri"/>
          <w:b/>
          <w:bCs/>
          <w:color w:val="1E40AF"/>
          <w:sz w:val="32"/>
          <w:szCs w:val="32"/>
        </w:rPr>
        <w:t xml:space="preserve">4   Cloud services</w:t>
      </w:r>
    </w:p>
    <w:p>
      <w:pPr>
        <w:pStyle w:val="Heading2"/>
        <w:keepNext/>
        <w:spacing w:after="140" w:before="280" w:line="360"/>
      </w:pPr>
      <w:r>
        <w:rPr>
          <w:rFonts w:ascii="Calibri" w:cs="Calibri" w:eastAsia="Calibri" w:hAnsi="Calibri"/>
          <w:b/>
          <w:bCs/>
          <w:color w:val="0F172A"/>
          <w:sz w:val="26"/>
          <w:szCs w:val="26"/>
        </w:rPr>
        <w:t xml:space="preserve">4.1   Serverless rather than a virtual machine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application runs as serverless functions. The decision follows from the workload: usage is bursty and low, a request is short-lived, and there is no background process. A virtual machine would be idle almost all of the time and would still have to be patched, monitored and paid for.</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constraint this imposes is worth stating, because it shapes the code. There is no long-lived process, so nothing may be cached in module scope across requests, and any state that must survive a request lives in PostgreSQL. The rate limiter is the clearest consequence: it is a database function rather than an in-memory counter, because an in-memory counter in a serverless runtime counts nothing.</w:t>
      </w:r>
    </w:p>
    <w:p>
      <w:pPr>
        <w:pStyle w:val="Heading2"/>
        <w:keepNext/>
        <w:spacing w:after="140" w:before="280" w:line="360"/>
      </w:pPr>
      <w:r>
        <w:rPr>
          <w:rFonts w:ascii="Calibri" w:cs="Calibri" w:eastAsia="Calibri" w:hAnsi="Calibri"/>
          <w:b/>
          <w:bCs/>
          <w:color w:val="0F172A"/>
          <w:sz w:val="26"/>
          <w:szCs w:val="26"/>
        </w:rPr>
        <w:t xml:space="preserve">4.2   Managed database rather than self-hosted</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Supabase operates PostgreSQL, its backups and its extensions. For a single developer this is not a convenience but a security decision: a self-managed database is a database whose patches depend on one person remembering.</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region is the European Union, chosen for adequacy of protection under cross-border transfer rules, and that jurisdiction is named in the consent record the user accepts.</w:t>
      </w:r>
    </w:p>
    <w:p>
      <w:pPr>
        <w:pStyle w:val="Heading2"/>
        <w:keepNext/>
        <w:spacing w:after="140" w:before="280" w:line="360"/>
      </w:pPr>
      <w:r>
        <w:rPr>
          <w:rFonts w:ascii="Calibri" w:cs="Calibri" w:eastAsia="Calibri" w:hAnsi="Calibri"/>
          <w:b/>
          <w:bCs/>
          <w:color w:val="0F172A"/>
          <w:sz w:val="26"/>
          <w:szCs w:val="26"/>
        </w:rPr>
        <w:t xml:space="preserve">4.3   Scheduled work in the database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retention purge runs as a pg_cron job inside PostgreSQL rather than as an external scheduled task. It is a database concern operating only on database rows, so putting it anywhere else would mean an additional service, an additional credential and an additional thing to monitor, in exchange for nothing.</w:t>
      </w:r>
    </w:p>
    <w:p>
      <w:pPr>
        <w:pStyle w:val="Heading2"/>
        <w:keepNext/>
        <w:spacing w:after="140" w:before="280" w:line="360"/>
      </w:pPr>
      <w:r>
        <w:rPr>
          <w:rFonts w:ascii="Calibri" w:cs="Calibri" w:eastAsia="Calibri" w:hAnsi="Calibri"/>
          <w:b/>
          <w:bCs/>
          <w:color w:val="0F172A"/>
          <w:sz w:val="26"/>
          <w:szCs w:val="26"/>
        </w:rPr>
        <w:t xml:space="preserve">4.4   Edge delivery</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Static assets are served from Vercel’s edge network while compute stays in a single region beside the database. Distributing compute would increase latency rather than reduce it, because the dominant cost in a request is the round trip to PostgreSQL, not the round trip to the user.</w:t>
      </w:r>
    </w:p>
    <w:p>
      <w:pPr>
        <w:pStyle w:val="Heading2"/>
        <w:keepNext/>
        <w:spacing w:after="140" w:before="280" w:line="360"/>
      </w:pPr>
      <w:r>
        <w:rPr>
          <w:rFonts w:ascii="Calibri" w:cs="Calibri" w:eastAsia="Calibri" w:hAnsi="Calibri"/>
          <w:b/>
          <w:bCs/>
          <w:color w:val="0F172A"/>
          <w:sz w:val="26"/>
          <w:szCs w:val="26"/>
        </w:rPr>
        <w:t xml:space="preserve">4.5   Cost model</w:t>
      </w:r>
    </w:p>
    <w:p>
      <w:pPr>
        <w:keepNext/>
        <w:spacing w:after="100" w:before="200"/>
        <w:jc w:val="left"/>
      </w:pPr>
      <w:r>
        <w:rPr>
          <w:rFonts w:ascii="Calibri" w:cs="Calibri" w:eastAsia="Calibri" w:hAnsi="Calibri"/>
          <w:b/>
          <w:bCs/>
          <w:color w:val="475569"/>
          <w:sz w:val="19"/>
          <w:szCs w:val="19"/>
        </w:rPr>
        <w:t xml:space="preserve">Table 2: </w:t>
      </w:r>
      <w:r>
        <w:rPr>
          <w:rFonts w:ascii="Calibri" w:cs="Calibri" w:eastAsia="Calibri" w:hAnsi="Calibri"/>
          <w:i/>
          <w:iCs/>
          <w:color w:val="475569"/>
          <w:sz w:val="19"/>
          <w:szCs w:val="19"/>
        </w:rPr>
        <w:t xml:space="preserve">Cloud services and their cost behaviour</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1800"/>
        <w:gridCol w:w="2200"/>
        <w:gridCol w:w="4312"/>
      </w:tblGrid>
      <w:tr>
        <w:trPr>
          <w:tblHeader/>
        </w:trPr>
        <w:tc>
          <w:tcPr>
            <w:tcW w:type="dxa" w:w="18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Service</w:t>
            </w:r>
          </w:p>
        </w:tc>
        <w:tc>
          <w:tcPr>
            <w:tcW w:type="dxa" w:w="22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Tier</w:t>
            </w:r>
          </w:p>
        </w:tc>
        <w:tc>
          <w:tcPr>
            <w:tcW w:type="dxa" w:w="43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Cost behaviour</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Vercel</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Hobby</w:t>
            </w:r>
          </w:p>
        </w:tc>
        <w:tc>
          <w:tcPr>
            <w:tcW w:type="dxa" w:w="4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Free at this volume. Cost would begin with sustained function execution time.</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Supabase</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Free</w:t>
            </w:r>
          </w:p>
        </w:tc>
        <w:tc>
          <w:tcPr>
            <w:tcW w:type="dxa" w:w="4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Free to 500 MB of database storage. A de-identified CV is text, so storage is not the constraint.</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Anthropic</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Pay per token</w:t>
            </w:r>
          </w:p>
        </w:tc>
        <w:tc>
          <w:tcPr>
            <w:tcW w:type="dxa" w:w="4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only per-use cost in the system, and therefore the only one that needs a limiter.</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Google OAuth</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Free</w:t>
            </w:r>
          </w:p>
        </w:tc>
        <w:tc>
          <w:tcPr>
            <w:tcW w:type="dxa" w:w="4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No cost at any volume Candid will see.</w:t>
            </w:r>
          </w:p>
        </w:tc>
      </w:tr>
      <w:tr>
        <w:trPr>
          <w:tblHeader w:val="false"/>
        </w:trPr>
        <w:tc>
          <w:tcPr>
            <w:tcW w:type="dxa" w:w="18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GitHub Actions</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Free for public repositories</w:t>
            </w:r>
          </w:p>
        </w:tc>
        <w:tc>
          <w:tcPr>
            <w:tcW w:type="dxa" w:w="4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repository is public, so continuous integration minutes are free — which is a real reason the repository stayed public.</w:t>
            </w:r>
          </w:p>
        </w:tc>
      </w:tr>
    </w:tbl>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rate limit of ten tailorings per user per hour is therefore doing two jobs: it is an abuse control and it is the mechanism that bounds the only variable cost in the system. It fails closed, so an outage denies requests rather than uncapping them, which is the correct direction when the alternative is an unbounded bill.</w:t>
      </w:r>
    </w:p>
    <w:p>
      <w:r>
        <w:br w:type="page"/>
      </w:r>
    </w:p>
    <w:p>
      <w:pPr>
        <w:pStyle w:val="Heading1"/>
        <w:keepNext/>
        <w:spacing w:after="200" w:before="360" w:line="360"/>
      </w:pPr>
      <w:r>
        <w:rPr>
          <w:rFonts w:ascii="Calibri" w:cs="Calibri" w:eastAsia="Calibri" w:hAnsi="Calibri"/>
          <w:b/>
          <w:bCs/>
          <w:color w:val="1E40AF"/>
          <w:sz w:val="32"/>
          <w:szCs w:val="32"/>
        </w:rPr>
        <w:t xml:space="preserve">5   DevOps</w:t>
      </w:r>
    </w:p>
    <w:p>
      <w:pPr>
        <w:pStyle w:val="Heading2"/>
        <w:keepNext/>
        <w:spacing w:after="140" w:before="280" w:line="360"/>
      </w:pPr>
      <w:r>
        <w:rPr>
          <w:rFonts w:ascii="Calibri" w:cs="Calibri" w:eastAsia="Calibri" w:hAnsi="Calibri"/>
          <w:b/>
          <w:bCs/>
          <w:color w:val="0F172A"/>
          <w:sz w:val="26"/>
          <w:szCs w:val="26"/>
        </w:rPr>
        <w:t xml:space="preserve">5.1   What DevOps means, and what it does not</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DevOps is often reduced to a toolchain. Its actual claim is organisational: that development and operations share responsibility for a system in production, and that the way this is made practical is by shortening the feedback loop between writing a change and learning whether it works (Kim et al., 2016). Continuous delivery is the engineering practice that follows — keeping software in a releasable state at all times so that release becomes a routine decision rather than an event (Humble and Farley, 2010).</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For a single-developer project the organisational half is trivially satisfied and the engineering half is entirely the point. There is nobody to hand a mistake to. Every control described below exists to catch a mistake before it reaches a user, because the alternative is that the mistake reaches a user.</w:t>
      </w:r>
    </w:p>
    <w:p>
      <w:pPr>
        <w:pStyle w:val="Heading2"/>
        <w:keepNext/>
        <w:spacing w:after="140" w:before="280" w:line="360"/>
      </w:pPr>
      <w:r>
        <w:rPr>
          <w:rFonts w:ascii="Calibri" w:cs="Calibri" w:eastAsia="Calibri" w:hAnsi="Calibri"/>
          <w:b/>
          <w:bCs/>
          <w:color w:val="0F172A"/>
          <w:sz w:val="26"/>
          <w:szCs w:val="26"/>
        </w:rPr>
        <w:t xml:space="preserve">5.2   The pipeline</w:t>
      </w:r>
    </w:p>
    <w:p>
      <w:pPr>
        <w:keepNext/>
        <w:spacing w:after="80" w:before="200"/>
        <w:jc w:val="center"/>
      </w:pPr>
      <w:r>
        <w:drawing>
          <wp:inline distT="0" distB="0" distL="0" distR="0">
            <wp:extent cx="52768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76850" cy="3619500"/>
                    </a:xfrm>
                    <a:prstGeom prst="rect">
                      <a:avLst/>
                    </a:prstGeom>
                  </pic:spPr>
                </pic:pic>
              </a:graphicData>
            </a:graphic>
          </wp:inline>
        </w:drawing>
      </w:r>
    </w:p>
    <w:p>
      <w:pPr>
        <w:spacing w:after="240"/>
        <w:jc w:val="center"/>
      </w:pPr>
      <w:r>
        <w:rPr>
          <w:rFonts w:ascii="Calibri" w:cs="Calibri" w:eastAsia="Calibri" w:hAnsi="Calibri"/>
          <w:b/>
          <w:bCs/>
          <w:color w:val="475569"/>
          <w:sz w:val="19"/>
          <w:szCs w:val="19"/>
        </w:rPr>
        <w:t xml:space="preserve">Figure 1: </w:t>
      </w:r>
      <w:r>
        <w:rPr>
          <w:rFonts w:ascii="Calibri" w:cs="Calibri" w:eastAsia="Calibri" w:hAnsi="Calibri"/>
          <w:i/>
          <w:iCs/>
          <w:color w:val="475569"/>
          <w:sz w:val="19"/>
          <w:szCs w:val="19"/>
        </w:rPr>
        <w:t xml:space="preserve">The path from a keystroke to production. Four independent gates, each of which can stop a change.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four gates are deliberately independent and deliberately of different speeds. The hook takes three seconds on the developer’s machine; continuous integration takes about ninety on a clean one. That difference is the design: the fast gate catches the ordinary mistake immediately, and the slow gate catches the mistake that only appears on a machine that is not the developer’s.</w:t>
      </w:r>
    </w:p>
    <w:p>
      <w:pPr>
        <w:pStyle w:val="Heading2"/>
        <w:keepNext/>
        <w:spacing w:after="140" w:before="280" w:line="360"/>
      </w:pPr>
      <w:r>
        <w:rPr>
          <w:rFonts w:ascii="Calibri" w:cs="Calibri" w:eastAsia="Calibri" w:hAnsi="Calibri"/>
          <w:b/>
          <w:bCs/>
          <w:color w:val="0F172A"/>
          <w:sz w:val="26"/>
          <w:szCs w:val="26"/>
        </w:rPr>
        <w:t xml:space="preserve">5.3   Version control practice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Work proceeds on branches and reaches the main branch by pull request. This is not a collaboration ritual — with one developer there is nobody to review — but the mechanism by which the required status check becomes compulsory. A direct push cannot be gated on a check that has not run.</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pre-push hook runs the type checker, the linter and the full unit suite before a push leaves the machine. It deliberately omits the production build and the end-to-end suite: together they take minutes, and a hook slow enough to be resented is a hook that gets disabled. Continuous integration runs both.</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hook is explicitly not branch protection and does not pretend to be. It can be skipped with a flag, so it stops accidents rather than decisions. The server-side ruleset is what actually blocks a merge, and the two together are belt and braces.</w:t>
      </w:r>
    </w:p>
    <w:tbl>
      <w:tblPr>
        <w:tblW w:type="dxa" w:w="8312"/>
        <w:tblBorders>
          <w:top w:val="single" w:color="1E40AF" w:sz="4"/>
          <w:left w:val="single" w:color="1E40AF" w:sz="18"/>
          <w:bottom w:val="single" w:color="1E40AF" w:sz="4"/>
          <w:right w:val="single" w:color="1E40AF" w:sz="4"/>
          <w:insideH w:val="none"/>
          <w:insideV w:val="none"/>
        </w:tblBorders>
      </w:tblPr>
      <w:tblGrid>
        <w:gridCol w:w="8312"/>
      </w:tblGrid>
      <w:tr>
        <w:tc>
          <w:tcPr>
            <w:tcW w:type="dxa" w:w="8312"/>
            <w:shd w:fill="DBEAFE" w:val="clear"/>
            <w:tcMar>
              <w:top w:type="dxa" w:w="140"/>
              <w:left w:type="dxa" w:w="180"/>
              <w:bottom w:type="dxa" w:w="140"/>
              <w:right w:type="dxa" w:w="180"/>
            </w:tcMar>
          </w:tcPr>
          <w:p>
            <w:pPr>
              <w:spacing w:after="80" w:line="360"/>
            </w:pPr>
            <w:r>
              <w:rPr>
                <w:rFonts w:ascii="Calibri" w:cs="Calibri" w:eastAsia="Calibri" w:hAnsi="Calibri"/>
                <w:b/>
                <w:bCs/>
                <w:color w:val="1E40AF"/>
                <w:sz w:val="21"/>
                <w:szCs w:val="21"/>
              </w:rPr>
              <w:t xml:space="preserve">The ruleset, tested by accident</w:t>
            </w:r>
          </w:p>
          <w:p>
            <w:pPr>
              <w:spacing w:after="60" w:line="360"/>
              <w:jc w:val="both"/>
            </w:pPr>
            <w:r>
              <w:rPr>
                <w:rFonts w:ascii="Calibri" w:cs="Calibri" w:eastAsia="Calibri" w:hAnsi="Calibri"/>
                <w:color w:val="0F172A"/>
                <w:sz w:val="21"/>
                <w:szCs w:val="21"/>
              </w:rPr>
              <w:t xml:space="preserve">The branch ruleset was verified the first time it was exercised in anger. Four commits were pushed directly to the main branch and GitHub refused them, citing both rules: changes must be made through a pull request, and the required status check was expected. The commits were moved to a branch and went through a pull request, which is exactly what the control exists to force. A control that has never refused anything has not been tested.</w:t>
            </w:r>
          </w:p>
        </w:tc>
      </w:tr>
    </w:tbl>
    <w:p>
      <w:pPr>
        <w:pStyle w:val="Heading2"/>
        <w:keepNext/>
        <w:spacing w:after="140" w:before="280" w:line="360"/>
      </w:pPr>
      <w:r>
        <w:rPr>
          <w:rFonts w:ascii="Calibri" w:cs="Calibri" w:eastAsia="Calibri" w:hAnsi="Calibri"/>
          <w:b/>
          <w:bCs/>
          <w:color w:val="0F172A"/>
          <w:sz w:val="26"/>
          <w:szCs w:val="26"/>
        </w:rPr>
        <w:t xml:space="preserve">5.4   Continuous integration</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verification job runs on a clean Ubuntu runner with Node 22 and installs strictly from the lockfile, so a dependency that resolves differently on the developer’s machine is caught rather than shipped. It then type-checks, lints, runs the 125 unit tests and produces a production build.</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environment variables in that job are deliberately fake. The production build evaluates the environment schema, so the values must be present and well-formed, but continuous integration touches no real database — and a workflow that needed production credentials in order to type-check would be a workflow that leaks them eventually.</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end-to-end job runs only on the main branch and only when the repository has the relevant secrets. Every variable falls back to a placeholder, for a reason learned the hard way and described in section 5.8.</w:t>
      </w:r>
    </w:p>
    <w:p>
      <w:pPr>
        <w:pStyle w:val="Heading2"/>
        <w:keepNext/>
        <w:spacing w:after="140" w:before="280" w:line="360"/>
      </w:pPr>
      <w:r>
        <w:rPr>
          <w:rFonts w:ascii="Calibri" w:cs="Calibri" w:eastAsia="Calibri" w:hAnsi="Calibri"/>
          <w:b/>
          <w:bCs/>
          <w:color w:val="0F172A"/>
          <w:sz w:val="26"/>
          <w:szCs w:val="26"/>
        </w:rPr>
        <w:t xml:space="preserve">5.5   Continuous deployment</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A merge to the main branch triggers a Vercel build and deployment. Preview deployments are built for pull requests, and the secret key and the AI key are scoped to production only: preview deployments receive public URLs and have no business holding a credential that bypasses Row-Level Security or spends money.</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One deployment characteristic is worth documenting because it is a common source of confusion. Variables prefixed for public exposure are inlined at build time, not read at runtime, so changing one has no effect until the next build. A deployment that appears to ignore a corrected configuration value is almost always this.</w:t>
      </w:r>
    </w:p>
    <w:p>
      <w:pPr>
        <w:pStyle w:val="Heading2"/>
        <w:keepNext/>
        <w:spacing w:after="140" w:before="280" w:line="360"/>
      </w:pPr>
      <w:r>
        <w:rPr>
          <w:rFonts w:ascii="Calibri" w:cs="Calibri" w:eastAsia="Calibri" w:hAnsi="Calibri"/>
          <w:b/>
          <w:bCs/>
          <w:color w:val="0F172A"/>
          <w:sz w:val="26"/>
          <w:szCs w:val="26"/>
        </w:rPr>
        <w:t xml:space="preserve">5.6   Environments and secret management</w:t>
      </w:r>
    </w:p>
    <w:p>
      <w:pPr>
        <w:keepNext/>
        <w:spacing w:after="100" w:before="200"/>
        <w:jc w:val="left"/>
      </w:pPr>
      <w:r>
        <w:rPr>
          <w:rFonts w:ascii="Calibri" w:cs="Calibri" w:eastAsia="Calibri" w:hAnsi="Calibri"/>
          <w:b/>
          <w:bCs/>
          <w:color w:val="475569"/>
          <w:sz w:val="19"/>
          <w:szCs w:val="19"/>
        </w:rPr>
        <w:t xml:space="preserve">Table 3: </w:t>
      </w:r>
      <w:r>
        <w:rPr>
          <w:rFonts w:ascii="Calibri" w:cs="Calibri" w:eastAsia="Calibri" w:hAnsi="Calibri"/>
          <w:i/>
          <w:iCs/>
          <w:color w:val="475569"/>
          <w:sz w:val="19"/>
          <w:szCs w:val="19"/>
        </w:rPr>
        <w:t xml:space="preserve">Environments and their credential posture</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1500"/>
        <w:gridCol w:w="2400"/>
        <w:gridCol w:w="4412"/>
      </w:tblGrid>
      <w:tr>
        <w:trPr>
          <w:tblHeader/>
        </w:trPr>
        <w:tc>
          <w:tcPr>
            <w:tcW w:type="dxa" w:w="15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Environment</w:t>
            </w:r>
          </w:p>
        </w:tc>
        <w:tc>
          <w:tcPr>
            <w:tcW w:type="dxa" w:w="24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Configuration source</w:t>
            </w:r>
          </w:p>
        </w:tc>
        <w:tc>
          <w:tcPr>
            <w:tcW w:type="dxa" w:w="44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Credential posture</w:t>
            </w:r>
          </w:p>
        </w:tc>
      </w:tr>
      <w:tr>
        <w:trPr>
          <w:tblHeader w:val="false"/>
        </w:trPr>
        <w:tc>
          <w:tcPr>
            <w:tcW w:type="dxa" w:w="1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Local development</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.env.local, never committed</w:t>
            </w:r>
          </w:p>
        </w:tc>
        <w:tc>
          <w:tcPr>
            <w:tcW w:type="dxa" w:w="4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Real development credentials. The file has never been tracked in the repository’s history.</w:t>
            </w:r>
          </w:p>
        </w:tc>
      </w:tr>
      <w:tr>
        <w:trPr>
          <w:tblHeader w:val="false"/>
        </w:trPr>
        <w:tc>
          <w:tcPr>
            <w:tcW w:type="dxa" w:w="1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Continuous integration — verify</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Workflow-level placeholders</w:t>
            </w:r>
          </w:p>
        </w:tc>
        <w:tc>
          <w:tcPr>
            <w:tcW w:type="dxa" w:w="4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No real credentials at all. Deliberately fake and well-formed.</w:t>
            </w:r>
          </w:p>
        </w:tc>
      </w:tr>
      <w:tr>
        <w:trPr>
          <w:tblHeader w:val="false"/>
        </w:trPr>
        <w:tc>
          <w:tcPr>
            <w:tcW w:type="dxa" w:w="1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Continuous integration — end-to-end</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Repository secrets with placeholder fallbacks</w:t>
            </w:r>
          </w:p>
        </w:tc>
        <w:tc>
          <w:tcPr>
            <w:tcW w:type="dxa" w:w="4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Should point at a separate Supabase project. The AI key is deliberately absent so that pushes do not spend money.</w:t>
            </w:r>
          </w:p>
        </w:tc>
      </w:tr>
      <w:tr>
        <w:trPr>
          <w:tblHeader w:val="false"/>
        </w:trPr>
        <w:tc>
          <w:tcPr>
            <w:tcW w:type="dxa" w:w="1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Vercel preview</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Preview-scoped variables</w:t>
            </w:r>
          </w:p>
        </w:tc>
        <w:tc>
          <w:tcPr>
            <w:tcW w:type="dxa" w:w="4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No secret key and no AI key.</w:t>
            </w:r>
          </w:p>
        </w:tc>
      </w:tr>
      <w:tr>
        <w:trPr>
          <w:tblHeader w:val="false"/>
        </w:trPr>
        <w:tc>
          <w:tcPr>
            <w:tcW w:type="dxa" w:w="1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Vercel production</w:t>
            </w:r>
          </w:p>
        </w:tc>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Production-scoped variables</w:t>
            </w:r>
          </w:p>
        </w:tc>
        <w:tc>
          <w:tcPr>
            <w:tcW w:type="dxa" w:w="4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Full credential set.</w:t>
            </w:r>
          </w:p>
        </w:tc>
      </w:tr>
    </w:tbl>
    <w:p>
      <w:pPr>
        <w:keepNext w:val="false"/>
        <w:spacing w:after="120" w:before="0" w:line="360"/>
        <w:jc w:val="both"/>
      </w:pPr>
      <w:r>
        <w:rPr>
          <w:rFonts w:ascii="Calibri" w:cs="Calibri" w:eastAsia="Calibri" w:hAnsi="Calibri"/>
          <w:b w:val="false"/>
          <w:bCs w:val="false"/>
          <w:i w:val="false"/>
          <w:iCs w:val="false"/>
          <w:color w:val="0F172A"/>
          <w:sz w:val="22"/>
          <w:szCs w:val="22"/>
        </w:rPr>
        <w:t xml:space="preserve">An incident during development is recorded here because it produced the practice. A live secret key was briefly pasted into a tracked example file. It was removed immediately, and the repository history confirmed it had never been committed — but all three keys were rotated regardless, because the correct test is whether the value left the machine, not whether it reached the remote. The rotation order mattered: the encryption key was rotated while the only identity headers in the database were test data, since rotating it after real users exist would make every stored header undecryptable.</w:t>
      </w:r>
    </w:p>
    <w:p>
      <w:pPr>
        <w:pStyle w:val="Heading2"/>
        <w:keepNext/>
        <w:spacing w:after="140" w:before="280" w:line="360"/>
      </w:pPr>
      <w:r>
        <w:rPr>
          <w:rFonts w:ascii="Calibri" w:cs="Calibri" w:eastAsia="Calibri" w:hAnsi="Calibri"/>
          <w:b/>
          <w:bCs/>
          <w:color w:val="0F172A"/>
          <w:sz w:val="26"/>
          <w:szCs w:val="26"/>
        </w:rPr>
        <w:t xml:space="preserve">5.7   Automated security scanning</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A secret scanner runs against every pull request in addition to the project’s own checks. On the most recent pull request it examined the diff and reported no secret material, which is a useful independent confirmation given the incident above.</w:t>
      </w:r>
    </w:p>
    <w:p>
      <w:pPr>
        <w:pStyle w:val="Heading2"/>
        <w:keepNext/>
        <w:spacing w:after="140" w:before="280" w:line="360"/>
      </w:pPr>
      <w:r>
        <w:rPr>
          <w:rFonts w:ascii="Calibri" w:cs="Calibri" w:eastAsia="Calibri" w:hAnsi="Calibri"/>
          <w:b/>
          <w:bCs/>
          <w:color w:val="0F172A"/>
          <w:sz w:val="26"/>
          <w:szCs w:val="26"/>
        </w:rPr>
        <w:t xml:space="preserve">5.8   What the pipeline has actually caught</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A pipeline is justified by its catches rather than by its diagram.</w:t>
      </w:r>
    </w:p>
    <w:p>
      <w:pPr>
        <w:keepNext/>
        <w:spacing w:after="100" w:before="200"/>
        <w:jc w:val="left"/>
      </w:pPr>
      <w:r>
        <w:rPr>
          <w:rFonts w:ascii="Calibri" w:cs="Calibri" w:eastAsia="Calibri" w:hAnsi="Calibri"/>
          <w:b/>
          <w:bCs/>
          <w:color w:val="475569"/>
          <w:sz w:val="19"/>
          <w:szCs w:val="19"/>
        </w:rPr>
        <w:t xml:space="preserve">Table 4: </w:t>
      </w:r>
      <w:r>
        <w:rPr>
          <w:rFonts w:ascii="Calibri" w:cs="Calibri" w:eastAsia="Calibri" w:hAnsi="Calibri"/>
          <w:i/>
          <w:iCs/>
          <w:color w:val="475569"/>
          <w:sz w:val="19"/>
          <w:szCs w:val="19"/>
        </w:rPr>
        <w:t xml:space="preserve">Defects caught by each gate</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2000"/>
        <w:gridCol w:w="6312"/>
      </w:tblGrid>
      <w:tr>
        <w:trPr>
          <w:tblHeader/>
        </w:trPr>
        <w:tc>
          <w:tcPr>
            <w:tcW w:type="dxa" w:w="20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Gate</w:t>
            </w:r>
          </w:p>
        </w:tc>
        <w:tc>
          <w:tcPr>
            <w:tcW w:type="dxa" w:w="63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What it caught</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Pre-push hook</w:t>
            </w:r>
          </w:p>
        </w:tc>
        <w:tc>
          <w:tcPr>
            <w:tcW w:type="dxa" w:w="6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Type errors and lint violations before they reached the remote, repeatedly. Unremarkable individually, which is the point.</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Branch ruleset</w:t>
            </w:r>
          </w:p>
        </w:tc>
        <w:tc>
          <w:tcPr>
            <w:tcW w:type="dxa" w:w="6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direct push of four commits to the main branch, forcing them through a pull request.</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Continuous integration</w:t>
            </w:r>
          </w:p>
        </w:tc>
        <w:tc>
          <w:tcPr>
            <w:tcW w:type="dxa" w:w="6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most serious defect found in the project. With no Supabase credentials configured, the URL was an empty string, the Supabase client threw when constructed inside middleware, and every page returned 500 — including the landing page, which needs no authentication at all. Middleware runs on every request, so an unreachable authentication service took the entire site down.</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End-to-end suite</w:t>
            </w:r>
          </w:p>
        </w:tc>
        <w:tc>
          <w:tcPr>
            <w:tcW w:type="dxa" w:w="6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heading-semantics defect that made the integrity report unnavigable by screen reader, and a silent skip caused by Playwright not loading the environment file — seven authenticated tests were passing by not running.</w:t>
            </w:r>
          </w:p>
        </w:tc>
      </w:tr>
    </w:tbl>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middleware defect deserves the emphasis. It was not a continuous integration quirk to be worked around; it was a real availability bug that no local run would have surfaced, because locally the credentials were always present. The fix makes the authentication check fail closed in the correct direction: public pages render as a visitor would see them, protected pages redirect to sign-in. An outage now locks people out rather than letting them through.</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silent skip deserves it too, for a different reason. Seven tests reported success while never executing, which is the worst failure mode a suite can have — it manufactures confidence. The runner now loads the environment file explicitly and warns loudly when a variable is missing.</w:t>
      </w:r>
    </w:p>
    <w:p>
      <w:r>
        <w:br w:type="page"/>
      </w:r>
    </w:p>
    <w:p>
      <w:pPr>
        <w:pStyle w:val="Heading1"/>
        <w:keepNext/>
        <w:spacing w:after="200" w:before="360" w:line="360"/>
      </w:pPr>
      <w:r>
        <w:rPr>
          <w:rFonts w:ascii="Calibri" w:cs="Calibri" w:eastAsia="Calibri" w:hAnsi="Calibri"/>
          <w:b/>
          <w:bCs/>
          <w:color w:val="1E40AF"/>
          <w:sz w:val="32"/>
          <w:szCs w:val="32"/>
        </w:rPr>
        <w:t xml:space="preserve">6   Best practices applied</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Five practices recur throughout the build. Each is stated with the concrete decision it produced, because a best practice with no artefact attached is a slogan.</w:t>
      </w:r>
    </w:p>
    <w:p>
      <w:pPr>
        <w:pStyle w:val="Heading2"/>
        <w:keepNext/>
        <w:spacing w:after="140" w:before="280" w:line="360"/>
      </w:pPr>
      <w:r>
        <w:rPr>
          <w:rFonts w:ascii="Calibri" w:cs="Calibri" w:eastAsia="Calibri" w:hAnsi="Calibri"/>
          <w:b/>
          <w:bCs/>
          <w:color w:val="0F172A"/>
          <w:sz w:val="26"/>
          <w:szCs w:val="26"/>
        </w:rPr>
        <w:t xml:space="preserve">6.1   Prefer structural enforcement over procedural discipline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Wherever a rule could be made impossible to break rather than merely documented, it was. The document model has no table variant, so an ATS-hostile export cannot be produced. The provider port has no identity field, so a leak will not compile. The use case is the only route to the model, so the ordering cannot be got wrong. The linter fails the build on a domain dependency violation, so purity does not depend on a reviewer being awake.</w:t>
      </w:r>
    </w:p>
    <w:p>
      <w:pPr>
        <w:pStyle w:val="Heading2"/>
        <w:keepNext/>
        <w:spacing w:after="140" w:before="280" w:line="360"/>
      </w:pPr>
      <w:r>
        <w:rPr>
          <w:rFonts w:ascii="Calibri" w:cs="Calibri" w:eastAsia="Calibri" w:hAnsi="Calibri"/>
          <w:b/>
          <w:bCs/>
          <w:color w:val="0F172A"/>
          <w:sz w:val="26"/>
          <w:szCs w:val="26"/>
        </w:rPr>
        <w:t xml:space="preserve">6.2   Fail closed</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Every control in the system denies when it cannot decide. The rate limiter denies when the check errors. The validation chain blocks when no specification understands a claim. Approvals read as empty when the stored value is malformed, which means nothing is approved rather than everything. The authentication check treats an unreachable service as “not signed in”.</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consistent direction matters more than any individual choice: a user occasionally seeing “try again in a minute” during an outage is a far better failure than an uncapped bill or an unauthorised read.</w:t>
      </w:r>
    </w:p>
    <w:p>
      <w:pPr>
        <w:pStyle w:val="Heading2"/>
        <w:keepNext/>
        <w:spacing w:after="140" w:before="280" w:line="360"/>
      </w:pPr>
      <w:r>
        <w:rPr>
          <w:rFonts w:ascii="Calibri" w:cs="Calibri" w:eastAsia="Calibri" w:hAnsi="Calibri"/>
          <w:b/>
          <w:bCs/>
          <w:color w:val="0F172A"/>
          <w:sz w:val="26"/>
          <w:szCs w:val="26"/>
        </w:rPr>
        <w:t xml:space="preserve">6.3   Pin dependencies exactly</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Every dependency is pinned to an exact version with no range prefix, and continuous integration installs strictly from the lockfile. The AI model is pinned to a dated snapshot for the same reason. In a system whose product is honesty, a dependency that changes underneath a passing test is not an inconvenience but a correctness problem.</w:t>
      </w:r>
    </w:p>
    <w:p>
      <w:pPr>
        <w:pStyle w:val="Heading2"/>
        <w:keepNext/>
        <w:spacing w:after="140" w:before="280" w:line="360"/>
      </w:pPr>
      <w:r>
        <w:rPr>
          <w:rFonts w:ascii="Calibri" w:cs="Calibri" w:eastAsia="Calibri" w:hAnsi="Calibri"/>
          <w:b/>
          <w:bCs/>
          <w:color w:val="0F172A"/>
          <w:sz w:val="26"/>
          <w:szCs w:val="26"/>
        </w:rPr>
        <w:t xml:space="preserve">6.4   Document the reason, not the mechanism</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Comments in this codebase record why a decision was made and what would break if it were reversed, rather than restating what the code does. The migration says in capitals that no identity-number column exists and that a future migration adding one is wrong whatever reason is given. The rate-limiting table records that its absence of policies is intentional and must not be corrected. These are the comments that survive a refactor, because they carry information the code cannot.</w:t>
      </w:r>
    </w:p>
    <w:p>
      <w:pPr>
        <w:pStyle w:val="Heading2"/>
        <w:keepNext/>
        <w:spacing w:after="140" w:before="280" w:line="360"/>
      </w:pPr>
      <w:r>
        <w:rPr>
          <w:rFonts w:ascii="Calibri" w:cs="Calibri" w:eastAsia="Calibri" w:hAnsi="Calibri"/>
          <w:b/>
          <w:bCs/>
          <w:color w:val="0F172A"/>
          <w:sz w:val="26"/>
          <w:szCs w:val="26"/>
        </w:rPr>
        <w:t xml:space="preserve">6.5   Make the work auditable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repository is public, the continuous integration logs are public, and the documentation records what is unproven as carefully as what is proven. An independent audit of this project raised two findings that turned out to be wrong, verified them against the code and corrected itself — and the narrower statement it arrived at, that employer detection is heuristic rather than absent, is the one carried forward into these documents. An audit that revises itself under evidence is worth more than one that is always right.</w:t>
      </w:r>
    </w:p>
    <w:p>
      <w:r>
        <w:br w:type="page"/>
      </w:r>
    </w:p>
    <w:p>
      <w:pPr>
        <w:pStyle w:val="Heading1"/>
        <w:keepNext/>
        <w:spacing w:after="200" w:before="360" w:line="360"/>
      </w:pPr>
      <w:r>
        <w:rPr>
          <w:rFonts w:ascii="Calibri" w:cs="Calibri" w:eastAsia="Calibri" w:hAnsi="Calibri"/>
          <w:b/>
          <w:bCs/>
          <w:color w:val="1E40AF"/>
          <w:sz w:val="32"/>
          <w:szCs w:val="32"/>
        </w:rPr>
        <w:t xml:space="preserve">7   Multi-platform functionality and interoperability</w:t>
      </w:r>
    </w:p>
    <w:p>
      <w:pPr>
        <w:pStyle w:val="Heading2"/>
        <w:keepNext/>
        <w:spacing w:after="140" w:before="280" w:line="360"/>
      </w:pPr>
      <w:r>
        <w:rPr>
          <w:rFonts w:ascii="Calibri" w:cs="Calibri" w:eastAsia="Calibri" w:hAnsi="Calibri"/>
          <w:b/>
          <w:bCs/>
          <w:color w:val="0F172A"/>
          <w:sz w:val="26"/>
          <w:szCs w:val="26"/>
        </w:rPr>
        <w:t xml:space="preserve">7.1   One responsive application rather than several builds</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Candid is a single responsive web application. For the target user this is the right answer rather than a compromise: a South African job seeker is likely to be on a mid-range Android phone, may be on a shared or borrowed computer, and is unlikely to install an application in order to write a CV. A web application requires no installation, no store account and no storage.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responsive suite asserts zero horizontal overflow at seven widths from 320 px to 2 560 px on every public page, together with touch target sizing on a phone and content width on an ultrawide. The 320 px floor is deliberate: it is the width of the smallest screen still in common use here, and a tool built for job seekers that assumes a large screen excludes precisely the people who most need it.</w:t>
      </w:r>
    </w:p>
    <w:p>
      <w:pPr>
        <w:pStyle w:val="Heading2"/>
        <w:keepNext/>
        <w:spacing w:after="140" w:before="280" w:line="360"/>
      </w:pPr>
      <w:r>
        <w:rPr>
          <w:rFonts w:ascii="Calibri" w:cs="Calibri" w:eastAsia="Calibri" w:hAnsi="Calibri"/>
          <w:b/>
          <w:bCs/>
          <w:color w:val="0F172A"/>
          <w:sz w:val="26"/>
          <w:szCs w:val="26"/>
        </w:rPr>
        <w:t xml:space="preserve">7.2   Progressive web application</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A web application manifest declares the application name, theme colour and icon set, so the product can be installed to a device home screen and launched in a standalone window. The icon set includes a separate maskable variant, because Android crops a maskable icon to the launcher’s shape and the rounded tile would otherwise lose its corners.</w:t>
      </w:r>
    </w:p>
    <w:p>
      <w:pPr>
        <w:pStyle w:val="Heading2"/>
        <w:keepNext/>
        <w:spacing w:after="140" w:before="280" w:line="360"/>
      </w:pPr>
      <w:r>
        <w:rPr>
          <w:rFonts w:ascii="Calibri" w:cs="Calibri" w:eastAsia="Calibri" w:hAnsi="Calibri"/>
          <w:b/>
          <w:bCs/>
          <w:color w:val="0F172A"/>
          <w:sz w:val="26"/>
          <w:szCs w:val="26"/>
        </w:rPr>
        <w:t xml:space="preserve">7.3   Interoperability with applicant tracking systems</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This is the interoperability requirement that actually determines whether the product works, because a CV an applicant tracking system cannot parse is frequently never read by a person.</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Interoperability is achieved structurally rather than by guideline. The document model has two block kinds — paragraph and bullet list — and no way to describe a table, an image, a column, a header or a footer. Section headings are drawn from a fixed set of conventional names that parsers recognise; creative alternatives are the single most common reason a well-written CV parses into empty fields. Fonts are restricted to the standard PDF base set so that text stays real and selectable rather than being converted to outlines.</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These properties are asserted rather than assumed. The round-trip suite renders each document, parses the result with the same libraries used for upload, and checks that the text survives and that no prohibited construct is present — across all three templates.</w:t>
      </w:r>
    </w:p>
    <w:p>
      <w:pPr>
        <w:pStyle w:val="Heading2"/>
        <w:keepNext/>
        <w:spacing w:after="140" w:before="280" w:line="360"/>
      </w:pPr>
      <w:r>
        <w:rPr>
          <w:rFonts w:ascii="Calibri" w:cs="Calibri" w:eastAsia="Calibri" w:hAnsi="Calibri"/>
          <w:b/>
          <w:bCs/>
          <w:color w:val="0F172A"/>
          <w:sz w:val="26"/>
          <w:szCs w:val="26"/>
        </w:rPr>
        <w:t xml:space="preserve">7.4   Open formats and the absence of lock-in</w:t>
      </w:r>
    </w:p>
    <w:p>
      <w:pPr>
        <w:keepNext/>
        <w:spacing w:after="100" w:before="200"/>
        <w:jc w:val="left"/>
      </w:pPr>
      <w:r>
        <w:rPr>
          <w:rFonts w:ascii="Calibri" w:cs="Calibri" w:eastAsia="Calibri" w:hAnsi="Calibri"/>
          <w:b/>
          <w:bCs/>
          <w:color w:val="475569"/>
          <w:sz w:val="19"/>
          <w:szCs w:val="19"/>
        </w:rPr>
        <w:t xml:space="preserve">Table 5: </w:t>
      </w:r>
      <w:r>
        <w:rPr>
          <w:rFonts w:ascii="Calibri" w:cs="Calibri" w:eastAsia="Calibri" w:hAnsi="Calibri"/>
          <w:i/>
          <w:iCs/>
          <w:color w:val="475569"/>
          <w:sz w:val="19"/>
          <w:szCs w:val="19"/>
        </w:rPr>
        <w:t xml:space="preserve">Interoperability at each boundary</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2000"/>
        <w:gridCol w:w="2200"/>
        <w:gridCol w:w="4112"/>
      </w:tblGrid>
      <w:tr>
        <w:trPr>
          <w:tblHeader/>
        </w:trPr>
        <w:tc>
          <w:tcPr>
            <w:tcW w:type="dxa" w:w="20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Boundary</w:t>
            </w:r>
          </w:p>
        </w:tc>
        <w:tc>
          <w:tcPr>
            <w:tcW w:type="dxa" w:w="22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Mechanism</w:t>
            </w:r>
          </w:p>
        </w:tc>
        <w:tc>
          <w:tcPr>
            <w:tcW w:type="dxa" w:w="41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Consequence</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CV import</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PDF and DOCX, both open published formats</w:t>
            </w:r>
          </w:p>
        </w:tc>
        <w:tc>
          <w:tcPr>
            <w:tcW w:type="dxa" w:w="41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user is not required to hold their CV in a proprietary tool.</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CV export</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PDF and DOCX, ATS-parseable by construction</w:t>
            </w:r>
          </w:p>
        </w:tc>
        <w:tc>
          <w:tcPr>
            <w:tcW w:type="dxa" w:w="41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output is usable by any employer’s system and editable by the user afterwards.</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Authentication</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OAuth 2.0 and OpenID Connect</w:t>
            </w:r>
          </w:p>
        </w:tc>
        <w:tc>
          <w:tcPr>
            <w:tcW w:type="dxa" w:w="41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standard protocol; a second provider could be added without changing the model.</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Database</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Standard PostgreSQL with no proprietary extension in the schema</w:t>
            </w:r>
          </w:p>
        </w:tc>
        <w:tc>
          <w:tcPr>
            <w:tcW w:type="dxa" w:w="41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schema is portable to any PostgreSQL instance.</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AI provider</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port the domain owns</w:t>
            </w:r>
          </w:p>
        </w:tc>
        <w:tc>
          <w:tcPr>
            <w:tcW w:type="dxa" w:w="41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Replacing the provider means implementing one interface and changes no business rule.</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Hosting</w:t>
            </w:r>
          </w:p>
        </w:tc>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standard Next.js application</w:t>
            </w:r>
          </w:p>
        </w:tc>
        <w:tc>
          <w:tcPr>
            <w:tcW w:type="dxa" w:w="41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Deployable to any platform that runs Node.js; nothing in the code depends on Vercel specifically.</w:t>
            </w:r>
          </w:p>
        </w:tc>
      </w:tr>
    </w:tbl>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portability claim in the last two rows is a design consequence rather than an aspiration. Because the domain layer imports no vendor SDK, the parts of this system that encode its actual value — the two guarantees — have no vendor dependency to be locked into.</w:t>
      </w:r>
    </w:p>
    <w:p>
      <w:r>
        <w:br w:type="page"/>
      </w:r>
    </w:p>
    <w:p>
      <w:pPr>
        <w:pStyle w:val="Heading1"/>
        <w:keepNext/>
        <w:spacing w:after="200" w:before="360" w:line="360"/>
      </w:pPr>
      <w:r>
        <w:rPr>
          <w:rFonts w:ascii="Calibri" w:cs="Calibri" w:eastAsia="Calibri" w:hAnsi="Calibri"/>
          <w:b/>
          <w:bCs/>
          <w:color w:val="1E40AF"/>
          <w:sz w:val="32"/>
          <w:szCs w:val="32"/>
        </w:rPr>
        <w:t xml:space="preserve">8   Assessment of newer developments and trends</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Outcome A.1 asks for evolving trends to be surveyed and assessed against a set of design specifications rather than described in the abstract. Each trend below is assessed against the five constraints in section 1.2.</w:t>
      </w:r>
    </w:p>
    <w:p>
      <w:pPr>
        <w:keepNext/>
        <w:spacing w:after="100" w:before="200"/>
        <w:jc w:val="left"/>
      </w:pPr>
      <w:r>
        <w:rPr>
          <w:rFonts w:ascii="Calibri" w:cs="Calibri" w:eastAsia="Calibri" w:hAnsi="Calibri"/>
          <w:b/>
          <w:bCs/>
          <w:color w:val="475569"/>
          <w:sz w:val="19"/>
          <w:szCs w:val="19"/>
        </w:rPr>
        <w:t xml:space="preserve">Table 6: </w:t>
      </w:r>
      <w:r>
        <w:rPr>
          <w:rFonts w:ascii="Calibri" w:cs="Calibri" w:eastAsia="Calibri" w:hAnsi="Calibri"/>
          <w:i/>
          <w:iCs/>
          <w:color w:val="475569"/>
          <w:sz w:val="19"/>
          <w:szCs w:val="19"/>
        </w:rPr>
        <w:t xml:space="preserve">Current trends assessed against this system’s design specification</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2000"/>
        <w:gridCol w:w="2900"/>
        <w:gridCol w:w="3412"/>
      </w:tblGrid>
      <w:tr>
        <w:trPr>
          <w:tblHeader/>
        </w:trPr>
        <w:tc>
          <w:tcPr>
            <w:tcW w:type="dxa" w:w="20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Trend</w:t>
            </w:r>
          </w:p>
        </w:tc>
        <w:tc>
          <w:tcPr>
            <w:tcW w:type="dxa" w:w="29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Assessment</w:t>
            </w:r>
          </w:p>
        </w:tc>
        <w:tc>
          <w:tcPr>
            <w:tcW w:type="dxa" w:w="34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Decision</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Server-side rendering returning to prominence</w:t>
            </w:r>
          </w:p>
        </w:tc>
        <w:tc>
          <w:tcPr>
            <w:tcW w:type="dxa" w:w="2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Directly serves the requirement that personal information stay on the server. Server Components make that the default rather than a discipline.</w:t>
            </w:r>
          </w:p>
        </w:tc>
        <w:tc>
          <w:tcPr>
            <w:tcW w:type="dxa" w:w="3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Adopted.</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Structured output from language models</w:t>
            </w:r>
          </w:p>
        </w:tc>
        <w:tc>
          <w:tcPr>
            <w:tcW w:type="dxa" w:w="2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Constrains the reply to a schema at the boundary, which removes an entire class of parsing defect and makes the boundary validation meaningful.</w:t>
            </w:r>
          </w:p>
        </w:tc>
        <w:tc>
          <w:tcPr>
            <w:tcW w:type="dxa" w:w="3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Adopted.</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Retrieval-augmented generation</w:t>
            </w:r>
          </w:p>
        </w:tc>
        <w:tc>
          <w:tcPr>
            <w:tcW w:type="dxa" w:w="2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Would let the model consult a larger corpus. Assessed and rejected: the corpus that matters is the user’s own CV, which is small and already supplied in full.</w:t>
            </w:r>
          </w:p>
        </w:tc>
        <w:tc>
          <w:tcPr>
            <w:tcW w:type="dxa" w:w="3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Rejected — no problem to solve.</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Autonomous agents</w:t>
            </w:r>
          </w:p>
        </w:tc>
        <w:tc>
          <w:tcPr>
            <w:tcW w:type="dxa" w:w="2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Fashionable and directly contrary to the specification. An agent that decides what to add to a CV is precisely the behaviour the anti-fabrication rule exists to prevent.</w:t>
            </w:r>
          </w:p>
        </w:tc>
        <w:tc>
          <w:tcPr>
            <w:tcW w:type="dxa" w:w="3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Rejected on principle.</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Edge computing for compute as well as assets</w:t>
            </w:r>
          </w:p>
        </w:tc>
        <w:tc>
          <w:tcPr>
            <w:tcW w:type="dxa" w:w="2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Assessed and rejected for compute: the dominant latency is the database round trip, so distributing compute away from the database would make requests slower.</w:t>
            </w:r>
          </w:p>
        </w:tc>
        <w:tc>
          <w:tcPr>
            <w:tcW w:type="dxa" w:w="3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Adopted for assets only.</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Row-Level Security as the primary authorisation mechanism</w:t>
            </w:r>
          </w:p>
        </w:tc>
        <w:tc>
          <w:tcPr>
            <w:tcW w:type="dxa" w:w="2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Moves authorisation into the database, where it applies to queries nobody anticipated. Directly serves the requirement that a defect in application code cannot leak data.</w:t>
            </w:r>
          </w:p>
        </w:tc>
        <w:tc>
          <w:tcPr>
            <w:tcW w:type="dxa" w:w="3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Adopted.</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Passwordless and federated authentication</w:t>
            </w:r>
          </w:p>
        </w:tc>
        <w:tc>
          <w:tcPr>
            <w:tcW w:type="dxa" w:w="2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Removes password storage and the entire class of breach that follows from it.</w:t>
            </w:r>
          </w:p>
        </w:tc>
        <w:tc>
          <w:tcPr>
            <w:tcW w:type="dxa" w:w="3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Adopted, single provider.</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On-device inference</w:t>
            </w:r>
          </w:p>
        </w:tc>
        <w:tc>
          <w:tcPr>
            <w:tcW w:type="dxa" w:w="2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Would remove the AI provider from the trust boundary entirely, which would be the strongest possible answer to the privacy requirement. Model sizes and the target device profile make it impractical today.</w:t>
            </w:r>
          </w:p>
        </w:tc>
        <w:tc>
          <w:tcPr>
            <w:tcW w:type="dxa" w:w="3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Monitored. The port would make the change containable.</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Privacy-preserving computation</w:t>
            </w:r>
          </w:p>
        </w:tc>
        <w:tc>
          <w:tcPr>
            <w:tcW w:type="dxa" w:w="2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Homomorphic techniques and confidential computing would let a provider process data it cannot read. Not yet practical for this workload at this cost.</w:t>
            </w:r>
          </w:p>
        </w:tc>
        <w:tc>
          <w:tcPr>
            <w:tcW w:type="dxa" w:w="3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Monitored.</w:t>
            </w:r>
          </w:p>
        </w:tc>
      </w:tr>
    </w:tbl>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last two rows are worth their place. Both would strengthen the central guarantee rather than merely modernising the stack, and both are impractical today. Recording them as monitored rather than omitting them is the honest position, and the port that isolates the provider is what would make either transition containable.</w:t>
      </w:r>
    </w:p>
    <w:p>
      <w:r>
        <w:br w:type="page"/>
      </w:r>
    </w:p>
    <w:p>
      <w:pPr>
        <w:pStyle w:val="Heading1"/>
        <w:keepNext/>
        <w:spacing w:after="200" w:before="360" w:line="360"/>
      </w:pPr>
      <w:r>
        <w:rPr>
          <w:rFonts w:ascii="Calibri" w:cs="Calibri" w:eastAsia="Calibri" w:hAnsi="Calibri"/>
          <w:b/>
          <w:bCs/>
          <w:color w:val="1E40AF"/>
          <w:sz w:val="32"/>
          <w:szCs w:val="32"/>
        </w:rPr>
        <w:t xml:space="preserve">9   Conclusion</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technologies in this system were selected against a specification rather than assembled from preference, and the selections that matter most are the ones where a technology was chosen because it makes a mistake impossible. TypeScript because a leak will not compile. PostgreSQL Row-Level Security because a missed filter still returns nothing. Server Components because processing stays on the server by default rather than by discipline.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DevOps practice around them is small, which is appropriate for one developer, and it is real, which is demonstrable: each of the four gates has refused something. The most serious defect in the project was found by continuous integration and not by any amount of local testing, because it only manifested on a machine without credentials — which is exactly the machine a pipeline provides.</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What remains open is recorded in Assignment 3 rather than concealed here. The most useful piece of outstanding work is to give continuous integration the credentials for a separate Supabase project so that the end-to-end suite runs on a public log, turning the one claim in this documentation that still rests on the author’s word into a link anyone can open.</w:t>
      </w:r>
    </w:p>
    <w:p>
      <w:r>
        <w:br w:type="page"/>
      </w:r>
    </w:p>
    <w:p>
      <w:pPr>
        <w:pStyle w:val="Heading1"/>
        <w:keepNext/>
        <w:spacing w:after="200" w:before="360" w:line="360"/>
      </w:pPr>
      <w:r>
        <w:rPr>
          <w:rFonts w:ascii="Calibri" w:cs="Calibri" w:eastAsia="Calibri" w:hAnsi="Calibri"/>
          <w:b/>
          <w:bCs/>
          <w:color w:val="1E40AF"/>
          <w:sz w:val="32"/>
          <w:szCs w:val="32"/>
        </w:rPr>
        <w:t xml:space="preserve">References</w:t>
      </w:r>
    </w:p>
    <w:p>
      <w:pPr>
        <w:keepNext w:val="false"/>
        <w:spacing w:after="120" w:before="0" w:line="360"/>
        <w:jc w:val="both"/>
      </w:pPr>
      <w:r>
        <w:rPr>
          <w:rFonts w:ascii="Calibri" w:cs="Calibri" w:eastAsia="Calibri" w:hAnsi="Calibri"/>
          <w:b w:val="false"/>
          <w:bCs w:val="false"/>
          <w:i/>
          <w:iCs/>
          <w:color w:val="475569"/>
          <w:sz w:val="20"/>
          <w:szCs w:val="20"/>
        </w:rPr>
        <w:t xml:space="preserve">Referenced in accordance with the Harvard method. Every electronic source carries its full uniform resource locator and the date on which it was accessed.</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Beck, K. 2003. Test-driven development: by example. Boston: Addison-Wesley.</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Cockburn, A. 2005. Hexagonal architecture. [Online]. Available at: https://alistair.cockburn.us/hexagonal-architecture/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Dworkin, M.J. 2007. Recommendation for block cipher modes of operation: Galois/Counter Mode (GCM) and GMAC. NIST Special Publication 800-38D. Gaithersburg, MD: National Institute of Standards and Technology.</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Erl, T. 2017. Service-oriented architecture: analysis and design for services and microservices. 2nd ed. Boston: Prentice Hall.</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Evans, E. 2004. Domain-driven design: tackling complexity in the heart of software. Boston: Addison-Wesley.</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Fowler, M. 2002. Patterns of enterprise application architecture. Boston: Addison-Wesley.</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Gamma, E., Helm, R., Johnson, R. &amp; Vlissides, J. 1995. Design patterns: elements of reusable object-oriented software. Reading, MA: Addison-Wesley.</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Hall, G. 2017. Adaptive code: agile coding with design patterns and SOLID principles. 2nd ed. Redmond, WA: Microsoft Press.</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Humble, J. &amp; Farley, D. 2010. Continuous delivery: reliable software releases through build, test, and deployment automation. Boston: Addison-Wesley.</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International Organization for Standardization. 2011. ISO/IEC 25010:2011 Systems and software engineering — SQuaRE — System and software quality models. Geneva: ISO.</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Kim, G., Humble, J., Debois, P. &amp; Willis, J. 2016. The DevOps handbook: how to create world-class agility, reliability, and security in technology organizations. Portland, OR: IT Revolution Press.</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Luhn, H.P. 1960. Computer for verifying numbers. United States Patent 2,950,048.</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Martin, R.C. 2017. Clean architecture: a craftsman’s guide to software structure and design. Boston: Prentice Hall.</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Nielsen, J. 1994. Enhancing the explanatory power of usability heuristics. In: Proceedings of the SIGCHI Conference on Human Factors in Computing Systems. New York: ACM, pp. 152–158.</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Object Management Group. 2017. OMG Unified Modeling Language (OMG UML), version 2.5.1. [Online]. Available at: https://www.omg.org/spec/UML/2.5.1/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OWASP Foundation. 2021. OWASP Top 10:2021. [Online]. Available at: https://owasp.org/Top10/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Republic of South Africa. 2013. Protection of Personal Information Act 4 of 2013. Pretoria: Government Printer.</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Schach, S.R. 2011. Object-oriented and classical software engineering. 8th ed. New York: McGraw-Hill.</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Sommerville, I. 2016. Software engineering. 10th ed. Boston: Pearson.</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Statistics South Africa. 2026. Quarterly Labour Force Survey, Quarter 1: 2026. Statistical Release P0211. Pretoria: Statistics South Africa. [Online]. Available at: https://www.statssa.gov.za/publications/P0211/P02111stQuarter2026.pdf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World Wide Web Consortium. 2023. Web Content Accessibility Guidelines (WCAG) 2.2. W3C Recommendation. [Online]. Available at: https://www.w3.org/TR/WCAG22/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World Wide Web Consortium. 2024. Content Security Policy Level 3. W3C Working Draft. [Online]. Available at: https://www.w3.org/TR/CSP3/ [Accessed 2 August 2026].</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
      </w:r>
    </w:p>
    <w:p>
      <w:pPr>
        <w:pStyle w:val="Heading2"/>
        <w:keepNext/>
        <w:spacing w:after="140" w:before="280" w:line="360"/>
      </w:pPr>
      <w:r>
        <w:rPr>
          <w:rFonts w:ascii="Calibri" w:cs="Calibri" w:eastAsia="Calibri" w:hAnsi="Calibri"/>
          <w:b/>
          <w:bCs/>
          <w:color w:val="0F172A"/>
          <w:sz w:val="26"/>
          <w:szCs w:val="26"/>
        </w:rPr>
        <w:t xml:space="preserve">Software documentation consulted</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Anthropic. 2026. Claude API documentation. [Online]. Available at: https://docs.claude.com/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GitHub. 2026. GitHub Actions documentation. [Online]. Available at: https://docs.github.com/actions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Microsoft. 2026. TypeScript handbook. [Online]. Available at: https://www.typescriptlang.org/docs/handbook/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PostgreSQL Global Development Group. 2026. PostgreSQL 15 documentation: row security policies. [Online]. Available at: https://www.postgresql.org/docs/15/ddl-rowsecurity.html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Supabase. 2026. Row Level Security. [Online]. Available at: https://supabase.com/docs/guides/database/postgres/row-level-security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Vercel. 2026. Next.js documentation — App Router. [Online]. Available at: https://nextjs.org/docs/app [Accessed 2 August 2026].</w:t>
      </w:r>
    </w:p>
    <w:sectPr>
      <w:headerReference w:type="default" r:id="rId7"/>
      <w:headerReference w:type="first" r:id="rId8"/>
      <w:footerReference w:type="default" r:id="rId9"/>
      <w:footerReference w:type="first" r:id="rId10"/>
      <w:pgSz w:w="11906" w:h="16838" w:orient="portrait"/>
      <w:pgMar w:top="1440" w:right="1797" w:bottom="1440" w:left="179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7"/>
        <w:szCs w:val="17"/>
      </w:rPr>
      <w:t xml:space="preserve">Dennis Mmachoene Ramara  ·  [STUDENT NUMBER]  ·  page </w:t>
    </w:r>
    <w:r>
      <w:rPr>
        <w:rFonts w:ascii="Calibri" w:cs="Calibri" w:eastAsia="Calibri" w:hAnsi="Calibri"/>
        <w:color w:val="475569"/>
        <w:sz w:val="17"/>
        <w:szCs w:val="17"/>
      </w:rPr>
      <w:fldChar w:fldCharType="begin"/>
      <w:instrText xml:space="preserve">PAGE</w:instrText>
      <w:fldChar w:fldCharType="separate"/>
      <w:fldChar w:fldCharType="end"/>
    </w:r>
    <w:r>
      <w:rPr>
        <w:rFonts w:ascii="Calibri" w:cs="Calibri" w:eastAsia="Calibri" w:hAnsi="Calibri"/>
        <w:color w:val="475569"/>
        <w:sz w:val="17"/>
        <w:szCs w:val="17"/>
      </w:rPr>
      <w:t xml:space="preserve"> of </w:t>
    </w:r>
    <w:r>
      <w:rPr>
        <w:rFonts w:ascii="Calibri" w:cs="Calibri" w:eastAsia="Calibri" w:hAnsi="Calibri"/>
        <w:color w:val="475569"/>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spacing w:after="0"/>
      <w:jc w:val="right"/>
    </w:pPr>
    <w:r>
      <w:rPr>
        <w:rFonts w:ascii="Calibri" w:cs="Calibri" w:eastAsia="Calibri" w:hAnsi="Calibri"/>
        <w:color w:val="475569"/>
        <w:sz w:val="17"/>
        <w:szCs w:val="17"/>
      </w:rPr>
      <w:t xml:space="preserve">ISJ107V 2026  ·  Assignment 4 — Applicable Technologies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lvl w:ilvl="1" w15:tentative="1">
      <w:start w:val="1"/>
      <w:numFmt w:val="lowerLetter"/>
      <w:lvlText w:val="%2)"/>
      <w:lvlJc w:val="left"/>
      <w:pPr>
        <w:ind w:left="9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E40AF"/>
      <w:sz w:val="32"/>
      <w:szCs w:val="32"/>
    </w:rPr>
  </w:style>
  <w:style w:type="paragraph" w:styleId="Heading2">
    <w:name w:val="Heading 2"/>
    <w:basedOn w:val="Normal"/>
    <w:next w:val="Normal"/>
    <w:qFormat/>
    <w:rPr>
      <w:rFonts w:ascii="Calibri" w:cs="Calibri" w:eastAsia="Calibri" w:hAnsi="Calibri"/>
      <w:b/>
      <w:bCs/>
      <w:color w:val="0F172A"/>
      <w:sz w:val="26"/>
      <w:szCs w:val="26"/>
    </w:rPr>
  </w:style>
  <w:style w:type="paragraph" w:styleId="Heading3">
    <w:name w:val="Heading 3"/>
    <w:basedOn w:val="Normal"/>
    <w:next w:val="Normal"/>
    <w:qFormat/>
    <w:rPr>
      <w:rFonts w:ascii="Calibri" w:cs="Calibri" w:eastAsia="Calibri" w:hAnsi="Calibri"/>
      <w:b/>
      <w:bCs/>
      <w:color w:val="5B21B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8780f7f3cd98468cf011b012dfc8bffbcce8d28.png"/><Relationship Id="rId12" Type="http://schemas.openxmlformats.org/officeDocument/2006/relationships/image" Target="media/90ddb5de5a81a1bf9ac44e2e4eb8e42cd8d58be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ISJ107V Assignment 4 — Applicable Technologies</dc:title>
  <dc:creator>Dennis Mmachoene Ramara</dc:creator>
  <dc:description>Candid — technology selection, cloud services, DevOps and interoperability</dc:description>
  <cp:lastModifiedBy>Un-named</cp:lastModifiedBy>
  <cp:revision>1</cp:revision>
  <dcterms:created xsi:type="dcterms:W3CDTF">2026-08-02T07:55:36.670Z</dcterms:created>
  <dcterms:modified xsi:type="dcterms:W3CDTF">2026-08-02T07:55:36.670Z</dcterms:modified>
</cp:coreProperties>
</file>

<file path=docProps/custom.xml><?xml version="1.0" encoding="utf-8"?>
<Properties xmlns="http://schemas.openxmlformats.org/officeDocument/2006/custom-properties" xmlns:vt="http://schemas.openxmlformats.org/officeDocument/2006/docPropsVTypes"/>
</file>