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Bdr>
          <w:top w:space="0" w:sz="0" w:val="none"/>
          <w:left w:space="0" w:sz="0" w:val="none"/>
          <w:bottom w:space="0" w:sz="0" w:val="none"/>
          <w:right w:space="0" w:sz="0" w:val="none"/>
          <w:between w:space="0" w:sz="0" w:val="none"/>
        </w:pBdr>
        <w:spacing w:after="240" w:before="0"/>
      </w:pPr>
    </w:p>
    <w:p>
      <w:pPr>
        <w:jc w:val="center"/>
        <w:spacing w:after="240"/>
      </w:pPr>
      <w:r>
        <w:drawing>
          <wp:inline distB="0" distT="0" distL="0" distR="0">
            <wp:extent cx="2286000" cy="1521619"/>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2286000" cy="1521619"/>
                    </a:xfrm>
                    <a:prstGeom prst="rect"/>
                    <a:ln/>
                  </pic:spPr>
                </pic:pic>
              </a:graphicData>
            </a:graphic>
          </wp:inline>
        </w:drawing>
      </w:r>
    </w:p>
    <w:p>
      <w:pPr>
        <w:pBdr>
          <w:top w:space="0" w:sz="0" w:val="none"/>
          <w:left w:space="0" w:sz="0" w:val="none"/>
          <w:bottom w:space="0" w:sz="0" w:val="none"/>
          <w:right w:space="0" w:sz="0" w:val="none"/>
          <w:between w:space="0" w:sz="0" w:val="none"/>
        </w:pBdr>
        <w:spacing w:after="0" w:before="0"/>
        <w:jc w:val="center"/>
      </w:pPr>
      <w:r>
        <w:rPr>
          <w:b/>
          <w:sz w:val="32"/>
          <w:szCs w:val="32"/>
          <w:color w:val="006FD3"/>
        </w:rPr>
        <w:t xml:space="preserve">IONITY GLOBAL</w:t>
      </w:r>
    </w:p>
    <w:p>
      <w:pPr>
        <w:pBdr>
          <w:top w:space="0" w:sz="0" w:val="none"/>
          <w:left w:space="0" w:sz="0" w:val="none"/>
          <w:bottom w:space="0" w:sz="0" w:val="none"/>
          <w:right w:space="0" w:sz="0" w:val="none"/>
          <w:between w:space="0" w:sz="0" w:val="none"/>
        </w:pBdr>
        <w:spacing w:after="360" w:before="0"/>
        <w:jc w:val="center"/>
      </w:pPr>
      <w:r>
        <w:rPr>
          <w:sz w:val="20"/>
          <w:szCs w:val="20"/>
          <w:color w:val="64748B"/>
        </w:rPr>
        <w:t xml:space="preserve">(Pty) Ltd</w:t>
      </w:r>
    </w:p>
    <w:p>
      <w:pPr>
        <w:pStyle w:val="Title"/>
        <w:pBdr>
          <w:top w:space="0" w:sz="0" w:val="none"/>
          <w:left w:space="0" w:sz="0" w:val="none"/>
          <w:bottom w:space="0" w:sz="0" w:val="none"/>
          <w:right w:space="0" w:sz="0" w:val="none"/>
          <w:between w:space="0" w:sz="0" w:val="none"/>
        </w:pBdr>
        <w:spacing w:after="80" w:before="0"/>
        <w:jc w:val="center"/>
      </w:pPr>
      <w:r>
        <w:rPr/>
        <w:t xml:space="preserve">Gate^Flame — Revised Roadmap</w:t>
      </w:r>
    </w:p>
    <w:p>
      <w:pPr>
        <w:pBdr>
          <w:top w:space="0" w:sz="0" w:val="none"/>
          <w:left w:space="0" w:sz="0" w:val="none"/>
          <w:bottom w:space="0" w:sz="0" w:val="none"/>
          <w:right w:space="0" w:sz="0" w:val="none"/>
          <w:between w:space="0" w:sz="0" w:val="none"/>
        </w:pBdr>
        <w:spacing w:after="320" w:before="0"/>
        <w:jc w:val="center"/>
      </w:pPr>
      <w:r>
        <w:rPr>
          <w:i/>
          <w:sz w:val="24"/>
          <w:szCs w:val="24"/>
          <w:color w:val="64748B"/>
        </w:rPr>
        <w:t xml:space="preserve">From here to a finished Standard model, and into customers’ homes</w:t>
      </w:r>
    </w:p>
    <w:p>
      <w:pPr>
        <w:pBdr>
          <w:top w:space="0" w:sz="0" w:val="none"/>
          <w:left w:space="0" w:sz="0" w:val="none"/>
          <w:bottom w:space="0" w:sz="0" w:val="none"/>
          <w:right w:space="0" w:sz="0" w:val="none"/>
          <w:between w:space="0" w:sz="0" w:val="none"/>
        </w:pBdr>
        <w:spacing w:after="0" w:before="0"/>
        <w:jc w:val="center"/>
      </w:pPr>
      <w:r>
        <w:rPr>
          <w:b/>
          <w:sz w:val="22"/>
          <w:szCs w:val="22"/>
        </w:rPr>
        <w:t xml:space="preserve">Johan Wilhelm van Antwerp</w:t>
      </w:r>
    </w:p>
    <w:p>
      <w:pPr>
        <w:pBdr>
          <w:top w:space="0" w:sz="0" w:val="none"/>
          <w:left w:space="0" w:sz="0" w:val="none"/>
          <w:bottom w:space="0" w:sz="0" w:val="none"/>
          <w:right w:space="0" w:sz="0" w:val="none"/>
          <w:between w:space="0" w:sz="0" w:val="none"/>
        </w:pBdr>
        <w:spacing w:after="320" w:before="0"/>
        <w:jc w:val="center"/>
      </w:pPr>
      <w:r>
        <w:rPr>
          <w:sz w:val="18"/>
          <w:szCs w:val="18"/>
          <w:color w:val="64748B"/>
        </w:rPr>
        <w:t xml:space="preserve">Founder, Technical Lead &amp; Architect — Ionity (Pty) Ltd | AEDI</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600"/>
        <w:gridCol w:w="6760"/>
      </w:tblGrid>
      <w:tr>
        <w:trPr>
          <w:tblHeader/>
        </w:trPr>
        <w:tc>
          <w:tcPr>
            <w:tcW w:type="dxa" w:w="2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Field</w:t>
            </w:r>
          </w:p>
        </w:tc>
        <w:tc>
          <w:tcPr>
            <w:tcW w:type="dxa" w:w="67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Value</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Document ID</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DOC-2026-08-024-ROADMAP</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Version</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2.0</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Date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24 August 2026 (SAST)</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Governance</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Policy 986 AED</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Licence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AED 900 | CC BY-NC-SA 4.0 where stated</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Classification</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Internal</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Supersedes</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GATEFLAME-STATUS-AND-ROADMAP-2026-08-18 (roadmap portion)</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200" w:before="200"/>
        <w:jc w:val="center"/>
      </w:pPr>
      <w:r>
        <w:rPr>
          <w:b/>
          <w:sz w:val="24"/>
          <w:szCs w:val="24"/>
          <w:color w:val="C0392B"/>
        </w:rPr>
        <w:t xml:space="preserve">INTERNAL</w:t>
      </w:r>
    </w:p>
    <w:p>
      <w:pPr>
        <w:pBdr>
          <w:top w:space="0" w:sz="0" w:val="none"/>
          <w:left w:space="0" w:sz="0" w:val="none"/>
          <w:bottom w:space="0" w:sz="0" w:val="none"/>
          <w:right w:space="0" w:sz="0" w:val="none"/>
          <w:between w:space="0" w:sz="0" w:val="none"/>
        </w:pBdr>
        <w:spacing w:after="0" w:before="0"/>
        <w:jc w:val="center"/>
      </w:pPr>
      <w:r>
        <w:rPr>
          <w:sz w:val="16"/>
          <w:szCs w:val="16"/>
          <w:color w:val="64748B"/>
        </w:rPr>
        <w:t xml:space="preserve">www.ionity.today | www.ionity.world | ai@ionity.today | +27 646 999 877</w:t>
      </w:r>
    </w:p>
    <w:p>
      <w:pPr>
        <w:pBdr>
          <w:top w:space="0" w:sz="0" w:val="none"/>
          <w:left w:space="0" w:sz="0" w:val="none"/>
          <w:bottom w:space="0" w:sz="0" w:val="none"/>
          <w:right w:space="0" w:sz="0" w:val="none"/>
          <w:between w:space="0" w:sz="0" w:val="none"/>
        </w:pBdr>
        <w:spacing w:after="0" w:before="0"/>
        <w:jc w:val="center"/>
      </w:pPr>
      <w:r>
        <w:rPr>
          <w:sz w:val="15"/>
          <w:szCs w:val="15"/>
          <w:color w:val="64748B"/>
        </w:rPr>
        <w:t xml:space="preserve">© 2018–2026 Antwerp Designs | Ionity (Pty) Ltd — All Rights Reserved — TM2</w:t>
      </w:r>
    </w:p>
    <w:p>
      <w:pPr>
        <w:pBdr>
          <w:top w:space="0" w:sz="0" w:val="none"/>
          <w:left w:space="0" w:sz="0" w:val="none"/>
          <w:bottom w:space="0" w:sz="0" w:val="none"/>
          <w:right w:space="0" w:sz="0" w:val="none"/>
          <w:between w:space="0" w:sz="0" w:val="none"/>
        </w:pBdr>
        <w:spacing w:after="120" w:before="0"/>
        <w:jc w:val="center"/>
      </w:pPr>
      <w:r>
        <w:rPr>
          <w:i/>
          <w:sz w:val="15"/>
          <w:szCs w:val="15"/>
          <w:color w:val="64748B"/>
        </w:rPr>
        <w:t xml:space="preserve">Building Tomorrow, Today. | Anything is Possible with God.</w:t>
      </w:r>
    </w:p>
    <w:p>
      <w:r>
        <w:br w:type="page"/>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Scope is the STANDARD side-car model only. The premium in-path box is deliberately out of scope until this one is finished and in customers’ homes. Effort is working days for one person.</w:t>
      </w:r>
    </w:p>
    <w:p>
      <w:pPr>
        <w:pStyle w:val="Heading1"/>
        <w:pBdr>
          <w:top w:space="0" w:sz="0" w:val="none"/>
          <w:left w:space="0" w:sz="0" w:val="none"/>
          <w:bottom w:color="006FD3" w:space="4" w:sz="8" w:val="single"/>
          <w:right w:space="0" w:sz="0" w:val="none"/>
          <w:between w:space="0" w:sz="0" w:val="none"/>
        </w:pBdr>
        <w:spacing w:after="100" w:before="240"/>
      </w:pPr>
      <w:r>
        <w:rPr/>
        <w:t xml:space="preserve">0. What changed since the last roadmap</w:t>
      </w:r>
    </w:p>
    <w:p>
      <w:pPr>
        <w:pBdr>
          <w:top w:space="0" w:sz="0" w:val="none"/>
          <w:left w:space="0" w:sz="0" w:val="none"/>
          <w:bottom w:space="0" w:sz="0" w:val="none"/>
          <w:right w:space="0" w:sz="0" w:val="none"/>
          <w:between w:space="0" w:sz="0" w:val="none"/>
        </w:pBdr>
        <w:spacing w:after="120" w:before="0"/>
      </w:pPr>
      <w:r>
        <w:rPr/>
        <w:t xml:space="preserve">Three things reshaped the plan:</w:t>
      </w:r>
    </w:p>
    <w:p>
      <w:pPr>
        <w:numPr>
          <w:ilvl w:val="0"/>
          <w:numId w:val="1"/>
        </w:numPr>
        <w:spacing w:after="60"/>
      </w:pPr>
      <w:r>
        <w:rPr>
          <w:b/>
        </w:rPr>
        <w:t xml:space="preserve">ADR-001 was accepted.</w:t>
      </w:r>
      <w:r>
        <w:rPr/>
        <w:t xml:space="preserve"> The router forwards to us as its upstream; devices are never pointed at the box. That removes the whole class of “box dies, house loses internet” work, and with it the emergency-revert experience.</w:t>
      </w:r>
    </w:p>
    <w:p>
      <w:pPr>
        <w:numPr>
          <w:ilvl w:val="0"/>
          <w:numId w:val="1"/>
        </w:numPr>
        <w:spacing w:after="60"/>
      </w:pPr>
      <w:r>
        <w:rPr>
          <w:b/>
        </w:rPr>
        <w:t xml:space="preserve">The mobile app was scrapped and rebuilt</w:t>
      </w:r>
      <w:r>
        <w:rPr/>
        <w:t xml:space="preserve"> on the console’s engine. The old Sprint 5 (“finish the front end”) is largely done, and what remains is different work.</w:t>
      </w:r>
    </w:p>
    <w:p>
      <w:pPr>
        <w:numPr>
          <w:ilvl w:val="0"/>
          <w:numId w:val="1"/>
        </w:numPr>
        <w:spacing w:after="60"/>
      </w:pPr>
      <w:r>
        <w:rPr>
          <w:b/>
        </w:rPr>
        <w:t xml:space="preserve">The box was found never to have filtered</w:t>
      </w:r>
      <w:r>
        <w:rPr/>
        <w:t xml:space="preserve">, while every layer reported healthy. This roadmap therefore treats PROVING things as first-class work rather than as something that happens implicitly.</w:t>
      </w:r>
    </w:p>
    <w:p>
      <w:pPr>
        <w:pStyle w:val="Heading1"/>
        <w:pBdr>
          <w:top w:space="0" w:sz="0" w:val="none"/>
          <w:left w:space="0" w:sz="0" w:val="none"/>
          <w:bottom w:color="006FD3" w:space="4" w:sz="8" w:val="single"/>
          <w:right w:space="0" w:sz="0" w:val="none"/>
          <w:between w:space="0" w:sz="0" w:val="none"/>
        </w:pBdr>
        <w:spacing w:after="100" w:before="240"/>
      </w:pPr>
      <w:r>
        <w:rPr/>
        <w:t xml:space="preserve">Sprint A — Close out the household</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2 days. Do first. The box filters one workstation; nothing else here is worth doing until it filters the house, because every later phase inherits the assumption that it does.</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3700"/>
        <w:gridCol w:w="49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3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c>
          <w:tcPr>
            <w:tcW w:type="dxa" w:w="49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Done when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A.1</w:t>
            </w:r>
          </w:p>
        </w:tc>
        <w:tc>
          <w:tcPr>
            <w:tcW w:type="dxa" w:w="3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Deploy the two staged agent modules</w:t>
            </w:r>
          </w:p>
        </w:tc>
        <w:tc>
          <w:tcPr>
            <w:tcW w:type="dxa" w:w="4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/api/v1/filtering reports active with no stale error</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A.2</w:t>
            </w:r>
          </w:p>
        </w:tc>
        <w:tc>
          <w:tcPr>
            <w:tcW w:type="dxa" w:w="3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Rotate the Pi-hole admin password (exposed 24 Aug)</w:t>
            </w:r>
          </w:p>
        </w:tc>
        <w:tc>
          <w:tcPr>
            <w:tcW w:type="dxa" w:w="4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New value in .env, drop-in rewritten, agent reads stats</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A.3</w:t>
            </w:r>
          </w:p>
        </w:tc>
        <w:tc>
          <w:tcPr>
            <w:tcW w:type="dxa" w:w="3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Point the router’s upstream DNS at 192.168.0.10</w:t>
            </w:r>
          </w:p>
        </w:tc>
        <w:tc>
          <w:tcPr>
            <w:tcW w:type="dxa" w:w="4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nslookup doubleclick.net &lt;router-ip&gt; returns 0.0.0.0</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A.4</w:t>
            </w:r>
          </w:p>
        </w:tc>
        <w:tc>
          <w:tcPr>
            <w:tcW w:type="dxa" w:w="3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Settle the second-DNS question on the EX511</w:t>
            </w:r>
          </w:p>
        </w:tc>
        <w:tc>
          <w:tcPr>
            <w:tcW w:type="dxa" w:w="4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Documented: does the router fall back when its only static upstream dies?</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A.5</w:t>
            </w:r>
          </w:p>
        </w:tc>
        <w:tc>
          <w:tcPr>
            <w:tcW w:type="dxa" w:w="3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Fix dual-homing — one interface, or two subnets</w:t>
            </w:r>
          </w:p>
        </w:tc>
        <w:tc>
          <w:tcPr>
            <w:tcW w:type="dxa" w:w="4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netcheck check 1 passes</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A.6</w:t>
            </w:r>
          </w:p>
        </w:tc>
        <w:tc>
          <w:tcPr>
            <w:tcW w:type="dxa" w:w="3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Turn IPv6 off on the router, or make it work end to end</w:t>
            </w:r>
          </w:p>
        </w:tc>
        <w:tc>
          <w:tcPr>
            <w:tcW w:type="dxa" w:w="4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netcheck ipv6 passes; phones stop dropping Wi-Fi</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A.7</w:t>
            </w:r>
          </w:p>
        </w:tc>
        <w:tc>
          <w:tcPr>
            <w:tcW w:type="dxa" w:w="3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Revoke two GitHub PATs and the GEMINI_API_KEY</w:t>
            </w:r>
          </w:p>
        </w:tc>
        <w:tc>
          <w:tcPr>
            <w:tcW w:type="dxa" w:w="4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Tokens dead at GitHub and Google; plaintext copy deleted</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A.8</w:t>
            </w:r>
          </w:p>
        </w:tc>
        <w:tc>
          <w:tcPr>
            <w:tcW w:type="dxa" w:w="3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Back up the release keystore twice, record its SHA-256</w:t>
            </w:r>
          </w:p>
        </w:tc>
        <w:tc>
          <w:tcPr>
            <w:tcW w:type="dxa" w:w="4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Two encrypted copies, fingerprint in a sealed document</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A — every device in your house is filtered, and no credential in this project is one you have ever pasted anywhere.</w:t>
      </w:r>
    </w:p>
    <w:p>
      <w:pPr>
        <w:pBdr>
          <w:top w:space="0" w:sz="0" w:val="none"/>
          <w:left w:space="0" w:sz="0" w:val="none"/>
          <w:bottom w:space="0" w:sz="0" w:val="none"/>
          <w:right w:space="0" w:sz="0" w:val="none"/>
          <w:between w:space="0" w:sz="0" w:val="none"/>
        </w:pBdr>
        <w:spacing w:after="120" w:before="0"/>
      </w:pPr>
      <w:r>
        <w:rPr/>
        <w:t xml:space="preserve">A.4 is small and load-bearing. ADR-001’s promise that a dead box costs only filtering assumes the router has a fallback. If the EX511 uses only its configured statics, an empty secondary plus a dead primary is the very outage the ADR says it removed — and IB-110’s customer copy is wrong.</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Sprint B — The history database</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15 days. The largest single item. Every chart is currently instantaneous polling and a reboot is amnesia. The app says so honestly, which is correct and also a poor product.</w:t>
      </w:r>
    </w:p>
    <w:p>
      <w:pPr>
        <w:pStyle w:val="Heading2"/>
        <w:pBdr>
          <w:top w:space="0" w:sz="0" w:val="none"/>
          <w:left w:space="0" w:sz="0" w:val="none"/>
          <w:bottom w:space="0" w:sz="0" w:val="none"/>
          <w:right w:space="0" w:sz="0" w:val="none"/>
          <w:between w:space="0" w:sz="0" w:val="none"/>
        </w:pBdr>
        <w:spacing w:after="100" w:before="240"/>
      </w:pPr>
      <w:r>
        <w:rPr/>
        <w:t xml:space="preserve">Where the data lives</w:t>
      </w:r>
    </w:p>
    <w:p>
      <w:pPr>
        <w:pBdr>
          <w:top w:space="0" w:sz="0" w:val="none"/>
          <w:left w:space="0" w:sz="0" w:val="none"/>
          <w:bottom w:space="0" w:sz="0" w:val="none"/>
          <w:right w:space="0" w:sz="0" w:val="none"/>
          <w:between w:space="0" w:sz="0" w:val="none"/>
        </w:pBdr>
        <w:spacing w:after="120" w:before="0"/>
      </w:pPr>
      <w:r>
        <w:rPr>
          <w:b/>
        </w:rPr>
        <w:t xml:space="preserve">On the box, in SQLite. Not in a cloud.</w:t>
      </w:r>
      <w:r>
        <w:rPr/>
        <w:t xml:space="preserve"> That is a deliberate architectural choice, not a default. The privacy story — almost nothing leaves your LAN — is the strongest thing this product has, and it is worth more than the convenience of a hosted database. It also keeps the POPIA position simple: personal information is not exported, so s72 does not engage for the appliance itself.</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86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86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B.1</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Design the schema: telemetry_samples, query_rollup_hourly, query_rollup_daily, threat_events, client_seen. Decide retention per table up front — retention is a POPIA input, not an afterthought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B.2</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Stay on SQLite/WAL. One file, no daemon, already in use, already covered by the same backup path as node identity</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B.3</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Sampler: async, 60 s cadence. A Pi-hole outage is a NULL row, never an interpolation</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B.4</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Rollup job hourly to daily. Idempotent and resumable after power loss</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B.5</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Retention and vacuum enforced by a job. Bounded disk is a hard requirement — an appliance that fills its own card is a returned unit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B.6</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Routes: GET /api/v1/history/summary?range=24h|7d|30d|90d, /history/threats, /history/clients</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B.7</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Type the contract in src/types/ FIRST. The interface is the seam — widening ProtectionStatus on 24 Aug immediately found a bug nothing else could have caught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B.8</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Batched writes and a WAL checkpoint strategy. 1 Hz fsync for two years kills an SD card</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B.9</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Export, restore and factory reset that wipes history but keeps node identity</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B.10</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Wire the app’s Activity screen to real ranges; remove the “starts when you open the app” caveat</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B.11</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Tests: rollup across midnight and DST, retention actually deletes, restart mid-rollup, disk full</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B — unplug the box for a minute, plug it back in, and yesterday is still there.</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Sprint C — Play Store</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Starts NOW, runs 30–45 days in parallel. The Play Console queue is the only thing here that cannot be compressed by working harder, which is why it starts on day one rather than when the app is ready.</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4400"/>
        <w:gridCol w:w="42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44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c>
          <w:tcPr>
            <w:tcW w:type="dxa" w:w="42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Note</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C.1</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Create the Play Console account, start identity verification</w:t>
            </w:r>
          </w:p>
        </w:tc>
        <w:tc>
          <w:tcPr>
            <w:tcW w:type="dxa" w:w="4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Days to weeks. Start today</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C.2</w:t>
            </w:r>
          </w:p>
        </w:tc>
        <w:tc>
          <w:tcPr>
            <w:tcW w:type="dxa" w:w="4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Write android/keystore.properties; produce a signed release build</w:t>
            </w:r>
          </w:p>
        </w:tc>
        <w:tc>
          <w:tcPr>
            <w:tcW w:type="dxa" w:w="4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keystore exists; only the passwords are missing</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C.3</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Enrol in Play App Signing at first upload</w:t>
            </w:r>
          </w:p>
        </w:tc>
        <w:tc>
          <w:tcPr>
            <w:tcW w:type="dxa" w:w="4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only recovery path if the upload key is lost. Cannot be added retroactively</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C.4</w:t>
            </w:r>
          </w:p>
        </w:tc>
        <w:tc>
          <w:tcPr>
            <w:tcW w:type="dxa" w:w="4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Settle versionName — tag says v1.0.2, version.properties says 1.0.1</w:t>
            </w:r>
          </w:p>
        </w:tc>
        <w:tc>
          <w:tcPr>
            <w:tcW w:type="dxa" w:w="4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Play rejects a reused versionCode. Fix the discipline before the first upload</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C.5</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Publish the privacy notice at a public URL on ionity.today</w:t>
            </w:r>
          </w:p>
        </w:tc>
        <w:tc>
          <w:tcPr>
            <w:tcW w:type="dxa" w:w="4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POPIA s18 needs it anyway; Play will not accept a listing without it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C.6</w:t>
            </w:r>
          </w:p>
        </w:tc>
        <w:tc>
          <w:tcPr>
            <w:tcW w:type="dxa" w:w="4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Data-safety form, matching reality exactly</w:t>
            </w:r>
          </w:p>
        </w:tc>
        <w:tc>
          <w:tcPr>
            <w:tcW w:type="dxa" w:w="4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Our honest answer is unusually strong. Say so plainly</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C.7</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Store listing: icon, feature graphic, 4–8 screenshots, descriptions</w:t>
            </w:r>
          </w:p>
        </w:tc>
        <w:tc>
          <w:tcPr>
            <w:tcW w:type="dxa" w:w="4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Screenshots from the new app on a real portrait device</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C.8</w:t>
            </w:r>
          </w:p>
        </w:tc>
        <w:tc>
          <w:tcPr>
            <w:tcW w:type="dxa" w:w="4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Check the CURRENT closed-testing tester-count and duration rule</w:t>
            </w:r>
          </w:p>
        </w:tc>
        <w:tc>
          <w:tcPr>
            <w:tcW w:type="dxa" w:w="4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It has added weeks to other launches. Check at account creation, not at submission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C.9</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Closed track, then open track, then production</w:t>
            </w:r>
          </w:p>
        </w:tc>
        <w:tc>
          <w:tcPr>
            <w:tcW w:type="dxa" w:w="4260"/>
            <w:shd w:fill="FFFFFF" w:val="clear"/>
            <w:vAlign w:val="center"/>
          </w:tcPr>
          <w:p>
            <w:pPr>
              <w:pBdr>
                <w:top w:space="0" w:sz="0" w:val="none"/>
                <w:left w:space="0" w:sz="0" w:val="none"/>
                <w:bottom w:space="0" w:sz="0" w:val="none"/>
                <w:right w:space="0" w:sz="0" w:val="none"/>
                <w:between w:space="0" w:sz="0" w:val="none"/>
              </w:pBdr>
              <w:spacing w:after="0" w:before="0"/>
            </w:pP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C — the app installs from Play onto a phone that has never been developer-enabled.</w:t>
      </w:r>
    </w:p>
    <w:p>
      <w:pPr>
        <w:pStyle w:val="Heading1"/>
        <w:pBdr>
          <w:top w:space="0" w:sz="0" w:val="none"/>
          <w:left w:space="0" w:sz="0" w:val="none"/>
          <w:bottom w:color="006FD3" w:space="4" w:sz="8" w:val="single"/>
          <w:right w:space="0" w:sz="0" w:val="none"/>
          <w:between w:space="0" w:sz="0" w:val="none"/>
        </w:pBdr>
        <w:spacing w:after="100" w:before="240"/>
      </w:pPr>
      <w:r>
        <w:rPr/>
        <w:t xml:space="preserve">Sprint D — POPIA and legal</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Starts day 2, runs 60 days in parallel. External review has a queue; start before you feel ready.</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86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86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D.1</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POPIA review by a practitioner. Resolve where feeds.ionity.today is hosted first — it decides whether you are exporting personal information (s72)</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D.2</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Privacy notice (s18) — shared with C.5</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D.3</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Breach response plan (s22); appoint and register an Information Officer</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D.4</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Freeze the health-feed contract — health-fields-only, outbound-only, off by default — with a test</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D.5</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THIRD_PARTY_NOTICES.md. Pi-hole is EUPL-1.2 — check redistribution terms before shipping it pre-installed</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D.6</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Confirm AED 900 / CC BY-NC-SA 4.0 is coherent with SELLING HARDWARE</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D.7</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Trademark search and filing for “Gate^Flame” — check the caret is registrable</w:t>
            </w:r>
          </w:p>
        </w:tc>
      </w:tr>
    </w:tbl>
    <w:p>
      <w:pPr>
        <w:pBdr>
          <w:top w:space="0" w:sz="0" w:val="none"/>
          <w:left w:space="0" w:sz="0" w:val="none"/>
          <w:bottom w:space="0" w:sz="0" w:val="none"/>
          <w:right w:space="0" w:sz="0" w:val="none"/>
          <w:between w:space="0" w:sz="0" w:val="none"/>
        </w:pBdr>
        <w:spacing w:after="80" w:before="0"/>
      </w:pP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Sprint E — Prove it on hardware</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5 days. deploy-on-pi.sh and validate-on-pi.sh have never produced a PASS/FAIL table. Until they do, “it works” means “it worked on this one box that we hand-fixed”.</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86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86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E.1</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Flash a SECOND board from scratch, static lease, no hand-fixing</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E.2</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sudo bash deploy-on-pi.sh --with-pihole → exit 0</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E.3</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 the validate-on-pi.sh PASS/FAIL table. Rows that matter: /sys/class/thermal, vcgencmd get_throttled, CAP_NET_ADMIN, CAP_NET_RAW, ip neigh, cgroup v2</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E.4</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Pair a phone with no SSH-free shortcut — record exactly what typing was needed</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E.5</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Confirm counters move when you browse. A null is fine; a fabricated number is not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E.6</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24-hour soak: RSS, temperature, WAL size, log growth</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E.7</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Write down every surprise — these become Sprint G tests</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E — a box nobody has hand-fixed filters a household.</w:t>
      </w:r>
    </w:p>
    <w:p>
      <w:pPr>
        <w:pStyle w:val="Heading1"/>
        <w:pBdr>
          <w:top w:space="0" w:sz="0" w:val="none"/>
          <w:left w:space="0" w:sz="0" w:val="none"/>
          <w:bottom w:color="006FD3" w:space="4" w:sz="8" w:val="single"/>
          <w:right w:space="0" w:sz="0" w:val="none"/>
          <w:between w:space="0" w:sz="0" w:val="none"/>
        </w:pBdr>
        <w:spacing w:after="100" w:before="240"/>
      </w:pPr>
      <w:r>
        <w:rPr/>
        <w:t xml:space="preserve">Sprint F — Plug and play</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30 days. This is the product, not a feature.</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86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86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F.1</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Custom OS image (pi-gen or Packer): agent, Pi-hole, Unbound, avahi and systemd baked in. Boots to serving with zero commands</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F.2</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First-boot provisioning — idempotent and resumable. A power cut mid-first-boot must not brick the unit</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F.3</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Pairing without SSH. Recommended: small display plus QR, per the 2026-08-17 mobile plan. The QR carries node id, addresses, code, expiry and a certificate fingerprint, and preserves the loopback/physical-presence model that is already correct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F.4</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guided router screen — one screen, upstream DNS, verified by re-read. This is the number one predicted support ticket</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F.5</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Status LEDs — power, network, filtering, fault</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F.6</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OTA updates: signed, staged, automatic rollback on failed health check. Do not ship without rollback</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F.7</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Factory reset (long-press), watchdog self-heal, power-loss resilience, NTP before any timestamped write</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F.8</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Image built in CI as a checksummed, versioned .img.xz</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F — hand a sealed box to someone who has never seen it, with a printed card only. They reach a working dashboard.</w:t>
      </w:r>
    </w:p>
    <w:p>
      <w:pPr>
        <w:pStyle w:val="Heading1"/>
        <w:pBdr>
          <w:top w:space="0" w:sz="0" w:val="none"/>
          <w:left w:space="0" w:sz="0" w:val="none"/>
          <w:bottom w:color="006FD3" w:space="4" w:sz="8" w:val="single"/>
          <w:right w:space="0" w:sz="0" w:val="none"/>
          <w:between w:space="0" w:sz="0" w:val="none"/>
        </w:pBdr>
        <w:spacing w:after="100" w:before="240"/>
      </w:pPr>
      <w:r>
        <w:rPr/>
        <w:t xml:space="preserve">Sprint G — Make green mean something</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4 days, alongside Sprint F.</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700"/>
        <w:gridCol w:w="8660"/>
      </w:tblGrid>
      <w:tr>
        <w:trPr>
          <w:tblHeader/>
        </w:trPr>
        <w:tc>
          <w:tcPr>
            <w:tcW w:type="dxa" w:w="7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86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Action</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G.1</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Add feed-receiver’s 83 tests to CI</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G.2</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Drive ruff to zero, then flip continue-on-error to false</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G.3</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Binary-integrity gate in CI (magic bytes plus a EF BF BD scan)</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G.4</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Manifest test: aapt2 dump xmltree asserts the cleartext policy on the BUILT APK</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G.5</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Nightly self-hosted runner on the actual board running validate-on-pi.sh — the only CI that can ever prove filtering works</w:t>
            </w:r>
          </w:p>
        </w:tc>
      </w:tr>
      <w:tr>
        <w:tc>
          <w:tcPr>
            <w:tcW w:type="dxa" w:w="7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G.6</w:t>
            </w:r>
          </w:p>
        </w:tc>
        <w:tc>
          <w:tcPr>
            <w:tcW w:type="dxa" w:w="86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test that would have caught the 24 Aug bug: assert against a live Pi-hole that a blocklist write LANDS and gravity becomes non-zero</w:t>
            </w:r>
          </w:p>
        </w:tc>
      </w:tr>
      <w:tr>
        <w:tc>
          <w:tcPr>
            <w:tcW w:type="dxa" w:w="7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G.7</w:t>
            </w:r>
          </w:p>
        </w:tc>
        <w:tc>
          <w:tcPr>
            <w:tcW w:type="dxa" w:w="86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Coverage baseline published (not yet a gate)</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G — a red CI genuinely blocks a broken product.</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Sprint H — Hardware and manufacturing</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Starts day 30, lead-time bound.</w:t>
      </w:r>
    </w:p>
    <w:p>
      <w:pPr>
        <w:pBdr>
          <w:top w:space="0" w:sz="0" w:val="none"/>
          <w:left w:space="0" w:sz="0" w:val="none"/>
          <w:bottom w:space="0" w:sz="0" w:val="none"/>
          <w:right w:space="0" w:sz="0" w:val="none"/>
          <w:between w:space="0" w:sz="0" w:val="none"/>
        </w:pBdr>
        <w:spacing w:after="120" w:before="0"/>
      </w:pPr>
      <w:r>
        <w:rPr/>
        <w:t xml:space="preserve">Freeze the BOM. </w:t>
      </w:r>
      <w:r>
        <w:rPr>
          <w:b/>
        </w:rPr>
        <w:t xml:space="preserve">The base tier is the Orange Pi Zero 2W class; the Pi 5 is the flagship board.</w:t>
      </w:r>
      <w:r>
        <w:rPr/>
        <w:t xml:space="preserve"> That contradiction in the older documents was two products being described as one.</w:t>
      </w:r>
    </w:p>
    <w:p>
      <w:pPr>
        <w:numPr>
          <w:ilvl w:val="0"/>
          <w:numId w:val="1"/>
        </w:numPr>
        <w:spacing w:after="60"/>
      </w:pPr>
      <w:r>
        <w:rPr>
          <w:b/>
        </w:rPr>
        <w:t xml:space="preserve">Prefer NVMe or industrial eMMC over microSD.</w:t>
      </w:r>
      <w:r>
        <w:rPr/>
        <w:t xml:space="preserve"> Sprint B writes continuously, and card wear is the likeliest 18-month failure — every one an RMA.</w:t>
      </w:r>
    </w:p>
    <w:p>
      <w:pPr>
        <w:numPr>
          <w:ilvl w:val="0"/>
          <w:numId w:val="1"/>
        </w:numPr>
        <w:spacing w:after="60"/>
      </w:pPr>
      <w:r>
        <w:rPr>
          <w:b/>
        </w:rPr>
        <w:t xml:space="preserve">Brownout-tolerant PSU.</w:t>
      </w:r>
      <w:r>
        <w:rPr/>
        <w:t xml:space="preserve"> Load shedding is weekly, not exceptional.</w:t>
      </w:r>
    </w:p>
    <w:p>
      <w:pPr>
        <w:numPr>
          <w:ilvl w:val="0"/>
          <w:numId w:val="1"/>
        </w:numPr>
        <w:spacing w:after="60"/>
      </w:pPr>
      <w:r>
        <w:rPr/>
        <w:t xml:space="preserve">Thermal-validate at 35 °C ambient with the case closed.</w:t>
      </w:r>
    </w:p>
    <w:p>
      <w:pPr>
        <w:numPr>
          <w:ilvl w:val="0"/>
          <w:numId w:val="1"/>
        </w:numPr>
        <w:spacing w:after="60"/>
      </w:pPr>
      <w:r>
        <w:rPr/>
        <w:t xml:space="preserve">Enclosure, asset manifest, packaging, per-unit serial and provisioning record.</w:t>
      </w:r>
    </w:p>
    <w:p>
      <w:pPr>
        <w:numPr>
          <w:ilvl w:val="0"/>
          <w:numId w:val="1"/>
        </w:numPr>
        <w:spacing w:after="60"/>
      </w:pPr>
      <w:r>
        <w:rPr/>
        <w:t xml:space="preserve">20-point QA checklist, 24 h burn-in per unit, two suppliers for board and PSU, pricing.</w:t>
      </w: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H — ten units built to the runbook, all passing QA, boxed.</w:t>
      </w:r>
    </w:p>
    <w:p>
      <w:pPr>
        <w:pStyle w:val="Heading1"/>
        <w:pBdr>
          <w:top w:space="0" w:sz="0" w:val="none"/>
          <w:left w:space="0" w:sz="0" w:val="none"/>
          <w:bottom w:color="006FD3" w:space="4" w:sz="8" w:val="single"/>
          <w:right w:space="0" w:sz="0" w:val="none"/>
          <w:between w:space="0" w:sz="0" w:val="none"/>
        </w:pBdr>
        <w:spacing w:after="100" w:before="240"/>
      </w:pPr>
      <w:r>
        <w:rPr/>
        <w:t xml:space="preserve">Sprint I — Launch</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30 days.</w:t>
      </w:r>
    </w:p>
    <w:p>
      <w:pPr>
        <w:pBdr>
          <w:top w:space="0" w:sz="0" w:val="none"/>
          <w:left w:space="0" w:sz="0" w:val="none"/>
          <w:bottom w:space="0" w:sz="0" w:val="none"/>
          <w:right w:space="0" w:sz="0" w:val="none"/>
          <w:between w:space="0" w:sz="0" w:val="none"/>
        </w:pBdr>
        <w:spacing w:after="120" w:before="0"/>
      </w:pPr>
      <w:r>
        <w:rPr/>
        <w:t xml:space="preserve">Deploy feed-receiver (hosting location is a POPIA input, see D.1) · public documentation site on ionity.today · monitored support inbox · RMA process · </w:t>
      </w:r>
      <w:r>
        <w:rPr>
          <w:b/>
        </w:rPr>
        <w:t xml:space="preserve">ten units, ten homes that are not yours, thirty days unattended.</w:t>
      </w: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GATE I — the end of the Standard model. Only now does the premium box start.</w:t>
      </w:r>
    </w:p>
    <w:p>
      <w:pPr>
        <w:pStyle w:val="Heading1"/>
        <w:pBdr>
          <w:top w:space="0" w:sz="0" w:val="none"/>
          <w:left w:space="0" w:sz="0" w:val="none"/>
          <w:bottom w:color="006FD3" w:space="4" w:sz="8" w:val="single"/>
          <w:right w:space="0" w:sz="0" w:val="none"/>
          <w:between w:space="0" w:sz="0" w:val="none"/>
        </w:pBdr>
        <w:spacing w:after="100" w:before="240"/>
      </w:pPr>
      <w:r>
        <w:rPr/>
        <w:t xml:space="preserve">Critical path and totals</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SPRINT A (2d) --&gt; SPRINT E (5d) --&gt; SPRINT F (30d) --&gt; SPRINT I (30d)</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               |                    ^</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               +--&gt; SPRINT B (15d) -+</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                         |</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                         +--&gt; SPRINT G (4d)</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+--&gt; SPRINT C  Play   (start day 1, 30-45d queue) ----&gt; SPRINT I</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+--&gt; SPRINT D  POPIA  (start day 2, 60d queue) -------&gt; SPRINT I</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                    SPRINT H  BOM (start day 30) ----------&gt; SPRINT I</w:t>
      </w:r>
    </w:p>
    <w:p>
      <w:pPr>
        <w:pBdr>
          <w:top w:space="0" w:sz="0" w:val="none"/>
          <w:left w:space="0" w:sz="0" w:val="none"/>
          <w:bottom w:space="0" w:sz="0" w:val="none"/>
          <w:right w:space="0" w:sz="0" w:val="none"/>
          <w:between w:space="0" w:sz="0" w:val="none"/>
        </w:pBdr>
        <w:spacing w:after="120" w:before="0"/>
      </w:pPr>
      <w:r>
        <w:rPr>
          <w:b/>
        </w:rPr>
        <w:t xml:space="preserve">Roughly 90 working days, about 4½ calendar months</w:t>
      </w:r>
      <w:r>
        <w:rPr/>
        <w:t xml:space="preserve"> for one person, IF C, D and H genuinely run in parallel. Sequential, closer to seven months.</w:t>
      </w:r>
    </w:p>
    <w:p>
      <w:pPr>
        <w:pBdr>
          <w:top w:space="0" w:sz="0" w:val="none"/>
          <w:left w:space="0" w:sz="0" w:val="none"/>
          <w:bottom w:space="0" w:sz="0" w:val="none"/>
          <w:right w:space="0" w:sz="0" w:val="none"/>
          <w:between w:space="0" w:sz="0" w:val="none"/>
        </w:pBdr>
        <w:spacing w:after="120" w:before="0"/>
      </w:pPr>
      <w:r>
        <w:rPr>
          <w:b/>
        </w:rPr>
        <w:t xml:space="preserve">Top risk:</w:t>
      </w:r>
      <w:r>
        <w:rPr/>
        <w:t xml:space="preserve"> Sprint E fails and everything downstream is unproven. It is scheduled early for exactly that reason — and 24 August is the argument for it, since a box that reported healthy for eight days had never worked at all.</w:t>
      </w:r>
    </w:p>
    <w:p>
      <w:pPr>
        <w:pBdr>
          <w:top w:space="0" w:sz="0" w:val="none"/>
          <w:left w:space="0" w:sz="0" w:val="none"/>
          <w:bottom w:space="0" w:sz="0" w:val="none"/>
          <w:right w:space="0" w:sz="0" w:val="none"/>
          <w:between w:space="0" w:sz="0" w:val="none"/>
        </w:pBdr>
        <w:spacing w:after="120" w:before="0"/>
      </w:pPr>
      <w:r>
        <w:rPr>
          <w:b/>
        </w:rPr>
        <w:t xml:space="preserve">If the date matters more than scope, cut:</w:t>
      </w:r>
      <w:r>
        <w:rPr/>
        <w:t xml:space="preserve"> DPI (highest complexity, lowest launch-visible value — Pi-hole plus the firewall bouncer is already a complete product story), the custom enclosure, and tablet screenshots. Roughly 20 days. </w:t>
      </w:r>
      <w:r>
        <w:rPr>
          <w:b/>
        </w:rPr>
        <w:t xml:space="preserve">Do not cut Sprint G or OTA rollback under any circumstance.</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roked="f" filled="f"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