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240" w:before="0"/>
      </w:pPr>
    </w:p>
    <w:p>
      <w:pPr>
        <w:jc w:val="center"/>
        <w:spacing w:after="240"/>
      </w:pPr>
      <w:r>
        <w:drawing>
          <wp:inline distB="0" distT="0" distL="0" distR="0">
            <wp:extent cx="2286000" cy="1521619"/>
            <wp:effectExtent b="0" l="0" r="0" t="0"/>
            <wp:docPr descr="Ionity logo" id="2" name="image1.png"/>
            <a:graphic>
              <a:graphicData uri="http://schemas.openxmlformats.org/drawingml/2006/picture">
                <pic:pic>
                  <pic:nvPicPr>
                    <pic:cNvPr descr="Ionity logo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1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0" w:before="0"/>
        <w:jc w:val="center"/>
      </w:pPr>
      <w:r>
        <w:rPr>
          <w:b/>
          <w:sz w:val="32"/>
          <w:szCs w:val="32"/>
          <w:color w:val="006FD3"/>
        </w:rPr>
        <w:t xml:space="preserve">IONITY GLOBAL</w:t>
      </w:r>
    </w:p>
    <w:p>
      <w:pPr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360" w:before="0"/>
        <w:jc w:val="center"/>
      </w:pPr>
      <w:r>
        <w:rPr>
          <w:sz w:val="20"/>
          <w:szCs w:val="20"/>
          <w:color w:val="64748B"/>
        </w:rPr>
        <w:t xml:space="preserve">(Pty) Ltd</w:t>
      </w:r>
    </w:p>
    <w:p>
      <w:pPr>
        <w:pStyle w:val="Title"/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80" w:before="0"/>
        <w:jc w:val="center"/>
      </w:pPr>
      <w:r>
        <w:rPr/>
        <w:t xml:space="preserve">Gate^Flame — Dependencies &amp; Attention Register</w:t>
      </w:r>
    </w:p>
    <w:p>
      <w:pPr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320" w:before="0"/>
        <w:jc w:val="center"/>
      </w:pPr>
      <w:r>
        <w:rPr>
          <w:i/>
          <w:sz w:val="24"/>
          <w:szCs w:val="24"/>
          <w:color w:val="64748B"/>
        </w:rPr>
        <w:t xml:space="preserve">Per application and per device, with what is deliberately not depended on</w:t>
      </w:r>
    </w:p>
    <w:p>
      <w:pPr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0" w:before="0"/>
        <w:jc w:val="center"/>
      </w:pPr>
      <w:r>
        <w:rPr>
          <w:b/>
          <w:sz w:val="22"/>
          <w:szCs w:val="22"/>
        </w:rPr>
        <w:t xml:space="preserve">Johan Wilhelm van Antwerp</w:t>
      </w:r>
    </w:p>
    <w:p>
      <w:pPr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320" w:before="0"/>
        <w:jc w:val="center"/>
      </w:pPr>
      <w:r>
        <w:rPr>
          <w:sz w:val="18"/>
          <w:szCs w:val="18"/>
          <w:color w:val="64748B"/>
        </w:rPr>
        <w:t xml:space="preserve">Founder, Technical Lead &amp; Architect — Ionity (Pty) Ltd | AEDI</w:t>
      </w:r>
    </w:p>
    <w:tbl>
      <w:tblPr>
        <w:tblW w:type="dxa" w:w="9360"/>
        <w:tblBorders>
          <w:top w:color="CBD5E1" w:space="0" w:sz="4" w:val="single"/>
          <w:bottom w:color="CBD5E1" w:space="0" w:sz="4" w:val="single"/>
          <w:left w:color="CBD5E1" w:space="0" w:sz="4" w:val="single"/>
          <w:right w:color="CBD5E1" w:space="0" w:sz="4" w:val="single"/>
          <w:insideH w:color="E2E8F0" w:space="0" w:sz="4" w:val="single"/>
          <w:insideV w:color="E2E8F0" w:space="0" w:sz="4" w:val="single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06FD3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b/>
                <w:sz w:val="18"/>
                <w:szCs w:val="18"/>
                <w:color w:val="FFFFFF"/>
              </w:rPr>
              <w:t xml:space="preserve">Field</w:t>
            </w:r>
          </w:p>
        </w:tc>
        <w:tc>
          <w:tcPr>
            <w:tcW w:type="dxa" w:w="6760"/>
            <w:shd w:fill="006FD3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b/>
                <w:sz w:val="18"/>
                <w:szCs w:val="18"/>
                <w:color w:val="FFFFFF"/>
              </w:rPr>
              <w:t xml:space="preserve">Value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Document ID</w:t>
            </w:r>
          </w:p>
        </w:tc>
        <w:tc>
          <w:tcPr>
            <w:tcW w:type="dxa" w:w="67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DOC-2026-08-024-DEPS</w:t>
            </w:r>
          </w:p>
        </w:tc>
      </w:tr>
      <w:tr>
        <w:tc>
          <w:tcPr>
            <w:tcW w:type="dxa" w:w="26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24 August 2026 (SAST)</w:t>
            </w:r>
          </w:p>
        </w:tc>
      </w:tr>
      <w:tr>
        <w:tc>
          <w:tcPr>
            <w:tcW w:type="dxa" w:w="26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Governance</w:t>
            </w:r>
          </w:p>
        </w:tc>
        <w:tc>
          <w:tcPr>
            <w:tcW w:type="dxa" w:w="676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Policy 986 AED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Licence</w:t>
            </w:r>
          </w:p>
        </w:tc>
        <w:tc>
          <w:tcPr>
            <w:tcW w:type="dxa" w:w="67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AED 900 | CC BY-NC-SA 4.0 where stated</w:t>
            </w:r>
          </w:p>
        </w:tc>
      </w:tr>
      <w:tr>
        <w:tc>
          <w:tcPr>
            <w:tcW w:type="dxa" w:w="26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Supersedes</w:t>
            </w:r>
          </w:p>
        </w:tc>
        <w:tc>
          <w:tcPr>
            <w:tcW w:type="dxa" w:w="67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—  (first issue)</w:t>
            </w:r>
          </w:p>
        </w:tc>
      </w:tr>
    </w:tbl>
    <w:p>
      <w:pPr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80" w:before="0"/>
      </w:pPr>
    </w:p>
    <w:p>
      <w:pPr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200" w:before="200"/>
        <w:jc w:val="center"/>
      </w:pPr>
      <w:r>
        <w:rPr>
          <w:b/>
          <w:sz w:val="24"/>
          <w:szCs w:val="24"/>
          <w:color w:val="C0392B"/>
        </w:rPr>
        <w:t xml:space="preserve">INTERNAL</w:t>
      </w:r>
    </w:p>
    <w:p>
      <w:pPr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0" w:before="0"/>
        <w:jc w:val="center"/>
      </w:pPr>
      <w:r>
        <w:rPr>
          <w:sz w:val="16"/>
          <w:szCs w:val="16"/>
          <w:color w:val="64748B"/>
        </w:rPr>
        <w:t xml:space="preserve">www.ionity.today | www.ionity.world | ai@ionity.today | +27 646 999 877</w:t>
      </w:r>
    </w:p>
    <w:p>
      <w:pPr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0" w:before="0"/>
        <w:jc w:val="center"/>
      </w:pPr>
      <w:r>
        <w:rPr>
          <w:sz w:val="15"/>
          <w:szCs w:val="15"/>
          <w:color w:val="64748B"/>
        </w:rPr>
        <w:t xml:space="preserve">© 2018–2026 Antwerp Designs | Ionity (Pty) Ltd — All Rights Reserved — TM2</w:t>
      </w:r>
    </w:p>
    <w:p>
      <w:pPr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120" w:before="0"/>
        <w:jc w:val="center"/>
      </w:pPr>
      <w:r>
        <w:rPr>
          <w:i/>
          <w:sz w:val="15"/>
          <w:szCs w:val="15"/>
          <w:color w:val="64748B"/>
        </w:rPr>
        <w:t xml:space="preserve">Building Tomorrow, Today. | Anything is Possible with God.</w:t>
      </w:r>
    </w:p>
    <w:p>
      <w:r>
        <w:br w:type="page"/>
      </w:r>
    </w:p>
    <w:p>
      <w:pPr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120" w:before="0"/>
      </w:pPr>
      <w:r>
        <w:rPr>
          <w:i/>
          <w:sz w:val="20"/>
          <w:szCs w:val="20"/>
          <w:color w:val="64748B"/>
        </w:rPr>
        <w:t xml:space="preserve">Read off package.json, requirements.txt and the running box on 2026-08-24, after the dependency cleanup in commit 2df4a13.</w:t>
      </w:r>
    </w:p>
    <w:p>
      <w:pPr>
        <w:pStyle w:val="Heading1"/>
        <w:pBdr>
          <w:top w:space="0" w:sz="0" w:val="none"/>
          <w:left w:space="0" w:sz="0" w:val="none"/>
          <w:bottom w:color="006FD3" w:space="4" w:sz="8" w:val="single"/>
          <w:right w:space="0" w:sz="0" w:val="none"/>
          <w:between w:space="0" w:sz="0" w:val="none"/>
        </w:pBdr>
        <w:spacing w:after="100" w:before="240"/>
      </w:pPr>
      <w:r>
        <w:rPr/>
        <w:t xml:space="preserve">Part 1 — Phone application</w:t>
      </w:r>
    </w:p>
    <w:p>
      <w:pPr>
        <w:pStyle w:val="Heading2"/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100" w:before="240"/>
      </w:pPr>
      <w:r>
        <w:rPr/>
        <w:t xml:space="preserve">1.1 Runtime dependencies</w:t>
      </w:r>
    </w:p>
    <w:tbl>
      <w:tblPr>
        <w:tblW w:type="dxa" w:w="9360"/>
        <w:tblBorders>
          <w:top w:color="CBD5E1" w:space="0" w:sz="4" w:val="single"/>
          <w:bottom w:color="CBD5E1" w:space="0" w:sz="4" w:val="single"/>
          <w:left w:color="CBD5E1" w:space="0" w:sz="4" w:val="single"/>
          <w:right w:color="CBD5E1" w:space="0" w:sz="4" w:val="single"/>
          <w:insideH w:color="E2E8F0" w:space="0" w:sz="4" w:val="single"/>
          <w:insideV w:color="E2E8F0" w:space="0" w:sz="4" w:val="single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100"/>
        <w:gridCol w:w="1300"/>
        <w:gridCol w:w="3200"/>
        <w:gridCol w:w="2760"/>
      </w:tblGrid>
      <w:tr>
        <w:trPr>
          <w:tblHeader/>
        </w:trPr>
        <w:tc>
          <w:tcPr>
            <w:tcW w:type="dxa" w:w="2100"/>
            <w:shd w:fill="006FD3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b/>
                <w:sz w:val="18"/>
                <w:szCs w:val="18"/>
                <w:color w:val="FFFFFF"/>
              </w:rPr>
              <w:t xml:space="preserve">Package</w:t>
            </w:r>
          </w:p>
        </w:tc>
        <w:tc>
          <w:tcPr>
            <w:tcW w:type="dxa" w:w="1300"/>
            <w:shd w:fill="006FD3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b/>
                <w:sz w:val="18"/>
                <w:szCs w:val="18"/>
                <w:color w:val="FFFFFF"/>
              </w:rPr>
              <w:t xml:space="preserve">Version</w:t>
            </w:r>
          </w:p>
        </w:tc>
        <w:tc>
          <w:tcPr>
            <w:tcW w:type="dxa" w:w="3200"/>
            <w:shd w:fill="006FD3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b/>
                <w:sz w:val="18"/>
                <w:szCs w:val="18"/>
                <w:color w:val="FFFFFF"/>
              </w:rPr>
              <w:t xml:space="preserve">Why it is there</w:t>
            </w:r>
          </w:p>
        </w:tc>
        <w:tc>
          <w:tcPr>
            <w:tcW w:type="dxa" w:w="2760"/>
            <w:shd w:fill="006FD3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b/>
                <w:sz w:val="18"/>
                <w:szCs w:val="18"/>
                <w:color w:val="FFFFFF"/>
              </w:rPr>
              <w:t xml:space="preserve">Risk</w:t>
            </w:r>
          </w:p>
        </w:tc>
      </w:tr>
      <w:tr>
        <w:tc>
          <w:tcPr>
            <w:tcW w:type="dxa" w:w="21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@capacitor/core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^8.4.2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The native shell. Without it there is no app</w:t>
            </w:r>
          </w:p>
        </w:tc>
        <w:tc>
          <w:tcPr>
            <w:tcW w:type="dxa" w:w="27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Major upgrades have historically broken the cleartext policy — see 1.4</w:t>
            </w:r>
          </w:p>
        </w:tc>
      </w:tr>
      <w:tr>
        <w:tc>
          <w:tcPr>
            <w:tcW w:type="dxa" w:w="21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@capacitor/android</w:t>
            </w:r>
          </w:p>
        </w:tc>
        <w:tc>
          <w:tcPr>
            <w:tcW w:type="dxa" w:w="13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^8.4.2</w:t>
            </w:r>
          </w:p>
        </w:tc>
        <w:tc>
          <w:tcPr>
            <w:tcW w:type="dxa" w:w="32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Android platform</w:t>
            </w:r>
          </w:p>
        </w:tc>
        <w:tc>
          <w:tcPr>
            <w:tcW w:type="dxa" w:w="276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Tracks core; upgrade together</w:t>
            </w:r>
          </w:p>
        </w:tc>
      </w:tr>
      <w:tr>
        <w:tc>
          <w:tcPr>
            <w:tcW w:type="dxa" w:w="21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react / react-dom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^19.0.1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UI</w:t>
            </w:r>
          </w:p>
        </w:tc>
        <w:tc>
          <w:tcPr>
            <w:tcW w:type="dxa" w:w="27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1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lucide-react</w:t>
            </w:r>
          </w:p>
        </w:tc>
        <w:tc>
          <w:tcPr>
            <w:tcW w:type="dxa" w:w="13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^0.546.0</w:t>
            </w:r>
          </w:p>
        </w:tc>
        <w:tc>
          <w:tcPr>
            <w:tcW w:type="dxa" w:w="32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Icons, tree-shaken — only used glyphs ship</w:t>
            </w:r>
          </w:p>
        </w:tc>
        <w:tc>
          <w:tcPr>
            <w:tcW w:type="dxa" w:w="276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Low, but pre-1.0: pin before launch</w:t>
            </w:r>
          </w:p>
        </w:tc>
      </w:tr>
      <w:tr>
        <w:tc>
          <w:tcPr>
            <w:tcW w:type="dxa" w:w="21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clsx + tailwind-merge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^2.1.1 / ^3.6.0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Class composition in lib/utils.ts</w:t>
            </w:r>
          </w:p>
        </w:tc>
        <w:tc>
          <w:tcPr>
            <w:tcW w:type="dxa" w:w="27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1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@tailwindcss/vite</w:t>
            </w:r>
          </w:p>
        </w:tc>
        <w:tc>
          <w:tcPr>
            <w:tcW w:type="dxa" w:w="13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^4.1.14</w:t>
            </w:r>
          </w:p>
        </w:tc>
        <w:tc>
          <w:tcPr>
            <w:tcW w:type="dxa" w:w="32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Tailwind v4; no postcss config exists</w:t>
            </w:r>
          </w:p>
        </w:tc>
        <w:tc>
          <w:tcPr>
            <w:tcW w:type="dxa" w:w="276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Low</w:t>
            </w:r>
          </w:p>
        </w:tc>
      </w:tr>
    </w:tbl>
    <w:p>
      <w:pPr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80" w:before="0"/>
      </w:pPr>
    </w:p>
    <w:p>
      <w:pPr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120" w:before="0"/>
      </w:pPr>
      <w:r>
        <w:rPr>
          <w:b/>
        </w:rPr>
        <w:t xml:space="preserve">Not used by the phone app</w:t>
      </w:r>
      <w:r>
        <w:rPr/>
        <w:t xml:space="preserve">, present only for the web demo surface: recharts (~373 kB), motion (~129 kB), zustand. The phone bundle is </w:t>
      </w:r>
      <w:r>
        <w:rPr>
          <w:b/>
        </w:rPr>
        <w:t xml:space="preserve">285 kB</w:t>
      </w:r>
      <w:r>
        <w:rPr/>
        <w:t xml:space="preserve"> and contains none of them — the console’s charts are hand-rolled SVG.</w:t>
      </w:r>
    </w:p>
    <w:p>
      <w:pPr>
        <w:pStyle w:val="Heading2"/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100" w:before="240"/>
      </w:pPr>
      <w:r>
        <w:rPr/>
        <w:t xml:space="preserve">1.2 Deliberately NOT depended on</w:t>
      </w:r>
    </w:p>
    <w:tbl>
      <w:tblPr>
        <w:tblW w:type="dxa" w:w="9360"/>
        <w:tblBorders>
          <w:top w:color="CBD5E1" w:space="0" w:sz="4" w:val="single"/>
          <w:bottom w:color="CBD5E1" w:space="0" w:sz="4" w:val="single"/>
          <w:left w:color="CBD5E1" w:space="0" w:sz="4" w:val="single"/>
          <w:right w:color="CBD5E1" w:space="0" w:sz="4" w:val="single"/>
          <w:insideH w:color="E2E8F0" w:space="0" w:sz="4" w:val="single"/>
          <w:insideV w:color="E2E8F0" w:space="0" w:sz="4" w:val="single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06FD3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b/>
                <w:sz w:val="18"/>
                <w:szCs w:val="18"/>
                <w:color w:val="FFFFFF"/>
              </w:rPr>
              <w:t xml:space="preserve">Not installed</w:t>
            </w:r>
          </w:p>
        </w:tc>
        <w:tc>
          <w:tcPr>
            <w:tcW w:type="dxa" w:w="6760"/>
            <w:shd w:fill="006FD3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b/>
                <w:sz w:val="18"/>
                <w:szCs w:val="18"/>
                <w:color w:val="FFFFFF"/>
              </w:rPr>
              <w:t xml:space="preserve">Why it matters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Any charting library</w:t>
            </w:r>
          </w:p>
        </w:tc>
        <w:tc>
          <w:tcPr>
            <w:tcW w:type="dxa" w:w="67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The plan forbids one. Every chart is hand-rolled SVG in kioskUi.tsx</w:t>
            </w:r>
          </w:p>
        </w:tc>
      </w:tr>
      <w:tr>
        <w:tc>
          <w:tcPr>
            <w:tcW w:type="dxa" w:w="26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@capacitor/network</w:t>
            </w:r>
          </w:p>
        </w:tc>
        <w:tc>
          <w:tcPr>
            <w:tcW w:type="dxa" w:w="676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IoniBot probe A1 degrades to “unknown”, and unknown never resolves to a confident state. Installing it unlocks more specific copy at the cost of a native rebuild. Standing rule: IoniBot adds no required dependency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A QR scanner</w:t>
            </w:r>
          </w:p>
        </w:tc>
        <w:tc>
          <w:tcPr>
            <w:tcW w:type="dxa" w:w="67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Needed for Sprint F.3. Will be the first new native dependency; budget an Android rebuild for it</w:t>
            </w:r>
          </w:p>
        </w:tc>
      </w:tr>
      <w:tr>
        <w:tc>
          <w:tcPr>
            <w:tcW w:type="dxa" w:w="26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Any analytics or crash SDK</w:t>
            </w:r>
          </w:p>
        </w:tc>
        <w:tc>
          <w:tcPr>
            <w:tcW w:type="dxa" w:w="676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Nothing about a customer’s network should leave their LAN. If this ever changes it needs its own consent screen and POPIA review</w:t>
            </w:r>
          </w:p>
        </w:tc>
      </w:tr>
    </w:tbl>
    <w:p>
      <w:pPr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80" w:before="0"/>
      </w:pPr>
    </w:p>
    <w:p>
      <w:pPr>
        <w:pStyle w:val="Heading2"/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100" w:before="240"/>
      </w:pPr>
      <w:r>
        <w:rPr/>
        <w:t xml:space="preserve">1.3 Needs tending — phone</w:t>
      </w:r>
    </w:p>
    <w:tbl>
      <w:tblPr>
        <w:tblW w:type="dxa" w:w="9360"/>
        <w:tblBorders>
          <w:top w:color="CBD5E1" w:space="0" w:sz="4" w:val="single"/>
          <w:bottom w:color="CBD5E1" w:space="0" w:sz="4" w:val="single"/>
          <w:left w:color="CBD5E1" w:space="0" w:sz="4" w:val="single"/>
          <w:right w:color="CBD5E1" w:space="0" w:sz="4" w:val="single"/>
          <w:insideH w:color="E2E8F0" w:space="0" w:sz="4" w:val="single"/>
          <w:insideV w:color="E2E8F0" w:space="0" w:sz="4" w:val="single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600"/>
        <w:gridCol w:w="6960"/>
        <w:gridCol w:w="1800"/>
      </w:tblGrid>
      <w:tr>
        <w:trPr>
          <w:tblHeader/>
        </w:trPr>
        <w:tc>
          <w:tcPr>
            <w:tcW w:type="dxa" w:w="600"/>
            <w:shd w:fill="006FD3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b/>
                <w:sz w:val="18"/>
                <w:szCs w:val="18"/>
                <w:color w:val="FFFFFF"/>
              </w:rPr>
              <w:t xml:space="preserve">#</w:t>
            </w:r>
          </w:p>
        </w:tc>
        <w:tc>
          <w:tcPr>
            <w:tcW w:type="dxa" w:w="6960"/>
            <w:shd w:fill="006FD3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b/>
                <w:sz w:val="18"/>
                <w:szCs w:val="18"/>
                <w:color w:val="FFFFFF"/>
              </w:rPr>
              <w:t xml:space="preserve">Item</w:t>
            </w:r>
          </w:p>
        </w:tc>
        <w:tc>
          <w:tcPr>
            <w:tcW w:type="dxa" w:w="1800"/>
            <w:shd w:fill="006FD3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b/>
                <w:sz w:val="18"/>
                <w:szCs w:val="18"/>
                <w:color w:val="FFFFFF"/>
              </w:rPr>
              <w:t xml:space="preserve">Severity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69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android/keystore.properties does not exist — build:apk cannot sign a release. Debug builds unaffected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HIGH — blocks Play</w:t>
            </w:r>
          </w:p>
        </w:tc>
      </w:tr>
      <w:tr>
        <w:tc>
          <w:tcPr>
            <w:tcW w:type="dxa" w:w="6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696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Keystore not backed up, fingerprint not recorded. Lose the file and the app can never be updated under the same listing</w:t>
            </w:r>
          </w:p>
        </w:tc>
        <w:tc>
          <w:tcPr>
            <w:tcW w:type="dxa" w:w="18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69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versionName disagreement — tag v1.0.2 vs version.properties 1.0.1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P4</w:t>
            </w:r>
          </w:p>
        </w:tc>
        <w:tc>
          <w:tcPr>
            <w:tcW w:type="dxa" w:w="696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allowMixedContent must survive every Capacitor upgrade. Capacitor serves from https://localhost, so every LAN call is mixed content. Commit 7de065e turned this off believing the network-security config replaced it — it does not, and the app silently lost its only function</w:t>
            </w:r>
          </w:p>
        </w:tc>
        <w:tc>
          <w:tcPr>
            <w:tcW w:type="dxa" w:w="18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P5</w:t>
            </w:r>
          </w:p>
        </w:tc>
        <w:tc>
          <w:tcPr>
            <w:tcW w:type="dxa" w:w="69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lucide-react is pre-1.0. Pin exactly before launch rather than carrying a caret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P6</w:t>
            </w:r>
          </w:p>
        </w:tc>
        <w:tc>
          <w:tcPr>
            <w:tcW w:type="dxa" w:w="696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No native secure storage. The pairing token sits in localStorage; the mobile plan (A4) asks for Android Keystore-backed storage. A rooted adb pull can read it today</w:t>
            </w:r>
          </w:p>
        </w:tc>
        <w:tc>
          <w:tcPr>
            <w:tcW w:type="dxa" w:w="18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P7</w:t>
            </w:r>
          </w:p>
        </w:tc>
        <w:tc>
          <w:tcPr>
            <w:tcW w:type="dxa" w:w="69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Pairing is over plain HTTP. Anyone on the Wi-Fi can read the token in transit. The plan’s D1 decision is unanswered. Retrofitting after units ship means re-pairing every device in the field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HIGH — decide before hardware</w:t>
            </w:r>
          </w:p>
        </w:tc>
      </w:tr>
      <w:tr>
        <w:tc>
          <w:tcPr>
            <w:tcW w:type="dxa" w:w="6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P8</w:t>
            </w:r>
          </w:p>
        </w:tc>
        <w:tc>
          <w:tcPr>
            <w:tcW w:type="dxa" w:w="696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Portrait layout verified only on a landscape emulator; the Android 13 instance crashed three times</w:t>
            </w:r>
          </w:p>
        </w:tc>
        <w:tc>
          <w:tcPr>
            <w:tcW w:type="dxa" w:w="18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</w:tbl>
    <w:p>
      <w:pPr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80" w:before="0"/>
      </w:pPr>
    </w:p>
    <w:p>
      <w:pPr>
        <w:pStyle w:val="Heading2"/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100" w:before="240"/>
      </w:pPr>
      <w:r>
        <w:rPr/>
        <w:t xml:space="preserve">1.4 Capacitor upgrade checklist</w:t>
      </w:r>
    </w:p>
    <w:p>
      <w:pPr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120" w:before="0"/>
      </w:pPr>
      <w:r>
        <w:rPr/>
        <w:t xml:space="preserve">Because this has bitten once and cost the product its entire function:</w:t>
      </w:r>
    </w:p>
    <w:p>
      <w:pPr>
        <w:numPr>
          <w:ilvl w:val="0"/>
          <w:numId w:val="1"/>
        </w:numPr>
        <w:spacing w:after="60"/>
      </w:pPr>
      <w:r>
        <w:rPr/>
        <w:t xml:space="preserve">allowMixedContent is still true in capacitor.config.ts.</w:t>
      </w:r>
    </w:p>
    <w:p>
      <w:pPr>
        <w:numPr>
          <w:ilvl w:val="0"/>
          <w:numId w:val="1"/>
        </w:numPr>
        <w:spacing w:after="60"/>
      </w:pPr>
      <w:r>
        <w:rPr/>
        <w:t xml:space="preserve">network_security_config.xml is still referenced from the manifest.</w:t>
      </w:r>
    </w:p>
    <w:p>
      <w:pPr>
        <w:numPr>
          <w:ilvl w:val="0"/>
          <w:numId w:val="1"/>
        </w:numPr>
        <w:spacing w:after="60"/>
      </w:pPr>
      <w:r>
        <w:rPr/>
        <w:t xml:space="preserve">applicationId is still today.ionity.gateflame.</w:t>
      </w:r>
    </w:p>
    <w:p>
      <w:pPr>
        <w:numPr>
          <w:ilvl w:val="0"/>
          <w:numId w:val="1"/>
        </w:numPr>
        <w:spacing w:after="60"/>
      </w:pPr>
      <w:r>
        <w:rPr/>
        <w:t xml:space="preserve">Install the built APK on a device and confirm it reaches a node.</w:t>
      </w:r>
    </w:p>
    <w:p>
      <w:r>
        <w:br w:type="page"/>
      </w:r>
    </w:p>
    <w:p>
      <w:pPr>
        <w:pStyle w:val="Heading1"/>
        <w:pBdr>
          <w:top w:space="0" w:sz="0" w:val="none"/>
          <w:left w:space="0" w:sz="0" w:val="none"/>
          <w:bottom w:color="006FD3" w:space="4" w:sz="8" w:val="single"/>
          <w:right w:space="0" w:sz="0" w:val="none"/>
          <w:between w:space="0" w:sz="0" w:val="none"/>
        </w:pBdr>
        <w:spacing w:after="100" w:before="240"/>
      </w:pPr>
      <w:r>
        <w:rPr/>
        <w:t xml:space="preserve">Part 2 — Node agent (the box)</w:t>
      </w:r>
    </w:p>
    <w:p>
      <w:pPr>
        <w:pStyle w:val="Heading2"/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100" w:before="240"/>
      </w:pPr>
      <w:r>
        <w:rPr/>
        <w:t xml:space="preserve">2.1 Python runtime</w:t>
      </w:r>
    </w:p>
    <w:tbl>
      <w:tblPr>
        <w:tblW w:type="dxa" w:w="9360"/>
        <w:tblBorders>
          <w:top w:color="CBD5E1" w:space="0" w:sz="4" w:val="single"/>
          <w:bottom w:color="CBD5E1" w:space="0" w:sz="4" w:val="single"/>
          <w:left w:color="CBD5E1" w:space="0" w:sz="4" w:val="single"/>
          <w:right w:color="CBD5E1" w:space="0" w:sz="4" w:val="single"/>
          <w:insideH w:color="E2E8F0" w:space="0" w:sz="4" w:val="single"/>
          <w:insideV w:color="E2E8F0" w:space="0" w:sz="4" w:val="single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000"/>
        <w:gridCol w:w="1500"/>
        <w:gridCol w:w="2400"/>
        <w:gridCol w:w="3460"/>
      </w:tblGrid>
      <w:tr>
        <w:trPr>
          <w:tblHeader/>
        </w:trPr>
        <w:tc>
          <w:tcPr>
            <w:tcW w:type="dxa" w:w="2000"/>
            <w:shd w:fill="006FD3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b/>
                <w:sz w:val="18"/>
                <w:szCs w:val="18"/>
                <w:color w:val="FFFFFF"/>
              </w:rPr>
              <w:t xml:space="preserve">Package</w:t>
            </w:r>
          </w:p>
        </w:tc>
        <w:tc>
          <w:tcPr>
            <w:tcW w:type="dxa" w:w="1500"/>
            <w:shd w:fill="006FD3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b/>
                <w:sz w:val="18"/>
                <w:szCs w:val="18"/>
                <w:color w:val="FFFFFF"/>
              </w:rPr>
              <w:t xml:space="preserve">Constraint</w:t>
            </w:r>
          </w:p>
        </w:tc>
        <w:tc>
          <w:tcPr>
            <w:tcW w:type="dxa" w:w="2400"/>
            <w:shd w:fill="006FD3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b/>
                <w:sz w:val="18"/>
                <w:szCs w:val="18"/>
                <w:color w:val="FFFFFF"/>
              </w:rPr>
              <w:t xml:space="preserve">Why</w:t>
            </w:r>
          </w:p>
        </w:tc>
        <w:tc>
          <w:tcPr>
            <w:tcW w:type="dxa" w:w="3460"/>
            <w:shd w:fill="006FD3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b/>
                <w:sz w:val="18"/>
                <w:szCs w:val="18"/>
                <w:color w:val="FFFFFF"/>
              </w:rPr>
              <w:t xml:space="preserve">Risk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fastapi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&gt;=0.115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The API</w:t>
            </w:r>
          </w:p>
        </w:tc>
        <w:tc>
          <w:tcPr>
            <w:tcW w:type="dxa" w:w="34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@app.on_event is deprecated — two call sites in main.py. Migrate to lifespan handlers</w:t>
            </w:r>
          </w:p>
        </w:tc>
      </w:tr>
      <w:tr>
        <w:tc>
          <w:tcPr>
            <w:tcW w:type="dxa" w:w="20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uvicorn[standard]</w:t>
            </w:r>
          </w:p>
        </w:tc>
        <w:tc>
          <w:tcPr>
            <w:tcW w:type="dxa" w:w="15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&gt;=0.30</w:t>
            </w:r>
          </w:p>
        </w:tc>
        <w:tc>
          <w:tcPr>
            <w:tcW w:type="dxa" w:w="24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ASGI server</w:t>
            </w:r>
          </w:p>
        </w:tc>
        <w:tc>
          <w:tcPr>
            <w:tcW w:type="dxa" w:w="346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psutil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&gt;=6.0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Real host telemetry</w:t>
            </w:r>
          </w:p>
        </w:tc>
        <w:tc>
          <w:tcPr>
            <w:tcW w:type="dxa" w:w="34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0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httpx</w:t>
            </w:r>
          </w:p>
        </w:tc>
        <w:tc>
          <w:tcPr>
            <w:tcW w:type="dxa" w:w="15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&gt;=0.27</w:t>
            </w:r>
          </w:p>
        </w:tc>
        <w:tc>
          <w:tcPr>
            <w:tcW w:type="dxa" w:w="24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Pi-hole v6 client</w:t>
            </w:r>
          </w:p>
        </w:tc>
        <w:tc>
          <w:tcPr>
            <w:tcW w:type="dxa" w:w="346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Low</w:t>
            </w:r>
          </w:p>
        </w:tc>
      </w:tr>
    </w:tbl>
    <w:p>
      <w:pPr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80" w:before="0"/>
      </w:pPr>
    </w:p>
    <w:p>
      <w:pPr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120" w:before="0"/>
      </w:pPr>
      <w:r>
        <w:rPr/>
        <w:t xml:space="preserve">Four runtime dependencies. That restraint is worth keeping — it is why the agent installs cleanly on a 2 GB board.</w:t>
      </w:r>
    </w:p>
    <w:p>
      <w:pPr>
        <w:pStyle w:val="Heading2"/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100" w:before="240"/>
      </w:pPr>
      <w:r>
        <w:rPr/>
        <w:t xml:space="preserve">2.2 System dependencies on the box</w:t>
      </w:r>
    </w:p>
    <w:tbl>
      <w:tblPr>
        <w:tblW w:type="dxa" w:w="9360"/>
        <w:tblBorders>
          <w:top w:color="CBD5E1" w:space="0" w:sz="4" w:val="single"/>
          <w:bottom w:color="CBD5E1" w:space="0" w:sz="4" w:val="single"/>
          <w:left w:color="CBD5E1" w:space="0" w:sz="4" w:val="single"/>
          <w:right w:color="CBD5E1" w:space="0" w:sz="4" w:val="single"/>
          <w:insideH w:color="E2E8F0" w:space="0" w:sz="4" w:val="single"/>
          <w:insideV w:color="E2E8F0" w:space="0" w:sz="4" w:val="single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shd w:fill="006FD3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b/>
                <w:sz w:val="18"/>
                <w:szCs w:val="18"/>
                <w:color w:val="FFFFFF"/>
              </w:rPr>
              <w:t xml:space="preserve">Thing</w:t>
            </w:r>
          </w:p>
        </w:tc>
        <w:tc>
          <w:tcPr>
            <w:tcW w:type="dxa" w:w="2200"/>
            <w:shd w:fill="006FD3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b/>
                <w:sz w:val="18"/>
                <w:szCs w:val="18"/>
                <w:color w:val="FFFFFF"/>
              </w:rPr>
              <w:t xml:space="preserve">Used by</w:t>
            </w:r>
          </w:p>
        </w:tc>
        <w:tc>
          <w:tcPr>
            <w:tcW w:type="dxa" w:w="4760"/>
            <w:shd w:fill="006FD3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b/>
                <w:sz w:val="18"/>
                <w:szCs w:val="18"/>
                <w:color w:val="FFFFFF"/>
              </w:rPr>
              <w:t xml:space="preserve">Note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Docker + compose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Pi-hole and Unbound</w:t>
            </w:r>
          </w:p>
        </w:tc>
        <w:tc>
          <w:tcPr>
            <w:tcW w:type="dxa" w:w="47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wabapi is in the docker group, so most operations need no sudo</w:t>
            </w:r>
          </w:p>
        </w:tc>
      </w:tr>
      <w:tr>
        <w:tc>
          <w:tcPr>
            <w:tcW w:type="dxa" w:w="24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pihole/pihole:latest</w:t>
            </w:r>
          </w:p>
        </w:tc>
        <w:tc>
          <w:tcPr>
            <w:tcW w:type="dxa" w:w="22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DNS filtering</w:t>
            </w:r>
          </w:p>
        </w:tc>
        <w:tc>
          <w:tcPr>
            <w:tcW w:type="dxa" w:w="476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EUPL-1.2 — check redistribution terms before shipping pre-installed. “latest” is a FLOATING TAG: pin a digest before manufacturing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klutchell/unbound:main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Recursive resolution</w:t>
            </w:r>
          </w:p>
        </w:tc>
        <w:tc>
          <w:tcPr>
            <w:tcW w:type="dxa" w:w="47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Also a floating tag. Pin it</w:t>
            </w:r>
          </w:p>
        </w:tc>
      </w:tr>
      <w:tr>
        <w:tc>
          <w:tcPr>
            <w:tcW w:type="dxa" w:w="24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bash</w:t>
            </w:r>
          </w:p>
        </w:tc>
        <w:tc>
          <w:tcPr>
            <w:tcW w:type="dxa" w:w="22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Every operational script</w:t>
            </w:r>
          </w:p>
        </w:tc>
        <w:tc>
          <w:tcPr>
            <w:tcW w:type="dxa" w:w="476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Not POSIX sh. netcheck.py reports an honest gap if absent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ip, nft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clients, firewall</w:t>
            </w:r>
          </w:p>
        </w:tc>
        <w:tc>
          <w:tcPr>
            <w:tcW w:type="dxa" w:w="47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nft needs CAP_NET_ADMIN</w:t>
            </w:r>
          </w:p>
        </w:tc>
      </w:tr>
      <w:tr>
        <w:tc>
          <w:tcPr>
            <w:tcW w:type="dxa" w:w="24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avahi</w:t>
            </w:r>
          </w:p>
        </w:tc>
        <w:tc>
          <w:tcPr>
            <w:tcW w:type="dxa" w:w="22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gateflame.local discovery</w:t>
            </w:r>
          </w:p>
        </w:tc>
        <w:tc>
          <w:tcPr>
            <w:tcW w:type="dxa" w:w="476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Publishes every address the box holds — a hazard while dual-homed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vcgencmd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Throttle detection</w:t>
            </w:r>
          </w:p>
        </w:tc>
        <w:tc>
          <w:tcPr>
            <w:tcW w:type="dxa" w:w="47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Pi-specific. Absent on Orange Pi — must degrade, not fail</w:t>
            </w:r>
          </w:p>
        </w:tc>
      </w:tr>
      <w:tr>
        <w:tc>
          <w:tcPr>
            <w:tcW w:type="dxa" w:w="24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systemd</w:t>
            </w:r>
          </w:p>
        </w:tc>
        <w:tc>
          <w:tcPr>
            <w:tcW w:type="dxa" w:w="22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Service, drop-ins, watchdog timer</w:t>
            </w:r>
          </w:p>
        </w:tc>
        <w:tc>
          <w:tcPr>
            <w:tcW w:type="dxa" w:w="476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Drop-ins at /etc/systemd/system/gateflame-node-agent.service.d/</w:t>
            </w:r>
          </w:p>
        </w:tc>
      </w:tr>
    </w:tbl>
    <w:p>
      <w:pPr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80" w:before="0"/>
      </w:pPr>
    </w:p>
    <w:p>
      <w:pPr>
        <w:pStyle w:val="Heading2"/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100" w:before="240"/>
      </w:pPr>
      <w:r>
        <w:rPr/>
        <w:t xml:space="preserve">2.3 Needs tending — box</w:t>
      </w:r>
    </w:p>
    <w:tbl>
      <w:tblPr>
        <w:tblW w:type="dxa" w:w="9360"/>
        <w:tblBorders>
          <w:top w:color="CBD5E1" w:space="0" w:sz="4" w:val="single"/>
          <w:bottom w:color="CBD5E1" w:space="0" w:sz="4" w:val="single"/>
          <w:left w:color="CBD5E1" w:space="0" w:sz="4" w:val="single"/>
          <w:right w:color="CBD5E1" w:space="0" w:sz="4" w:val="single"/>
          <w:insideH w:color="E2E8F0" w:space="0" w:sz="4" w:val="single"/>
          <w:insideV w:color="E2E8F0" w:space="0" w:sz="4" w:val="single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600"/>
        <w:gridCol w:w="6960"/>
        <w:gridCol w:w="1800"/>
      </w:tblGrid>
      <w:tr>
        <w:trPr>
          <w:tblHeader/>
        </w:trPr>
        <w:tc>
          <w:tcPr>
            <w:tcW w:type="dxa" w:w="600"/>
            <w:shd w:fill="006FD3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b/>
                <w:sz w:val="18"/>
                <w:szCs w:val="18"/>
                <w:color w:val="FFFFFF"/>
              </w:rPr>
              <w:t xml:space="preserve">#</w:t>
            </w:r>
          </w:p>
        </w:tc>
        <w:tc>
          <w:tcPr>
            <w:tcW w:type="dxa" w:w="6960"/>
            <w:shd w:fill="006FD3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b/>
                <w:sz w:val="18"/>
                <w:szCs w:val="18"/>
                <w:color w:val="FFFFFF"/>
              </w:rPr>
              <w:t xml:space="preserve">Item</w:t>
            </w:r>
          </w:p>
        </w:tc>
        <w:tc>
          <w:tcPr>
            <w:tcW w:type="dxa" w:w="1800"/>
            <w:shd w:fill="006FD3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b/>
                <w:sz w:val="18"/>
                <w:szCs w:val="18"/>
                <w:color w:val="FFFFFF"/>
              </w:rPr>
              <w:t xml:space="preserve">Severity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B1</w:t>
            </w:r>
          </w:p>
        </w:tc>
        <w:tc>
          <w:tcPr>
            <w:tcW w:type="dxa" w:w="69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Pi-hole admin password exposed in a session transcript. systemctl show -p Environment dumps the whole environment — never run it in a shared context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HIGH — rotate</w:t>
            </w:r>
          </w:p>
        </w:tc>
      </w:tr>
      <w:tr>
        <w:tc>
          <w:tcPr>
            <w:tcW w:type="dxa" w:w="6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B2</w:t>
            </w:r>
          </w:p>
        </w:tc>
        <w:tc>
          <w:tcPr>
            <w:tcW w:type="dxa" w:w="696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Floating image tags. pihole:latest can change under a shipped unit. The TP-Link firmware lesson: a silent upstream change in a customer’s house is the worst failure shape</w:t>
            </w:r>
          </w:p>
        </w:tc>
        <w:tc>
          <w:tcPr>
            <w:tcW w:type="dxa" w:w="18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HIGH — pin before manufacturing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B3</w:t>
            </w:r>
          </w:p>
        </w:tc>
        <w:tc>
          <w:tcPr>
            <w:tcW w:type="dxa" w:w="69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Dual-homed on one /24 — eth0 .10, wlan0 .13, port 53 on .10 only. ARP flux makes DNS intermittent and per-device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B4</w:t>
            </w:r>
          </w:p>
        </w:tc>
        <w:tc>
          <w:tcPr>
            <w:tcW w:type="dxa" w:w="696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Router advertises IPv6 with no default route. Phones prefer it, stall on every AAAA, and drop to mobile data. Self-heal written, not deployed</w:t>
            </w:r>
          </w:p>
        </w:tc>
        <w:tc>
          <w:tcPr>
            <w:tcW w:type="dxa" w:w="18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B5</w:t>
            </w:r>
          </w:p>
        </w:tc>
        <w:tc>
          <w:tcPr>
            <w:tcW w:type="dxa" w:w="69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Router is not forwarding to the box. Only the workstation is filtered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B6</w:t>
            </w:r>
          </w:p>
        </w:tc>
        <w:tc>
          <w:tcPr>
            <w:tcW w:type="dxa" w:w="696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@app.on_event deprecated — two sites in main.py</w:t>
            </w:r>
          </w:p>
        </w:tc>
        <w:tc>
          <w:tcPr>
            <w:tcW w:type="dxa" w:w="18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B7</w:t>
            </w:r>
          </w:p>
        </w:tc>
        <w:tc>
          <w:tcPr>
            <w:tcW w:type="dxa" w:w="69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Telnet open on the router, port 23. Worth closing regardless of Gate^Flame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B8</w:t>
            </w:r>
          </w:p>
        </w:tc>
        <w:tc>
          <w:tcPr>
            <w:tcW w:type="dxa" w:w="696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open-webui is running on the box, mentioned in no Gate^Flame document. Harmless on a 16 GB Pi 5; would not fit a 2 GB base board. Establish what put it there before the BOM freeze</w:t>
            </w:r>
          </w:p>
        </w:tc>
        <w:tc>
          <w:tcPr>
            <w:tcW w:type="dxa" w:w="18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B9</w:t>
            </w:r>
          </w:p>
        </w:tc>
        <w:tc>
          <w:tcPr>
            <w:tcW w:type="dxa" w:w="69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/api/v1/pair/router/revert does not exist. IoniBot IB-605’s tidy-up fails honestly. Post-ADR-001 this is hygiene, not rescue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B10</w:t>
            </w:r>
          </w:p>
        </w:tc>
        <w:tc>
          <w:tcPr>
            <w:tcW w:type="dxa" w:w="696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NODE_ENV=development on the Pi — produces React dev bundles, roughly twice the size, leaking dev internals</w:t>
            </w:r>
          </w:p>
        </w:tc>
        <w:tc>
          <w:tcPr>
            <w:tcW w:type="dxa" w:w="18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B11</w:t>
            </w:r>
          </w:p>
        </w:tc>
        <w:tc>
          <w:tcPr>
            <w:tcW w:type="dxa" w:w="69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No history database. See Sprint B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B12</w:t>
            </w:r>
          </w:p>
        </w:tc>
        <w:tc>
          <w:tcPr>
            <w:tcW w:type="dxa" w:w="696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nft and AF_PACKET never proven ENFORCING on real hardware — only container fallbacks</w:t>
            </w:r>
          </w:p>
        </w:tc>
        <w:tc>
          <w:tcPr>
            <w:tcW w:type="dxa" w:w="18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</w:tbl>
    <w:p>
      <w:pPr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80" w:before="0"/>
      </w:pPr>
    </w:p>
    <w:p>
      <w:r>
        <w:br w:type="page"/>
      </w:r>
    </w:p>
    <w:p>
      <w:pPr>
        <w:pStyle w:val="Heading1"/>
        <w:pBdr>
          <w:top w:space="0" w:sz="0" w:val="none"/>
          <w:left w:space="0" w:sz="0" w:val="none"/>
          <w:bottom w:color="006FD3" w:space="4" w:sz="8" w:val="single"/>
          <w:right w:space="0" w:sz="0" w:val="none"/>
          <w:between w:space="0" w:sz="0" w:val="none"/>
        </w:pBdr>
        <w:spacing w:after="100" w:before="240"/>
      </w:pPr>
      <w:r>
        <w:rPr/>
        <w:t xml:space="preserve">Part 3 — Build and tooling</w:t>
      </w:r>
    </w:p>
    <w:p>
      <w:pPr>
        <w:pStyle w:val="Heading2"/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100" w:before="240"/>
      </w:pPr>
      <w:r>
        <w:rPr/>
        <w:t xml:space="preserve">3.1 Toolchain</w:t>
      </w:r>
    </w:p>
    <w:tbl>
      <w:tblPr>
        <w:tblW w:type="dxa" w:w="9360"/>
        <w:tblBorders>
          <w:top w:color="CBD5E1" w:space="0" w:sz="4" w:val="single"/>
          <w:bottom w:color="CBD5E1" w:space="0" w:sz="4" w:val="single"/>
          <w:left w:color="CBD5E1" w:space="0" w:sz="4" w:val="single"/>
          <w:right w:color="CBD5E1" w:space="0" w:sz="4" w:val="single"/>
          <w:insideH w:color="E2E8F0" w:space="0" w:sz="4" w:val="single"/>
          <w:insideV w:color="E2E8F0" w:space="0" w:sz="4" w:val="single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shd w:fill="006FD3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b/>
                <w:sz w:val="18"/>
                <w:szCs w:val="18"/>
                <w:color w:val="FFFFFF"/>
              </w:rPr>
              <w:t xml:space="preserve">Tool</w:t>
            </w:r>
          </w:p>
        </w:tc>
        <w:tc>
          <w:tcPr>
            <w:tcW w:type="dxa" w:w="2400"/>
            <w:shd w:fill="006FD3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b/>
                <w:sz w:val="18"/>
                <w:szCs w:val="18"/>
                <w:color w:val="FFFFFF"/>
              </w:rPr>
              <w:t xml:space="preserve">Version</w:t>
            </w:r>
          </w:p>
        </w:tc>
        <w:tc>
          <w:tcPr>
            <w:tcW w:type="dxa" w:w="4960"/>
            <w:shd w:fill="006FD3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b/>
                <w:sz w:val="18"/>
                <w:szCs w:val="18"/>
                <w:color w:val="FFFFFF"/>
              </w:rPr>
              <w:t xml:space="preserve">Note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Node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24.x</w:t>
            </w:r>
          </w:p>
        </w:tc>
        <w:tc>
          <w:tcPr>
            <w:tcW w:type="dxa" w:w="49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</w:p>
        </w:tc>
      </w:tr>
      <w:tr>
        <w:tc>
          <w:tcPr>
            <w:tcW w:type="dxa" w:w="20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TypeScript</w:t>
            </w:r>
          </w:p>
        </w:tc>
        <w:tc>
          <w:tcPr>
            <w:tcW w:type="dxa" w:w="24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~5.8.2</w:t>
            </w:r>
          </w:p>
        </w:tc>
        <w:tc>
          <w:tcPr>
            <w:tcW w:type="dxa" w:w="496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tsc --noEmit is the lint step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Vite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^6.2.3</w:t>
            </w:r>
          </w:p>
        </w:tc>
        <w:tc>
          <w:tcPr>
            <w:tcW w:type="dxa" w:w="49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Three configs: vite.config.ts, vite.standalone.config.ts, vite.chunks.config.ts</w:t>
            </w:r>
          </w:p>
        </w:tc>
      </w:tr>
      <w:tr>
        <w:tc>
          <w:tcPr>
            <w:tcW w:type="dxa" w:w="20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Vitest</w:t>
            </w:r>
          </w:p>
        </w:tc>
        <w:tc>
          <w:tcPr>
            <w:tcW w:type="dxa" w:w="24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^3.2.7</w:t>
            </w:r>
          </w:p>
        </w:tc>
        <w:tc>
          <w:tcPr>
            <w:tcW w:type="dxa" w:w="496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178 frontend tests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JDK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Adoptium 21</w:t>
            </w:r>
          </w:p>
        </w:tc>
        <w:tc>
          <w:tcPr>
            <w:tcW w:type="dxa" w:w="49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C:\Users\DGMic\.gradle\jdks\eclipse_adoptium-21-amd64-windows.2</w:t>
            </w:r>
          </w:p>
        </w:tc>
      </w:tr>
      <w:tr>
        <w:tc>
          <w:tcPr>
            <w:tcW w:type="dxa" w:w="20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Android SDK</w:t>
            </w:r>
          </w:p>
        </w:tc>
        <w:tc>
          <w:tcPr>
            <w:tcW w:type="dxa" w:w="24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compileSdk 36, minSdk 24</w:t>
            </w:r>
          </w:p>
        </w:tc>
        <w:tc>
          <w:tcPr>
            <w:tcW w:type="dxa" w:w="496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C:\Users\DGMic\AppData\Local\Android\Sdk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Python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3.11+ on the box</w:t>
            </w:r>
          </w:p>
        </w:tc>
        <w:tc>
          <w:tcPr>
            <w:tcW w:type="dxa" w:w="49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.venv in node-agent/</w:t>
            </w:r>
          </w:p>
        </w:tc>
      </w:tr>
    </w:tbl>
    <w:p>
      <w:pPr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80" w:before="0"/>
      </w:pPr>
    </w:p>
    <w:p>
      <w:pPr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120" w:before="0"/>
      </w:pPr>
      <w:r>
        <w:rPr>
          <w:b/>
        </w:rPr>
        <w:t xml:space="preserve">Removed 2026-08-24</w:t>
      </w:r>
      <w:r>
        <w:rPr/>
        <w:t xml:space="preserve"> (commit 2df4a13): canvas-confetti and its types, autoprefixer, tsx, and vite-plugin-singlefile together with vite.mobile.config.ts and vite.kiosk.config.ts, which no npm script had ever referenced and which were the plugin’s only consumers.</w:t>
      </w:r>
    </w:p>
    <w:p>
      <w:pPr>
        <w:shd w:fill="FFF7ED" w:val="clear"/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ind w:left="120"/>
        <w:spacing w:after="120" w:before="0"/>
      </w:pPr>
      <w:r>
        <w:rPr>
          <w:sz w:val="18"/>
          <w:szCs w:val="18"/>
          <w:color w:val="1E293B"/>
        </w:rPr>
        <w:t xml:space="preserve">motion was removed and immediately restored: the first check grepped for the bare specifier and missed six files importing motion/react. tsc caught it. Recorded because the same mistake is easy to repeat on the next cleanup.</w:t>
      </w:r>
    </w:p>
    <w:p>
      <w:pPr>
        <w:pStyle w:val="Heading2"/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100" w:before="240"/>
      </w:pPr>
      <w:r>
        <w:rPr/>
        <w:t xml:space="preserve">3.2 Needs tending — tooling</w:t>
      </w:r>
    </w:p>
    <w:tbl>
      <w:tblPr>
        <w:tblW w:type="dxa" w:w="9360"/>
        <w:tblBorders>
          <w:top w:color="CBD5E1" w:space="0" w:sz="4" w:val="single"/>
          <w:bottom w:color="CBD5E1" w:space="0" w:sz="4" w:val="single"/>
          <w:left w:color="CBD5E1" w:space="0" w:sz="4" w:val="single"/>
          <w:right w:color="CBD5E1" w:space="0" w:sz="4" w:val="single"/>
          <w:insideH w:color="E2E8F0" w:space="0" w:sz="4" w:val="single"/>
          <w:insideV w:color="E2E8F0" w:space="0" w:sz="4" w:val="single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600"/>
        <w:gridCol w:w="6960"/>
        <w:gridCol w:w="1800"/>
      </w:tblGrid>
      <w:tr>
        <w:trPr>
          <w:tblHeader/>
        </w:trPr>
        <w:tc>
          <w:tcPr>
            <w:tcW w:type="dxa" w:w="600"/>
            <w:shd w:fill="006FD3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b/>
                <w:sz w:val="18"/>
                <w:szCs w:val="18"/>
                <w:color w:val="FFFFFF"/>
              </w:rPr>
              <w:t xml:space="preserve">#</w:t>
            </w:r>
          </w:p>
        </w:tc>
        <w:tc>
          <w:tcPr>
            <w:tcW w:type="dxa" w:w="6960"/>
            <w:shd w:fill="006FD3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b/>
                <w:sz w:val="18"/>
                <w:szCs w:val="18"/>
                <w:color w:val="FFFFFF"/>
              </w:rPr>
              <w:t xml:space="preserve">Item</w:t>
            </w:r>
          </w:p>
        </w:tc>
        <w:tc>
          <w:tcPr>
            <w:tcW w:type="dxa" w:w="1800"/>
            <w:shd w:fill="006FD3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b/>
                <w:sz w:val="18"/>
                <w:szCs w:val="18"/>
                <w:color w:val="FFFFFF"/>
              </w:rPr>
              <w:t xml:space="preserve">Severity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T1</w:t>
            </w:r>
          </w:p>
        </w:tc>
        <w:tc>
          <w:tcPr>
            <w:tcW w:type="dxa" w:w="69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NODE_ENV=production plus npm omit=dev machine-wide on wabakipi. Every npm install silently strips devDependencies; npm ci installs 136 packages instead of 324 and cap sync fails outright. Always set NODE_ENV= first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HIGH — recurring</w:t>
            </w:r>
          </w:p>
        </w:tc>
      </w:tr>
      <w:tr>
        <w:tc>
          <w:tcPr>
            <w:tcW w:type="dxa" w:w="6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T2</w:t>
            </w:r>
          </w:p>
        </w:tc>
        <w:tc>
          <w:tcPr>
            <w:tcW w:type="dxa" w:w="696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Windows OpenSSH is broken — every binary exits 255 with no output. Only Git’s copy works. Never set GIT_SSH_COMMAND: the global core.sshCommand uses an 8.3 short path deliberately</w:t>
            </w:r>
          </w:p>
        </w:tc>
        <w:tc>
          <w:tcPr>
            <w:tcW w:type="dxa" w:w="18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T3</w:t>
            </w:r>
          </w:p>
        </w:tc>
        <w:tc>
          <w:tcPr>
            <w:tcW w:type="dxa" w:w="69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feed-receiver’s 83 tests are not in CI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T4</w:t>
            </w:r>
          </w:p>
        </w:tc>
        <w:tc>
          <w:tcPr>
            <w:tcW w:type="dxa" w:w="696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Ruff is continue-on-error — 51 violations reported and ignored</w:t>
            </w:r>
          </w:p>
        </w:tc>
        <w:tc>
          <w:tcPr>
            <w:tcW w:type="dxa" w:w="18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T5</w:t>
            </w:r>
          </w:p>
        </w:tc>
        <w:tc>
          <w:tcPr>
            <w:tcW w:type="dxa" w:w="69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No CI job proves filtering works. Everything was green over a box that had never filtered. Sprints G.5 and G.6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T6</w:t>
            </w:r>
          </w:p>
        </w:tc>
        <w:tc>
          <w:tcPr>
            <w:tcW w:type="dxa" w:w="696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BlueStacks Android 13 instance unstable — crashed three times, likely RAM with two instances. The Android 11 instance is reliable</w:t>
            </w:r>
          </w:p>
        </w:tc>
        <w:tc>
          <w:tcPr>
            <w:tcW w:type="dxa" w:w="1800"/>
            <w:shd w:fill="F8FAFC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T7</w:t>
            </w:r>
          </w:p>
        </w:tc>
        <w:tc>
          <w:tcPr>
            <w:tcW w:type="dxa" w:w="696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cmd.exe backslash-quote toggles quoting rather than escaping, so any pipe after an odd number becomes a real pipe. Write a .sh, scp it, run it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pBdr>
                <w:top w:space="0" w:sz="0" w:val="none"/>
                <w:left w:space="0" w:sz="0" w:val="none"/>
                <w:bottom w:space="0" w:sz="0" w:val="none"/>
                <w:right w:space="0" w:sz="0" w:val="none"/>
                <w:between w:space="0" w:sz="0" w:val="none"/>
              </w:pBdr>
              <w:spacing w:after="0" w:before="0"/>
            </w:pPr>
            <w:r>
              <w:rPr>
                <w:sz w:val="18"/>
                <w:szCs w:val="18"/>
              </w:rPr>
              <w:t xml:space="preserve">LOW</w:t>
            </w:r>
          </w:p>
        </w:tc>
      </w:tr>
    </w:tbl>
    <w:p>
      <w:pPr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80" w:before="0"/>
      </w:pPr>
    </w:p>
    <w:p>
      <w:pPr>
        <w:pStyle w:val="Heading2"/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100" w:before="240"/>
      </w:pPr>
      <w:r>
        <w:rPr/>
        <w:t xml:space="preserve">3.3 A note on this document’s own template</w:t>
      </w:r>
    </w:p>
    <w:p>
      <w:pPr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120" w:before="0"/>
      </w:pPr>
      <w:r>
        <w:rPr/>
        <w:t xml:space="preserve">The official template’s watermark is a VML v:shape carrying no stroke attribute. Word happens to render it borderless; LibreOffice applies its default stroke and draws a rectangle across the page, which reads as a stray box around whatever text it overlaps. These documents declare stroked="f" explicitly so the intent is stated and the output renders identically in Word, LibreOffice and any PDF pipeline. </w:t>
      </w:r>
      <w:r>
        <w:rPr>
          <w:b/>
        </w:rPr>
        <w:t xml:space="preserve">Worth fixing in the master template.</w:t>
      </w:r>
    </w:p>
    <w:p>
      <w:r>
        <w:br w:type="page"/>
      </w:r>
    </w:p>
    <w:p>
      <w:pPr>
        <w:pStyle w:val="Heading1"/>
        <w:pBdr>
          <w:top w:space="0" w:sz="0" w:val="none"/>
          <w:left w:space="0" w:sz="0" w:val="none"/>
          <w:bottom w:color="006FD3" w:space="4" w:sz="8" w:val="single"/>
          <w:right w:space="0" w:sz="0" w:val="none"/>
          <w:between w:space="0" w:sz="0" w:val="none"/>
        </w:pBdr>
        <w:spacing w:after="100" w:before="240"/>
      </w:pPr>
      <w:r>
        <w:rPr/>
        <w:t xml:space="preserve">Part 4 — The one-page action list</w:t>
      </w:r>
    </w:p>
    <w:p>
      <w:pPr>
        <w:pStyle w:val="Heading2"/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100" w:before="240"/>
      </w:pPr>
      <w:r>
        <w:rPr/>
        <w:t xml:space="preserve">Do this week</w:t>
      </w:r>
    </w:p>
    <w:p>
      <w:pPr>
        <w:numPr>
          <w:ilvl w:val="0"/>
          <w:numId w:val="1"/>
        </w:numPr>
        <w:spacing w:after="60"/>
      </w:pPr>
      <w:r>
        <w:rPr/>
        <w:t xml:space="preserve">Deploy the two staged agent modules — one sudo.</w:t>
      </w:r>
    </w:p>
    <w:p>
      <w:pPr>
        <w:numPr>
          <w:ilvl w:val="0"/>
          <w:numId w:val="1"/>
        </w:numPr>
        <w:spacing w:after="60"/>
      </w:pPr>
      <w:r>
        <w:rPr/>
        <w:t xml:space="preserve">Rotate the Pi-hole password.</w:t>
      </w:r>
    </w:p>
    <w:p>
      <w:pPr>
        <w:numPr>
          <w:ilvl w:val="0"/>
          <w:numId w:val="1"/>
        </w:numPr>
        <w:spacing w:after="60"/>
      </w:pPr>
      <w:r>
        <w:rPr/>
        <w:t xml:space="preserve">Point the router’s upstream DNS at the box, and verify by query.</w:t>
      </w:r>
    </w:p>
    <w:p>
      <w:pPr>
        <w:numPr>
          <w:ilvl w:val="0"/>
          <w:numId w:val="1"/>
        </w:numPr>
        <w:spacing w:after="60"/>
      </w:pPr>
      <w:r>
        <w:rPr/>
        <w:t xml:space="preserve">Revoke the two GitHub PATs and the Gemini key.</w:t>
      </w:r>
    </w:p>
    <w:p>
      <w:pPr>
        <w:numPr>
          <w:ilvl w:val="0"/>
          <w:numId w:val="1"/>
        </w:numPr>
        <w:spacing w:after="60"/>
      </w:pPr>
      <w:r>
        <w:rPr/>
        <w:t xml:space="preserve">Back up the keystore twice; record its SHA-256.</w:t>
      </w:r>
    </w:p>
    <w:p>
      <w:pPr>
        <w:numPr>
          <w:ilvl w:val="0"/>
          <w:numId w:val="1"/>
        </w:numPr>
        <w:spacing w:after="60"/>
      </w:pPr>
      <w:r>
        <w:rPr/>
        <w:t xml:space="preserve">Create the Play Console account — the queue starts the moment you do.</w:t>
      </w:r>
    </w:p>
    <w:p>
      <w:pPr>
        <w:pStyle w:val="Heading2"/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100" w:before="240"/>
      </w:pPr>
      <w:r>
        <w:rPr/>
        <w:t xml:space="preserve">Decide before hardware is ordered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P7</w:t>
      </w:r>
      <w:r>
        <w:rPr/>
        <w:t xml:space="preserve"> — self-signed TLS with pinning, or plain HTTP for v1? Changes the QR payload, and retrofitting means re-pairing every device in the field.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B2</w:t>
      </w:r>
      <w:r>
        <w:rPr/>
        <w:t xml:space="preserve"> — pin the Pi-hole and Unbound image digests.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A.4</w:t>
      </w:r>
      <w:r>
        <w:rPr/>
        <w:t xml:space="preserve"> — does the EX511 fall back when its only static upstream dies?</w:t>
      </w:r>
    </w:p>
    <w:p>
      <w:pPr>
        <w:numPr>
          <w:ilvl w:val="0"/>
          <w:numId w:val="1"/>
        </w:numPr>
        <w:spacing w:after="60"/>
      </w:pPr>
      <w:r>
        <w:rPr/>
        <w:t xml:space="preserve">Base-tier board confirmed as the Orange Pi Zero 2W class.</w:t>
      </w:r>
    </w:p>
    <w:p>
      <w:pPr>
        <w:pStyle w:val="Heading2"/>
        <w:pBdr>
          <w:top w:space="0" w:sz="0" w:val="none"/>
          <w:left w:space="0" w:sz="0" w:val="none"/>
          <w:bottom w:space="0" w:sz="0" w:val="none"/>
          <w:right w:space="0" w:sz="0" w:val="none"/>
          <w:between w:space="0" w:sz="0" w:val="none"/>
        </w:pBdr>
        <w:spacing w:after="100" w:before="240"/>
      </w:pPr>
      <w:r>
        <w:rPr/>
        <w:t xml:space="preserve">Decide before the app is published</w:t>
      </w:r>
    </w:p>
    <w:p>
      <w:pPr>
        <w:numPr>
          <w:ilvl w:val="0"/>
          <w:numId w:val="1"/>
        </w:numPr>
        <w:spacing w:after="60"/>
      </w:pPr>
      <w:r>
        <w:rPr/>
        <w:t xml:space="preserve">The web demo screens — delete, or gate behind VITE_USE_MOCK_DATA? One of them mints a fake gf_live_ token that looks like a production credential.</w:t>
      </w:r>
    </w:p>
    <w:p>
      <w:pPr>
        <w:numPr>
          <w:ilvl w:val="0"/>
          <w:numId w:val="1"/>
        </w:numPr>
        <w:spacing w:after="60"/>
      </w:pPr>
      <w:r>
        <w:rPr/>
        <w:t xml:space="preserve">Whether Ionicrobes ships in v1 or becomes its own project.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Bdr>
        <w:top w:color="00b4d8" w:space="4" w:sz="4" w:val="single"/>
      </w:pBdr>
      <w:tabs>
        <w:tab w:val="center" w:leader="none" w:pos="4680"/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00b4d8"/>
        <w:sz w:val="14"/>
        <w:szCs w:val="14"/>
        <w:rtl w:val="0"/>
      </w:rPr>
      <w:t xml:space="preserve">www.ionity.today | </w:t>
    </w:r>
    <w:hyperlink r:id="rId1">
      <w:r w:rsidDel="00000000" w:rsidR="00000000" w:rsidRPr="00000000">
        <w:rPr>
          <w:rFonts w:ascii="Arial" w:cs="Arial" w:eastAsia="Arial" w:hAnsi="Arial"/>
          <w:color w:val="1155cc"/>
          <w:sz w:val="14"/>
          <w:szCs w:val="14"/>
          <w:u w:val="single"/>
          <w:rtl w:val="0"/>
        </w:rPr>
        <w:t xml:space="preserve">ai@ionity.today</w:t>
      </w:r>
    </w:hyperlink>
    <w:r w:rsidDel="00000000" w:rsidR="00000000" w:rsidRPr="00000000">
      <w:rPr>
        <w:rFonts w:ascii="Arial" w:cs="Arial" w:eastAsia="Arial" w:hAnsi="Arial"/>
        <w:color w:val="00b4d8"/>
        <w:sz w:val="14"/>
        <w:szCs w:val="14"/>
        <w:rtl w:val="0"/>
      </w:rPr>
      <w:tab/>
    </w:r>
    <w:r w:rsidDel="00000000" w:rsidR="00000000" w:rsidRPr="00000000">
      <w:rPr>
        <w:color w:val="666666"/>
        <w:sz w:val="14"/>
        <w:szCs w:val="14"/>
        <w:rtl w:val="0"/>
      </w:rPr>
      <w:t xml:space="preserve">RULES 991</w:t>
    </w:r>
    <w:r w:rsidDel="00000000" w:rsidR="00000000" w:rsidRPr="00000000">
      <w:rPr>
        <w:rFonts w:ascii="Arial" w:cs="Arial" w:eastAsia="Arial" w:hAnsi="Arial"/>
        <w:color w:val="666666"/>
        <w:sz w:val="14"/>
        <w:szCs w:val="14"/>
        <w:rtl w:val="0"/>
      </w:rPr>
      <w:tab/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66666"/>
        <w:sz w:val="14"/>
        <w:szCs w:val="14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spacing w:after="0" w:before="20" w:lineRule="auto"/>
      <w:jc w:val="center"/>
      <w:rPr/>
    </w:pPr>
    <w:r w:rsidDel="00000000" w:rsidR="00000000" w:rsidRPr="00000000">
      <w:rPr/>
      <w:drawing>
        <wp:inline distB="0" distT="0" distL="0" distR="0">
          <wp:extent cx="571500" cy="381000"/>
          <wp:effectExtent b="0" l="0" r="0" t="0"/>
          <wp:docPr descr="Ionity logo" id="1" name="image1.png"/>
          <a:graphic>
            <a:graphicData uri="http://schemas.openxmlformats.org/drawingml/2006/picture">
              <pic:pic>
                <pic:nvPicPr>
                  <pic:cNvPr descr="Ionity logo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1500" cy="381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/>
      <w:pict>
        <v:shape id="WordPictureWatermark1" stroked="f" filled="f" style="position:absolute;width:468.0pt;height:312.0pt;rotation:0;z-index:-503316481;mso-position-horizontal-relative:margin;mso-position-horizontal:center;mso-position-vertical-relative:margin;mso-position-vertical:absolute;margin-top:180.0pt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pBdr>
        <w:bottom w:color="00b4d8" w:space="4" w:sz="6" w:val="single"/>
      </w:pBdr>
      <w:tabs>
        <w:tab w:val="center" w:leader="none" w:pos="4680"/>
        <w:tab w:val="right" w:leader="none" w:pos="9026"/>
      </w:tabs>
      <w:jc w:val="left"/>
      <w:rPr/>
    </w:pPr>
    <w:r w:rsidDel="00000000" w:rsidR="00000000" w:rsidRPr="00000000">
      <w:rPr>
        <w:rFonts w:ascii="Arial" w:cs="Arial" w:eastAsia="Arial" w:hAnsi="Arial"/>
        <w:b w:val="1"/>
        <w:bCs w:val="1"/>
        <w:color w:val="0d2137"/>
        <w:sz w:val="16"/>
        <w:szCs w:val="16"/>
        <w:rtl w:val="0"/>
      </w:rPr>
      <w:t xml:space="preserve">IONITY GLOBAL (Pty) Ltd</w:t>
      <w:tab/>
      <w:t xml:space="preserve">POL 986 AED</w:t>
      <w:tab/>
    </w:r>
    <w:r w:rsidDel="00000000" w:rsidR="00000000" w:rsidRPr="00000000">
      <w:rPr>
        <w:rFonts w:ascii="Arial" w:cs="Arial" w:eastAsia="Arial" w:hAnsi="Arial"/>
        <w:b w:val="1"/>
        <w:bCs w:val="1"/>
        <w:color w:val="ff6b35"/>
        <w:sz w:val="14"/>
        <w:szCs w:val="14"/>
        <w:rtl w:val="0"/>
      </w:rPr>
      <w:t xml:space="preserve">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0">
    <w:multiLevelType w:val="hybridMultilevel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d2137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b4d8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d2137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ai@ionity.today" TargetMode="External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