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r>
    </w:p>
    <w:p w:rsidR="00000000" w:rsidDel="00000000" w:rsidP="00000000" w:rsidRDefault="00000000" w:rsidRPr="00000000" w14:paraId="00000002">
      <w:pPr>
        <w:spacing w:after="120" w:before="12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3048000" cy="2028825"/>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3048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b w:val="1"/>
          <w:bCs w:val="1"/>
          <w:color w:val="0d2137"/>
          <w:sz w:val="56"/>
          <w:szCs w:val="56"/>
          <w:rtl w:val="0"/>
        </w:rPr>
        <w:t xml:space="preserve">IONITY GLOBAL</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color w:val="00b4d8"/>
          <w:sz w:val="32"/>
          <w:szCs w:val="32"/>
          <w:rtl w:val="0"/>
        </w:rPr>
        <w:t xml:space="preserve">(Pty) Ltd</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sidDel="00000000" w:rsidR="00000000" w:rsidRPr="00000000">
        <w:rPr>
          <w:rtl w:val="0"/>
        </w:rPr>
        <w:t xml:space="preserve">Ionity NoteCad</w:t>
      </w: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Arial" w:cs="Arial" w:eastAsia="Arial" w:hAnsi="Arial"/>
          <w:color w:val="00b4d8"/>
          <w:sz w:val="36"/>
          <w:szCs w:val="36"/>
          <w:rtl w:val="0"/>
        </w:rPr>
        <w:t xml:space="preserve">POPIA Compliance Assessment</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i w:val="1"/>
          <w:iCs w:val="1"/>
          <w:color w:val="666666"/>
          <w:sz w:val="24"/>
          <w:szCs w:val="24"/>
          <w:rtl w:val="0"/>
        </w:rPr>
        <w:t xml:space="preserve">Version 1.1: the action audit and the fixes</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color w:val="666666"/>
          <w:rtl w:val="0"/>
        </w:rPr>
        <w:t xml:space="preserve">Personal information · Live checks · The eight conditions · Findings and fixes</w:t>
      </w:r>
      <w:r w:rsidDel="00000000" w:rsidR="00000000" w:rsidRPr="00000000">
        <w:rPr>
          <w:rtl w:val="0"/>
        </w:rPr>
      </w:r>
    </w:p>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666666"/>
          <w:sz w:val="18"/>
          <w:szCs w:val="18"/>
          <w:rtl w:val="0"/>
        </w:rPr>
        <w:t xml:space="preserve">DOC-2026-10-NOTECAD-POPIA-01  |  Version 1.1  |  29 October 2026</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6b35"/>
          <w:sz w:val="18"/>
          <w:szCs w:val="18"/>
          <w:rtl w:val="0"/>
        </w:rPr>
        <w:t xml:space="preserve">CONFIDENTIAL</w:t>
      </w:r>
      <w:r w:rsidDel="00000000" w:rsidR="00000000" w:rsidRPr="00000000">
        <w:rPr>
          <w:rtl w:val="0"/>
        </w:rPr>
      </w:r>
    </w:p>
    <w:p w:rsidR="00000000" w:rsidDel="00000000" w:rsidP="00000000" w:rsidRDefault="00000000" w:rsidRPr="00000000" w14:paraId="00000010">
      <w:pPr>
        <w:spacing w:after="120" w:before="120" w:lineRule="auto"/>
        <w:rPr/>
      </w:pP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00b4d8"/>
          <w:sz w:val="20"/>
          <w:szCs w:val="20"/>
          <w:rtl w:val="0"/>
        </w:rPr>
        <w:t xml:space="preserve">www.ionity.today | ai@ionity.today</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300" w:lineRule="auto"/>
        <w:rPr/>
      </w:pPr>
      <w:r w:rsidDel="00000000" w:rsidR="00000000" w:rsidRPr="00000000">
        <w:rPr>
          <w:rFonts w:ascii="Arial" w:cs="Arial" w:eastAsia="Arial" w:hAnsi="Arial"/>
          <w:rtl w:val="0"/>
        </w:rPr>
        <w:t xml:space="preserve">Index – Table of Contents</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b w:val="0"/>
          <w:bCs w:val="0"/>
          <w:i w:val="0"/>
          <w:iCs w:val="0"/>
          <w:color w:val="000000"/>
          <w:sz w:val="20"/>
          <w:szCs w:val="20"/>
          <w:rtl w:val="0"/>
        </w:rPr>
        <w:t xml:space="preserve">Nine sections and one appendix: the summary, what changed since v1.0, the action register, each POPIA condition, data subjects' rights, special topics, the tests, and what still needs a person to decide.</w:t>
      </w: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6150"/>
        <w:gridCol w:w="1860"/>
        <w:tblGridChange w:id="0">
          <w:tblGrid>
            <w:gridCol w:w="1050"/>
            <w:gridCol w:w="615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ffffff"/>
                <w:sz w:val="18"/>
                <w:szCs w:val="18"/>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1</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Summary</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2</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What changed since v1.0</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3</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Scope, method and limits</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4</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The action register</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5</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The eight conditions (sections 8-25)</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6</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Data subjects' rights (sections 23-25)</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7</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Special topics</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8</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Tests and checks</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9</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What needs a person to decide</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r>
        <w:trPr>
          <w:cantSplit/>
        </w:trPr>
        <w:tc>
          <w:tcPr>
            <w:tcW w:w="10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A</w:t>
            </w:r>
          </w:p>
        </w:tc>
        <w:tc>
          <w:tcPr>
            <w:tcW w:w="615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8"/>
                <w:szCs w:val="18"/>
              </w:rPr>
              <w:t xml:space="preserve">Appendix A - Document control</w:t>
            </w:r>
          </w:p>
        </w:tc>
        <w:tc>
          <w:tcPr>
            <w:tcW w:w="18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8"/>
                <w:szCs w:val="18"/>
              </w:rPr>
              <w:t xml:space="preserve">–</w:t>
            </w:r>
          </w:p>
        </w:tc>
      </w:tr>
    </w:tbl>
    <w:p w:rsidR="00000000" w:rsidDel="00000000" w:rsidP="00000000" w:rsidRDefault="00000000" w:rsidRPr="00000000" w14:paraId="00000069">
      <w:pPr>
        <w:spacing w:after="120" w:before="120" w:lineRule="auto"/>
        <w:rPr/>
      </w:pP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Fonts w:ascii="Arial" w:cs="Arial" w:eastAsia="Arial" w:hAnsi="Arial"/>
          <w:b w:val="0"/>
          <w:bCs w:val="0"/>
          <w:i w:val="1"/>
          <w:iCs w:val="1"/>
          <w:color w:val="666666"/>
          <w:sz w:val="20"/>
          <w:szCs w:val="20"/>
          <w:rtl w:val="0"/>
        </w:rPr>
        <w:t xml:space="preserve">Note: Page numbers are indicative. Actual pagination depends on rendering and may shift slightly between Word versions. Use Word's Navigation Pane (View &gt; Navigation Pane) for live navigation.</w:t>
      </w:r>
      <w:r w:rsidDel="00000000" w:rsidR="00000000" w:rsidRPr="00000000">
        <w:rPr>
          <w:rtl w:val="0"/>
        </w:rPr>
      </w:r>
    </w:p>
    <w:p>
      <w:pPr>
        <w:pStyle w:val="Heading1"/>
        <w:keepNext/>
        <w:pageBreakBefore/>
        <w:spacing w:before="300" w:after="120" w:lineRule="auto"/>
      </w:pPr>
      <w:r>
        <w:rPr>
          <w:rFonts w:ascii="Arial" w:cs="Arial" w:eastAsia="Arial" w:hAnsi="Arial"/>
        </w:rPr>
        <w:t xml:space="preserve">1. Summary</w:t>
      </w:r>
    </w:p>
    <w:p>
      <w:pPr>
        <w:spacing w:before="80" w:after="80" w:lineRule="auto"/>
        <w:jc w:val="both"/>
      </w:pPr>
      <w:r>
        <w:rPr>
          <w:rFonts w:ascii="Arial" w:cs="Arial" w:eastAsia="Arial" w:hAnsi="Arial"/>
          <w:b w:val="0"/>
          <w:bCs w:val="0"/>
          <w:i w:val="0"/>
          <w:iCs w:val="0"/>
          <w:color w:val="000000"/>
          <w:sz w:val="20"/>
          <w:szCs w:val="20"/>
        </w:rPr>
        <w:t xml:space="preserve">This is version 1.1 of the technical POPIA compliance test of Ionity NoteCad (POPIA, Act 4 of 2013). It follows the 29 October 2026 review (v1.0), which found four areas not yet compliant and listed twelve fixes. All twelve that can be done in code are now built and tested, and every action NoteCad takes on personal information is in a register generated from the code. Nothing here is legal advice.</w:t>
      </w:r>
    </w:p>
    <w:p>
      <w:pPr>
        <w:spacing w:before="80" w:after="80" w:lineRule="auto"/>
        <w:jc w:val="both"/>
      </w:pPr>
      <w:r>
        <w:rPr>
          <w:rFonts w:ascii="Arial" w:cs="Arial" w:eastAsia="Arial" w:hAnsi="Arial"/>
          <w:b w:val="1"/>
          <w:bCs w:val="1"/>
          <w:i w:val="0"/>
          <w:iCs w:val="0"/>
          <w:color w:val="000000"/>
          <w:sz w:val="20"/>
          <w:szCs w:val="20"/>
        </w:rPr>
        <w:t xml:space="preserve">Overall: </w:t>
      </w:r>
      <w:r>
        <w:rPr>
          <w:rFonts w:ascii="Arial" w:cs="Arial" w:eastAsia="Arial" w:hAnsi="Arial"/>
          <w:b w:val="0"/>
          <w:bCs w:val="0"/>
          <w:i w:val="0"/>
          <w:iCs w:val="0"/>
          <w:color w:val="000000"/>
          <w:sz w:val="20"/>
          <w:szCs w:val="20"/>
        </w:rPr>
        <w:t xml:space="preserve">in code, NoteCad now meets the eight conditions as far as software can. </w:t>
      </w:r>
      <w:r>
        <w:rPr>
          <w:rFonts w:ascii="Arial" w:cs="Arial" w:eastAsia="Arial" w:hAnsi="Arial"/>
          <w:b w:val="1"/>
          <w:bCs w:val="1"/>
          <w:i w:val="0"/>
          <w:iCs w:val="0"/>
          <w:color w:val="000000"/>
          <w:sz w:val="20"/>
          <w:szCs w:val="20"/>
        </w:rPr>
        <w:t xml:space="preserve">133 actions: 120 compliant, 13 need a person to decide. </w:t>
      </w:r>
      <w:r>
        <w:rPr>
          <w:rFonts w:ascii="Arial" w:cs="Arial" w:eastAsia="Arial" w:hAnsi="Arial"/>
          <w:b w:val="0"/>
          <w:bCs w:val="0"/>
          <w:i w:val="0"/>
          <w:iCs w:val="0"/>
          <w:color w:val="000000"/>
          <w:sz w:val="20"/>
          <w:szCs w:val="20"/>
        </w:rPr>
        <w:t xml:space="preserve">What remains is organisational: registering an Information Officer, operator agreements with the cloud services, the lawful-basis wording for the notice, a legal review of the notice, retention periods on the real workspaces, and encrypting the disk of the PC that holds the data (section 9).</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300"/>
        <w:gridCol w:w="700"/>
        <w:gridCol w:w="700"/>
        <w:gridCol w:w="5360"/>
      </w:tblGrid>
      <w:tr>
        <w:trPr>
          <w:cantSplit/>
          <w:tblHeader/>
        </w:trPr>
        <w:tc>
          <w:tcPr>
            <w:tcW w:w="23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Area</w:t>
            </w:r>
          </w:p>
        </w:tc>
        <w:tc>
          <w:tcPr>
            <w:tcW w:w="7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v1.0</w:t>
            </w:r>
          </w:p>
        </w:tc>
        <w:tc>
          <w:tcPr>
            <w:tcW w:w="7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v1.1</w:t>
            </w:r>
          </w:p>
        </w:tc>
        <w:tc>
          <w:tcPr>
            <w:tcW w:w="53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What decides it now</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Accountability (s8)</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Human</w:t>
            </w:r>
          </w:p>
        </w:tc>
        <w:tc>
          <w:tcPr>
            <w:tcW w:w="53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Information Officer named in the notice; registration with the Regulator is Ionity's</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Processing limitation (s9-12)</w:t>
            </w:r>
          </w:p>
        </w:tc>
        <w:tc>
          <w:tcPr>
            <w:tcW w:w="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Human</w:t>
            </w:r>
          </w:p>
        </w:tc>
        <w:tc>
          <w:tcPr>
            <w:tcW w:w="53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notice before the first note; the lawful-basis wording needs a practitioner</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Purpose specification (s13-14)</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Gap</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3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retention periods per workspace, purged every 6 hours on every brain</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Further processing (s15)</w:t>
            </w:r>
          </w:p>
        </w:tc>
        <w:tc>
          <w:tcPr>
            <w:tcW w:w="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Human</w:t>
            </w:r>
          </w:p>
        </w:tc>
        <w:tc>
          <w:tcPr>
            <w:tcW w:w="53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employees' words stay in their own companion store; LoRA training is a decision</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Information quality (s16)</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3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edit, undo, the recording behind each note</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Openness (s17-18)</w:t>
            </w:r>
          </w:p>
        </w:tc>
        <w:tc>
          <w:tcPr>
            <w:tcW w:w="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Gap</w:t>
            </w:r>
          </w:p>
        </w:tc>
        <w:tc>
          <w:tcPr>
            <w:tcW w:w="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3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privacy notice on desktop and phone, read before the first note</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Security safeguards (s19-22)</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Human</w:t>
            </w:r>
          </w:p>
        </w:tc>
        <w:tc>
          <w:tcPr>
            <w:tcW w:w="53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TLS pinning, tickets, Keystore, headers, security log, breach runbook; disk encryption on WABAKIPI is open</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Data subject participation (s23-25)</w:t>
            </w:r>
          </w:p>
        </w:tc>
        <w:tc>
          <w:tcPr>
            <w:tcW w:w="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3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 copy and erasure for one person, member or not</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Cross-border transfer (s72)</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Partly</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Human</w:t>
            </w:r>
          </w:p>
        </w:tc>
        <w:tc>
          <w:tcPr>
            <w:tcW w:w="53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cloud gate is off by default; operator agreements before an owner turns it on</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2. What changed since v1.0</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300"/>
        <w:gridCol w:w="3960"/>
        <w:gridCol w:w="2800"/>
      </w:tblGrid>
      <w:tr>
        <w:trPr>
          <w:cantSplit/>
          <w:tblHeader/>
        </w:trPr>
        <w:tc>
          <w:tcPr>
            <w:tcW w:w="23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Finding (v1.0)</w:t>
            </w:r>
          </w:p>
        </w:tc>
        <w:tc>
          <w:tcPr>
            <w:tcW w:w="39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Built</w:t>
            </w:r>
          </w:p>
        </w:tc>
        <w:tc>
          <w:tcPr>
            <w:tcW w:w="28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Proof</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 No retention limit</w:t>
            </w:r>
          </w:p>
        </w:tc>
        <w:tc>
          <w:tcPr>
            <w:tcW w:w="3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per-workspace periods (recordings, transcripts, activity log); worker purge; archive period</w:t>
            </w:r>
          </w:p>
        </w:tc>
        <w:tc>
          <w:tcPr>
            <w:tcW w:w="2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test_old_recordings_transcripts_and_log_go_new_ones_stay</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2 Deleted data lived on</w:t>
            </w:r>
          </w:p>
        </w:tc>
        <w:tc>
          <w:tcPr>
            <w:tcW w:w="39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journal compaction; tombstones without data; companion forgets</w:t>
            </w:r>
          </w:p>
        </w:tc>
        <w:tc>
          <w:tcPr>
            <w:tcW w:w="2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test_a_deleted_workspace_leaves_only_tombstones_in_the_journal</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3 Tokens in the access log</w:t>
            </w:r>
          </w:p>
        </w:tc>
        <w:tc>
          <w:tcPr>
            <w:tcW w:w="3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10-minute tickets; rotating log with tokens, tickets and invite codes blanked; invite preview by POST</w:t>
            </w:r>
          </w:p>
        </w:tc>
        <w:tc>
          <w:tcPr>
            <w:tcW w:w="2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test_the_log_never_holds_a_token_a_ticket_or_an_invite_code; e2e popia.spec</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 Plain HTTP on the LAN</w:t>
            </w:r>
          </w:p>
        </w:tc>
        <w:tc>
          <w:tcPr>
            <w:tcW w:w="39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HTTPS on :9788 with the brain's own certificate, pinned by the phone (WebView and uploads); no cleartext</w:t>
            </w:r>
          </w:p>
        </w:tc>
        <w:tc>
          <w:tcPr>
            <w:tcW w:w="2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test_the_lan_certificate_is_made_once_and_pinned; TlsPinTest</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5 No privacy notice</w:t>
            </w:r>
          </w:p>
        </w:tc>
        <w:tc>
          <w:tcPr>
            <w:tcW w:w="3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notice v2 (officer, monitoring, cloud), read before the first note</w:t>
            </w:r>
          </w:p>
        </w:tc>
        <w:tc>
          <w:tcPr>
            <w:tcW w:w="2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test_a_member_records_nothing_before_reading_the_notice; e2e popia.spec</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6 No per-person access and erasure</w:t>
            </w:r>
          </w:p>
        </w:tc>
        <w:tc>
          <w:tcPr>
            <w:tcW w:w="39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 copy for the person or an owner; erasure by an owner across every copy</w:t>
            </w:r>
          </w:p>
        </w:tc>
        <w:tc>
          <w:tcPr>
            <w:tcW w:w="2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test_erasing_a_person_removes_them_everywhere_but_the_audit_record; e2e</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7 Unencrypted database</w:t>
            </w:r>
          </w:p>
        </w:tc>
        <w:tc>
          <w:tcPr>
            <w:tcW w:w="3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start-up warns when the drive is not encrypted (WABAKIPI: it is not)</w:t>
            </w:r>
          </w:p>
        </w:tc>
        <w:tc>
          <w:tcPr>
            <w:tcW w:w="2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status table; human action 7</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8 Phone token in plain storage</w:t>
            </w:r>
          </w:p>
        </w:tc>
        <w:tc>
          <w:tcPr>
            <w:tcW w:w="39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Android Keystore (AES-GCM), out of the WebView's storage</w:t>
            </w:r>
          </w:p>
        </w:tc>
        <w:tc>
          <w:tcPr>
            <w:tcW w:w="2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TokenVaultTest</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9 No security headers</w:t>
            </w:r>
          </w:p>
        </w:tc>
        <w:tc>
          <w:tcPr>
            <w:tcW w:w="3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CSP, frame, nosniff, referrer, no-store</w:t>
            </w:r>
          </w:p>
        </w:tc>
        <w:tc>
          <w:tcPr>
            <w:tcW w:w="2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test_answers_carry_security_headers_and_refusals_are_logged</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10 Logs never rotate</w:t>
            </w:r>
          </w:p>
        </w:tc>
        <w:tc>
          <w:tcPr>
            <w:tcW w:w="39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weekly, four weeks kept</w:t>
            </w:r>
          </w:p>
        </w:tc>
        <w:tc>
          <w:tcPr>
            <w:tcW w:w="2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serve.py</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11 This PC needs no token</w:t>
            </w:r>
          </w:p>
        </w:tc>
        <w:tc>
          <w:tcPr>
            <w:tcW w:w="3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kept for one user; the status table says how to turn it off</w:t>
            </w:r>
          </w:p>
        </w:tc>
        <w:tc>
          <w:tcPr>
            <w:tcW w:w="2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status table</w:t>
            </w:r>
          </w:p>
        </w:tc>
      </w:tr>
      <w:tr>
        <w:trPr>
          <w:cantSplit/>
        </w:trPr>
        <w:tc>
          <w:tcPr>
            <w:tcW w:w="2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12 No cloud gate</w:t>
            </w:r>
          </w:p>
        </w:tc>
        <w:tc>
          <w:tcPr>
            <w:tcW w:w="39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off by default, owner per workspace, logged; restricted branches never leave</w:t>
            </w:r>
          </w:p>
        </w:tc>
        <w:tc>
          <w:tcPr>
            <w:tcW w:w="2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test_no_note_leaves_this_pc_while_the_gate_is_off</w:t>
            </w:r>
          </w:p>
        </w:tc>
      </w:tr>
      <w:tr>
        <w:trPr>
          <w:cantSplit/>
        </w:trPr>
        <w:tc>
          <w:tcPr>
            <w:tcW w:w="2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Found in the audit</w:t>
            </w:r>
          </w:p>
        </w:tc>
        <w:tc>
          <w:tcPr>
            <w:tcW w:w="3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 worker's health or disciplinary details held for the owners</w:t>
            </w:r>
          </w:p>
        </w:tc>
        <w:tc>
          <w:tcPr>
            <w:tcW w:w="2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test_a_note_with_a_workers_health_is_held_for_the_owners</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3. Scope, method and limits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7060"/>
      </w:tblGrid>
      <w:tr>
        <w:trPr>
          <w:cantSplit/>
          <w:tblHeader/>
        </w:trPr>
        <w:tc>
          <w:tcPr>
            <w:tcW w:w="20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Item</w:t>
            </w:r>
          </w:p>
        </w:tc>
        <w:tc>
          <w:tcPr>
            <w:tcW w:w="70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Detail</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Code</w:t>
            </w:r>
          </w:p>
        </w:tc>
        <w:tc>
          <w:tcPr>
            <w:tcW w:w="7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Ionity_NoteCad_AI, main at 301a3c4 (and the commits after it for this report)</w:t>
            </w:r>
          </w:p>
        </w:tc>
      </w:tr>
      <w:tr>
        <w:trPr>
          <w:cantSplit/>
        </w:trPr>
        <w:tc>
          <w:tcPr>
            <w:tcW w:w="2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Method</w:t>
            </w:r>
          </w:p>
        </w:tc>
        <w:tc>
          <w:tcPr>
            <w:tcW w:w="7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register (tools/popia_inventory.py) lists every route of the brain and the companion, every spoken admin command, background thread, synced table and app action; each is matched to a rule with its evidence, and CI fails when one is missing</w:t>
            </w:r>
          </w:p>
        </w:tc>
      </w:tr>
      <w:tr>
        <w:trPr>
          <w:cantSplit/>
        </w:trPr>
        <w:tc>
          <w:tcPr>
            <w:tcW w:w="2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Live</w:t>
            </w:r>
          </w:p>
        </w:tc>
        <w:tc>
          <w:tcPr>
            <w:tcW w:w="7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WABAKIPI: the stack on the new code, the field test, three full Playwright runs</w:t>
            </w:r>
          </w:p>
        </w:tc>
      </w:tr>
      <w:tr>
        <w:trPr>
          <w:cantSplit/>
        </w:trPr>
        <w:tc>
          <w:tcPr>
            <w:tcW w:w="2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 covered</w:t>
            </w:r>
          </w:p>
        </w:tc>
        <w:tc>
          <w:tcPr>
            <w:tcW w:w="7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contracts, registrations and legal wording (section 9); iOS; a real Android phone (CI builds and unit-tests it)</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4. The action register</w:t>
      </w:r>
    </w:p>
    <w:p>
      <w:pPr>
        <w:spacing w:before="80" w:after="80" w:lineRule="auto"/>
        <w:jc w:val="both"/>
      </w:pPr>
      <w:r>
        <w:rPr>
          <w:rFonts w:ascii="Arial" w:cs="Arial" w:eastAsia="Arial" w:hAnsi="Arial"/>
          <w:b w:val="0"/>
          <w:bCs w:val="0"/>
          <w:i w:val="0"/>
          <w:iCs w:val="0"/>
          <w:color w:val="000000"/>
          <w:sz w:val="20"/>
          <w:szCs w:val="20"/>
        </w:rPr>
        <w:t xml:space="preserve">docs/compliance/popia-action-register.md, generated from the code. Summary by surface:</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000"/>
        <w:gridCol w:w="1300"/>
        <w:gridCol w:w="1300"/>
        <w:gridCol w:w="3460"/>
      </w:tblGrid>
      <w:tr>
        <w:trPr>
          <w:cantSplit/>
          <w:tblHeader/>
        </w:trPr>
        <w:tc>
          <w:tcPr>
            <w:tcW w:w="30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Surface</w:t>
            </w:r>
          </w:p>
        </w:tc>
        <w:tc>
          <w:tcPr>
            <w:tcW w:w="13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Actions</w:t>
            </w:r>
          </w:p>
        </w:tc>
        <w:tc>
          <w:tcPr>
            <w:tcW w:w="13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Compliant</w:t>
            </w:r>
          </w:p>
        </w:tc>
        <w:tc>
          <w:tcPr>
            <w:tcW w:w="34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Needs a person</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Brain endpoints</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75</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67</w:t>
            </w:r>
          </w:p>
        </w:tc>
        <w:tc>
          <w:tcPr>
            <w:tcW w:w="3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8 (sync with a hub or Supabase, the privacy notice wording)</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Companion</w:t>
            </w:r>
          </w:p>
        </w:tc>
        <w:tc>
          <w:tcPr>
            <w:tcW w:w="1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15</w:t>
            </w:r>
          </w:p>
        </w:tc>
        <w:tc>
          <w:tcPr>
            <w:tcW w:w="1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14</w:t>
            </w:r>
          </w:p>
        </w:tc>
        <w:tc>
          <w:tcPr>
            <w:tcW w:w="3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 (LoRA training)</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Spoken admin commands</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3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Background threads</w:t>
            </w:r>
          </w:p>
        </w:tc>
        <w:tc>
          <w:tcPr>
            <w:tcW w:w="1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c>
          <w:tcPr>
            <w:tcW w:w="1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3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 (sync to a hub)</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Synced tables</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19</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19</w:t>
            </w:r>
          </w:p>
        </w:tc>
        <w:tc>
          <w:tcPr>
            <w:tcW w:w="3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r>
        <w:trPr>
          <w:cantSplit/>
        </w:trPr>
        <w:tc>
          <w:tcPr>
            <w:tcW w:w="30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Files, logs and copies</w:t>
            </w:r>
          </w:p>
        </w:tc>
        <w:tc>
          <w:tcPr>
            <w:tcW w:w="1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w:t>
            </w:r>
          </w:p>
        </w:tc>
        <w:tc>
          <w:tcPr>
            <w:tcW w:w="13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3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3 (archive period, disk encryption, Google Drive)</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App actions (desktop 5, phone 7)</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12</w:t>
            </w:r>
          </w:p>
        </w:tc>
        <w:tc>
          <w:tcPr>
            <w:tcW w:w="1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12</w:t>
            </w:r>
          </w:p>
        </w:tc>
        <w:tc>
          <w:tcPr>
            <w:tcW w:w="3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bl>
    <w:p>
      <w:pPr>
        <w:spacing w:before="0" w:after="40" w:lineRule="auto"/>
        <w:jc w:val="both"/>
      </w:pPr>
      <w:r>
        <w:rPr>
          <w:rFonts w:ascii="Arial" w:cs="Arial" w:eastAsia="Arial" w:hAnsi="Arial"/>
          <w:b w:val="0"/>
          <w:bCs w:val="0"/>
          <w:i w:val="0"/>
          <w:iCs w:val="0"/>
          <w:color w:val="000000"/>
          <w:sz w:val="20"/>
          <w:szCs w:val="20"/>
        </w:rPr>
        <w:t xml:space="preserve"/>
      </w:r>
    </w:p>
    <w:p>
      <w:pPr>
        <w:spacing w:before="80" w:after="80" w:lineRule="auto"/>
        <w:jc w:val="both"/>
      </w:pPr>
      <w:r>
        <w:rPr>
          <w:rFonts w:ascii="Arial" w:cs="Arial" w:eastAsia="Arial" w:hAnsi="Arial"/>
          <w:b w:val="0"/>
          <w:bCs w:val="0"/>
          <w:i w:val="0"/>
          <w:iCs w:val="0"/>
          <w:color w:val="000000"/>
          <w:sz w:val="20"/>
          <w:szCs w:val="20"/>
        </w:rPr>
        <w:t xml:space="preserve">The numbers per surface are as generated on 29 October 2026; the register itself is the source of truth.</w:t>
      </w:r>
    </w:p>
    <w:p>
      <w:pPr>
        <w:pStyle w:val="Heading1"/>
        <w:keepNext/>
        <w:spacing w:before="300" w:after="120" w:lineRule="auto"/>
      </w:pPr>
      <w:r>
        <w:rPr>
          <w:rFonts w:ascii="Arial" w:cs="Arial" w:eastAsia="Arial" w:hAnsi="Arial"/>
        </w:rPr>
        <w:t xml:space="preserve">5. The eight conditions (sections 8-25)</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900"/>
        <w:gridCol w:w="5560"/>
      </w:tblGrid>
      <w:tr>
        <w:trPr>
          <w:cantSplit/>
          <w:tblHeader/>
        </w:trPr>
        <w:tc>
          <w:tcPr>
            <w:tcW w:w="26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Condition</w:t>
            </w:r>
          </w:p>
        </w:tc>
        <w:tc>
          <w:tcPr>
            <w:tcW w:w="9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Verdict</w:t>
            </w:r>
          </w:p>
        </w:tc>
        <w:tc>
          <w:tcPr>
            <w:tcW w:w="55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Evidence</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 Accountability (s8, s55)</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Human</w:t>
            </w:r>
          </w:p>
        </w:tc>
        <w:tc>
          <w:tcPr>
            <w:tcW w:w="5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Information Officer in the notice (the owner by default); security log; register</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2 Processing limitation (s9-12)</w:t>
            </w:r>
          </w:p>
        </w:tc>
        <w:tc>
          <w:tcPr>
            <w:tcW w:w="9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Human</w:t>
            </w:r>
          </w:p>
        </w:tc>
        <w:tc>
          <w:tcPr>
            <w:tcW w:w="55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only what is said is kept; no location, contacts or IDs; notice before the first note; objection through the contact; lawful-basis wording open</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3 Purpose specification (s13-14)</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periods cover recordings, transcripts, the activity log, the companion's memory, the sync journal on the PC and a Supabase hub, phone copies (through pull) and archives</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 Further processing (s15)</w:t>
            </w:r>
          </w:p>
        </w:tc>
        <w:tc>
          <w:tcPr>
            <w:tcW w:w="9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Human</w:t>
            </w:r>
          </w:p>
        </w:tc>
        <w:tc>
          <w:tcPr>
            <w:tcW w:w="55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companion learns per person; LoRA training a decision</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5 Information quality (s16)</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edit and undo; the recording behind each note; corrections through the contact</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6 Openness (s17-18)</w:t>
            </w:r>
          </w:p>
        </w:tc>
        <w:tc>
          <w:tcPr>
            <w:tcW w:w="9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5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notice v2, read before the first note; the register</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7 Security safeguards (s19-22)</w:t>
            </w:r>
          </w:p>
        </w:tc>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Human</w:t>
            </w:r>
          </w:p>
        </w:tc>
        <w:tc>
          <w:tcPr>
            <w:tcW w:w="5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hashed tokens, tickets, pinned TLS, Keystore, headers, throttled join, revoke-and-wipe, security log, breach runbook; disk encryption on WABAKIPI open</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8 Data subject participation (s23-25)</w:t>
            </w:r>
          </w:p>
        </w:tc>
        <w:tc>
          <w:tcPr>
            <w:tcW w:w="9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Meets</w:t>
            </w:r>
          </w:p>
        </w:tc>
        <w:tc>
          <w:tcPr>
            <w:tcW w:w="55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 copy and erasure for one person; workspace export and deletion</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6. Data subjects' rights (sections 23-25)</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700"/>
        <w:gridCol w:w="4960"/>
        <w:gridCol w:w="2400"/>
      </w:tblGrid>
      <w:tr>
        <w:trPr>
          <w:cantSplit/>
          <w:tblHeader/>
        </w:trPr>
        <w:tc>
          <w:tcPr>
            <w:tcW w:w="17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Right</w:t>
            </w:r>
          </w:p>
        </w:tc>
        <w:tc>
          <w:tcPr>
            <w:tcW w:w="49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How</w:t>
            </w:r>
          </w:p>
        </w:tc>
        <w:tc>
          <w:tcPr>
            <w:tcW w:w="24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Kept on purpose</w:t>
            </w:r>
          </w:p>
        </w:tc>
      </w:tr>
      <w:tr>
        <w:trPr>
          <w:cantSplit/>
        </w:trPr>
        <w:tc>
          <w:tcPr>
            <w:tcW w:w="1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Access (s23)</w:t>
            </w:r>
          </w:p>
        </w:tc>
        <w:tc>
          <w:tcPr>
            <w:tcW w:w="4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People &amp; seats or the phone menu: a copy of everything about the person (member, devices, recordings listed, notes naming them, what they did, what the companion learned)</w:t>
            </w:r>
          </w:p>
        </w:tc>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r>
        <w:trPr>
          <w:cantSplit/>
        </w:trPr>
        <w:tc>
          <w:tcPr>
            <w:tcW w:w="1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Correction (s24)</w:t>
            </w:r>
          </w:p>
        </w:tc>
        <w:tc>
          <w:tcPr>
            <w:tcW w:w="49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edit the note or name; ask the owner through the notice's contact</w:t>
            </w:r>
          </w:p>
        </w:tc>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r>
        <w:trPr>
          <w:cantSplit/>
        </w:trPr>
        <w:tc>
          <w:tcPr>
            <w:tcW w:w="1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Deletion (s24)</w:t>
            </w:r>
          </w:p>
        </w:tc>
        <w:tc>
          <w:tcPr>
            <w:tcW w:w="4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an owner erases a member or a person on the map: recordings deleted, names replaced by [removed] everywhere, devices wiped, companion forgets, journal compacted; reaches phones and hubs as updates</w:t>
            </w:r>
          </w:p>
        </w:tc>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action log rows (who did what, when), with the name taken out; archives until their period</w:t>
            </w:r>
          </w:p>
        </w:tc>
      </w:tr>
      <w:tr>
        <w:trPr>
          <w:cantSplit/>
        </w:trPr>
        <w:tc>
          <w:tcPr>
            <w:tcW w:w="17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Objection (s11(3))</w:t>
            </w:r>
          </w:p>
        </w:tc>
        <w:tc>
          <w:tcPr>
            <w:tcW w:w="49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through the notice's contact, to the owner</w:t>
            </w:r>
          </w:p>
        </w:tc>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7. Special topics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6460"/>
      </w:tblGrid>
      <w:tr>
        <w:trPr>
          <w:cantSplit/>
          <w:tblHeader/>
        </w:trPr>
        <w:tc>
          <w:tcPr>
            <w:tcW w:w="26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Topic</w:t>
            </w:r>
          </w:p>
        </w:tc>
        <w:tc>
          <w:tcPr>
            <w:tcW w:w="64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Finding</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Special information (s26-33)</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 note naming a person with health, disciplinary, union or religious details is held for the owners instead of being filed on an open branch; notes about animals and machines are not affected</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Biometrics</w:t>
            </w:r>
          </w:p>
        </w:tc>
        <w:tc>
          <w:tcPr>
            <w:tcW w:w="6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voice is recorded, never used to identify anyone: no speaker identification in the brain or the companion</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Children (s34-35)</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ages are collected; the owner confirms no children use it (human action 11)</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Direct marketing (s69)</w:t>
            </w:r>
          </w:p>
        </w:tc>
        <w:tc>
          <w:tcPr>
            <w:tcW w:w="6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none: NoteCad sends nothing to anyone outside the business</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Automated decisions (s71)</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routing and delegation file notes and tasks; nothing decides about a person with legal effect, and held or refused changes go to a person</w:t>
            </w:r>
          </w:p>
        </w:tc>
      </w:tr>
      <w:tr>
        <w:trPr>
          <w:cantSplit/>
        </w:trPr>
        <w:tc>
          <w:tcPr>
            <w:tcW w:w="26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Workplace monitoring</w:t>
            </w:r>
          </w:p>
        </w:tc>
        <w:tc>
          <w:tcPr>
            <w:tcW w:w="6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notice says what is recorded at work; employees see their own activity and can get their own copy</w:t>
            </w:r>
          </w:p>
        </w:tc>
      </w:tr>
      <w:tr>
        <w:trPr>
          <w:cantSplit/>
        </w:trPr>
        <w:tc>
          <w:tcPr>
            <w:tcW w:w="2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Transfers abroad (s72)</w:t>
            </w:r>
          </w:p>
        </w:tc>
        <w:tc>
          <w:tcPr>
            <w:tcW w:w="6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gate is off by default and per workspace; a note about a restricted branch never leaves, gate on or not; each transfer is logged</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8. Tests and checks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800"/>
        <w:gridCol w:w="1800"/>
        <w:gridCol w:w="3460"/>
      </w:tblGrid>
      <w:tr>
        <w:trPr>
          <w:cantSplit/>
          <w:tblHeader/>
        </w:trPr>
        <w:tc>
          <w:tcPr>
            <w:tcW w:w="38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Check</w:t>
            </w:r>
          </w:p>
        </w:tc>
        <w:tc>
          <w:tcPr>
            <w:tcW w:w="18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Before (v1.0)</w:t>
            </w:r>
          </w:p>
        </w:tc>
        <w:tc>
          <w:tcPr>
            <w:tcW w:w="34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Now</w:t>
            </w:r>
          </w:p>
        </w:tc>
      </w:tr>
      <w:tr>
        <w:trPr>
          <w:cantSplit/>
        </w:trPr>
        <w:tc>
          <w:tcPr>
            <w:tcW w:w="3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Brain tests (SQLite on WABAKIPI)</w:t>
            </w:r>
          </w:p>
        </w:tc>
        <w:tc>
          <w:tcPr>
            <w:tcW w:w="1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169</w:t>
            </w:r>
          </w:p>
        </w:tc>
        <w:tc>
          <w:tcPr>
            <w:tcW w:w="3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193 (24 new: test_popia, test_popia_actions)</w:t>
            </w:r>
          </w:p>
        </w:tc>
      </w:tr>
      <w:tr>
        <w:trPr>
          <w:cantSplit/>
        </w:trPr>
        <w:tc>
          <w:tcPr>
            <w:tcW w:w="3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Companion tests</w:t>
            </w:r>
          </w:p>
        </w:tc>
        <w:tc>
          <w:tcPr>
            <w:tcW w:w="1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47</w:t>
            </w:r>
          </w:p>
        </w:tc>
        <w:tc>
          <w:tcPr>
            <w:tcW w:w="3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48</w:t>
            </w:r>
          </w:p>
        </w:tc>
      </w:tr>
      <w:tr>
        <w:trPr>
          <w:cantSplit/>
        </w:trPr>
        <w:tc>
          <w:tcPr>
            <w:tcW w:w="3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Desktop (Vitest)</w:t>
            </w:r>
          </w:p>
        </w:tc>
        <w:tc>
          <w:tcPr>
            <w:tcW w:w="1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37</w:t>
            </w:r>
          </w:p>
        </w:tc>
        <w:tc>
          <w:tcPr>
            <w:tcW w:w="3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40</w:t>
            </w:r>
          </w:p>
        </w:tc>
      </w:tr>
      <w:tr>
        <w:trPr>
          <w:cantSplit/>
        </w:trPr>
        <w:tc>
          <w:tcPr>
            <w:tcW w:w="3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Phone (Vitest)</w:t>
            </w:r>
          </w:p>
        </w:tc>
        <w:tc>
          <w:tcPr>
            <w:tcW w:w="1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7</w:t>
            </w:r>
          </w:p>
        </w:tc>
        <w:tc>
          <w:tcPr>
            <w:tcW w:w="3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10</w:t>
            </w:r>
          </w:p>
        </w:tc>
      </w:tr>
      <w:tr>
        <w:trPr>
          <w:cantSplit/>
        </w:trPr>
        <w:tc>
          <w:tcPr>
            <w:tcW w:w="3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Android unit tests (CI)</w:t>
            </w:r>
          </w:p>
        </w:tc>
        <w:tc>
          <w:tcPr>
            <w:tcW w:w="1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13</w:t>
            </w:r>
          </w:p>
        </w:tc>
        <w:tc>
          <w:tcPr>
            <w:tcW w:w="3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TlsPinTest and TokenVaultTest added</w:t>
            </w:r>
          </w:p>
        </w:tc>
      </w:tr>
      <w:tr>
        <w:trPr>
          <w:cantSplit/>
        </w:trPr>
        <w:tc>
          <w:tcPr>
            <w:tcW w:w="3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CI (Postgres 17, Supabase 0001-0009 twice, APK, Tauri)</w:t>
            </w:r>
          </w:p>
        </w:tc>
        <w:tc>
          <w:tcPr>
            <w:tcW w:w="1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green</w:t>
            </w:r>
          </w:p>
        </w:tc>
        <w:tc>
          <w:tcPr>
            <w:tcW w:w="3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green, plus the register check</w:t>
            </w:r>
          </w:p>
        </w:tc>
      </w:tr>
      <w:tr>
        <w:trPr>
          <w:cantSplit/>
        </w:trPr>
        <w:tc>
          <w:tcPr>
            <w:tcW w:w="3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Field test (golden notes)</w:t>
            </w:r>
          </w:p>
        </w:tc>
        <w:tc>
          <w:tcPr>
            <w:tcW w:w="18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20/21</w:t>
            </w:r>
          </w:p>
        </w:tc>
        <w:tc>
          <w:tcPr>
            <w:tcW w:w="3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20/21 (95.2 %), showcase 3/3</w:t>
            </w:r>
          </w:p>
        </w:tc>
      </w:tr>
      <w:tr>
        <w:trPr>
          <w:cantSplit/>
        </w:trPr>
        <w:tc>
          <w:tcPr>
            <w:tcW w:w="3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Playwright</w:t>
            </w:r>
          </w:p>
        </w:tc>
        <w:tc>
          <w:tcPr>
            <w:tcW w:w="18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21 + roles</w:t>
            </w:r>
          </w:p>
        </w:tc>
        <w:tc>
          <w:tcPr>
            <w:tcW w:w="34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every spec plus popia.spec (notice before notes, erasure, URLs and log), three full runs</w:t>
            </w:r>
          </w:p>
        </w:tc>
      </w:tr>
    </w:tbl>
    <w:p>
      <w:pPr>
        <w:spacing w:before="0" w:after="40" w:lineRule="auto"/>
        <w:jc w:val="both"/>
      </w:pPr>
      <w:r>
        <w:rPr>
          <w:rFonts w:ascii="Arial" w:cs="Arial" w:eastAsia="Arial" w:hAnsi="Arial"/>
          <w:b w:val="0"/>
          <w:bCs w:val="0"/>
          <w:i w:val="0"/>
          <w:iCs w:val="0"/>
          <w:color w:val="000000"/>
          <w:sz w:val="20"/>
          <w:szCs w:val="20"/>
        </w:rPr>
        <w:t xml:space="preserve"/>
      </w:r>
    </w:p>
    <w:p>
      <w:pPr>
        <w:pStyle w:val="Heading1"/>
        <w:keepNext/>
        <w:spacing w:before="300" w:after="120" w:lineRule="auto"/>
      </w:pPr>
      <w:r>
        <w:rPr>
          <w:rFonts w:ascii="Arial" w:cs="Arial" w:eastAsia="Arial" w:hAnsi="Arial"/>
        </w:rPr>
        <w:t xml:space="preserve">9. What needs a person to decide</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0"/>
        <w:gridCol w:w="6060"/>
        <w:gridCol w:w="2500"/>
      </w:tblGrid>
      <w:tr>
        <w:trPr>
          <w:cantSplit/>
          <w:tblHeader/>
        </w:trPr>
        <w:tc>
          <w:tcPr>
            <w:tcW w:w="5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center"/>
            </w:pPr>
            <w:r>
              <w:rPr>
                <w:rFonts w:ascii="Arial" w:cs="Arial" w:eastAsia="Arial" w:hAnsi="Arial"/>
                <w:b w:val="1"/>
                <w:bCs w:val="1"/>
                <w:i w:val="0"/>
                <w:iCs w:val="0"/>
                <w:color w:val="ffffff"/>
                <w:sz w:val="17"/>
                <w:szCs w:val="17"/>
              </w:rPr>
              <w:t xml:space="preserve">#</w:t>
            </w:r>
          </w:p>
        </w:tc>
        <w:tc>
          <w:tcPr>
            <w:tcW w:w="60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What</w:t>
            </w:r>
          </w:p>
        </w:tc>
        <w:tc>
          <w:tcPr>
            <w:tcW w:w="25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Who</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6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Register Ionity's Information Officer; publish the PAIA manual</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6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Operator agreements with Anthropic, Deepgram, Supabase, Google; Supabase region</w:t>
            </w:r>
          </w:p>
        </w:tc>
        <w:tc>
          <w:tcPr>
            <w:tcW w:w="2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6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Lawful basis per purpose in the notice (legal wording)</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 with a practitioner</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c>
          <w:tcPr>
            <w:tcW w:w="6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Legal review of the notice and the monitoring paragraph</w:t>
            </w:r>
          </w:p>
        </w:tc>
        <w:tc>
          <w:tcPr>
            <w:tcW w:w="2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 with a practitioner</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w:t>
            </w:r>
          </w:p>
        </w:tc>
        <w:tc>
          <w:tcPr>
            <w:tcW w:w="6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Retention periods on the real workspaces (suggested 90 / 365 / 365 days)</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Each owner</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w:t>
            </w:r>
          </w:p>
        </w:tc>
        <w:tc>
          <w:tcPr>
            <w:tcW w:w="6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NC_BRAIN_ARCHIVE_DAYS for data\archive on WABAKIPI</w:t>
            </w:r>
          </w:p>
        </w:tc>
        <w:tc>
          <w:tcPr>
            <w:tcW w:w="2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Dennis</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7</w:t>
            </w:r>
          </w:p>
        </w:tc>
        <w:tc>
          <w:tcPr>
            <w:tcW w:w="6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Encrypt the disk with data\ (Windows 11 Home: Device Encryption or Pro + BitLocker)</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Dennis</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8</w:t>
            </w:r>
          </w:p>
        </w:tc>
        <w:tc>
          <w:tcPr>
            <w:tcW w:w="6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Whether per-owner LoRA training goes ahead</w:t>
            </w:r>
          </w:p>
        </w:tc>
        <w:tc>
          <w:tcPr>
            <w:tcW w:w="2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w:t>
            </w:r>
          </w:p>
        </w:tc>
        <w:tc>
          <w:tcPr>
            <w:tcW w:w="6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Own the breach runbook (who decides, who tells the Regulator)</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 and each owner</w:t>
            </w:r>
          </w:p>
        </w:tc>
      </w:tr>
      <w:tr>
        <w:trPr>
          <w:cantSplit/>
        </w:trPr>
        <w:tc>
          <w:tcPr>
            <w:tcW w:w="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c>
          <w:tcPr>
            <w:tcW w:w="60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Turn the cloud transfer on only after 2 and 3</w:t>
            </w:r>
          </w:p>
        </w:tc>
        <w:tc>
          <w:tcPr>
            <w:tcW w:w="25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Each owner</w:t>
            </w:r>
          </w:p>
        </w:tc>
      </w:tr>
      <w:tr>
        <w:trPr>
          <w:cantSplit/>
        </w:trPr>
        <w:tc>
          <w:tcPr>
            <w:tcW w:w="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w:t>
            </w:r>
          </w:p>
        </w:tc>
        <w:tc>
          <w:tcPr>
            <w:tcW w:w="6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Confirm no children use the app</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Each owner</w:t>
            </w:r>
          </w:p>
        </w:tc>
      </w:tr>
    </w:tbl>
    <w:p>
      <w:pPr>
        <w:spacing w:before="0" w:after="40" w:lineRule="auto"/>
        <w:jc w:val="both"/>
      </w:pPr>
      <w:r>
        <w:rPr>
          <w:rFonts w:ascii="Arial" w:cs="Arial" w:eastAsia="Arial" w:hAnsi="Arial"/>
          <w:b w:val="0"/>
          <w:bCs w:val="0"/>
          <w:i w:val="0"/>
          <w:iCs w:val="0"/>
          <w:color w:val="000000"/>
          <w:sz w:val="20"/>
          <w:szCs w:val="20"/>
        </w:rPr>
        <w:t xml:space="preserve"/>
      </w:r>
    </w:p>
    <w:p>
      <w:pPr>
        <w:spacing w:before="80" w:after="80" w:lineRule="auto"/>
        <w:jc w:val="both"/>
      </w:pPr>
      <w:r>
        <w:rPr>
          <w:rFonts w:ascii="Arial" w:cs="Arial" w:eastAsia="Arial" w:hAnsi="Arial"/>
          <w:b w:val="0"/>
          <w:bCs w:val="0"/>
          <w:i w:val="0"/>
          <w:iCs w:val="0"/>
          <w:color w:val="000000"/>
          <w:sz w:val="20"/>
          <w:szCs w:val="20"/>
        </w:rPr>
        <w:t xml:space="preserve">Details and reasons: docs/compliance/popia-human-actions.md. Breach steps: docs/compliance/breach-runbook.md.</w:t>
      </w:r>
    </w:p>
    <w:p>
      <w:pPr>
        <w:pStyle w:val="Heading1"/>
        <w:keepNext/>
        <w:spacing w:before="300" w:after="120" w:lineRule="auto"/>
      </w:pPr>
      <w:r>
        <w:rPr>
          <w:rFonts w:ascii="Arial" w:cs="Arial" w:eastAsia="Arial" w:hAnsi="Arial"/>
        </w:rPr>
        <w:t xml:space="preserve">Appendix A - Document control</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6660"/>
      </w:tblGrid>
      <w:tr>
        <w:trPr>
          <w:cantSplit/>
          <w:tblHeader/>
        </w:trPr>
        <w:tc>
          <w:tcPr>
            <w:tcW w:w="240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Field</w:t>
            </w:r>
          </w:p>
        </w:tc>
        <w:tc>
          <w:tcPr>
            <w:tcW w:w="6660" w:type="dxa"/>
            <w:tcBorders>
              <w:top w:color="cccccc" w:space="0" w:sz="4" w:val="single"/>
              <w:left w:color="cccccc" w:space="0" w:sz="4" w:val="single"/>
              <w:bottom w:color="cccccc" w:space="0" w:sz="4" w:val="single"/>
              <w:right w:color="cccccc" w:space="0" w:sz="4" w:val="single"/>
            </w:tcBorders>
            <w:shd w:val="clear" w:color="auto" w:fill="0d2137"/>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7"/>
                <w:szCs w:val="17"/>
              </w:rPr>
              <w:t xml:space="preserve">Value</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Document</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 NoteCad - POPIA compliance assessment</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Document ID</w:t>
            </w:r>
          </w:p>
        </w:tc>
        <w:tc>
          <w:tcPr>
            <w:tcW w:w="66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DOC-2026-10-NOTECAD-POPIA-01</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Version</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1.1, 29 October 2026 (1.0: 29 October 2026)</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Prepared by</w:t>
            </w:r>
          </w:p>
        </w:tc>
        <w:tc>
          <w:tcPr>
            <w:tcW w:w="66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Dennis Grobler (Wabakipi), with Claude Code | Ionity Global (Pty) Ltd | AEDI</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Governance / licence</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Policy 986 AED | License AED 900</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Rights</w:t>
            </w:r>
          </w:p>
        </w:tc>
        <w:tc>
          <w:tcPr>
            <w:tcW w:w="66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 2026 Ionity Global (Pty) Ltd - All rights reserved</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Company</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IONITY GLOBAL (Pty) Ltd 2026/276325/07 | www.ionity.today | ai@ionity.today</w:t>
            </w:r>
          </w:p>
        </w:tc>
      </w:tr>
      <w:tr>
        <w:trPr>
          <w:cantSplit/>
        </w:trPr>
        <w:tc>
          <w:tcPr>
            <w:tcW w:w="240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Note</w:t>
            </w:r>
          </w:p>
        </w:tc>
        <w:tc>
          <w:tcPr>
            <w:tcW w:w="6660" w:type="dxa"/>
            <w:tcBorders>
              <w:top w:color="cccccc" w:space="0" w:sz="4" w:val="single"/>
              <w:left w:color="cccccc" w:space="0" w:sz="4" w:val="single"/>
              <w:bottom w:color="cccccc" w:space="0" w:sz="4" w:val="single"/>
              <w:right w:color="cccccc" w:space="0" w:sz="4" w:val="single"/>
            </w:tcBorders>
            <w:shd w:val="clear" w:color="auto" w:fill="f0f7fa"/>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technical assessment, not legal advice; confirm sections 5, 7 and 9 with a POPIA practitioner</w:t>
            </w:r>
          </w:p>
        </w:tc>
      </w:tr>
    </w:tbl>
    <w:p>
      <w:pPr>
        <w:spacing w:before="0" w:after="40" w:lineRule="auto"/>
        <w:jc w:val="both"/>
      </w:pPr>
      <w:r>
        <w:rPr>
          <w:rFonts w:ascii="Arial" w:cs="Arial" w:eastAsia="Arial" w:hAnsi="Arial"/>
          <w:b w:val="0"/>
          <w:bCs w:val="0"/>
          <w:i w:val="0"/>
          <w:iCs w:val="0"/>
          <w:color w:val="000000"/>
          <w:sz w:val="20"/>
          <w:szCs w:val="20"/>
        </w:rPr>
        <w:t xml:space="preserve"/>
      </w:r>
    </w:p>
    <w:p>
      <w:pPr>
        <w:spacing w:before="200" w:after="0" w:lineRule="auto"/>
        <w:jc w:val="center"/>
      </w:pPr>
      <w:r>
        <w:rPr>
          <w:rFonts w:ascii="Arial" w:cs="Arial" w:eastAsia="Arial" w:hAnsi="Arial"/>
          <w:b w:val="0"/>
          <w:bCs w:val="0"/>
          <w:i w:val="1"/>
          <w:iCs w:val="1"/>
          <w:color w:val="555555"/>
          <w:sz w:val="18"/>
          <w:szCs w:val="18"/>
        </w:rPr>
        <w:t xml:space="preserve">Building Tomorrow, Today. | Anything is Possible with God.</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