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Textbook Synopsis Paper (Floyd)</w:t>
      </w:r>
    </w:p>
    <w:p w:rsidR="00000000" w:rsidDel="00000000" w:rsidP="00000000" w:rsidRDefault="00000000" w:rsidRPr="00000000" w14:paraId="00000002">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SU25_CO5730_Moen</w:t>
      </w:r>
    </w:p>
    <w:p w:rsidR="00000000" w:rsidDel="00000000" w:rsidP="00000000" w:rsidRDefault="00000000" w:rsidRPr="00000000" w14:paraId="0000000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Dennis Gahm</w: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line="480" w:lineRule="auto"/>
        <w:rPr>
          <w:rFonts w:ascii="Times New Roman" w:cs="Times New Roman" w:eastAsia="Times New Roman" w:hAnsi="Times New Roman"/>
        </w:rPr>
      </w:pPr>
      <w:bookmarkStart w:colFirst="0" w:colLast="0" w:name="_l9iihi8yeeyf" w:id="0"/>
      <w:bookmarkEnd w:id="0"/>
      <w:r w:rsidDel="00000000" w:rsidR="00000000" w:rsidRPr="00000000">
        <w:rPr>
          <w:rFonts w:ascii="Times New Roman" w:cs="Times New Roman" w:eastAsia="Times New Roman" w:hAnsi="Times New Roman"/>
          <w:rtl w:val="0"/>
        </w:rPr>
        <w:t xml:space="preserve">Basic Theme and Subject Matter</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The basic idea of the book is that there are various crises and that we as ministers have a crucial role in helping those who need help.  As I reviewed the book, the thing that stood out to me the most were the examples of the specific crises that could occur.  The great detail into which each crises is examined is a very insightful perspective that helps me understand crises more.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is also an analysis of the topic of crises in the beginning of the book.  For example, it talks of the situation in World War 2, as one of the beginnings of crisis counseling.  The book also gives a description and definition of what a crisis is in general.  Generally, I would understand crises to be some sort of event that causes distress.  This definition is specific in that there must be an experience of difficulty and distress from the event for it to be called a crisis.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w:t>
      </w:r>
      <w:r w:rsidDel="00000000" w:rsidR="00000000" w:rsidRPr="00000000">
        <w:rPr>
          <w:rtl w:val="0"/>
        </w:rPr>
        <w:t xml:space="preserve">also descriptions of how crises can be reacted to with grace or with faulty emotions.  Also, crises are not always a bad thin</w:t>
      </w:r>
      <w:r w:rsidDel="00000000" w:rsidR="00000000" w:rsidRPr="00000000">
        <w:rPr>
          <w:rFonts w:ascii="Times New Roman" w:cs="Times New Roman" w:eastAsia="Times New Roman" w:hAnsi="Times New Roman"/>
          <w:sz w:val="24"/>
          <w:szCs w:val="24"/>
          <w:rtl w:val="0"/>
        </w:rPr>
        <w:t xml:space="preserve">g.  Crises can develop character and strength.</w:t>
      </w:r>
    </w:p>
    <w:p w:rsidR="00000000" w:rsidDel="00000000" w:rsidP="00000000" w:rsidRDefault="00000000" w:rsidRPr="00000000" w14:paraId="0000000A">
      <w:pPr>
        <w:pStyle w:val="Heading1"/>
        <w:rPr>
          <w:rFonts w:ascii="Times New Roman" w:cs="Times New Roman" w:eastAsia="Times New Roman" w:hAnsi="Times New Roman"/>
        </w:rPr>
      </w:pPr>
      <w:bookmarkStart w:colFirst="0" w:colLast="0" w:name="_8rlv5chomptz" w:id="1"/>
      <w:bookmarkEnd w:id="1"/>
      <w:r w:rsidDel="00000000" w:rsidR="00000000" w:rsidRPr="00000000">
        <w:rPr>
          <w:rtl w:val="0"/>
        </w:rPr>
        <w:t xml:space="preserve">Weaknesses and Strengths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t xml:space="preserve">I think the greatest strength of this book is the detail to which they describe the examples of crises.  The story of the shooting at the church was so intriguing and surprising.  I totally knew that this could be possible, but I never thought I’d be reading about a pastor experiencing such a thing so directly.  The book not only described the event of the crisis, but also described the situation of the people who survived it, who were affected by the crisis, and how the ministers attended to the problem.  I thought the book gave me a good understanding of what true crises can be like, and that there are a series of logical steps that can be taken in events like these.</w:t>
      </w:r>
    </w:p>
    <w:p w:rsidR="00000000" w:rsidDel="00000000" w:rsidP="00000000" w:rsidRDefault="00000000" w:rsidRPr="00000000" w14:paraId="0000000C">
      <w:pPr>
        <w:rPr/>
      </w:pPr>
      <w:r w:rsidDel="00000000" w:rsidR="00000000" w:rsidRPr="00000000">
        <w:rPr>
          <w:rtl w:val="0"/>
        </w:rPr>
        <w:tab/>
        <w:t xml:space="preserve">I thought the book’s weakness was that it was not so theological.  As in, there were no bible verses and there were no grand pictures of the big picture and grand meaning of the role of the minister.  When we hear sermons, we generally hear the very big picture and the beautiful meaning of the purpose of things.  But this book didn’t have any theology, and it was just a lot of dry textbook type of material.  But don’t get me wrong, I really enjoyed reading this book.  I just sometimes hope that it would give those fluffy theological dialogues of how God worked in the crises.  It may actually be a strength that the book was very objective and scientific in its approach.</w:t>
      </w:r>
    </w:p>
    <w:p w:rsidR="00000000" w:rsidDel="00000000" w:rsidP="00000000" w:rsidRDefault="00000000" w:rsidRPr="00000000" w14:paraId="0000000D">
      <w:pPr>
        <w:pStyle w:val="Heading1"/>
        <w:rPr/>
      </w:pPr>
      <w:bookmarkStart w:colFirst="0" w:colLast="0" w:name="_5x8i7qswt27e" w:id="2"/>
      <w:bookmarkEnd w:id="2"/>
      <w:r w:rsidDel="00000000" w:rsidR="00000000" w:rsidRPr="00000000">
        <w:rPr>
          <w:rtl w:val="0"/>
        </w:rPr>
        <w:t xml:space="preserve">Ministry Enhancement</w:t>
      </w:r>
    </w:p>
    <w:p w:rsidR="00000000" w:rsidDel="00000000" w:rsidP="00000000" w:rsidRDefault="00000000" w:rsidRPr="00000000" w14:paraId="0000000E">
      <w:pPr>
        <w:rPr/>
      </w:pPr>
      <w:r w:rsidDel="00000000" w:rsidR="00000000" w:rsidRPr="00000000">
        <w:rPr>
          <w:rtl w:val="0"/>
        </w:rPr>
        <w:tab/>
        <w:t xml:space="preserve">I would say that this book definitely has a use for my ministry.  I believe that I will need to review the book after I get into ministry, but if I were to minister right now by reading this book, I would understand the general academic concepts of what crisis counseling is, and I would understand specific examples that were dealt with systematically.</w:t>
      </w:r>
    </w:p>
    <w:p w:rsidR="00000000" w:rsidDel="00000000" w:rsidP="00000000" w:rsidRDefault="00000000" w:rsidRPr="00000000" w14:paraId="0000000F">
      <w:pPr>
        <w:rPr/>
      </w:pPr>
      <w:r w:rsidDel="00000000" w:rsidR="00000000" w:rsidRPr="00000000">
        <w:rPr>
          <w:rtl w:val="0"/>
        </w:rPr>
        <w:tab/>
        <w:t xml:space="preserve">I believe the biggest thing I’d be getting from this book is that crises are very varied, and that we need to be flexible.  There is a logical and right way to deal with crises, but the main goal is to have an understanding, and loving heart.</w:t>
      </w:r>
    </w:p>
    <w:p w:rsidR="00000000" w:rsidDel="00000000" w:rsidP="00000000" w:rsidRDefault="00000000" w:rsidRPr="00000000" w14:paraId="00000010">
      <w:pPr>
        <w:rPr/>
      </w:pPr>
      <w:r w:rsidDel="00000000" w:rsidR="00000000" w:rsidRPr="00000000">
        <w:rPr>
          <w:rtl w:val="0"/>
        </w:rPr>
        <w:tab/>
        <w:t xml:space="preserve">I think one weakness of the book is that there was not much dialogue.  I would love to hear dialogue between the counselee and the minister.  I believe that there must be a reason for how the book was written, however.</w:t>
      </w:r>
      <w:r w:rsidDel="00000000" w:rsidR="00000000" w:rsidRPr="00000000">
        <w:rPr>
          <w:rtl w:val="0"/>
        </w:rPr>
      </w:r>
    </w:p>
    <w:sectPr>
      <w:headerReference r:id="rId6" w:type="first"/>
      <w:footerReference r:id="rId7" w:type="default"/>
      <w:footerReference r:id="rId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48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