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3" w:name="X6562ea7cfcb4c253625cbd94db32b82c667e48a"/>
    <w:p>
      <w:pPr>
        <w:pStyle w:val="Heading1"/>
      </w:pPr>
      <w:r>
        <w:t xml:space="preserve">Plan de retiro preventivo de Temporal Cloud ante insolvencia del proveedor</w:t>
      </w:r>
    </w:p>
    <w:p>
      <w:pPr>
        <w:pStyle w:val="FirstParagraph"/>
      </w:pPr>
      <w:r>
        <w:rPr>
          <w:b/>
          <w:bCs/>
        </w:rPr>
        <w:t xml:space="preserve">BCP / PEVE / Versión 1.0</w:t>
      </w:r>
      <w:r>
        <w:br/>
      </w:r>
      <w:r>
        <w:t xml:space="preserve">Datos elaborados por BCP para uso interno.</w:t>
      </w:r>
      <w:r>
        <w:br/>
      </w:r>
      <w:r>
        <w:t xml:space="preserve">Documento de decisión asociado: resumen para la instancia aprobadora.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Valor</w:t>
            </w:r>
          </w:p>
        </w:tc>
      </w:tr>
      <w:tr>
        <w:tc>
          <w:tcPr/>
          <w:p>
            <w:pPr>
              <w:pStyle w:val="Compact"/>
            </w:pPr>
            <w:r>
              <w:t xml:space="preserve">Código</w:t>
            </w:r>
          </w:p>
        </w:tc>
        <w:tc>
          <w:tcPr/>
          <w:p>
            <w:pPr>
              <w:pStyle w:val="Compact"/>
            </w:pPr>
            <w:r>
              <w:t xml:space="preserve">PEVE-PR-2026-001</w:t>
            </w:r>
          </w:p>
        </w:tc>
      </w:tr>
      <w:tr>
        <w:tc>
          <w:tcPr/>
          <w:p>
            <w:pPr>
              <w:pStyle w:val="Compact"/>
            </w:pPr>
            <w:r>
              <w:t xml:space="preserve">Versión</w:t>
            </w:r>
          </w:p>
        </w:tc>
        <w:tc>
          <w:tcPr/>
          <w:p>
            <w:pPr>
              <w:pStyle w:val="Compact"/>
            </w:pPr>
            <w:r>
              <w:t xml:space="preserve">1.0</w:t>
            </w:r>
          </w:p>
        </w:tc>
      </w:tr>
      <w:tr>
        <w:tc>
          <w:tcPr/>
          <w:p>
            <w:pPr>
              <w:pStyle w:val="Compact"/>
            </w:pPr>
            <w:r>
              <w:t xml:space="preserve">Estado</w:t>
            </w:r>
          </w:p>
        </w:tc>
        <w:tc>
          <w:tcPr/>
          <w:p>
            <w:pPr>
              <w:pStyle w:val="Compact"/>
            </w:pPr>
            <w:r>
              <w:t xml:space="preserve">Final para aprobación. La fase 0 queda pendiente de ejecución. Cuatro destinos evaluados de forma equitativa. Paso 0.0 elige uno.</w:t>
            </w:r>
          </w:p>
        </w:tc>
      </w:tr>
      <w:tr>
        <w:tc>
          <w:tcPr/>
          <w:p>
            <w:pPr>
              <w:pStyle w:val="Compact"/>
            </w:pPr>
            <w:r>
              <w:t xml:space="preserve">Clasificación</w:t>
            </w:r>
          </w:p>
        </w:tc>
        <w:tc>
          <w:tcPr/>
          <w:p>
            <w:pPr>
              <w:pStyle w:val="Compact"/>
            </w:pPr>
            <w:r>
              <w:t xml:space="preserve">Uso interno BCP</w:t>
            </w:r>
          </w:p>
        </w:tc>
      </w:tr>
      <w:tr>
        <w:tc>
          <w:tcPr/>
          <w:p>
            <w:pPr>
              <w:pStyle w:val="Compact"/>
            </w:pPr>
            <w:r>
              <w:t xml:space="preserve">Dueño</w:t>
            </w:r>
          </w:p>
        </w:tc>
        <w:tc>
          <w:tcPr/>
          <w:p>
            <w:pPr>
              <w:pStyle w:val="Compact"/>
            </w:pPr>
            <w:r>
              <w:t xml:space="preserve">PEVE</w:t>
            </w:r>
          </w:p>
        </w:tc>
      </w:tr>
      <w:tr>
        <w:tc>
          <w:tcPr/>
          <w:p>
            <w:pPr>
              <w:pStyle w:val="Compact"/>
            </w:pPr>
            <w:r>
              <w:t xml:space="preserve">Revisores</w:t>
            </w:r>
          </w:p>
        </w:tc>
        <w:tc>
          <w:tcPr/>
          <w:p>
            <w:pPr>
              <w:pStyle w:val="Compact"/>
            </w:pPr>
            <w:r>
              <w:t xml:space="preserve">Arquitectura, Seguridad, Continuidad, RNF, Legal / Compras, PO APOQ, PO NREM</w:t>
            </w:r>
          </w:p>
        </w:tc>
      </w:tr>
      <w:tr>
        <w:tc>
          <w:tcPr/>
          <w:p>
            <w:pPr>
              <w:pStyle w:val="Compact"/>
            </w:pPr>
            <w:r>
              <w:t xml:space="preserve">Aprobador</w:t>
            </w:r>
          </w:p>
        </w:tc>
        <w:tc>
          <w:tcPr/>
          <w:p>
            <w:pPr>
              <w:pStyle w:val="Compact"/>
            </w:pPr>
            <w:r>
              <w:t xml:space="preserve">Instancia aprobadora</w:t>
            </w:r>
          </w:p>
        </w:tc>
      </w:tr>
      <w:tr>
        <w:tc>
          <w:tcPr/>
          <w:p>
            <w:pPr>
              <w:pStyle w:val="Compact"/>
            </w:pPr>
            <w:r>
              <w:t xml:space="preserve">Vigencia</w:t>
            </w:r>
          </w:p>
        </w:tc>
        <w:tc>
          <w:tcPr/>
          <w:p>
            <w:pPr>
              <w:pStyle w:val="Compact"/>
            </w:pPr>
            <w:r>
              <w:t xml:space="preserve">Hasta la siguiente revisión anual o un cambio material</w:t>
            </w:r>
          </w:p>
        </w:tc>
      </w:tr>
      <w:tr>
        <w:tc>
          <w:tcPr/>
          <w:p>
            <w:pPr>
              <w:pStyle w:val="Compact"/>
            </w:pPr>
            <w:r>
              <w:t xml:space="preserve">Relacionado</w:t>
            </w:r>
          </w:p>
        </w:tc>
        <w:tc>
          <w:tcPr/>
          <w:p>
            <w:pPr>
              <w:pStyle w:val="Compact"/>
            </w:pPr>
            <w:r>
              <w:t xml:space="preserve">Planes de continuidad y recuperación de Temporal Cloud; receta de despliegue de cada aplicación</w:t>
            </w:r>
          </w:p>
        </w:tc>
      </w:tr>
      <w:tr>
        <w:tc>
          <w:tcPr/>
          <w:p>
            <w:pPr>
              <w:pStyle w:val="Compact"/>
            </w:pPr>
            <w:r>
              <w:t xml:space="preserve">Fuentes</w:t>
            </w:r>
          </w:p>
        </w:tc>
        <w:tc>
          <w:tcPr/>
          <w:p>
            <w:pPr>
              <w:pStyle w:val="Compact"/>
            </w:pPr>
            <w:r>
              <w:t xml:space="preserve">Documentación de los proveedores (Anexo H), marco normativo y buenas prácticas (Anexo I) y referencias en formato APA (Anexo J)</w:t>
            </w:r>
          </w:p>
        </w:tc>
      </w:tr>
    </w:tbl>
    <w:p>
      <w:pPr>
        <w:pStyle w:val="BodyText"/>
      </w:pPr>
      <w:r>
        <w:t xml:space="preserve">Los campos en cursiva de los anexos A, C, F y G se completan durante la fase 0, con la información de cada dueño.</w:t>
      </w:r>
    </w:p>
    <w:p>
      <w:r>
        <w:pict>
          <v:rect style="width:0;height:1.5pt" o:hralign="center" o:hrstd="t" o:hr="t"/>
        </w:pict>
      </w:r>
    </w:p>
    <w:bookmarkStart w:id="9" w:name="ficha-del-documento"/>
    <w:p>
      <w:pPr>
        <w:pStyle w:val="Heading2"/>
      </w:pPr>
      <w:r>
        <w:t xml:space="preserve">Ficha del documento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Servicio</w:t>
            </w:r>
          </w:p>
        </w:tc>
        <w:tc>
          <w:tcPr/>
          <w:p>
            <w:pPr>
              <w:pStyle w:val="Compact"/>
            </w:pPr>
            <w:r>
              <w:t xml:space="preserve">Temporal Cloud (orquestación y persistencia del estado de workflows)</w:t>
            </w:r>
          </w:p>
        </w:tc>
      </w:tr>
      <w:tr>
        <w:tc>
          <w:tcPr/>
          <w:p>
            <w:pPr>
              <w:pStyle w:val="Compact"/>
            </w:pPr>
            <w:r>
              <w:t xml:space="preserve">Proveedor</w:t>
            </w:r>
          </w:p>
        </w:tc>
        <w:tc>
          <w:tcPr/>
          <w:p>
            <w:pPr>
              <w:pStyle w:val="Compact"/>
            </w:pPr>
            <w:r>
              <w:t xml:space="preserve">Temporal Technologies Inc.</w:t>
            </w:r>
          </w:p>
        </w:tc>
      </w:tr>
      <w:tr>
        <w:tc>
          <w:tcPr/>
          <w:p>
            <w:pPr>
              <w:pStyle w:val="Compact"/>
            </w:pPr>
            <w:r>
              <w:t xml:space="preserve">Función</w:t>
            </w:r>
          </w:p>
        </w:tc>
        <w:tc>
          <w:tcPr/>
          <w:p>
            <w:pPr>
              <w:pStyle w:val="Compact"/>
            </w:pPr>
            <w:r>
              <w:t xml:space="preserve">Crítica / servicio significativo de procesamiento de datos</w:t>
            </w:r>
          </w:p>
        </w:tc>
      </w:tr>
      <w:tr>
        <w:tc>
          <w:tcPr/>
          <w:p>
            <w:pPr>
              <w:pStyle w:val="Compact"/>
            </w:pPr>
            <w:r>
              <w:t xml:space="preserve">Destino</w:t>
            </w:r>
          </w:p>
        </w:tc>
        <w:tc>
          <w:tcPr/>
          <w:p>
            <w:pPr>
              <w:pStyle w:val="Compact"/>
            </w:pPr>
            <w:r>
              <w:t xml:space="preserve">Cuatro opciones evaluadas de forma equitativa: Temporal Self-Hosted en Azure AKS, Azure Durable Functions, Dapr Workflows, y Restate. Paso 0.0 elige uno.</w:t>
            </w:r>
          </w:p>
        </w:tc>
      </w:tr>
      <w:tr>
        <w:tc>
          <w:tcPr/>
          <w:p>
            <w:pPr>
              <w:pStyle w:val="Compact"/>
            </w:pPr>
            <w:r>
              <w:t xml:space="preserve">Riesgo cubierto</w:t>
            </w:r>
          </w:p>
        </w:tc>
        <w:tc>
          <w:tcPr/>
          <w:p>
            <w:pPr>
              <w:pStyle w:val="Compact"/>
            </w:pPr>
            <w:r>
              <w:t xml:space="preserve">Insolvencia, liquidación, cese de operaciones o pérdida material de capacidad del proveedor para operar Temporal Cloud</w:t>
            </w:r>
          </w:p>
        </w:tc>
      </w:tr>
      <w:tr>
        <w:tc>
          <w:tcPr/>
          <w:p>
            <w:pPr>
              <w:pStyle w:val="Compact"/>
            </w:pPr>
            <w:r>
              <w:t xml:space="preserve">Fuera de alcance</w:t>
            </w:r>
          </w:p>
        </w:tc>
        <w:tc>
          <w:tcPr/>
          <w:p>
            <w:pPr>
              <w:pStyle w:val="Compact"/>
            </w:pPr>
            <w:r>
              <w:t xml:space="preserve">Terminación comercial o renegociación de precio. Adopción de un destino sin acta del paso 0.0 con aprobación formal de Arquitectura, Compras y la instancia</w:t>
            </w:r>
          </w:p>
        </w:tc>
      </w:tr>
      <w:tr>
        <w:tc>
          <w:tcPr/>
          <w:p>
            <w:pPr>
              <w:pStyle w:val="Compact"/>
            </w:pPr>
            <w:r>
              <w:t xml:space="preserve">Gobierno</w:t>
            </w:r>
          </w:p>
        </w:tc>
        <w:tc>
          <w:tcPr/>
          <w:p>
            <w:pPr>
              <w:pStyle w:val="Compact"/>
            </w:pPr>
            <w:r>
              <w:t xml:space="preserve">PEVE gobierna el plan y entrega la receta técnica. Los equipos de aplicación ejecutan y validan su migración.</w:t>
            </w:r>
          </w:p>
        </w:tc>
      </w:tr>
      <w:tr>
        <w:tc>
          <w:tcPr/>
          <w:p>
            <w:pPr>
              <w:pStyle w:val="Compact"/>
            </w:pPr>
            <w:r>
              <w:t xml:space="preserve">Naturaleza</w:t>
            </w:r>
          </w:p>
        </w:tc>
        <w:tc>
          <w:tcPr/>
          <w:p>
            <w:pPr>
              <w:pStyle w:val="Compact"/>
            </w:pPr>
            <w:r>
              <w:t xml:space="preserve">Preventivo y activable. La alternativa se prepara con anticipación y se ejecuta cuando se declara la pérdida de continuidad del proveedor o el cese del servicio.</w:t>
            </w:r>
          </w:p>
        </w:tc>
      </w:tr>
    </w:tbl>
    <w:p>
      <w:pPr>
        <w:pStyle w:val="BodyText"/>
      </w:pPr>
      <w:r>
        <w:t xml:space="preserve">Temporal Cloud es operado por Temporal Technologies Inc. El plan evalúa cuatro destinos. El servidor Temporal (MIT) puede instalarse y operarse en el Banco (Self-Hosted). Microsoft opera Azure Durable Functions y soporta Dapr Workflows. Restate puede autoalojarse en AKS o contratarse como Cloud Enterprise. El paso 0.0 elige uno de los cuatro. Los historiales y el estado de negocio quedan bajo control del BCP en todos los destinos.</w:t>
      </w:r>
    </w:p>
    <w:p>
      <w:pPr>
        <w:pStyle w:val="BodyText"/>
      </w:pPr>
      <w:r>
        <w:t xml:space="preserve">Los workers ya se ejecutan en AKS del Banco. En Self-Hosted el cambio es de control plane y conexión. En Durable Functions, Dapr Workflows o Restate el cambio incluye el modelo de programación; el cómputo puede permanecer en AKS (Dapr, Restate, Durable Task SDK) o pasar a Azure Functions.</w:t>
      </w:r>
    </w:p>
    <w:p>
      <w:r>
        <w:pict>
          <v:rect style="width:0;height:1.5pt" o:hralign="center" o:hrstd="t" o:hr="t"/>
        </w:pict>
      </w:r>
    </w:p>
    <w:bookmarkEnd w:id="9"/>
    <w:bookmarkStart w:id="10" w:name="principios"/>
    <w:p>
      <w:pPr>
        <w:pStyle w:val="Heading2"/>
      </w:pPr>
      <w:r>
        <w:t xml:space="preserve">Principios</w:t>
      </w:r>
    </w:p>
    <w:p>
      <w:pPr>
        <w:pStyle w:val="Compact"/>
        <w:numPr>
          <w:ilvl w:val="0"/>
          <w:numId w:val="1001"/>
        </w:numPr>
      </w:pPr>
      <w:r>
        <w:rPr>
          <w:b/>
          <w:bCs/>
        </w:rPr>
        <w:t xml:space="preserve">Continuidad y ausencia de duplicidad.</w:t>
      </w:r>
      <w:r>
        <w:t xml:space="preserve"> </w:t>
      </w:r>
      <w:r>
        <w:t xml:space="preserve">No se admite la doble ejecución de efectos de negocio (débito, crédito, remesa o liquidación). Las activities deben ser idempotentes. Un schedule o un workflow no puede estar activo a la vez en Cloud y en el destino aprobado.</w:t>
      </w:r>
    </w:p>
    <w:p>
      <w:pPr>
        <w:pStyle w:val="Compact"/>
        <w:numPr>
          <w:ilvl w:val="0"/>
          <w:numId w:val="1001"/>
        </w:numPr>
      </w:pPr>
      <w:r>
        <w:rPr>
          <w:b/>
          <w:bCs/>
        </w:rPr>
        <w:t xml:space="preserve">Destino aprobado.</w:t>
      </w:r>
      <w:r>
        <w:t xml:space="preserve"> </w:t>
      </w:r>
      <w:r>
        <w:t xml:space="preserve">El plan evalúa cuatro opciones de forma equitativa (Temporal Self-Hosted, Azure Durable Functions, Dapr Workflows y Restate). El paso 0.0 elige uno con aprobación formal antes de ejecutar la fase. Donde el documento dice Self-Hosted como destino de la migración, léase el destino aprobado por el paso 0.0. La conexión dual, los namespaces Temporal y el Anexo B aplican solo si el destino es Self-Hosted.</w:t>
      </w:r>
    </w:p>
    <w:p>
      <w:pPr>
        <w:pStyle w:val="Compact"/>
        <w:numPr>
          <w:ilvl w:val="0"/>
          <w:numId w:val="1001"/>
        </w:numPr>
      </w:pPr>
      <w:r>
        <w:rPr>
          <w:b/>
          <w:bCs/>
        </w:rPr>
        <w:t xml:space="preserve">Preparación previa.</w:t>
      </w:r>
      <w:r>
        <w:t xml:space="preserve"> </w:t>
      </w:r>
      <w:r>
        <w:t xml:space="preserve">La plataforma objetivo, la receta, el inventario y la exportación de historiales deben existir antes de la notificación del proveedor.</w:t>
      </w:r>
    </w:p>
    <w:p>
      <w:pPr>
        <w:pStyle w:val="Compact"/>
        <w:numPr>
          <w:ilvl w:val="0"/>
          <w:numId w:val="1001"/>
        </w:numPr>
      </w:pPr>
      <w:r>
        <w:rPr>
          <w:b/>
          <w:bCs/>
        </w:rPr>
        <w:t xml:space="preserve">Dos modos de actuación.</w:t>
      </w:r>
      <w:r>
        <w:t xml:space="preserve"> </w:t>
      </w:r>
      <w:r>
        <w:t xml:space="preserve">En reorganización o venta puede existir una ventana para concluir workflows en Cloud. En liquidación o interrupción definitiva no se espera cooperación del proveedor: se conmuta al destino aprobado y se reconstruye desde el estado de negocio.</w:t>
      </w:r>
    </w:p>
    <w:p>
      <w:pPr>
        <w:pStyle w:val="Compact"/>
        <w:numPr>
          <w:ilvl w:val="0"/>
          <w:numId w:val="1001"/>
        </w:numPr>
      </w:pPr>
      <w:r>
        <w:rPr>
          <w:b/>
          <w:bCs/>
        </w:rPr>
        <w:t xml:space="preserve">Migración por ambientes.</w:t>
      </w:r>
      <w:r>
        <w:t xml:space="preserve"> </w:t>
      </w:r>
      <w:r>
        <w:t xml:space="preserve">El orden es desarrollo, certificación y producción. No hay pase productivo sin conformidad técnica, funcional y de seguridad.</w:t>
      </w:r>
    </w:p>
    <w:p>
      <w:pPr>
        <w:pStyle w:val="Compact"/>
        <w:numPr>
          <w:ilvl w:val="0"/>
          <w:numId w:val="1001"/>
        </w:numPr>
      </w:pPr>
      <w:r>
        <w:rPr>
          <w:b/>
          <w:bCs/>
        </w:rPr>
        <w:t xml:space="preserve">Responsabilidad distribuida.</w:t>
      </w:r>
      <w:r>
        <w:t xml:space="preserve"> </w:t>
      </w:r>
      <w:r>
        <w:t xml:space="preserve">PEVE estandariza y consolida. Cada aplicación inventaría, migra, concilia y conserva evidencias.</w:t>
      </w:r>
    </w:p>
    <w:p>
      <w:pPr>
        <w:pStyle w:val="Compact"/>
        <w:numPr>
          <w:ilvl w:val="0"/>
          <w:numId w:val="1001"/>
        </w:numPr>
      </w:pPr>
      <w:r>
        <w:rPr>
          <w:b/>
          <w:bCs/>
        </w:rPr>
        <w:t xml:space="preserve">Retiro de Cloud.</w:t>
      </w:r>
      <w:r>
        <w:t xml:space="preserve"> </w:t>
      </w:r>
      <w:r>
        <w:t xml:space="preserve">No se retiran configuraciones ni accesos de Cloud mientras exista estado por tratar, salvo que el servicio ya no responda. En ese caso rige el modo estresado.</w:t>
      </w:r>
    </w:p>
    <w:p>
      <w:pPr>
        <w:pStyle w:val="Compact"/>
        <w:numPr>
          <w:ilvl w:val="0"/>
          <w:numId w:val="1001"/>
        </w:numPr>
      </w:pPr>
      <w:r>
        <w:rPr>
          <w:b/>
          <w:bCs/>
        </w:rPr>
        <w:t xml:space="preserve">Evidencia.</w:t>
      </w:r>
      <w:r>
        <w:t xml:space="preserve"> </w:t>
      </w:r>
      <w:r>
        <w:t xml:space="preserve">Se conserva evidencia técnica, funcional, de continuidad, de datos, de seguridad, contractual y de riesgo.</w:t>
      </w:r>
    </w:p>
    <w:p>
      <w:r>
        <w:pict>
          <v:rect style="width:0;height:1.5pt" o:hralign="center" o:hrstd="t" o:hr="t"/>
        </w:pict>
      </w:r>
    </w:p>
    <w:bookmarkEnd w:id="10"/>
    <w:bookmarkStart w:id="12" w:name="identificación-y-criticidad"/>
    <w:p>
      <w:pPr>
        <w:pStyle w:val="Heading2"/>
      </w:pPr>
      <w:r>
        <w:t xml:space="preserve">01. Identificación y criticidad</w:t>
      </w:r>
    </w:p>
    <w:p>
      <w:pPr>
        <w:pStyle w:val="FirstParagraph"/>
      </w:pPr>
      <w:r>
        <w:t xml:space="preserve">Temporal Cloud soporta la orquestación y la persistencia del estado de workflows de aplicaciones del BCP. Al ser un servicio gestionado, su continuidad depende de la estabilidad operativa, financiera y contractual de Temporal Technologies Inc.</w:t>
      </w:r>
    </w:p>
    <w:p>
      <w:pPr>
        <w:pStyle w:val="BodyText"/>
      </w:pPr>
      <w:r>
        <w:t xml:space="preserve">El retiro cubre las aplicaciones del BCP que usan o tienen previsto usar Temporal Cloud, en ambientes productivos y no productivos, hasta que no quede ninguna dependencia activa del Banco en el servicio.</w:t>
      </w:r>
    </w:p>
    <w:p>
      <w:pPr>
        <w:pStyle w:val="BodyText"/>
      </w:pPr>
      <w:r>
        <w:rPr>
          <w:b/>
          <w:bCs/>
        </w:rPr>
        <w:t xml:space="preserve">Incluye:</w:t>
      </w:r>
      <w:r>
        <w:t xml:space="preserve"> </w:t>
      </w:r>
      <w:r>
        <w:t xml:space="preserve">aplicaciones, workflows (activos, históricos, fallidos, compensados o en reproceso), namespaces, workers en AKS, endpoints, red, certificados, secretos, pipelines, observabilidad, pruebas, aprobaciones y evidencias de cierre.</w:t>
      </w:r>
    </w:p>
    <w:p>
      <w:pPr>
        <w:pStyle w:val="BodyText"/>
      </w:pPr>
      <w:r>
        <w:rPr>
          <w:b/>
          <w:bCs/>
        </w:rPr>
        <w:t xml:space="preserve">No incluye:</w:t>
      </w:r>
      <w:r>
        <w:t xml:space="preserve"> </w:t>
      </w:r>
      <w:r>
        <w:t xml:space="preserve">aplicaciones de empresas distintas a BCP; cambios funcionales que no sean necesarios para el retiro; la adopción de un destino sin aprobación formal del paso 0.0; la ejecución detallada de los cambios de cada aplicación, que se documenta en sus procedimientos de despliegue aplicando la receta de PEVE.</w:t>
      </w:r>
    </w:p>
    <w:bookmarkStart w:id="11" w:name="inventario"/>
    <w:p>
      <w:pPr>
        <w:pStyle w:val="Heading3"/>
      </w:pPr>
      <w:r>
        <w:t xml:space="preserve">Inventario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Aplicación</w:t>
            </w:r>
          </w:p>
        </w:tc>
        <w:tc>
          <w:tcPr/>
          <w:p>
            <w:pPr>
              <w:pStyle w:val="Compact"/>
            </w:pPr>
            <w:r>
              <w:t xml:space="preserve">Proceso</w:t>
            </w:r>
          </w:p>
        </w:tc>
        <w:tc>
          <w:tcPr/>
          <w:p>
            <w:pPr>
              <w:pStyle w:val="Compact"/>
            </w:pPr>
            <w:r>
              <w:t xml:space="preserve">Ambiente</w:t>
            </w:r>
          </w:p>
        </w:tc>
        <w:tc>
          <w:tcPr/>
          <w:p>
            <w:pPr>
              <w:pStyle w:val="Compact"/>
            </w:pPr>
            <w:r>
              <w:t xml:space="preserve">Prioridad</w:t>
            </w:r>
          </w:p>
        </w:tc>
        <w:tc>
          <w:tcPr/>
          <w:p>
            <w:pPr>
              <w:pStyle w:val="Compact"/>
            </w:pPr>
            <w:r>
              <w:t xml:space="preserve">Tratamiento</w:t>
            </w:r>
          </w:p>
        </w:tc>
      </w:tr>
      <w:tr>
        <w:tc>
          <w:tcPr/>
          <w:p>
            <w:pPr>
              <w:pStyle w:val="Compact"/>
            </w:pPr>
            <w:r>
              <w:t xml:space="preserve">APOQ</w:t>
            </w:r>
          </w:p>
        </w:tc>
        <w:tc>
          <w:tcPr/>
          <w:p>
            <w:pPr>
              <w:pStyle w:val="Compact"/>
            </w:pPr>
            <w:r>
              <w:t xml:space="preserve">Transferencias entre cuentas: débito, crédito, compensación y recuperación ante fallos</w:t>
            </w:r>
          </w:p>
        </w:tc>
        <w:tc>
          <w:tcPr/>
          <w:p>
            <w:pPr>
              <w:pStyle w:val="Compact"/>
            </w:pPr>
            <w:r>
              <w:t xml:space="preserve">Producción</w:t>
            </w:r>
          </w:p>
        </w:tc>
        <w:tc>
          <w:tcPr/>
          <w:p>
            <w:pPr>
              <w:pStyle w:val="Compact"/>
            </w:pPr>
            <w:r>
              <w:t xml:space="preserve">Alta</w:t>
            </w:r>
          </w:p>
        </w:tc>
        <w:tc>
          <w:tcPr/>
          <w:p>
            <w:pPr>
              <w:pStyle w:val="Compact"/>
            </w:pPr>
            <w:r>
              <w:t xml:space="preserve">Migración controlada al destino aprobado</w:t>
            </w:r>
          </w:p>
        </w:tc>
      </w:tr>
      <w:tr>
        <w:tc>
          <w:tcPr/>
          <w:p>
            <w:pPr>
              <w:pStyle w:val="Compact"/>
            </w:pPr>
            <w:r>
              <w:t xml:space="preserve">NREM</w:t>
            </w:r>
          </w:p>
        </w:tc>
        <w:tc>
          <w:tcPr/>
          <w:p>
            <w:pPr>
              <w:pStyle w:val="Compact"/>
            </w:pPr>
            <w:r>
              <w:t xml:space="preserve">Gestión de remesas, emisión y recepción</w:t>
            </w:r>
          </w:p>
        </w:tc>
        <w:tc>
          <w:tcPr/>
          <w:p>
            <w:pPr>
              <w:pStyle w:val="Compact"/>
            </w:pPr>
            <w:r>
              <w:t xml:space="preserve">Producción</w:t>
            </w:r>
          </w:p>
        </w:tc>
        <w:tc>
          <w:tcPr/>
          <w:p>
            <w:pPr>
              <w:pStyle w:val="Compact"/>
            </w:pPr>
            <w:r>
              <w:t xml:space="preserve">Alta</w:t>
            </w:r>
          </w:p>
        </w:tc>
        <w:tc>
          <w:tcPr/>
          <w:p>
            <w:pPr>
              <w:pStyle w:val="Compact"/>
            </w:pPr>
            <w:r>
              <w:t xml:space="preserve">Migración controlada al destino aprobado</w:t>
            </w:r>
          </w:p>
        </w:tc>
      </w:tr>
      <w:tr>
        <w:tc>
          <w:tcPr/>
          <w:p>
            <w:pPr>
              <w:pStyle w:val="Compact"/>
            </w:pPr>
            <w:r>
              <w:t xml:space="preserve">CPCA</w:t>
            </w:r>
          </w:p>
        </w:tc>
        <w:tc>
          <w:tcPr/>
          <w:p>
            <w:pPr>
              <w:pStyle w:val="Compact"/>
            </w:pPr>
            <w:r>
              <w:t xml:space="preserve">Capa Producto Cuenta Ahorros del Nuevo Autorizador</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CPCC</w:t>
            </w:r>
          </w:p>
        </w:tc>
        <w:tc>
          <w:tcPr/>
          <w:p>
            <w:pPr>
              <w:pStyle w:val="Compact"/>
            </w:pPr>
            <w:r>
              <w:t xml:space="preserve">Capa Producto Cuenta Corriente del Nuevo Autorizador</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APTI / TUPI</w:t>
            </w:r>
          </w:p>
        </w:tc>
        <w:tc>
          <w:tcPr/>
          <w:p>
            <w:pPr>
              <w:pStyle w:val="Compact"/>
            </w:pPr>
            <w:r>
              <w:t xml:space="preserve">Pagos y transferencias digitales de alto volumen</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CDPT</w:t>
            </w:r>
          </w:p>
        </w:tc>
        <w:tc>
          <w:tcPr/>
          <w:p>
            <w:pPr>
              <w:pStyle w:val="Compact"/>
            </w:pPr>
            <w:r>
              <w:t xml:space="preserve">Capa de negocio para pagos y transferencias</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SRCR</w:t>
            </w:r>
          </w:p>
        </w:tc>
        <w:tc>
          <w:tcPr/>
          <w:p>
            <w:pPr>
              <w:pStyle w:val="Compact"/>
            </w:pPr>
            <w:r>
              <w:t xml:space="preserve">Tracking de pagos y renovación tecnológica</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LBCL</w:t>
            </w:r>
          </w:p>
        </w:tc>
        <w:tc>
          <w:tcPr/>
          <w:p>
            <w:pPr>
              <w:pStyle w:val="Compact"/>
            </w:pPr>
            <w:r>
              <w:t xml:space="preserve">Transferencias interbancarias BCR y liquidación en LBTR</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r>
        <w:tc>
          <w:tcPr/>
          <w:p>
            <w:pPr>
              <w:pStyle w:val="Compact"/>
            </w:pPr>
            <w:r>
              <w:t xml:space="preserve">CPCR</w:t>
            </w:r>
          </w:p>
        </w:tc>
        <w:tc>
          <w:tcPr/>
          <w:p>
            <w:pPr>
              <w:pStyle w:val="Compact"/>
            </w:pPr>
            <w:r>
              <w:t xml:space="preserve">Nuevo Core de Cuentas</w:t>
            </w:r>
          </w:p>
        </w:tc>
        <w:tc>
          <w:tcPr/>
          <w:p>
            <w:pPr>
              <w:pStyle w:val="Compact"/>
            </w:pPr>
            <w:r>
              <w:t xml:space="preserve">Desarrollo / certificación</w:t>
            </w:r>
          </w:p>
        </w:tc>
        <w:tc>
          <w:tcPr/>
          <w:p>
            <w:pPr>
              <w:pStyle w:val="Compact"/>
            </w:pPr>
            <w:r>
              <w:t xml:space="preserve">Antes de producción</w:t>
            </w:r>
          </w:p>
        </w:tc>
        <w:tc>
          <w:tcPr/>
          <w:p>
            <w:pPr>
              <w:pStyle w:val="Compact"/>
            </w:pPr>
            <w:r>
              <w:t xml:space="preserve">Migrar o retirar</w:t>
            </w:r>
          </w:p>
        </w:tc>
      </w:tr>
    </w:tbl>
    <w:p>
      <w:pPr>
        <w:pStyle w:val="BodyText"/>
      </w:pPr>
      <w:r>
        <w:t xml:space="preserve">APOQ y NREM pueden avanzar como frentes paralelos. No se ha identificado dependencia técnica o funcional entre ambas. Cada aplicación cumple de forma independiente la preparación, las pruebas, la aprobación y el cierre.</w:t>
      </w:r>
    </w:p>
    <w:p>
      <w:pPr>
        <w:pStyle w:val="BodyText"/>
      </w:pPr>
      <w:r>
        <w:t xml:space="preserve">Las aplicaciones no productivas deben migrarse al destino aprobado antes de un eventual pase a producción. Si el dueño decide no continuar, se congelan o retiran con evidencia. No se habilitará producción nueva sobre Temporal Cloud.</w:t>
      </w:r>
    </w:p>
    <w:p>
      <w:pPr>
        <w:pStyle w:val="BodyText"/>
      </w:pPr>
      <w:r>
        <w:rPr>
          <w:b/>
          <w:bCs/>
        </w:rPr>
        <w:t xml:space="preserve">Patrón de namespaces.</w:t>
      </w:r>
      <w:r>
        <w:t xml:space="preserve"> </w:t>
      </w:r>
      <w:r>
        <w:t xml:space="preserve">Si el destino es Self-Hosted (opción 1): código de aplicación en minúsculas seguido del ambiente, por ejemplo apoq-dev, apoq-cert y apoq-prod. Si el destino es opción 2, 3 o 4 no hay namespaces Temporal; el inventario registra task hubs, aplicaciones Dapr o deployments Restate equivalentes.</w:t>
      </w:r>
    </w:p>
    <w:p>
      <w:pPr>
        <w:pStyle w:val="BodyText"/>
      </w:pPr>
      <w:r>
        <w:rPr>
          <w:b/>
          <w:bCs/>
        </w:rPr>
        <w:t xml:space="preserve">Clasificación.</w:t>
      </w:r>
      <w:r>
        <w:t xml:space="preserve"> </w:t>
      </w:r>
      <w:r>
        <w:t xml:space="preserve">APOQ y NREM son funciones críticas en producción. El resto es material por el tipo de proceso (autorizador, pagos, LBTR, core de cuentas), aunque aún no esté en producción, y no debe pasar a producción sobre Temporal Cloud mientras el proveedor esté en vigilancia.</w:t>
      </w:r>
    </w:p>
    <w:p>
      <w:r>
        <w:pict>
          <v:rect style="width:0;height:1.5pt" o:hralign="center" o:hrstd="t" o:hr="t"/>
        </w:pict>
      </w:r>
    </w:p>
    <w:bookmarkEnd w:id="11"/>
    <w:bookmarkEnd w:id="12"/>
    <w:bookmarkStart w:id="13" w:name="objetivos"/>
    <w:p>
      <w:pPr>
        <w:pStyle w:val="Heading2"/>
      </w:pPr>
      <w:r>
        <w:t xml:space="preserve">02. Objetivos</w:t>
      </w:r>
    </w:p>
    <w:p>
      <w:pPr>
        <w:pStyle w:val="FirstParagraph"/>
      </w:pPr>
      <w:r>
        <w:rPr>
          <w:b/>
          <w:bCs/>
        </w:rPr>
        <w:t xml:space="preserve">General.</w:t>
      </w:r>
      <w:r>
        <w:t xml:space="preserve"> </w:t>
      </w:r>
      <w:r>
        <w:t xml:space="preserve">Definir el marco técnico, operativo, contractual, de continuidad y de seguridad para retirar Temporal Cloud del BCP y migrar los casos de uso a uno de los cuatro destinos evaluados (Temporal Self-Hosted, Azure Durable Functions, Dapr Workflows o Restate), elegido por el paso 0.0, sin comprometer la continuidad de las aplicaciones productivas ni la trazabilidad de los workflows.</w:t>
      </w:r>
    </w:p>
    <w:p>
      <w:pPr>
        <w:pStyle w:val="BodyText"/>
      </w:pPr>
      <w:r>
        <w:rPr>
          <w:b/>
          <w:bCs/>
        </w:rPr>
        <w:t xml:space="preserve">Específicos</w:t>
      </w:r>
    </w:p>
    <w:p>
      <w:pPr>
        <w:pStyle w:val="Compact"/>
        <w:numPr>
          <w:ilvl w:val="0"/>
          <w:numId w:val="1002"/>
        </w:numPr>
      </w:pPr>
      <w:r>
        <w:t xml:space="preserve">Mantener el inventario de aplicaciones, workflows, namespaces, workers y dependencias.</w:t>
      </w:r>
    </w:p>
    <w:p>
      <w:pPr>
        <w:pStyle w:val="Compact"/>
        <w:numPr>
          <w:ilvl w:val="0"/>
          <w:numId w:val="1002"/>
        </w:numPr>
      </w:pPr>
      <w:r>
        <w:t xml:space="preserve">Tener la plataforma objetivo y la receta listas antes de la activación.</w:t>
      </w:r>
    </w:p>
    <w:p>
      <w:pPr>
        <w:pStyle w:val="Compact"/>
        <w:numPr>
          <w:ilvl w:val="0"/>
          <w:numId w:val="1002"/>
        </w:numPr>
      </w:pPr>
      <w:r>
        <w:t xml:space="preserve">Establecer el criterio de activación y las acciones inmediatas.</w:t>
      </w:r>
    </w:p>
    <w:p>
      <w:pPr>
        <w:pStyle w:val="Compact"/>
        <w:numPr>
          <w:ilvl w:val="0"/>
          <w:numId w:val="1002"/>
        </w:numPr>
      </w:pPr>
      <w:r>
        <w:t xml:space="preserve">Preservar continuidad, integridad, trazabilidad y evidencia de los workflows.</w:t>
      </w:r>
    </w:p>
    <w:p>
      <w:pPr>
        <w:pStyle w:val="Compact"/>
        <w:numPr>
          <w:ilvl w:val="0"/>
          <w:numId w:val="1002"/>
        </w:numPr>
      </w:pPr>
      <w:r>
        <w:t xml:space="preserve">Impedir la ejecución simultánea de un mismo workflow o schedule en ambos ambientes.</w:t>
      </w:r>
    </w:p>
    <w:p>
      <w:pPr>
        <w:pStyle w:val="Compact"/>
        <w:numPr>
          <w:ilvl w:val="0"/>
          <w:numId w:val="1002"/>
        </w:numPr>
      </w:pPr>
      <w:r>
        <w:t xml:space="preserve">Definir controles de seguridad, accesos y cierre de credenciales.</w:t>
      </w:r>
    </w:p>
    <w:p>
      <w:pPr>
        <w:pStyle w:val="Compact"/>
        <w:numPr>
          <w:ilvl w:val="0"/>
          <w:numId w:val="1002"/>
        </w:numPr>
      </w:pPr>
      <w:r>
        <w:t xml:space="preserve">Establecer criterios de entrada a producción y de cierre del retiro.</w:t>
      </w:r>
    </w:p>
    <w:p>
      <w:r>
        <w:pict>
          <v:rect style="width:0;height:1.5pt" o:hralign="center" o:hrstd="t" o:hr="t"/>
        </w:pict>
      </w:r>
    </w:p>
    <w:bookmarkEnd w:id="13"/>
    <w:bookmarkStart w:id="16" w:name="escenarios-y-supuestos"/>
    <w:p>
      <w:pPr>
        <w:pStyle w:val="Heading2"/>
      </w:pPr>
      <w:r>
        <w:t xml:space="preserve">03. Escenarios y supuestos</w:t>
      </w:r>
    </w:p>
    <w:p>
      <w:pPr>
        <w:pStyle w:val="FirstParagraph"/>
      </w:pPr>
      <w:r>
        <w:t xml:space="preserve">El riesgo cubierto es la pérdida de continuidad operativa del proveedor, no un incidente técnico transitorio de Temporal Cloud. Los incidentes de corta duración se tratan en los planes de continuidad y recuperación. Este plan modela tres desenlaces de insolvencia. El resultado financiero negativo del proveedor es un elemento de vigilancia, no el disparador del retiro.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Desenlace</w:t>
            </w:r>
          </w:p>
        </w:tc>
        <w:tc>
          <w:tcPr/>
          <w:p>
            <w:pPr>
              <w:pStyle w:val="Compact"/>
            </w:pPr>
            <w:r>
              <w:t xml:space="preserve">Situación de Temporal Cloud</w:t>
            </w:r>
          </w:p>
        </w:tc>
        <w:tc>
          <w:tcPr/>
          <w:p>
            <w:pPr>
              <w:pStyle w:val="Compact"/>
            </w:pPr>
            <w:r>
              <w:t xml:space="preserve">Actuación del Banco</w:t>
            </w:r>
          </w:p>
        </w:tc>
        <w:tc>
          <w:tcPr/>
          <w:p>
            <w:pPr>
              <w:pStyle w:val="Compact"/>
            </w:pPr>
            <w:r>
              <w:t xml:space="preserve">Cooperación del proveedor</w:t>
            </w:r>
          </w:p>
        </w:tc>
        <w:tc>
          <w:tcPr/>
          <w:p>
            <w:pPr>
              <w:pStyle w:val="Compact"/>
            </w:pPr>
            <w:r>
              <w:t xml:space="preserve">Horizonte</w:t>
            </w:r>
          </w:p>
        </w:tc>
      </w:tr>
      <w:tr>
        <w:tc>
          <w:tcPr/>
          <w:p>
            <w:pPr>
              <w:pStyle w:val="Compact"/>
            </w:pPr>
            <w:r>
              <w:t xml:space="preserve">Reorganización concursal</w:t>
            </w:r>
          </w:p>
        </w:tc>
        <w:tc>
          <w:tcPr/>
          <w:p>
            <w:pPr>
              <w:pStyle w:val="Compact"/>
            </w:pPr>
            <w:r>
              <w:t xml:space="preserve">El servicio suele continuar. El contrato puede asumirse o rechazarse</w:t>
            </w:r>
          </w:p>
        </w:tc>
        <w:tc>
          <w:tcPr/>
          <w:p>
            <w:pPr>
              <w:pStyle w:val="Compact"/>
            </w:pPr>
            <w:r>
              <w:t xml:space="preserve">Activar el plan, congelar usos nuevos en Cloud y migrar por ambientes</w:t>
            </w:r>
          </w:p>
        </w:tc>
        <w:tc>
          <w:tcPr/>
          <w:p>
            <w:pPr>
              <w:pStyle w:val="Compact"/>
            </w:pPr>
            <w:r>
              <w:t xml:space="preserve">Limitada. No se depende de servicios profesionales del proveedor</w:t>
            </w:r>
          </w:p>
        </w:tc>
        <w:tc>
          <w:tcPr/>
          <w:p>
            <w:pPr>
              <w:pStyle w:val="Compact"/>
            </w:pPr>
            <w:r>
              <w:t xml:space="preserve">Semanas</w:t>
            </w:r>
          </w:p>
        </w:tc>
      </w:tr>
      <w:tr>
        <w:tc>
          <w:tcPr/>
          <w:p>
            <w:pPr>
              <w:pStyle w:val="Compact"/>
            </w:pPr>
            <w:r>
              <w:t xml:space="preserve">Venta o cambio de control</w:t>
            </w:r>
          </w:p>
        </w:tc>
        <w:tc>
          <w:tcPr/>
          <w:p>
            <w:pPr>
              <w:pStyle w:val="Compact"/>
            </w:pPr>
            <w:r>
              <w:t xml:space="preserve">El servicio continúa y cambia el dueño</w:t>
            </w:r>
          </w:p>
        </w:tc>
        <w:tc>
          <w:tcPr/>
          <w:p>
            <w:pPr>
              <w:pStyle w:val="Compact"/>
            </w:pPr>
            <w:r>
              <w:t xml:space="preserve">Misma ruta técnica. Se evalúa si el comprador es aceptable para el Banco</w:t>
            </w:r>
          </w:p>
        </w:tc>
        <w:tc>
          <w:tcPr/>
          <w:p>
            <w:pPr>
              <w:pStyle w:val="Compact"/>
            </w:pPr>
            <w:r>
              <w:t xml:space="preserve">Media o alta</w:t>
            </w:r>
          </w:p>
        </w:tc>
        <w:tc>
          <w:tcPr/>
          <w:p>
            <w:pPr>
              <w:pStyle w:val="Compact"/>
            </w:pPr>
            <w:r>
              <w:t xml:space="preserve">Semanas a meses</w:t>
            </w:r>
          </w:p>
        </w:tc>
      </w:tr>
      <w:tr>
        <w:tc>
          <w:tcPr/>
          <w:p>
            <w:pPr>
              <w:pStyle w:val="Compact"/>
            </w:pPr>
            <w:r>
              <w:t xml:space="preserve">Liquidación o cese abrupto</w:t>
            </w:r>
          </w:p>
        </w:tc>
        <w:tc>
          <w:tcPr/>
          <w:p>
            <w:pPr>
              <w:pStyle w:val="Compact"/>
            </w:pPr>
            <w:r>
              <w:t xml:space="preserve">El control plane puede interrumpirse. No hay exportación ni soporte</w:t>
            </w:r>
          </w:p>
        </w:tc>
        <w:tc>
          <w:tcPr/>
          <w:p>
            <w:pPr>
              <w:pStyle w:val="Compact"/>
            </w:pPr>
            <w:r>
              <w:t xml:space="preserve">Conmutar al destino aprobado y reabrir los casos críticos desde el estado de negocio</w:t>
            </w:r>
          </w:p>
        </w:tc>
        <w:tc>
          <w:tcPr/>
          <w:p>
            <w:pPr>
              <w:pStyle w:val="Compact"/>
            </w:pPr>
            <w:r>
              <w:t xml:space="preserve">Nula</w:t>
            </w:r>
          </w:p>
        </w:tc>
        <w:tc>
          <w:tcPr/>
          <w:p>
            <w:pPr>
              <w:pStyle w:val="Compact"/>
            </w:pPr>
            <w:r>
              <w:t xml:space="preserve">Horas a pocos días</w:t>
            </w:r>
          </w:p>
        </w:tc>
      </w:tr>
    </w:tbl>
    <w:bookmarkStart w:id="14" w:name="supuestos"/>
    <w:p>
      <w:pPr>
        <w:pStyle w:val="Heading3"/>
      </w:pPr>
      <w:r>
        <w:t xml:space="preserve">Supuestos</w:t>
      </w:r>
    </w:p>
    <w:p>
      <w:pPr>
        <w:pStyle w:val="Compact"/>
        <w:numPr>
          <w:ilvl w:val="0"/>
          <w:numId w:val="1003"/>
        </w:numPr>
      </w:pPr>
      <w:r>
        <w:t xml:space="preserve">Si el destino es Self-Hosted: el servidor Temporal y los SDK permanecen disponibles como código abierto. El Banco opera el mismo motor.</w:t>
      </w:r>
    </w:p>
    <w:p>
      <w:pPr>
        <w:pStyle w:val="Compact"/>
        <w:numPr>
          <w:ilvl w:val="0"/>
          <w:numId w:val="1003"/>
        </w:numPr>
      </w:pPr>
      <w:r>
        <w:t xml:space="preserve">Si el destino es opción 2, 3 o 4: no hay reutilización del SDK Temporal. La fase 0 incluye reescritura y no hay conexión dual. El supuesto de “mismo motor” no aplica.</w:t>
      </w:r>
    </w:p>
    <w:p>
      <w:pPr>
        <w:pStyle w:val="Compact"/>
        <w:numPr>
          <w:ilvl w:val="0"/>
          <w:numId w:val="1003"/>
        </w:numPr>
      </w:pPr>
      <w:r>
        <w:t xml:space="preserve">No existe una migración oficial de Temporal Cloud hacia ningún destino de este plan. La salida se realiza en la aplicación (cambio de endpoint, o dos implementaciones del proceso), no mediante copia de la base de datos del proveedor.</w:t>
      </w:r>
    </w:p>
    <w:p>
      <w:pPr>
        <w:pStyle w:val="Compact"/>
        <w:numPr>
          <w:ilvl w:val="0"/>
          <w:numId w:val="1003"/>
        </w:numPr>
      </w:pPr>
      <w:r>
        <w:t xml:space="preserve">La exportación de historiales de Cloud requiere que el servicio esté disponible y se ejecuta de forma periódica. Si no se ha copiado a almacenamiento del Banco antes de la activación, el historial vivo no será recuperable.</w:t>
      </w:r>
    </w:p>
    <w:p>
      <w:pPr>
        <w:pStyle w:val="Compact"/>
        <w:numPr>
          <w:ilvl w:val="0"/>
          <w:numId w:val="1003"/>
        </w:numPr>
      </w:pPr>
      <w:r>
        <w:t xml:space="preserve">Temporal orquesta la ejecución. El registro de negocio reside en el core, outbox, colas y conciliaciones de APOQ y NREM. En modo estresado, la pérdida máxima de información aceptable se mide contra ese estado, no contra el historial de Cloud.</w:t>
      </w:r>
    </w:p>
    <w:p>
      <w:pPr>
        <w:pStyle w:val="Compact"/>
        <w:numPr>
          <w:ilvl w:val="0"/>
          <w:numId w:val="1003"/>
        </w:numPr>
      </w:pPr>
      <w:r>
        <w:t xml:space="preserve">Los workers ya se ejecutan en AKS del Banco. El payload enviado a Temporal se encuentra cifrado.</w:t>
      </w:r>
    </w:p>
    <w:p>
      <w:pPr>
        <w:pStyle w:val="Compact"/>
        <w:numPr>
          <w:ilvl w:val="0"/>
          <w:numId w:val="1003"/>
        </w:numPr>
      </w:pPr>
      <w:r>
        <w:t xml:space="preserve">En liquidación no hay un periodo de transición contractual efectivo.</w:t>
      </w:r>
    </w:p>
    <w:bookmarkEnd w:id="14"/>
    <w:bookmarkStart w:id="15" w:name="exclusiones-de-escenario"/>
    <w:p>
      <w:pPr>
        <w:pStyle w:val="Heading3"/>
      </w:pPr>
      <w:r>
        <w:t xml:space="preserve">Exclusiones de escenario</w:t>
      </w:r>
    </w:p>
    <w:p>
      <w:pPr>
        <w:pStyle w:val="FirstParagraph"/>
      </w:pPr>
      <w:r>
        <w:t xml:space="preserve">Una caída transitoria de región, una degradación de corta duración o un incidente de seguridad del servicio se atienden con los planes de continuidad y recuperación. Si el incidente se convierte en cese material, se declara el escenario de este plan.</w:t>
      </w:r>
    </w:p>
    <w:p>
      <w:r>
        <w:pict>
          <v:rect style="width:0;height:1.5pt" o:hralign="center" o:hrstd="t" o:hr="t"/>
        </w:pict>
      </w:r>
    </w:p>
    <w:bookmarkEnd w:id="15"/>
    <w:bookmarkEnd w:id="16"/>
    <w:bookmarkStart w:id="50" w:name="X933c81cb93765abb37ffb54b12b1810653c6bd4"/>
    <w:p>
      <w:pPr>
        <w:pStyle w:val="Heading2"/>
      </w:pPr>
      <w:r>
        <w:t xml:space="preserve">04. Solución alternativa y arquitectura objetivo</w:t>
      </w:r>
    </w:p>
    <w:p>
      <w:pPr>
        <w:pStyle w:val="FirstParagraph"/>
      </w:pPr>
      <w:r>
        <w:t xml:space="preserve">El plan evalúa cuatro destinos de forma equitativa. El paso 0.0 elige uno con acta formal. Las aplicaciones siguen operando sus workers en todas las opciones. PEVE opera el control plane cuando el destino es Self-Hosted o Dapr Workflows; Microsoft lo opera en Durable Functions; Restate lo opera en Cloud Enterprise o PEVE en Self-Managed.</w:t>
      </w:r>
    </w:p>
    <w:p>
      <w:pPr>
        <w:pStyle w:val="BodyText"/>
      </w:pPr>
      <w:r>
        <w:t xml:space="preserve">Arquitectura emite conformidad del patrón elegido. Seguridad valida autenticación, autorización, certificados, cifrado, red, registro de eventos y segregación.</w:t>
      </w:r>
    </w:p>
    <w:bookmarkStart w:id="20" w:name="diagrama-de-la-propuesta"/>
    <w:p>
      <w:pPr>
        <w:pStyle w:val="Heading3"/>
      </w:pPr>
      <w:r>
        <w:t xml:space="preserve">04.1 Diagrama de la propuesta</w:t>
      </w:r>
    </w:p>
    <w:p>
      <w:pPr>
        <w:pStyle w:val="CaptionedFigure"/>
      </w:pPr>
      <w:r>
        <w:drawing>
          <wp:inline>
            <wp:extent cx="5334000" cy="2066925"/>
            <wp:effectExtent b="0" l="0" r="0" t="0"/>
            <wp:docPr descr="Arquitectura Temporal Self-Hosted en Azure AKS, BCP / PEVE" title="" id="18" name="Picture"/>
            <a:graphic>
              <a:graphicData uri="http://schemas.openxmlformats.org/drawingml/2006/picture">
                <pic:pic>
                  <pic:nvPicPr>
                    <pic:cNvPr descr="assets/04-1-arquitectura-self-hosted.png" id="19" name="Picture"/>
                    <pic:cNvPicPr>
                      <a:picLocks noChangeArrowheads="1" noChangeAspect="1"/>
                    </pic:cNvPicPr>
                  </pic:nvPicPr>
                  <pic:blipFill>
                    <a:blip r:embed="rId17"/>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Arquitectura Temporal Self-Hosted en Azure AKS, BCP / PEVE</w:t>
      </w:r>
    </w:p>
    <w:p>
      <w:pPr>
        <w:pStyle w:val="BodyText"/>
      </w:pPr>
      <w:r>
        <w:rPr>
          <w:i/>
          <w:color w:val="555555"/>
          <w:sz w:val="18"/>
        </w:rPr>
        <w:t xml:space="preserve">Fuente editable: assets/04-1-arquitectura-self-hosted.drawio.</w:t>
      </w:r>
    </w:p>
    <w:p>
      <w:pPr>
        <w:pStyle w:val="BodyText"/>
      </w:pPr>
      <w:r>
        <w:t xml:space="preserve">La arquitectura se organiza en tres planos. El Frontend no se expone a internet público.</w:t>
      </w:r>
    </w:p>
    <w:p>
      <w:pPr>
        <w:pStyle w:val="Compact"/>
        <w:numPr>
          <w:ilvl w:val="0"/>
          <w:numId w:val="1004"/>
        </w:numPr>
      </w:pPr>
      <w:r>
        <w:rPr>
          <w:b/>
          <w:bCs/>
        </w:rPr>
        <w:t xml:space="preserve">Application plane.</w:t>
      </w:r>
      <w:r>
        <w:t xml:space="preserve"> </w:t>
      </w:r>
      <w:r>
        <w:t xml:space="preserve">APOQ, NREM y las demás aplicaciones del inventario. Los workers permanecen en el AKS del Banco. El core, el outbox y las colas constituyen el registro de negocio.</w:t>
      </w:r>
    </w:p>
    <w:p>
      <w:pPr>
        <w:pStyle w:val="Compact"/>
        <w:numPr>
          <w:ilvl w:val="0"/>
          <w:numId w:val="1004"/>
        </w:numPr>
      </w:pPr>
      <w:r>
        <w:rPr>
          <w:b/>
          <w:bCs/>
        </w:rPr>
        <w:t xml:space="preserve">Control plane Temporal (AKS PEVE).</w:t>
      </w:r>
      <w:r>
        <w:t xml:space="preserve"> </w:t>
      </w:r>
      <w:r>
        <w:t xml:space="preserve">Frontend, History, Matching y Worker Service, detrás de un internal load balancer. La web UI se usa solo para administración.</w:t>
      </w:r>
    </w:p>
    <w:p>
      <w:pPr>
        <w:pStyle w:val="Compact"/>
        <w:numPr>
          <w:ilvl w:val="0"/>
          <w:numId w:val="1004"/>
        </w:numPr>
      </w:pPr>
      <w:r>
        <w:rPr>
          <w:b/>
          <w:bCs/>
        </w:rPr>
        <w:t xml:space="preserve">Azure privada.</w:t>
      </w:r>
      <w:r>
        <w:t xml:space="preserve"> </w:t>
      </w:r>
      <w:r>
        <w:t xml:space="preserve">Persistence, visibility, archival de historiales, secretos y Monitor, con Private Link o red virtual privada.</w:t>
      </w:r>
    </w:p>
    <w:bookmarkEnd w:id="20"/>
    <w:bookmarkStart w:id="21" w:name="decisiones-de-diseño"/>
    <w:p>
      <w:pPr>
        <w:pStyle w:val="Heading3"/>
      </w:pPr>
      <w:r>
        <w:t xml:space="preserve">04.2 Decisiones de diseño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Decisión</w:t>
            </w:r>
          </w:p>
        </w:tc>
        <w:tc>
          <w:tcPr/>
          <w:p>
            <w:pPr>
              <w:pStyle w:val="Compact"/>
            </w:pPr>
            <w:r>
              <w:t xml:space="preserve">Propuesta</w:t>
            </w:r>
          </w:p>
        </w:tc>
        <w:tc>
          <w:tcPr/>
          <w:p>
            <w:pPr>
              <w:pStyle w:val="Compact"/>
            </w:pPr>
            <w:r>
              <w:t xml:space="preserve">Motivo</w:t>
            </w:r>
          </w:p>
        </w:tc>
      </w:tr>
      <w:tr>
        <w:tc>
          <w:tcPr/>
          <w:p>
            <w:pPr>
              <w:pStyle w:val="Compact"/>
            </w:pPr>
            <w:r>
              <w:t xml:space="preserve">Ubicación del servidor Temporal</w:t>
            </w:r>
          </w:p>
        </w:tc>
        <w:tc>
          <w:tcPr/>
          <w:p>
            <w:pPr>
              <w:pStyle w:val="Compact"/>
            </w:pPr>
            <w:r>
              <w:t xml:space="preserve">AKS dedicado de PEVE, fuera del namespace de la aplicación</w:t>
            </w:r>
          </w:p>
        </w:tc>
        <w:tc>
          <w:tcPr/>
          <w:p>
            <w:pPr>
              <w:pStyle w:val="Compact"/>
            </w:pPr>
            <w:r>
              <w:t xml:space="preserve">Separar la operación de plataforma y la de negocio</w:t>
            </w:r>
          </w:p>
        </w:tc>
      </w:tr>
      <w:tr>
        <w:tc>
          <w:tcPr/>
          <w:p>
            <w:pPr>
              <w:pStyle w:val="Compact"/>
            </w:pPr>
            <w:r>
              <w:t xml:space="preserve">Instalaciones</w:t>
            </w:r>
          </w:p>
        </w:tc>
        <w:tc>
          <w:tcPr/>
          <w:p>
            <w:pPr>
              <w:pStyle w:val="Compact"/>
            </w:pPr>
            <w:r>
              <w:t xml:space="preserve">Dos: no productiva (desarrollo y certificación) y productiva</w:t>
            </w:r>
          </w:p>
        </w:tc>
        <w:tc>
          <w:tcPr/>
          <w:p>
            <w:pPr>
              <w:pStyle w:val="Compact"/>
            </w:pPr>
            <w:r>
              <w:t xml:space="preserve">Aislar producción y ensayar la receta sin afectar críticos</w:t>
            </w:r>
          </w:p>
        </w:tc>
      </w:tr>
      <w:tr>
        <w:tc>
          <w:tcPr/>
          <w:p>
            <w:pPr>
              <w:pStyle w:val="Compact"/>
            </w:pPr>
            <w:r>
              <w:t xml:space="preserve">Persistence</w:t>
            </w:r>
          </w:p>
        </w:tc>
        <w:tc>
          <w:tcPr/>
          <w:p>
            <w:pPr>
              <w:pStyle w:val="Compact"/>
            </w:pPr>
            <w:r>
              <w:t xml:space="preserve">Azure Database for PostgreSQL Flexible Server, con alta disponibilidad y respaldo</w:t>
            </w:r>
          </w:p>
        </w:tc>
        <w:tc>
          <w:tcPr/>
          <w:p>
            <w:pPr>
              <w:pStyle w:val="Compact"/>
            </w:pPr>
            <w:r>
              <w:t xml:space="preserve">Store soportado por Temporal y operado en Azure</w:t>
            </w:r>
          </w:p>
        </w:tc>
      </w:tr>
      <w:tr>
        <w:tc>
          <w:tcPr/>
          <w:p>
            <w:pPr>
              <w:pStyle w:val="Compact"/>
            </w:pPr>
            <w:r>
              <w:t xml:space="preserve">Visibility</w:t>
            </w:r>
          </w:p>
        </w:tc>
        <w:tc>
          <w:tcPr/>
          <w:p>
            <w:pPr>
              <w:pStyle w:val="Compact"/>
            </w:pPr>
            <w:r>
              <w:t xml:space="preserve">Elasticsearch u OpenSearch en Azure</w:t>
            </w:r>
          </w:p>
        </w:tc>
        <w:tc>
          <w:tcPr/>
          <w:p>
            <w:pPr>
              <w:pStyle w:val="Compact"/>
            </w:pPr>
            <w:r>
              <w:t xml:space="preserve">Búsqueda de workflows para operación y auditoría</w:t>
            </w:r>
          </w:p>
        </w:tc>
      </w:tr>
      <w:tr>
        <w:tc>
          <w:tcPr/>
          <w:p>
            <w:pPr>
              <w:pStyle w:val="Compact"/>
            </w:pPr>
            <w:r>
              <w:t xml:space="preserve">Archival</w:t>
            </w:r>
          </w:p>
        </w:tc>
        <w:tc>
          <w:tcPr/>
          <w:p>
            <w:pPr>
              <w:pStyle w:val="Compact"/>
            </w:pPr>
            <w:r>
              <w:t xml:space="preserve">Azure Blob (workflows cerrados)</w:t>
            </w:r>
          </w:p>
        </w:tc>
        <w:tc>
          <w:tcPr/>
          <w:p>
            <w:pPr>
              <w:pStyle w:val="Compact"/>
            </w:pPr>
            <w:r>
              <w:t xml:space="preserve">Conservación más allá de la retención del clúster</w:t>
            </w:r>
          </w:p>
        </w:tc>
      </w:tr>
      <w:tr>
        <w:tc>
          <w:tcPr/>
          <w:p>
            <w:pPr>
              <w:pStyle w:val="Compact"/>
            </w:pPr>
            <w:r>
              <w:t xml:space="preserve">Exportación desde Cloud</w:t>
            </w:r>
          </w:p>
        </w:tc>
        <w:tc>
          <w:tcPr/>
          <w:p>
            <w:pPr>
              <w:pStyle w:val="Compact"/>
            </w:pPr>
            <w:r>
              <w:t xml:space="preserve">Proceso periódico hacia Blob del Banco, mientras Cloud esté disponible</w:t>
            </w:r>
          </w:p>
        </w:tc>
        <w:tc>
          <w:tcPr/>
          <w:p>
            <w:pPr>
              <w:pStyle w:val="Compact"/>
            </w:pPr>
            <w:r>
              <w:t xml:space="preserve">En la activación solo existirá lo ya copiado</w:t>
            </w:r>
          </w:p>
        </w:tc>
      </w:tr>
      <w:tr>
        <w:tc>
          <w:tcPr/>
          <w:p>
            <w:pPr>
              <w:pStyle w:val="Compact"/>
            </w:pPr>
            <w:r>
              <w:t xml:space="preserve">Acceso al Frontend</w:t>
            </w:r>
          </w:p>
        </w:tc>
        <w:tc>
          <w:tcPr/>
          <w:p>
            <w:pPr>
              <w:pStyle w:val="Compact"/>
            </w:pPr>
            <w:r>
              <w:t xml:space="preserve">Internal load balancer y Private Link, sin dirección pública</w:t>
            </w:r>
          </w:p>
        </w:tc>
        <w:tc>
          <w:tcPr/>
          <w:p>
            <w:pPr>
              <w:pStyle w:val="Compact"/>
            </w:pPr>
            <w:r>
              <w:t xml:space="preserve">Reducir superficie de exposición y controlar residencia</w:t>
            </w:r>
          </w:p>
        </w:tc>
      </w:tr>
      <w:tr>
        <w:tc>
          <w:tcPr/>
          <w:p>
            <w:pPr>
              <w:pStyle w:val="Compact"/>
            </w:pPr>
            <w:r>
              <w:t xml:space="preserve">Autenticación</w:t>
            </w:r>
          </w:p>
        </w:tc>
        <w:tc>
          <w:tcPr/>
          <w:p>
            <w:pPr>
              <w:pStyle w:val="Compact"/>
            </w:pPr>
            <w:r>
              <w:t xml:space="preserve">mTLS o equivalente aprobado, con identidades en Key Vault</w:t>
            </w:r>
          </w:p>
        </w:tc>
        <w:tc>
          <w:tcPr/>
          <w:p>
            <w:pPr>
              <w:pStyle w:val="Compact"/>
            </w:pPr>
            <w:r>
              <w:t xml:space="preserve">No reutilizar las credenciales de Cloud</w:t>
            </w:r>
          </w:p>
        </w:tc>
      </w:tr>
      <w:tr>
        <w:tc>
          <w:tcPr/>
          <w:p>
            <w:pPr>
              <w:pStyle w:val="Compact"/>
            </w:pPr>
            <w:r>
              <w:t xml:space="preserve">Workers de aplicación</w:t>
            </w:r>
          </w:p>
        </w:tc>
        <w:tc>
          <w:tcPr/>
          <w:p>
            <w:pPr>
              <w:pStyle w:val="Compact"/>
            </w:pPr>
            <w:r>
              <w:t xml:space="preserve">Permanecen en el AKS actual</w:t>
            </w:r>
          </w:p>
        </w:tc>
        <w:tc>
          <w:tcPr/>
          <w:p>
            <w:pPr>
              <w:pStyle w:val="Compact"/>
            </w:pPr>
            <w:r>
              <w:t xml:space="preserve">El cambio es de conexión</w:t>
            </w:r>
          </w:p>
        </w:tc>
      </w:tr>
      <w:tr>
        <w:tc>
          <w:tcPr/>
          <w:p>
            <w:pPr>
              <w:pStyle w:val="Compact"/>
            </w:pPr>
            <w:r>
              <w:t xml:space="preserve">Payload</w:t>
            </w:r>
          </w:p>
        </w:tc>
        <w:tc>
          <w:tcPr/>
          <w:p>
            <w:pPr>
              <w:pStyle w:val="Compact"/>
            </w:pPr>
            <w:r>
              <w:t xml:space="preserve">Cifrado en tránsito y en el contenido de negocio</w:t>
            </w:r>
          </w:p>
        </w:tc>
        <w:tc>
          <w:tcPr/>
          <w:p>
            <w:pPr>
              <w:pStyle w:val="Compact"/>
            </w:pPr>
            <w:r>
              <w:t xml:space="preserve">Control ya aplicado por el Banco</w:t>
            </w:r>
          </w:p>
        </w:tc>
      </w:tr>
      <w:tr>
        <w:tc>
          <w:tcPr/>
          <w:p>
            <w:pPr>
              <w:pStyle w:val="Compact"/>
            </w:pPr>
            <w:r>
              <w:t xml:space="preserve">Namespaces</w:t>
            </w:r>
          </w:p>
        </w:tc>
        <w:tc>
          <w:tcPr/>
          <w:p>
            <w:pPr>
              <w:pStyle w:val="Compact"/>
            </w:pPr>
            <w:r>
              <w:t xml:space="preserve">Código de aplicación y ambiente en cada instalación</w:t>
            </w:r>
          </w:p>
        </w:tc>
        <w:tc>
          <w:tcPr/>
          <w:p>
            <w:pPr>
              <w:pStyle w:val="Compact"/>
            </w:pPr>
            <w:r>
              <w:t xml:space="preserve">Segregación apoq-prod, nrem-prod y equivalentes</w:t>
            </w:r>
          </w:p>
        </w:tc>
      </w:tr>
      <w:tr>
        <w:tc>
          <w:tcPr/>
          <w:p>
            <w:pPr>
              <w:pStyle w:val="Compact"/>
            </w:pPr>
            <w:r>
              <w:t xml:space="preserve">Recuperación del control plane</w:t>
            </w:r>
          </w:p>
        </w:tc>
        <w:tc>
          <w:tcPr/>
          <w:p>
            <w:pPr>
              <w:pStyle w:val="Compact"/>
            </w:pPr>
            <w:r>
              <w:t xml:space="preserve">Respaldo y restauración ensayados; segunda zona de disponibilidad en producción</w:t>
            </w:r>
          </w:p>
        </w:tc>
        <w:tc>
          <w:tcPr/>
          <w:p>
            <w:pPr>
              <w:pStyle w:val="Compact"/>
            </w:pPr>
            <w:r>
              <w:t xml:space="preserve">Corresponde a la continuidad de Self-Hosted, no al retiro de Cloud</w:t>
            </w:r>
          </w:p>
        </w:tc>
      </w:tr>
      <w:tr>
        <w:tc>
          <w:tcPr/>
          <w:p>
            <w:pPr>
              <w:pStyle w:val="Compact"/>
            </w:pPr>
            <w:r>
              <w:t xml:space="preserve">Alcance técnico excluido</w:t>
            </w:r>
          </w:p>
        </w:tc>
        <w:tc>
          <w:tcPr/>
          <w:p>
            <w:pPr>
              <w:pStyle w:val="Compact"/>
            </w:pPr>
            <w:r>
              <w:t xml:space="preserve">Réplica oficial Cloud hacia Self-Hosted y copia de la base de datos de Cloud</w:t>
            </w:r>
          </w:p>
        </w:tc>
        <w:tc>
          <w:tcPr/>
          <w:p>
            <w:pPr>
              <w:pStyle w:val="Compact"/>
            </w:pPr>
            <w:r>
              <w:t xml:space="preserve">El producto no lo ofrece</w:t>
            </w:r>
          </w:p>
        </w:tc>
      </w:tr>
    </w:tbl>
    <w:p>
      <w:pPr>
        <w:pStyle w:val="BodyText"/>
      </w:pPr>
      <w:r>
        <w:t xml:space="preserve">La versión del servidor Temporal, el número de particiones de historial y el dimensionamiento de nodos los define PEVE en el Anexo B.</w:t>
      </w:r>
    </w:p>
    <w:bookmarkEnd w:id="21"/>
    <w:bookmarkStart w:id="22" w:name="tratamiento-por-componente"/>
    <w:p>
      <w:pPr>
        <w:pStyle w:val="Heading3"/>
      </w:pPr>
      <w:r>
        <w:t xml:space="preserve">04.3 Tratamiento por componente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Tratamiento</w:t>
            </w:r>
          </w:p>
        </w:tc>
      </w:tr>
      <w:tr>
        <w:tc>
          <w:tcPr/>
          <w:p>
            <w:pPr>
              <w:pStyle w:val="Compact"/>
            </w:pPr>
            <w:r>
              <w:t xml:space="preserve">Control plane</w:t>
            </w:r>
          </w:p>
        </w:tc>
        <w:tc>
          <w:tcPr/>
          <w:p>
            <w:pPr>
              <w:pStyle w:val="Compact"/>
            </w:pPr>
            <w:r>
              <w:t xml:space="preserve">Clúster Self-Hosted en AKS, con alta disponibilidad, respaldo, restauración, observabilidad y control de accesos</w:t>
            </w:r>
          </w:p>
        </w:tc>
      </w:tr>
      <w:tr>
        <w:tc>
          <w:tcPr/>
          <w:p>
            <w:pPr>
              <w:pStyle w:val="Compact"/>
            </w:pPr>
            <w:r>
              <w:t xml:space="preserve">Workers</w:t>
            </w:r>
          </w:p>
        </w:tc>
        <w:tc>
          <w:tcPr/>
          <w:p>
            <w:pPr>
              <w:pStyle w:val="Compact"/>
            </w:pPr>
            <w:r>
              <w:t xml:space="preserve">Permanecen en AKS del Banco. Se actualizan endpoint, credenciales, certificados y parámetros</w:t>
            </w:r>
          </w:p>
        </w:tc>
      </w:tr>
      <w:tr>
        <w:tc>
          <w:tcPr/>
          <w:p>
            <w:pPr>
              <w:pStyle w:val="Compact"/>
            </w:pPr>
            <w:r>
              <w:t xml:space="preserve">Namespaces</w:t>
            </w:r>
          </w:p>
        </w:tc>
        <w:tc>
          <w:tcPr/>
          <w:p>
            <w:pPr>
              <w:pStyle w:val="Compact"/>
            </w:pPr>
            <w:r>
              <w:t xml:space="preserve">Equivalentes por aplicación y ambiente</w:t>
            </w:r>
          </w:p>
        </w:tc>
      </w:tr>
      <w:tr>
        <w:tc>
          <w:tcPr/>
          <w:p>
            <w:pPr>
              <w:pStyle w:val="Compact"/>
            </w:pPr>
            <w:r>
              <w:t xml:space="preserve">Identidad y secretos</w:t>
            </w:r>
          </w:p>
        </w:tc>
        <w:tc>
          <w:tcPr/>
          <w:p>
            <w:pPr>
              <w:pStyle w:val="Compact"/>
            </w:pPr>
            <w:r>
              <w:t xml:space="preserve">Accesos nuevos en Self-Hosted. Revocación de Cloud al cierre</w:t>
            </w:r>
          </w:p>
        </w:tc>
      </w:tr>
      <w:tr>
        <w:tc>
          <w:tcPr/>
          <w:p>
            <w:pPr>
              <w:pStyle w:val="Compact"/>
            </w:pPr>
            <w:r>
              <w:t xml:space="preserve">Red</w:t>
            </w:r>
          </w:p>
        </w:tc>
        <w:tc>
          <w:tcPr/>
          <w:p>
            <w:pPr>
              <w:pStyle w:val="Compact"/>
            </w:pPr>
            <w:r>
              <w:t xml:space="preserve">Resolución, rutas, puertos, internal load balancer y Private Link</w:t>
            </w:r>
          </w:p>
        </w:tc>
      </w:tr>
      <w:tr>
        <w:tc>
          <w:tcPr/>
          <w:p>
            <w:pPr>
              <w:pStyle w:val="Compact"/>
            </w:pPr>
            <w:r>
              <w:t xml:space="preserve">Pipelines</w:t>
            </w:r>
          </w:p>
        </w:tc>
        <w:tc>
          <w:tcPr/>
          <w:p>
            <w:pPr>
              <w:pStyle w:val="Compact"/>
            </w:pPr>
            <w:r>
              <w:t xml:space="preserve">Variables por ambiente y trazabilidad del cambio</w:t>
            </w:r>
          </w:p>
        </w:tc>
      </w:tr>
      <w:tr>
        <w:tc>
          <w:tcPr/>
          <w:p>
            <w:pPr>
              <w:pStyle w:val="Compact"/>
            </w:pPr>
            <w:r>
              <w:t xml:space="preserve">Observabilidad</w:t>
            </w:r>
          </w:p>
        </w:tc>
        <w:tc>
          <w:tcPr/>
          <w:p>
            <w:pPr>
              <w:pStyle w:val="Compact"/>
            </w:pPr>
            <w:r>
              <w:t xml:space="preserve">Registros, métricas, trazas, alertas y tableros sobre Self-Hosted</w:t>
            </w:r>
          </w:p>
        </w:tc>
      </w:tr>
      <w:tr>
        <w:tc>
          <w:tcPr/>
          <w:p>
            <w:pPr>
              <w:pStyle w:val="Compact"/>
            </w:pPr>
            <w:r>
              <w:t xml:space="preserve">Historiales cerrados</w:t>
            </w:r>
          </w:p>
        </w:tc>
        <w:tc>
          <w:tcPr/>
          <w:p>
            <w:pPr>
              <w:pStyle w:val="Compact"/>
            </w:pPr>
            <w:r>
              <w:t xml:space="preserve">Archivo en Blob y exportación desde Cloud hacia Blob</w:t>
            </w:r>
          </w:p>
        </w:tc>
      </w:tr>
      <w:tr>
        <w:tc>
          <w:tcPr/>
          <w:p>
            <w:pPr>
              <w:pStyle w:val="Compact"/>
            </w:pPr>
            <w:r>
              <w:t xml:space="preserve">Operación</w:t>
            </w:r>
          </w:p>
        </w:tc>
        <w:tc>
          <w:tcPr/>
          <w:p>
            <w:pPr>
              <w:pStyle w:val="Compact"/>
            </w:pPr>
            <w:r>
              <w:t xml:space="preserve">Procedimiento de incidente, restauración, actualización y escalamiento a cargo de PEVE</w:t>
            </w:r>
          </w:p>
        </w:tc>
      </w:tr>
    </w:tbl>
    <w:bookmarkEnd w:id="22"/>
    <w:bookmarkStart w:id="26" w:name="arquitectura-de-transición-conexión-dual"/>
    <w:p>
      <w:pPr>
        <w:pStyle w:val="Heading3"/>
      </w:pPr>
      <w:r>
        <w:t xml:space="preserve">04.4 Arquitectura de transición (conexión dual)</w:t>
      </w:r>
    </w:p>
    <w:p>
      <w:pPr>
        <w:pStyle w:val="FirstParagraph"/>
      </w:pPr>
      <w:r>
        <w:t xml:space="preserve">Mientras Temporal Cloud responda, el worker utiliza un solo clúster activo por workflow. El indicador de configuración decide el destino de los nuevos inicios. La reversa solo aplica en este modo.</w:t>
      </w:r>
    </w:p>
    <w:p>
      <w:pPr>
        <w:pStyle w:val="CaptionedFigure"/>
      </w:pPr>
      <w:r>
        <w:drawing>
          <wp:inline>
            <wp:extent cx="5334000" cy="1600200"/>
            <wp:effectExtent b="0" l="0" r="0" t="0"/>
            <wp:docPr descr="Conexión dual mientras Temporal Cloud responde" title="" id="24" name="Picture"/>
            <a:graphic>
              <a:graphicData uri="http://schemas.openxmlformats.org/drawingml/2006/picture">
                <pic:pic>
                  <pic:nvPicPr>
                    <pic:cNvPr descr="assets/04-4-transicion-dual.png" id="25" name="Picture"/>
                    <pic:cNvPicPr>
                      <a:picLocks noChangeArrowheads="1" noChangeAspect="1"/>
                    </pic:cNvPicPr>
                  </pic:nvPicPr>
                  <pic:blipFill>
                    <a:blip r:embed="rId23"/>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Conexión dual mientras Temporal Cloud responde</w:t>
      </w:r>
    </w:p>
    <w:p>
      <w:pPr>
        <w:pStyle w:val="BodyText"/>
      </w:pPr>
      <w:r>
        <w:rPr>
          <w:i/>
          <w:color w:val="555555"/>
          <w:sz w:val="18"/>
        </w:rPr>
        <w:t xml:space="preserve">Fuente editable: assets/04-4-transicion-dual.drawio.</w:t>
      </w:r>
    </w:p>
    <w:p>
      <w:pPr>
        <w:pStyle w:val="BodyText"/>
      </w:pPr>
      <w:r>
        <w:t xml:space="preserve">Un identificador de workflow o un schedule no debe estar activo en Cloud y en Self-Hosted al mismo tiempo. Si Self-Hosted no cumple los criterios de aceptación, los nuevos inicios pueden volver a Cloud únicamente mientras ese servicio siga operable.</w:t>
      </w:r>
    </w:p>
    <w:bookmarkEnd w:id="26"/>
    <w:bookmarkStart w:id="30" w:name="X9513377ba6713f7594cf7581cf1b00642eafb0f"/>
    <w:p>
      <w:pPr>
        <w:pStyle w:val="Heading3"/>
      </w:pPr>
      <w:r>
        <w:t xml:space="preserve">04.5 Arquitectura de conmutación en modo estresado</w:t>
      </w:r>
    </w:p>
    <w:p>
      <w:pPr>
        <w:pStyle w:val="FirstParagraph"/>
      </w:pPr>
      <w:r>
        <w:t xml:space="preserve">Si Temporal Cloud no responde, no hay conexión dual ni exportación. Los workers apuntan solo a Self-Hosted. Las ejecuciones abiertas en Cloud se consideran no recuperables como historial y se reconstruyen desde el core.</w:t>
      </w:r>
    </w:p>
    <w:p>
      <w:pPr>
        <w:pStyle w:val="CaptionedFigure"/>
      </w:pPr>
      <w:r>
        <w:drawing>
          <wp:inline>
            <wp:extent cx="5334000" cy="1371600"/>
            <wp:effectExtent b="0" l="0" r="0" t="0"/>
            <wp:docPr descr="Modo estresado: Temporal Cloud no responde" title="" id="28" name="Picture"/>
            <a:graphic>
              <a:graphicData uri="http://schemas.openxmlformats.org/drawingml/2006/picture">
                <pic:pic>
                  <pic:nvPicPr>
                    <pic:cNvPr descr="assets/04-5-modo-estresado.png" id="29" name="Picture"/>
                    <pic:cNvPicPr>
                      <a:picLocks noChangeArrowheads="1" noChangeAspect="1"/>
                    </pic:cNvPicPr>
                  </pic:nvPicPr>
                  <pic:blipFill>
                    <a:blip r:embed="rId27"/>
                    <a:stretch>
                      <a:fillRect/>
                    </a:stretch>
                  </pic:blipFill>
                  <pic:spPr bwMode="auto">
                    <a:xfrm>
                      <a:off x="0" y="0"/>
                      <a:ext cx="5334000" cy="1371600"/>
                    </a:xfrm>
                    <a:prstGeom prst="rect">
                      <a:avLst/>
                    </a:prstGeom>
                    <a:noFill/>
                    <a:ln w="9525">
                      <a:noFill/>
                      <a:headEnd/>
                      <a:tailEnd/>
                    </a:ln>
                  </pic:spPr>
                </pic:pic>
              </a:graphicData>
            </a:graphic>
          </wp:inline>
        </w:drawing>
      </w:r>
    </w:p>
    <w:p>
      <w:pPr>
        <w:pStyle w:val="ImageCaption"/>
      </w:pPr>
      <w:r>
        <w:t xml:space="preserve">Modo estresado: Temporal Cloud no responde</w:t>
      </w:r>
    </w:p>
    <w:p>
      <w:pPr>
        <w:pStyle w:val="BodyText"/>
      </w:pPr>
      <w:r>
        <w:rPr>
          <w:i/>
          <w:color w:val="555555"/>
          <w:sz w:val="18"/>
        </w:rPr>
        <w:t xml:space="preserve">Fuente editable: assets/04-5-modo-estresado.drawio.</w:t>
      </w:r>
    </w:p>
    <w:bookmarkEnd w:id="30"/>
    <w:bookmarkStart w:id="49" w:name="X40aef27ef5595c7b4d40271e6aa31f8441ad7fa"/>
    <w:p>
      <w:pPr>
        <w:pStyle w:val="Heading3"/>
      </w:pPr>
      <w:r>
        <w:t xml:space="preserve">04.6 Evaluación de las cuatro opciones de destino</w:t>
      </w:r>
    </w:p>
    <w:p>
      <w:pPr>
        <w:pStyle w:val="FirstParagraph"/>
      </w:pPr>
      <w:r>
        <w:t xml:space="preserve">El plan evalúa cuatro destinos de forma equitativa. Todos permiten ejecución durable en código. El paso 0.0 elige uno.</w:t>
      </w:r>
    </w:p>
    <w:p>
      <w:pPr>
        <w:pStyle w:val="BodyText"/>
      </w:pPr>
      <w:r>
        <w:rPr>
          <w:b/>
          <w:bCs/>
        </w:rPr>
        <w:t xml:space="preserve">Temporal Self-Hosted</w:t>
      </w:r>
      <w:r>
        <w:t xml:space="preserve"> </w:t>
      </w:r>
      <w:r>
        <w:t xml:space="preserve">conserva el motor, los SDK y la receta de conexión dual. El Banco opera el control plane y</w:t>
      </w:r>
      <w:r>
        <w:t xml:space="preserve"> </w:t>
      </w:r>
      <w:r>
        <w:rPr>
          <w:b/>
          <w:bCs/>
        </w:rPr>
        <w:t xml:space="preserve">no recibe soporte de Temporal Technologies Inc.</w:t>
      </w:r>
      <w:r>
        <w:t xml:space="preserve"> </w:t>
      </w:r>
      <w:r>
        <w:t xml:space="preserve">sobre el binario de código abierto. Ese es el intercambio: se elimina la dependencia de continuidad del proveedor y se asume la operación.</w:t>
      </w:r>
    </w:p>
    <w:p>
      <w:pPr>
        <w:pStyle w:val="BodyText"/>
      </w:pPr>
      <w:r>
        <w:t xml:space="preserve">Las otras tres opciones exigen reescritura de workflows y no admiten conexión dual con Temporal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Opción</w:t>
            </w:r>
          </w:p>
        </w:tc>
        <w:tc>
          <w:tcPr/>
          <w:p>
            <w:pPr>
              <w:pStyle w:val="Compact"/>
            </w:pPr>
            <w:r>
              <w:t xml:space="preserve">Soporte de proveedor</w:t>
            </w:r>
          </w:p>
        </w:tc>
        <w:tc>
          <w:tcPr/>
          <w:p>
            <w:pPr>
              <w:pStyle w:val="Compact"/>
            </w:pPr>
            <w:r>
              <w:t xml:space="preserve">Dónde corre el control plane</w:t>
            </w:r>
          </w:p>
        </w:tc>
      </w:tr>
      <w:tr>
        <w:tc>
          <w:tcPr/>
          <w:p>
            <w:pPr>
              <w:pStyle w:val="Compact"/>
            </w:pPr>
            <w:r>
              <w:t xml:space="preserve">1</w:t>
            </w:r>
          </w:p>
        </w:tc>
        <w:tc>
          <w:tcPr/>
          <w:p>
            <w:pPr>
              <w:pStyle w:val="Compact"/>
            </w:pPr>
            <w:r>
              <w:t xml:space="preserve">Temporal Self-Hosted</w:t>
            </w:r>
          </w:p>
        </w:tc>
        <w:tc>
          <w:tcPr/>
          <w:p>
            <w:pPr>
              <w:pStyle w:val="Compact"/>
            </w:pPr>
            <w:r>
              <w:t xml:space="preserve">No. PEVE opera el OSS</w:t>
            </w:r>
          </w:p>
        </w:tc>
        <w:tc>
          <w:tcPr/>
          <w:p>
            <w:pPr>
              <w:pStyle w:val="Compact"/>
            </w:pPr>
            <w:r>
              <w:t xml:space="preserve">AKS PEVE</w:t>
            </w:r>
          </w:p>
        </w:tc>
      </w:tr>
      <w:tr>
        <w:tc>
          <w:tcPr/>
          <w:p>
            <w:pPr>
              <w:pStyle w:val="Compact"/>
            </w:pPr>
            <w:r>
              <w:t xml:space="preserve">2</w:t>
            </w:r>
          </w:p>
        </w:tc>
        <w:tc>
          <w:tcPr/>
          <w:p>
            <w:pPr>
              <w:pStyle w:val="Compact"/>
            </w:pPr>
            <w:r>
              <w:t xml:space="preserve">Azure Durable Functions</w:t>
            </w:r>
          </w:p>
        </w:tc>
        <w:tc>
          <w:tcPr/>
          <w:p>
            <w:pPr>
              <w:pStyle w:val="Compact"/>
            </w:pPr>
            <w:r>
              <w:t xml:space="preserve">Microsoft / contrato Azure</w:t>
            </w:r>
          </w:p>
        </w:tc>
        <w:tc>
          <w:tcPr/>
          <w:p>
            <w:pPr>
              <w:pStyle w:val="Compact"/>
            </w:pPr>
            <w:r>
              <w:t xml:space="preserve">Durable Task Scheduler (Microsoft)</w:t>
            </w:r>
          </w:p>
        </w:tc>
      </w:tr>
      <w:tr>
        <w:tc>
          <w:tcPr/>
          <w:p>
            <w:pPr>
              <w:pStyle w:val="Compact"/>
            </w:pPr>
            <w:r>
              <w:t xml:space="preserve">3</w:t>
            </w:r>
          </w:p>
        </w:tc>
        <w:tc>
          <w:tcPr/>
          <w:p>
            <w:pPr>
              <w:pStyle w:val="Compact"/>
            </w:pPr>
            <w:r>
              <w:t xml:space="preserve">Dapr Workflows</w:t>
            </w:r>
          </w:p>
        </w:tc>
        <w:tc>
          <w:tcPr/>
          <w:p>
            <w:pPr>
              <w:pStyle w:val="Compact"/>
            </w:pPr>
            <w:r>
              <w:t xml:space="preserve">Microsoft sobre AKS / extensión Dapr</w:t>
            </w:r>
          </w:p>
        </w:tc>
        <w:tc>
          <w:tcPr/>
          <w:p>
            <w:pPr>
              <w:pStyle w:val="Compact"/>
            </w:pPr>
            <w:r>
              <w:t xml:space="preserve">Sidecars y state store en AKS</w:t>
            </w:r>
          </w:p>
        </w:tc>
      </w:tr>
      <w:tr>
        <w:tc>
          <w:tcPr/>
          <w:p>
            <w:pPr>
              <w:pStyle w:val="Compact"/>
            </w:pPr>
            <w:r>
              <w:t xml:space="preserve">4</w:t>
            </w:r>
          </w:p>
        </w:tc>
        <w:tc>
          <w:tcPr/>
          <w:p>
            <w:pPr>
              <w:pStyle w:val="Compact"/>
            </w:pPr>
            <w:r>
              <w:t xml:space="preserve">Restate</w:t>
            </w:r>
          </w:p>
        </w:tc>
        <w:tc>
          <w:tcPr/>
          <w:p>
            <w:pPr>
              <w:pStyle w:val="Compact"/>
            </w:pPr>
            <w:r>
              <w:t xml:space="preserve">Restate Enterprise (SLA negociado) o PEVE si se autoaloja</w:t>
            </w:r>
          </w:p>
        </w:tc>
        <w:tc>
          <w:tcPr/>
          <w:p>
            <w:pPr>
              <w:pStyle w:val="Compact"/>
            </w:pPr>
            <w:r>
              <w:t xml:space="preserve">Restate Cloud o binario en AKS</w:t>
            </w:r>
          </w:p>
        </w:tc>
      </w:tr>
    </w:tbl>
    <w:bookmarkStart w:id="31" w:name="criterio-de-selección"/>
    <w:p>
      <w:pPr>
        <w:pStyle w:val="Heading4"/>
      </w:pPr>
      <w:r>
        <w:t xml:space="preserve">Criterio de selección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Peso para el Banco</w:t>
            </w:r>
          </w:p>
        </w:tc>
        <w:tc>
          <w:tcPr/>
          <w:p>
            <w:pPr>
              <w:pStyle w:val="Compact"/>
            </w:pPr>
            <w:r>
              <w:t xml:space="preserve">Qué se exige</w:t>
            </w:r>
          </w:p>
        </w:tc>
      </w:tr>
      <w:tr>
        <w:tc>
          <w:tcPr/>
          <w:p>
            <w:pPr>
              <w:pStyle w:val="Compact"/>
            </w:pPr>
            <w:r>
              <w:t xml:space="preserve">Soporte del proveedor</w:t>
            </w:r>
          </w:p>
        </w:tc>
        <w:tc>
          <w:tcPr/>
          <w:p>
            <w:pPr>
              <w:pStyle w:val="Compact"/>
            </w:pPr>
            <w:r>
              <w:t xml:space="preserve">Determinante para críticos</w:t>
            </w:r>
          </w:p>
        </w:tc>
        <w:tc>
          <w:tcPr/>
          <w:p>
            <w:pPr>
              <w:pStyle w:val="Compact"/>
            </w:pPr>
            <w:r>
              <w:t xml:space="preserve">Contrato, SLA, canal 24×7 o equivalente al plan de soporte Azure / enterprise, y contraparte que el Banco pueda contratar</w:t>
            </w:r>
          </w:p>
        </w:tc>
      </w:tr>
      <w:tr>
        <w:tc>
          <w:tcPr/>
          <w:p>
            <w:pPr>
              <w:pStyle w:val="Compact"/>
            </w:pPr>
            <w:r>
              <w:t xml:space="preserve">Continuidad del proveedor</w:t>
            </w:r>
          </w:p>
        </w:tc>
        <w:tc>
          <w:tcPr/>
          <w:p>
            <w:pPr>
              <w:pStyle w:val="Compact"/>
            </w:pPr>
            <w:r>
              <w:t xml:space="preserve">Alto</w:t>
            </w:r>
          </w:p>
        </w:tc>
        <w:tc>
          <w:tcPr/>
          <w:p>
            <w:pPr>
              <w:pStyle w:val="Compact"/>
            </w:pPr>
            <w:r>
              <w:t xml:space="preserve">Se pondera. Self-Hosted y Dapr/Durable Functions evitan un SaaS de orquestación joven. Restate Cloud lo incrementa; Restate Self-Managed lo reduce si hay contrato Enterprise</w:t>
            </w:r>
          </w:p>
        </w:tc>
      </w:tr>
      <w:tr>
        <w:tc>
          <w:tcPr/>
          <w:p>
            <w:pPr>
              <w:pStyle w:val="Compact"/>
            </w:pPr>
            <w:r>
              <w:t xml:space="preserve">Contratos y nube ya existentes</w:t>
            </w:r>
          </w:p>
        </w:tc>
        <w:tc>
          <w:tcPr/>
          <w:p>
            <w:pPr>
              <w:pStyle w:val="Compact"/>
            </w:pPr>
            <w:r>
              <w:t xml:space="preserve">Alto</w:t>
            </w:r>
          </w:p>
        </w:tc>
        <w:tc>
          <w:tcPr/>
          <w:p>
            <w:pPr>
              <w:pStyle w:val="Compact"/>
            </w:pPr>
            <w:r>
              <w:t xml:space="preserve">Preferir Azure y proveedores ya aceptados por Compras y Seguridad</w:t>
            </w:r>
          </w:p>
        </w:tc>
      </w:tr>
      <w:tr>
        <w:tc>
          <w:tcPr/>
          <w:p>
            <w:pPr>
              <w:pStyle w:val="Compact"/>
            </w:pPr>
            <w:r>
              <w:t xml:space="preserve">Reescritura y tiempo de salida</w:t>
            </w:r>
          </w:p>
        </w:tc>
        <w:tc>
          <w:tcPr/>
          <w:p>
            <w:pPr>
              <w:pStyle w:val="Compact"/>
            </w:pPr>
            <w:r>
              <w:t xml:space="preserve">Alto</w:t>
            </w:r>
          </w:p>
        </w:tc>
        <w:tc>
          <w:tcPr/>
          <w:p>
            <w:pPr>
              <w:pStyle w:val="Compact"/>
            </w:pPr>
            <w:r>
              <w:t xml:space="preserve">APOQ y NREM ya están en producción sobre Temporal. Un cambio de motor alarga la fase 0</w:t>
            </w:r>
          </w:p>
        </w:tc>
      </w:tr>
      <w:tr>
        <w:tc>
          <w:tcPr/>
          <w:p>
            <w:pPr>
              <w:pStyle w:val="Compact"/>
            </w:pPr>
            <w:r>
              <w:t xml:space="preserve">Residencia y operación en Azure</w:t>
            </w:r>
          </w:p>
        </w:tc>
        <w:tc>
          <w:tcPr/>
          <w:p>
            <w:pPr>
              <w:pStyle w:val="Compact"/>
            </w:pPr>
            <w:r>
              <w:t xml:space="preserve">Alto</w:t>
            </w:r>
          </w:p>
        </w:tc>
        <w:tc>
          <w:tcPr/>
          <w:p>
            <w:pPr>
              <w:pStyle w:val="Compact"/>
            </w:pPr>
            <w:r>
              <w:t xml:space="preserve">AKS, red privada, Key Vault, residencia aceptada</w:t>
            </w:r>
          </w:p>
        </w:tc>
      </w:tr>
      <w:tr>
        <w:tc>
          <w:tcPr/>
          <w:p>
            <w:pPr>
              <w:pStyle w:val="Compact"/>
            </w:pPr>
            <w:r>
              <w:t xml:space="preserve">Modelo de programación</w:t>
            </w:r>
          </w:p>
        </w:tc>
        <w:tc>
          <w:tcPr/>
          <w:p>
            <w:pPr>
              <w:pStyle w:val="Compact"/>
            </w:pPr>
            <w:r>
              <w:t xml:space="preserve">Medio</w:t>
            </w:r>
          </w:p>
        </w:tc>
        <w:tc>
          <w:tcPr/>
          <w:p>
            <w:pPr>
              <w:pStyle w:val="Compact"/>
            </w:pPr>
            <w:r>
              <w:t xml:space="preserve">Workflows de débito, crédito, remesa, compensación, schedules e idempotencia</w:t>
            </w:r>
          </w:p>
        </w:tc>
      </w:tr>
    </w:tbl>
    <w:p>
      <w:pPr>
        <w:pStyle w:val="BodyText"/>
      </w:pPr>
      <w:r>
        <w:t xml:space="preserve">No se evalúan como destino de críticos: Camunda 8 (BPMN / Zeebe; otra categoría, no ejecución durable en código); AWS Step Functions (el Banco está en Azure); Logic Apps (iPaaS); Cadence u Orkes Conductor (grafo de tareas, no replay Temporal; Orkes además concentra soporte en un proveedor de menor escala); un segundo Temporal Cloud en otra cuenta (sigue siendo Temporal Technologies Inc.).</w:t>
      </w:r>
    </w:p>
    <w:bookmarkEnd w:id="31"/>
    <w:bookmarkStart w:id="34" w:name="X74d9fd106ae58db8013e1191c3f818bd810df2d"/>
    <w:p>
      <w:pPr>
        <w:pStyle w:val="Heading4"/>
      </w:pPr>
      <w:r>
        <w:t xml:space="preserve">Opción 1 — Temporal Self-Hosted en Azure AKS</w:t>
      </w:r>
    </w:p>
    <w:p>
      <w:pPr>
        <w:pStyle w:val="FirstParagraph"/>
      </w:pPr>
      <w:r>
        <w:t xml:space="preserve">PEVE opera el control plane. El Banco ya tiene infraestructura Azure. No incluye soporte de Temporal Technologies Inc. sobre el OSS.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Propuesta</w:t>
            </w:r>
          </w:p>
        </w:tc>
      </w:tr>
      <w:tr>
        <w:tc>
          <w:tcPr/>
          <w:p>
            <w:pPr>
              <w:pStyle w:val="Compact"/>
            </w:pPr>
            <w:r>
              <w:t xml:space="preserve">Producto</w:t>
            </w:r>
          </w:p>
        </w:tc>
        <w:tc>
          <w:tcPr/>
          <w:p>
            <w:pPr>
              <w:pStyle w:val="Compact"/>
            </w:pPr>
            <w:r>
              <w:t xml:space="preserve">Servidor Temporal de código abierto (MIT) en AKS PEVE. PostgreSQL para persistence, Elasticsearch/OpenSearch para visibility, Blob para archival</w:t>
            </w:r>
          </w:p>
        </w:tc>
      </w:tr>
      <w:tr>
        <w:tc>
          <w:tcPr/>
          <w:p>
            <w:pPr>
              <w:pStyle w:val="Compact"/>
            </w:pPr>
            <w:r>
              <w:t xml:space="preserve">Proveedor de soporte</w:t>
            </w:r>
          </w:p>
        </w:tc>
        <w:tc>
          <w:tcPr/>
          <w:p>
            <w:pPr>
              <w:pStyle w:val="Compact"/>
            </w:pPr>
            <w:r>
              <w:t xml:space="preserve">No hay. PEVE opera el binario OSS. Sin contrato ni canal de Temporal Technologies Inc.</w:t>
            </w:r>
          </w:p>
        </w:tc>
      </w:tr>
      <w:tr>
        <w:tc>
          <w:tcPr/>
          <w:p>
            <w:pPr>
              <w:pStyle w:val="Compact"/>
            </w:pPr>
            <w:r>
              <w:t xml:space="preserve">Fortaleza</w:t>
            </w:r>
          </w:p>
        </w:tc>
        <w:tc>
          <w:tcPr/>
          <w:p>
            <w:pPr>
              <w:pStyle w:val="Compact"/>
            </w:pPr>
            <w:r>
              <w:t xml:space="preserve">Conserva el motor, SDKs y workers actuales. Cambio de endpoint únicamente. Conexión dual durante la transición. Elimina dependencia de continuidad del proveedor SaaS</w:t>
            </w:r>
          </w:p>
        </w:tc>
      </w:tr>
      <w:tr>
        <w:tc>
          <w:tcPr/>
          <w:p>
            <w:pPr>
              <w:pStyle w:val="Compact"/>
            </w:pPr>
            <w:r>
              <w:t xml:space="preserve">Debilidad</w:t>
            </w:r>
          </w:p>
        </w:tc>
        <w:tc>
          <w:tcPr/>
          <w:p>
            <w:pPr>
              <w:pStyle w:val="Compact"/>
            </w:pPr>
            <w:r>
              <w:t xml:space="preserve">El Banco opera el control plane sin soporte del proveedor del motor. Responsabilidad de actualización, escalamiento, respaldo y recuperación</w:t>
            </w:r>
          </w:p>
        </w:tc>
      </w:tr>
      <w:tr>
        <w:tc>
          <w:tcPr/>
          <w:p>
            <w:pPr>
              <w:pStyle w:val="Compact"/>
            </w:pPr>
            <w:r>
              <w:t xml:space="preserve">Migración desde Cloud</w:t>
            </w:r>
          </w:p>
        </w:tc>
        <w:tc>
          <w:tcPr/>
          <w:p>
            <w:pPr>
              <w:pStyle w:val="Compact"/>
            </w:pPr>
            <w:r>
              <w:t xml:space="preserve">Cambio de endpoint. Conclusión de workflows cortos en Cloud o traslado de estado. Conexión dual aplicable</w:t>
            </w:r>
          </w:p>
        </w:tc>
      </w:tr>
      <w:tr>
        <w:tc>
          <w:tcPr/>
          <w:p>
            <w:pPr>
              <w:pStyle w:val="Compact"/>
            </w:pPr>
            <w:r>
              <w:t xml:space="preserve">Conexión dual</w:t>
            </w:r>
          </w:p>
        </w:tc>
        <w:tc>
          <w:tcPr/>
          <w:p>
            <w:pPr>
              <w:pStyle w:val="Compact"/>
            </w:pPr>
            <w:r>
              <w:t xml:space="preserve">No aplica. No hay dos clústeres Temporal. El indicador de destino pasa a ser “Temporal Cloud / Durable Functions” y exige dos implementaciones del mismo proceso</w:t>
            </w:r>
          </w:p>
        </w:tc>
      </w:tr>
      <w:tr>
        <w:tc>
          <w:tcPr/>
          <w:p>
            <w:pPr>
              <w:pStyle w:val="Compact"/>
            </w:pPr>
            <w:r>
              <w:t xml:space="preserve">Riesgo de proveedor</w:t>
            </w:r>
          </w:p>
        </w:tc>
        <w:tc>
          <w:tcPr/>
          <w:p>
            <w:pPr>
              <w:pStyle w:val="Compact"/>
            </w:pPr>
            <w:r>
              <w:t xml:space="preserve">Ninguno: es OSS. El residual es la operación sin soporte especializado de Temporal Technologies Inc.</w:t>
            </w:r>
          </w:p>
        </w:tc>
      </w:tr>
      <w:tr>
        <w:tc>
          <w:tcPr/>
          <w:p>
            <w:pPr>
              <w:pStyle w:val="Compact"/>
            </w:pPr>
            <w:r>
              <w:t xml:space="preserve">Cuándo elegirla</w:t>
            </w:r>
          </w:p>
        </w:tc>
        <w:tc>
          <w:tcPr/>
          <w:p>
            <w:pPr>
              <w:pStyle w:val="Compact"/>
            </w:pPr>
            <w:r>
              <w:t xml:space="preserve">El Banco puede operar el motor, no requiere soporte del proveedor, y quiere evitar reescritura de APOQ y NREM</w:t>
            </w:r>
          </w:p>
        </w:tc>
      </w:tr>
    </w:tbl>
    <w:p>
      <w:pPr>
        <w:pStyle w:val="CaptionedFigure"/>
      </w:pPr>
      <w:r>
        <w:drawing>
          <wp:inline>
            <wp:extent cx="5334000" cy="2066925"/>
            <wp:effectExtent b="0" l="0" r="0" t="0"/>
            <wp:docPr descr="Arquitectura Temporal Self-Hosted en Azure AKS" title="" id="32" name="Picture"/>
            <a:graphic>
              <a:graphicData uri="http://schemas.openxmlformats.org/drawingml/2006/picture">
                <pic:pic>
                  <pic:nvPicPr>
                    <pic:cNvPr descr="assets/04-1-arquitectura-self-hosted.png" id="33" name="Picture"/>
                    <pic:cNvPicPr>
                      <a:picLocks noChangeArrowheads="1" noChangeAspect="1"/>
                    </pic:cNvPicPr>
                  </pic:nvPicPr>
                  <pic:blipFill>
                    <a:blip r:embed="rId17"/>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Arquitectura Temporal Self-Hosted en Azure AKS</w:t>
      </w:r>
    </w:p>
    <w:p>
      <w:pPr>
        <w:pStyle w:val="BodyText"/>
      </w:pPr>
      <w:r>
        <w:rPr>
          <w:i/>
          <w:color w:val="555555"/>
          <w:sz w:val="18"/>
        </w:rPr>
        <w:t xml:space="preserve">Fuente editable: assets/04-1-arquitectura-self-hosted.drawio.</w:t>
      </w:r>
    </w:p>
    <w:bookmarkEnd w:id="34"/>
    <w:bookmarkStart w:id="38" w:name="X9ee3043106164b53802635ff3b91ef16119004b"/>
    <w:p>
      <w:pPr>
        <w:pStyle w:val="Heading4"/>
      </w:pPr>
      <w:r>
        <w:t xml:space="preserve">Opción 2 — Azure Durable Functions y Durable Task Scheduler</w:t>
      </w:r>
    </w:p>
    <w:p>
      <w:pPr>
        <w:pStyle w:val="FirstParagraph"/>
      </w:pPr>
      <w:r>
        <w:t xml:space="preserve">Microsoft opera el control plane. El Banco ya tiene contratos Azure. El soporte es el plan de soporte Microsoft (Unified o el que Compras tenga vigente), no un proveedor de orquestación distinto.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Propuesta</w:t>
            </w:r>
          </w:p>
        </w:tc>
      </w:tr>
      <w:tr>
        <w:tc>
          <w:tcPr/>
          <w:p>
            <w:pPr>
              <w:pStyle w:val="Compact"/>
            </w:pPr>
            <w:r>
              <w:t xml:space="preserve">Producto</w:t>
            </w:r>
          </w:p>
        </w:tc>
        <w:tc>
          <w:tcPr/>
          <w:p>
            <w:pPr>
              <w:pStyle w:val="Compact"/>
            </w:pPr>
            <w:r>
              <w:t xml:space="preserve">Azure Durable Functions, con</w:t>
            </w:r>
            <w:r>
              <w:t xml:space="preserve"> </w:t>
            </w:r>
            <w:r>
              <w:rPr>
                <w:b/>
                <w:bCs/>
              </w:rPr>
              <w:t xml:space="preserve">Durable Task Scheduler</w:t>
            </w:r>
            <w:r>
              <w:t xml:space="preserve"> </w:t>
            </w:r>
            <w:r>
              <w:t xml:space="preserve">como backend gestionado (recomendado por Microsoft para producción). Alternativa de menor lock-in: Durable Task SDK con persistencia MSSQL en Azure, operada por el Banco</w:t>
            </w:r>
          </w:p>
        </w:tc>
      </w:tr>
      <w:tr>
        <w:tc>
          <w:tcPr/>
          <w:p>
            <w:pPr>
              <w:pStyle w:val="Compact"/>
            </w:pPr>
            <w:r>
              <w:t xml:space="preserve">Proveedor de soporte</w:t>
            </w:r>
          </w:p>
        </w:tc>
        <w:tc>
          <w:tcPr/>
          <w:p>
            <w:pPr>
              <w:pStyle w:val="Compact"/>
            </w:pPr>
            <w:r>
              <w:t xml:space="preserve">Microsoft. Mismo canal que el resto de Azure del BCP</w:t>
            </w:r>
          </w:p>
        </w:tc>
      </w:tr>
      <w:tr>
        <w:tc>
          <w:tcPr/>
          <w:p>
            <w:pPr>
              <w:pStyle w:val="Compact"/>
            </w:pPr>
            <w:r>
              <w:t xml:space="preserve">Fortaleza</w:t>
            </w:r>
          </w:p>
        </w:tc>
        <w:tc>
          <w:tcPr/>
          <w:p>
            <w:pPr>
              <w:pStyle w:val="Compact"/>
            </w:pPr>
            <w:r>
              <w:t xml:space="preserve">Contratos existentes, residencia en Azure, identidad (Entra / managed identity), Private Link, tablero nativo del Scheduler, SLA de Azure sobre el servicio gestionado</w:t>
            </w:r>
          </w:p>
        </w:tc>
      </w:tr>
      <w:tr>
        <w:tc>
          <w:tcPr/>
          <w:p>
            <w:pPr>
              <w:pStyle w:val="Compact"/>
            </w:pPr>
            <w:r>
              <w:t xml:space="preserve">Debilidad</w:t>
            </w:r>
          </w:p>
        </w:tc>
        <w:tc>
          <w:tcPr/>
          <w:p>
            <w:pPr>
              <w:pStyle w:val="Compact"/>
            </w:pPr>
            <w:r>
              <w:t xml:space="preserve">Reescritura completa de workflows Temporal (signals, queries, search attributes, schedules, namespaces). El modelo de hosting habitual es Azure Functions, no los workers actuales en AKS; el Durable Task SDK permite otro host, pero no es el camino más documentado</w:t>
            </w:r>
          </w:p>
        </w:tc>
      </w:tr>
      <w:tr>
        <w:tc>
          <w:tcPr/>
          <w:p>
            <w:pPr>
              <w:pStyle w:val="Compact"/>
            </w:pPr>
            <w:r>
              <w:t xml:space="preserve">Migración desde Cloud</w:t>
            </w:r>
          </w:p>
        </w:tc>
        <w:tc>
          <w:tcPr/>
          <w:p>
            <w:pPr>
              <w:pStyle w:val="Compact"/>
            </w:pPr>
            <w:r>
              <w:t xml:space="preserve">No hay importación de historial. Nuevos inicios en el destino; conclusión o reapertura desde el core</w:t>
            </w:r>
          </w:p>
        </w:tc>
      </w:tr>
      <w:tr>
        <w:tc>
          <w:tcPr/>
          <w:p>
            <w:pPr>
              <w:pStyle w:val="Compact"/>
            </w:pPr>
            <w:r>
              <w:t xml:space="preserve">Conexión dual</w:t>
            </w:r>
          </w:p>
        </w:tc>
        <w:tc>
          <w:tcPr/>
          <w:p>
            <w:pPr>
              <w:pStyle w:val="Compact"/>
            </w:pPr>
            <w:r>
              <w:t xml:space="preserve">No aplica. No hay dos clústeres Temporal. El indicador de destino pasa a ser</w:t>
            </w:r>
            <w:r>
              <w:t xml:space="preserve"> </w:t>
            </w:r>
            <w:r>
              <w:t xml:space="preserve">“Temporal Cloud / Durable Functions”</w:t>
            </w:r>
            <w:r>
              <w:t xml:space="preserve"> </w:t>
            </w:r>
            <w:r>
              <w:t xml:space="preserve">y exige dos implementaciones del mismo proceso</w:t>
            </w:r>
          </w:p>
        </w:tc>
      </w:tr>
      <w:tr>
        <w:tc>
          <w:tcPr/>
          <w:p>
            <w:pPr>
              <w:pStyle w:val="Compact"/>
            </w:pPr>
            <w:r>
              <w:t xml:space="preserve">Riesgo de proveedor</w:t>
            </w:r>
          </w:p>
        </w:tc>
        <w:tc>
          <w:tcPr/>
          <w:p>
            <w:pPr>
              <w:pStyle w:val="Compact"/>
            </w:pPr>
            <w:r>
              <w:t xml:space="preserve">Microsoft. Aceptable para el Banco. El residual es lock-in Azure, ya asumido</w:t>
            </w:r>
          </w:p>
        </w:tc>
      </w:tr>
      <w:tr>
        <w:tc>
          <w:tcPr/>
          <w:p>
            <w:pPr>
              <w:pStyle w:val="Compact"/>
            </w:pPr>
            <w:r>
              <w:t xml:space="preserve">Cuándo elegirla</w:t>
            </w:r>
          </w:p>
        </w:tc>
        <w:tc>
          <w:tcPr/>
          <w:p>
            <w:pPr>
              <w:pStyle w:val="Compact"/>
            </w:pPr>
            <w:r>
              <w:t xml:space="preserve">El Banco no quiere operar un motor de orquestación y exige soporte sobre un contrato ya firmado</w:t>
            </w:r>
          </w:p>
        </w:tc>
      </w:tr>
    </w:tbl>
    <w:p>
      <w:pPr>
        <w:pStyle w:val="CaptionedFigure"/>
      </w:pPr>
      <w:r>
        <w:drawing>
          <wp:inline>
            <wp:extent cx="5334000" cy="1828800"/>
            <wp:effectExtent b="0" l="0" r="0" t="0"/>
            <wp:docPr descr="Azure Durable Functions y Durable Task Scheduler" title="" id="36" name="Picture"/>
            <a:graphic>
              <a:graphicData uri="http://schemas.openxmlformats.org/drawingml/2006/picture">
                <pic:pic>
                  <pic:nvPicPr>
                    <pic:cNvPr descr="assets/04-6-durable-functions.png" id="37" name="Picture"/>
                    <pic:cNvPicPr>
                      <a:picLocks noChangeArrowheads="1" noChangeAspect="1"/>
                    </pic:cNvPicPr>
                  </pic:nvPicPr>
                  <pic:blipFill>
                    <a:blip r:embed="rId35"/>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pPr>
      <w:r>
        <w:t xml:space="preserve">Azure Durable Functions y Durable Task Scheduler</w:t>
      </w:r>
    </w:p>
    <w:p>
      <w:pPr>
        <w:pStyle w:val="BodyText"/>
      </w:pPr>
      <w:r>
        <w:rPr>
          <w:i/>
          <w:color w:val="555555"/>
          <w:sz w:val="18"/>
        </w:rPr>
        <w:t xml:space="preserve">Fuente editable: assets/04-6-durable-functions.drawio.</w:t>
      </w:r>
    </w:p>
    <w:bookmarkEnd w:id="38"/>
    <w:bookmarkStart w:id="42" w:name="opción-3-dapr-workflows-en-aks"/>
    <w:p>
      <w:pPr>
        <w:pStyle w:val="Heading4"/>
      </w:pPr>
      <w:r>
        <w:t xml:space="preserve">Opción 3 — Dapr Workflows en AKS</w:t>
      </w:r>
    </w:p>
    <w:p>
      <w:pPr>
        <w:pStyle w:val="FirstParagraph"/>
      </w:pPr>
      <w:r>
        <w:t xml:space="preserve">Misma categoría que Temporal: el workflow se escribe en código, se persiste el historial y se reconstruye por replay. Activities, temporizadores y eventos externos equivalen a activities, timers y signals. El runtime de Dapr Workflow se apoya en el Durable Task Framework de Microsoft. Los workers y las aplicaciones permanecen en AKS.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Propuesta</w:t>
            </w:r>
          </w:p>
        </w:tc>
      </w:tr>
      <w:tr>
        <w:tc>
          <w:tcPr/>
          <w:p>
            <w:pPr>
              <w:pStyle w:val="Compact"/>
            </w:pPr>
            <w:r>
              <w:t xml:space="preserve">Producto</w:t>
            </w:r>
          </w:p>
        </w:tc>
        <w:tc>
          <w:tcPr/>
          <w:p>
            <w:pPr>
              <w:pStyle w:val="Compact"/>
            </w:pPr>
            <w:r>
              <w:t xml:space="preserve">Dapr Workflows (sidecar en AKS), con state store que soporte workflows. En Azure: PostgreSQL. No usar Cosmos DB para este caso (límite de 2 MB y 100 operaciones por transacción; no hay migración posterior)</w:t>
            </w:r>
          </w:p>
        </w:tc>
      </w:tr>
      <w:tr>
        <w:tc>
          <w:tcPr/>
          <w:p>
            <w:pPr>
              <w:pStyle w:val="Compact"/>
            </w:pPr>
            <w:r>
              <w:t xml:space="preserve">Proveedor de soporte</w:t>
            </w:r>
          </w:p>
        </w:tc>
        <w:tc>
          <w:tcPr/>
          <w:p>
            <w:pPr>
              <w:pStyle w:val="Compact"/>
            </w:pPr>
            <w:r>
              <w:t xml:space="preserve">Microsoft, sobre AKS y la extensión Dapr de Azure, más el plan de soporte ya contratado. Dapr es CNCF; el canal útil para el Banco es Azure, no el foro de la comunidad</w:t>
            </w:r>
          </w:p>
        </w:tc>
      </w:tr>
      <w:tr>
        <w:tc>
          <w:tcPr/>
          <w:p>
            <w:pPr>
              <w:pStyle w:val="Compact"/>
            </w:pPr>
            <w:r>
              <w:t xml:space="preserve">Fortaleza</w:t>
            </w:r>
          </w:p>
        </w:tc>
        <w:tc>
          <w:tcPr/>
          <w:p>
            <w:pPr>
              <w:pStyle w:val="Compact"/>
            </w:pPr>
            <w:r>
              <w:t xml:space="preserve">Modelo comparable a Temporal (código, replay, activities). Los procesos siguen en AKS, no hay que pasarlos a Azure Functions. Identidad, red privada y residencia ya aceptadas. Misma familia que la opción 2, otro hosting</w:t>
            </w:r>
          </w:p>
        </w:tc>
      </w:tr>
      <w:tr>
        <w:tc>
          <w:tcPr/>
          <w:p>
            <w:pPr>
              <w:pStyle w:val="Compact"/>
            </w:pPr>
            <w:r>
              <w:t xml:space="preserve">Debilidad</w:t>
            </w:r>
          </w:p>
        </w:tc>
        <w:tc>
          <w:tcPr/>
          <w:p>
            <w:pPr>
              <w:pStyle w:val="Compact"/>
            </w:pPr>
            <w:r>
              <w:t xml:space="preserve">Reescritura de SDK Temporal. Versionado, search attributes y visibility son más débiles que en Temporal. El building block de workflows es más joven que el servidor Temporal; hay que fijar versión soportada (N y N-2) y ensayar restauración del state store</w:t>
            </w:r>
          </w:p>
        </w:tc>
      </w:tr>
      <w:tr>
        <w:tc>
          <w:tcPr/>
          <w:p>
            <w:pPr>
              <w:pStyle w:val="Compact"/>
            </w:pPr>
            <w:r>
              <w:t xml:space="preserve">Migración desde Cloud</w:t>
            </w:r>
          </w:p>
        </w:tc>
        <w:tc>
          <w:tcPr/>
          <w:p>
            <w:pPr>
              <w:pStyle w:val="Compact"/>
            </w:pPr>
            <w:r>
              <w:t xml:space="preserve">No hay importación de historial. Nuevos inicios en Dapr; conclusión o reapertura desde el core</w:t>
            </w:r>
          </w:p>
        </w:tc>
      </w:tr>
      <w:tr>
        <w:tc>
          <w:tcPr/>
          <w:p>
            <w:pPr>
              <w:pStyle w:val="Compact"/>
            </w:pPr>
            <w:r>
              <w:t xml:space="preserve">Conexión dual</w:t>
            </w:r>
          </w:p>
        </w:tc>
        <w:tc>
          <w:tcPr/>
          <w:p>
            <w:pPr>
              <w:pStyle w:val="Compact"/>
            </w:pPr>
            <w:r>
              <w:t xml:space="preserve">No aplica. Dos implementaciones del proceso hasta el corte</w:t>
            </w:r>
          </w:p>
        </w:tc>
      </w:tr>
      <w:tr>
        <w:tc>
          <w:tcPr/>
          <w:p>
            <w:pPr>
              <w:pStyle w:val="Compact"/>
            </w:pPr>
            <w:r>
              <w:t xml:space="preserve">Riesgo de proveedor</w:t>
            </w:r>
          </w:p>
        </w:tc>
        <w:tc>
          <w:tcPr/>
          <w:p>
            <w:pPr>
              <w:pStyle w:val="Compact"/>
            </w:pPr>
            <w:r>
              <w:t xml:space="preserve">Microsoft / Azure. Aceptable para el Banco. El residual es la madurez de Dapr Workflows para volumen y duración de APOQ y NREM, y que PEVE opera sidecars y el state store</w:t>
            </w:r>
          </w:p>
        </w:tc>
      </w:tr>
      <w:tr>
        <w:tc>
          <w:tcPr/>
          <w:p>
            <w:pPr>
              <w:pStyle w:val="Compact"/>
            </w:pPr>
            <w:r>
              <w:t xml:space="preserve">Cuándo elegirla</w:t>
            </w:r>
          </w:p>
        </w:tc>
        <w:tc>
          <w:tcPr/>
          <w:p>
            <w:pPr>
              <w:pStyle w:val="Compact"/>
            </w:pPr>
            <w:r>
              <w:t xml:space="preserve">El Banco exige soporte Microsoft y quiere conservar el cómputo en AKS, con un modelo de programación del mismo tipo que Temporal</w:t>
            </w:r>
          </w:p>
        </w:tc>
      </w:tr>
    </w:tbl>
    <w:p>
      <w:pPr>
        <w:pStyle w:val="CaptionedFigure"/>
      </w:pPr>
      <w:r>
        <w:drawing>
          <wp:inline>
            <wp:extent cx="5334000" cy="1828800"/>
            <wp:effectExtent b="0" l="0" r="0" t="0"/>
            <wp:docPr descr="Dapr Workflows en AKS" title="" id="40" name="Picture"/>
            <a:graphic>
              <a:graphicData uri="http://schemas.openxmlformats.org/drawingml/2006/picture">
                <pic:pic>
                  <pic:nvPicPr>
                    <pic:cNvPr descr="assets/04-6-dapr-workflows.png" id="41" name="Picture"/>
                    <pic:cNvPicPr>
                      <a:picLocks noChangeArrowheads="1" noChangeAspect="1"/>
                    </pic:cNvPicPr>
                  </pic:nvPicPr>
                  <pic:blipFill>
                    <a:blip r:embed="rId39"/>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pPr>
      <w:r>
        <w:t xml:space="preserve">Dapr Workflows en AKS</w:t>
      </w:r>
    </w:p>
    <w:p>
      <w:pPr>
        <w:pStyle w:val="BodyText"/>
      </w:pPr>
      <w:r>
        <w:rPr>
          <w:i/>
          <w:color w:val="555555"/>
          <w:sz w:val="18"/>
        </w:rPr>
        <w:t xml:space="preserve">Fuente editable: assets/04-6-dapr-workflows.drawio.</w:t>
      </w:r>
    </w:p>
    <w:p>
      <w:pPr>
        <w:pStyle w:val="BodyText"/>
      </w:pPr>
      <w:r>
        <w:t xml:space="preserve">Durable Functions (opción 2) y Dapr Workflows (opción 3) no son dos motores distintos: son dos formas de hospedar el Durable Task Framework. La 2 deja el control plane en Microsoft (Durable Task Scheduler). La 3 lo deja en AKS junto a las aplicaciones. Se elige una de las dos, o ninguna.</w:t>
      </w:r>
    </w:p>
    <w:bookmarkEnd w:id="42"/>
    <w:bookmarkStart w:id="46" w:name="opción-4-restate"/>
    <w:p>
      <w:pPr>
        <w:pStyle w:val="Heading4"/>
      </w:pPr>
      <w:r>
        <w:t xml:space="preserve">Opción 4 — Restate</w:t>
      </w:r>
    </w:p>
    <w:p>
      <w:pPr>
        <w:pStyle w:val="FirstParagraph"/>
      </w:pPr>
      <w:r>
        <w:t xml:space="preserve">Restate es el destino más cercano a Temporal en modelo mental: ejecución durable en código, SDKs (Java, TypeScript, Go, Python, Kotlin), invocaciones idempotentes, timers y comunicación durable. Se puede autoalojar en AKS o contratar Restate Cloud con plan Enterprise (SLA negociado, soporte P0).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Propuesta</w:t>
            </w:r>
          </w:p>
        </w:tc>
      </w:tr>
      <w:tr>
        <w:tc>
          <w:tcPr/>
          <w:p>
            <w:pPr>
              <w:pStyle w:val="Compact"/>
            </w:pPr>
            <w:r>
              <w:t xml:space="preserve">Producto</w:t>
            </w:r>
          </w:p>
        </w:tc>
        <w:tc>
          <w:tcPr/>
          <w:p>
            <w:pPr>
              <w:pStyle w:val="Compact"/>
            </w:pPr>
            <w:r>
              <w:t xml:space="preserve">Restate Server (binario en AKS, operador Kubernetes) o Restate Cloud Enterprise. Preferible Self-Managed en AKS si el criterio es no repetir un SaaS único</w:t>
            </w:r>
          </w:p>
        </w:tc>
      </w:tr>
      <w:tr>
        <w:tc>
          <w:tcPr/>
          <w:p>
            <w:pPr>
              <w:pStyle w:val="Compact"/>
            </w:pPr>
            <w:r>
              <w:t xml:space="preserve">Proveedor de soporte</w:t>
            </w:r>
          </w:p>
        </w:tc>
        <w:tc>
          <w:tcPr/>
          <w:p>
            <w:pPr>
              <w:pStyle w:val="Compact"/>
            </w:pPr>
            <w:r>
              <w:t xml:space="preserve">Restate (plan Enterprise) si se contrata Cloud o soporte sobre el binario. Si solo se autoaloja el OSS, el soporte vuelve a PEVE</w:t>
            </w:r>
          </w:p>
        </w:tc>
      </w:tr>
      <w:tr>
        <w:tc>
          <w:tcPr/>
          <w:p>
            <w:pPr>
              <w:pStyle w:val="Compact"/>
            </w:pPr>
            <w:r>
              <w:t xml:space="preserve">Fortaleza</w:t>
            </w:r>
          </w:p>
        </w:tc>
        <w:tc>
          <w:tcPr/>
          <w:p>
            <w:pPr>
              <w:pStyle w:val="Compact"/>
            </w:pPr>
            <w:r>
              <w:t xml:space="preserve">Misma categoría que Temporal, con menos piezas que un clúster Temporal (servidor + log). SDKs cercanos al estilo actual. Autoalojable en Azure. Enterprise ofrece SLA y canal de soporte</w:t>
            </w:r>
          </w:p>
        </w:tc>
      </w:tr>
      <w:tr>
        <w:tc>
          <w:tcPr/>
          <w:p>
            <w:pPr>
              <w:pStyle w:val="Compact"/>
            </w:pPr>
            <w:r>
              <w:t xml:space="preserve">Debilidad</w:t>
            </w:r>
          </w:p>
        </w:tc>
        <w:tc>
          <w:tcPr/>
          <w:p>
            <w:pPr>
              <w:pStyle w:val="Compact"/>
            </w:pPr>
            <w:r>
              <w:t xml:space="preserve">Reescritura de SDK Temporal. Compañía más joven que Temporal Technologies Inc. y que Microsoft. Restate Cloud</w:t>
            </w:r>
            <w:r>
              <w:t xml:space="preserve"> </w:t>
            </w:r>
            <w:r>
              <w:rPr>
                <w:b/>
                <w:bCs/>
              </w:rPr>
              <w:t xml:space="preserve">repite concentración</w:t>
            </w:r>
            <w:r>
              <w:t xml:space="preserve"> </w:t>
            </w:r>
            <w:r>
              <w:t xml:space="preserve">de control plane en un proveedor de orquestación. El OSS sin contrato Enterprise deja al Banco otra vez sin soporte de proveedor</w:t>
            </w:r>
          </w:p>
        </w:tc>
      </w:tr>
      <w:tr>
        <w:tc>
          <w:tcPr/>
          <w:p>
            <w:pPr>
              <w:pStyle w:val="Compact"/>
            </w:pPr>
            <w:r>
              <w:t xml:space="preserve">Migración desde Cloud</w:t>
            </w:r>
          </w:p>
        </w:tc>
        <w:tc>
          <w:tcPr/>
          <w:p>
            <w:pPr>
              <w:pStyle w:val="Compact"/>
            </w:pPr>
            <w:r>
              <w:t xml:space="preserve">No hay importación de historial. Nuevos inicios en Restate; conclusión o reapertura desde el core</w:t>
            </w:r>
          </w:p>
        </w:tc>
      </w:tr>
      <w:tr>
        <w:tc>
          <w:tcPr/>
          <w:p>
            <w:pPr>
              <w:pStyle w:val="Compact"/>
            </w:pPr>
            <w:r>
              <w:t xml:space="preserve">Conexión dual</w:t>
            </w:r>
          </w:p>
        </w:tc>
        <w:tc>
          <w:tcPr/>
          <w:p>
            <w:pPr>
              <w:pStyle w:val="Compact"/>
            </w:pPr>
            <w:r>
              <w:t xml:space="preserve">No aplica. Dos implementaciones del proceso hasta el corte</w:t>
            </w:r>
          </w:p>
        </w:tc>
      </w:tr>
      <w:tr>
        <w:tc>
          <w:tcPr/>
          <w:p>
            <w:pPr>
              <w:pStyle w:val="Compact"/>
            </w:pPr>
            <w:r>
              <w:t xml:space="preserve">Riesgo de proveedor</w:t>
            </w:r>
          </w:p>
        </w:tc>
        <w:tc>
          <w:tcPr/>
          <w:p>
            <w:pPr>
              <w:pStyle w:val="Compact"/>
            </w:pPr>
            <w:r>
              <w:t xml:space="preserve">Restate Cloud: continuidad de un proveedor más pequeño que Temporal. Self-Managed + Enterprise: el residual es la vigencia del contrato de soporte. Self-Managed sin Enterprise: mismo residual que Temporal OSS</w:t>
            </w:r>
          </w:p>
        </w:tc>
      </w:tr>
      <w:tr>
        <w:tc>
          <w:tcPr/>
          <w:p>
            <w:pPr>
              <w:pStyle w:val="Compact"/>
            </w:pPr>
            <w:r>
              <w:t xml:space="preserve">Cuándo elegirla</w:t>
            </w:r>
          </w:p>
        </w:tc>
        <w:tc>
          <w:tcPr/>
          <w:p>
            <w:pPr>
              <w:pStyle w:val="Compact"/>
            </w:pPr>
            <w:r>
              <w:t xml:space="preserve">El Banco quiere un motor de ejecución durable en código, distinto de Temporal y de Durable Task, y acepta contratar Restate Enterprise o autoalojarlo en AKS</w:t>
            </w:r>
          </w:p>
        </w:tc>
      </w:tr>
    </w:tbl>
    <w:p>
      <w:pPr>
        <w:pStyle w:val="CaptionedFigure"/>
      </w:pPr>
      <w:r>
        <w:drawing>
          <wp:inline>
            <wp:extent cx="5334000" cy="1828800"/>
            <wp:effectExtent b="0" l="0" r="0" t="0"/>
            <wp:docPr descr="Restate Self-Managed o Cloud Enterprise" title="" id="44" name="Picture"/>
            <a:graphic>
              <a:graphicData uri="http://schemas.openxmlformats.org/drawingml/2006/picture">
                <pic:pic>
                  <pic:nvPicPr>
                    <pic:cNvPr descr="assets/04-6-restate.png" id="45" name="Picture"/>
                    <pic:cNvPicPr>
                      <a:picLocks noChangeArrowheads="1" noChangeAspect="1"/>
                    </pic:cNvPicPr>
                  </pic:nvPicPr>
                  <pic:blipFill>
                    <a:blip r:embed="rId43"/>
                    <a:stretch>
                      <a:fillRect/>
                    </a:stretch>
                  </pic:blipFill>
                  <pic:spPr bwMode="auto">
                    <a:xfrm>
                      <a:off x="0" y="0"/>
                      <a:ext cx="5334000" cy="1828800"/>
                    </a:xfrm>
                    <a:prstGeom prst="rect">
                      <a:avLst/>
                    </a:prstGeom>
                    <a:noFill/>
                    <a:ln w="9525">
                      <a:noFill/>
                      <a:headEnd/>
                      <a:tailEnd/>
                    </a:ln>
                  </pic:spPr>
                </pic:pic>
              </a:graphicData>
            </a:graphic>
          </wp:inline>
        </w:drawing>
      </w:r>
    </w:p>
    <w:p>
      <w:pPr>
        <w:pStyle w:val="ImageCaption"/>
      </w:pPr>
      <w:r>
        <w:t xml:space="preserve">Restate Self-Managed o Cloud Enterprise</w:t>
      </w:r>
    </w:p>
    <w:p>
      <w:pPr>
        <w:pStyle w:val="BodyText"/>
      </w:pPr>
      <w:r>
        <w:rPr>
          <w:i/>
          <w:color w:val="555555"/>
          <w:sz w:val="18"/>
        </w:rPr>
        <w:t xml:space="preserve">Fuente editable: assets/04-6-restate.drawio.</w:t>
      </w:r>
    </w:p>
    <w:bookmarkEnd w:id="46"/>
    <w:bookmarkStart w:id="47" w:name="comparación"/>
    <w:p>
      <w:pPr>
        <w:pStyle w:val="Heading4"/>
      </w:pPr>
      <w:r>
        <w:t xml:space="preserve">Comparación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Opción 1: Self-Hosted</w:t>
            </w:r>
          </w:p>
        </w:tc>
        <w:tc>
          <w:tcPr/>
          <w:p>
            <w:pPr>
              <w:pStyle w:val="Compact"/>
            </w:pPr>
            <w:r>
              <w:t xml:space="preserve">Opción 2: Durable Functions</w:t>
            </w:r>
          </w:p>
        </w:tc>
        <w:tc>
          <w:tcPr/>
          <w:p>
            <w:pPr>
              <w:pStyle w:val="Compact"/>
            </w:pPr>
            <w:r>
              <w:t xml:space="preserve">Opción 3: Dapr Workflows</w:t>
            </w:r>
          </w:p>
        </w:tc>
        <w:tc>
          <w:tcPr/>
          <w:p>
            <w:pPr>
              <w:pStyle w:val="Compact"/>
            </w:pPr>
            <w:r>
              <w:t xml:space="preserve">Opción 4: Restate</w:t>
            </w:r>
          </w:p>
        </w:tc>
      </w:tr>
      <w:tr>
        <w:tc>
          <w:tcPr/>
          <w:p>
            <w:pPr>
              <w:pStyle w:val="Compact"/>
            </w:pPr>
            <w:r>
              <w:t xml:space="preserve">Categoría</w:t>
            </w:r>
          </w:p>
        </w:tc>
        <w:tc>
          <w:tcPr/>
          <w:p>
            <w:pPr>
              <w:pStyle w:val="Compact"/>
            </w:pPr>
            <w:r>
              <w:t xml:space="preserve">Ejecución durable en código</w:t>
            </w:r>
          </w:p>
        </w:tc>
        <w:tc>
          <w:tcPr/>
          <w:p>
            <w:pPr>
              <w:pStyle w:val="Compact"/>
            </w:pPr>
            <w:r>
              <w:t xml:space="preserve">Ejecución durable en código (Durable Task)</w:t>
            </w:r>
          </w:p>
        </w:tc>
        <w:tc>
          <w:tcPr/>
          <w:p>
            <w:pPr>
              <w:pStyle w:val="Compact"/>
            </w:pPr>
            <w:r>
              <w:t xml:space="preserve">Ejecución durable en código (Durable Task)</w:t>
            </w:r>
          </w:p>
        </w:tc>
        <w:tc>
          <w:tcPr/>
          <w:p>
            <w:pPr>
              <w:pStyle w:val="Compact"/>
            </w:pPr>
            <w:r>
              <w:t xml:space="preserve">Ejecución durable en código</w:t>
            </w:r>
          </w:p>
        </w:tc>
      </w:tr>
      <w:tr>
        <w:tc>
          <w:tcPr/>
          <w:p>
            <w:pPr>
              <w:pStyle w:val="Compact"/>
            </w:pPr>
            <w:r>
              <w:t xml:space="preserve">Soporte de proveedor para críticos</w:t>
            </w:r>
          </w:p>
        </w:tc>
        <w:tc>
          <w:tcPr/>
          <w:p>
            <w:pPr>
              <w:pStyle w:val="Compact"/>
            </w:pPr>
            <w:r>
              <w:t xml:space="preserve">No. PEVE opera el OSS</w:t>
            </w:r>
          </w:p>
        </w:tc>
        <w:tc>
          <w:tcPr/>
          <w:p>
            <w:pPr>
              <w:pStyle w:val="Compact"/>
            </w:pPr>
            <w:r>
              <w:t xml:space="preserve">Sí. Microsoft / contrato Azure</w:t>
            </w:r>
          </w:p>
        </w:tc>
        <w:tc>
          <w:tcPr/>
          <w:p>
            <w:pPr>
              <w:pStyle w:val="Compact"/>
            </w:pPr>
            <w:r>
              <w:t xml:space="preserve">Sí. Microsoft sobre AKS / extensión Dapr</w:t>
            </w:r>
          </w:p>
        </w:tc>
        <w:tc>
          <w:tcPr/>
          <w:p>
            <w:pPr>
              <w:pStyle w:val="Compact"/>
            </w:pPr>
            <w:r>
              <w:t xml:space="preserve">Sí, si hay contrato Enterprise. No, si solo OSS</w:t>
            </w:r>
          </w:p>
        </w:tc>
      </w:tr>
      <w:tr>
        <w:tc>
          <w:tcPr/>
          <w:p>
            <w:pPr>
              <w:pStyle w:val="Compact"/>
            </w:pPr>
            <w:r>
              <w:t xml:space="preserve">Reescritura de APOQ / NREM</w:t>
            </w:r>
          </w:p>
        </w:tc>
        <w:tc>
          <w:tcPr/>
          <w:p>
            <w:pPr>
              <w:pStyle w:val="Compact"/>
            </w:pPr>
            <w:r>
              <w:t xml:space="preserve">Mínima (endpoint, identidad, receta)</w:t>
            </w:r>
          </w:p>
        </w:tc>
        <w:tc>
          <w:tcPr/>
          <w:p>
            <w:pPr>
              <w:pStyle w:val="Compact"/>
            </w:pPr>
            <w:r>
              <w:t xml:space="preserve">Completa</w:t>
            </w:r>
          </w:p>
        </w:tc>
        <w:tc>
          <w:tcPr/>
          <w:p>
            <w:pPr>
              <w:pStyle w:val="Compact"/>
            </w:pPr>
            <w:r>
              <w:t xml:space="preserve">Completa (SDK Dapr; workers en AKS)</w:t>
            </w:r>
          </w:p>
        </w:tc>
        <w:tc>
          <w:tcPr/>
          <w:p>
            <w:pPr>
              <w:pStyle w:val="Compact"/>
            </w:pPr>
            <w:r>
              <w:t xml:space="preserve">Completa (SDK Restate; handlers en AKS)</w:t>
            </w:r>
          </w:p>
        </w:tc>
      </w:tr>
      <w:tr>
        <w:tc>
          <w:tcPr/>
          <w:p>
            <w:pPr>
              <w:pStyle w:val="Compact"/>
            </w:pPr>
            <w:r>
              <w:t xml:space="preserve">Conexión dual con Cloud</w:t>
            </w:r>
          </w:p>
        </w:tc>
        <w:tc>
          <w:tcPr/>
          <w:p>
            <w:pPr>
              <w:pStyle w:val="Compact"/>
            </w:pPr>
            <w:r>
              <w:t xml:space="preserve">Sí</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Tiempo hasta fase 0 operativa</w:t>
            </w:r>
          </w:p>
        </w:tc>
        <w:tc>
          <w:tcPr/>
          <w:p>
            <w:pPr>
              <w:pStyle w:val="Compact"/>
            </w:pPr>
            <w:r>
              <w:t xml:space="preserve">Referencial de la sección 14</w:t>
            </w:r>
          </w:p>
        </w:tc>
        <w:tc>
          <w:tcPr/>
          <w:p>
            <w:pPr>
              <w:pStyle w:val="Compact"/>
            </w:pPr>
            <w:r>
              <w:t xml:space="preserve">Mayor: nuevo modelo + Functions o DTS</w:t>
            </w:r>
          </w:p>
        </w:tc>
        <w:tc>
          <w:tcPr/>
          <w:p>
            <w:pPr>
              <w:pStyle w:val="Compact"/>
            </w:pPr>
            <w:r>
              <w:t xml:space="preserve">Mayor: sidecar, state store y pruebas de dominio</w:t>
            </w:r>
          </w:p>
        </w:tc>
        <w:tc>
          <w:tcPr/>
          <w:p>
            <w:pPr>
              <w:pStyle w:val="Compact"/>
            </w:pPr>
            <w:r>
              <w:t xml:space="preserve">Mayor: nuevo SDK + servidor o Cloud</w:t>
            </w:r>
          </w:p>
        </w:tc>
      </w:tr>
      <w:tr>
        <w:tc>
          <w:tcPr/>
          <w:p>
            <w:pPr>
              <w:pStyle w:val="Compact"/>
            </w:pPr>
            <w:r>
              <w:t xml:space="preserve">Residencia / Azure</w:t>
            </w:r>
          </w:p>
        </w:tc>
        <w:tc>
          <w:tcPr/>
          <w:p>
            <w:pPr>
              <w:pStyle w:val="Compact"/>
            </w:pPr>
            <w:r>
              <w:t xml:space="preserve">AKS y PostgreSQL del Banco</w:t>
            </w:r>
          </w:p>
        </w:tc>
        <w:tc>
          <w:tcPr/>
          <w:p>
            <w:pPr>
              <w:pStyle w:val="Compact"/>
            </w:pPr>
            <w:r>
              <w:t xml:space="preserve">Nativo Azure</w:t>
            </w:r>
          </w:p>
        </w:tc>
        <w:tc>
          <w:tcPr/>
          <w:p>
            <w:pPr>
              <w:pStyle w:val="Compact"/>
            </w:pPr>
            <w:r>
              <w:t xml:space="preserve">AKS y PostgreSQL (no Cosmos DB)</w:t>
            </w:r>
          </w:p>
        </w:tc>
        <w:tc>
          <w:tcPr/>
          <w:p>
            <w:pPr>
              <w:pStyle w:val="Compact"/>
            </w:pPr>
            <w:r>
              <w:t xml:space="preserve">AKS (Self-Managed) o Restate Cloud</w:t>
            </w:r>
          </w:p>
        </w:tc>
      </w:tr>
      <w:tr>
        <w:tc>
          <w:tcPr/>
          <w:p>
            <w:pPr>
              <w:pStyle w:val="Compact"/>
            </w:pPr>
            <w:r>
              <w:t xml:space="preserve">Riesgo que se trata</w:t>
            </w:r>
          </w:p>
        </w:tc>
        <w:tc>
          <w:tcPr/>
          <w:p>
            <w:pPr>
              <w:pStyle w:val="Compact"/>
            </w:pPr>
            <w:r>
              <w:t xml:space="preserve">Cese de Temporal Cloud, sin cambiar de motor</w:t>
            </w:r>
          </w:p>
        </w:tc>
        <w:tc>
          <w:tcPr/>
          <w:p>
            <w:pPr>
              <w:pStyle w:val="Compact"/>
            </w:pPr>
            <w:r>
              <w:t xml:space="preserve">Cese de Temporal Cloud y ausencia de soporte OSS</w:t>
            </w:r>
          </w:p>
        </w:tc>
        <w:tc>
          <w:tcPr/>
          <w:p>
            <w:pPr>
              <w:pStyle w:val="Compact"/>
            </w:pPr>
            <w:r>
              <w:t xml:space="preserve">Igual, conservando cómputo en AKS</w:t>
            </w:r>
          </w:p>
        </w:tc>
        <w:tc>
          <w:tcPr/>
          <w:p>
            <w:pPr>
              <w:pStyle w:val="Compact"/>
            </w:pPr>
            <w:r>
              <w:t xml:space="preserve">Cese de Temporal Cloud, con otro motor durable</w:t>
            </w:r>
          </w:p>
        </w:tc>
      </w:tr>
      <w:tr>
        <w:tc>
          <w:tcPr/>
          <w:p>
            <w:pPr>
              <w:pStyle w:val="Compact"/>
            </w:pPr>
            <w:r>
              <w:t xml:space="preserve">Quién opera el control plane</w:t>
            </w:r>
          </w:p>
        </w:tc>
        <w:tc>
          <w:tcPr/>
          <w:p>
            <w:pPr>
              <w:pStyle w:val="Compact"/>
            </w:pPr>
            <w:r>
              <w:t xml:space="preserve">PEVE</w:t>
            </w:r>
          </w:p>
        </w:tc>
        <w:tc>
          <w:tcPr/>
          <w:p>
            <w:pPr>
              <w:pStyle w:val="Compact"/>
            </w:pPr>
            <w:r>
              <w:t xml:space="preserve">Microsoft (Scheduler) o PEVE (MSSQL)</w:t>
            </w:r>
          </w:p>
        </w:tc>
        <w:tc>
          <w:tcPr/>
          <w:p>
            <w:pPr>
              <w:pStyle w:val="Compact"/>
            </w:pPr>
            <w:r>
              <w:t xml:space="preserve">PEVE (sidecars + state store), con soporte Azure</w:t>
            </w:r>
          </w:p>
        </w:tc>
        <w:tc>
          <w:tcPr/>
          <w:p>
            <w:pPr>
              <w:pStyle w:val="Compact"/>
            </w:pPr>
            <w:r>
              <w:t xml:space="preserve">PEVE (AKS) o Restate (Cloud)</w:t>
            </w:r>
          </w:p>
        </w:tc>
      </w:tr>
    </w:tbl>
    <w:bookmarkEnd w:id="47"/>
    <w:bookmarkStart w:id="48" w:name="decisión-que-se-pide-sobre-alternativas"/>
    <w:p>
      <w:pPr>
        <w:pStyle w:val="Heading4"/>
      </w:pPr>
      <w:r>
        <w:t xml:space="preserve">Decisión que se pide sobre alternativas</w:t>
      </w:r>
    </w:p>
    <w:p>
      <w:pPr>
        <w:pStyle w:val="FirstParagraph"/>
      </w:pPr>
      <w:r>
        <w:t xml:space="preserve">El paso 0.0 elige uno de los cuatro destinos evaluados con acta formal. No hay destino predeterminado.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Pedido</w:t>
            </w:r>
          </w:p>
        </w:tc>
        <w:tc>
          <w:tcPr/>
          <w:p>
            <w:pPr>
              <w:pStyle w:val="Compact"/>
            </w:pPr>
            <w:r>
              <w:t xml:space="preserve">Efecto</w:t>
            </w:r>
          </w:p>
        </w:tc>
      </w:tr>
      <w:tr>
        <w:tc>
          <w:tcPr/>
          <w:p>
            <w:pPr>
              <w:pStyle w:val="Compact"/>
            </w:pPr>
            <w:r>
              <w:t xml:space="preserve">Elegir Self-Hosted (opción 1)</w:t>
            </w:r>
          </w:p>
        </w:tc>
        <w:tc>
          <w:tcPr/>
          <w:p>
            <w:pPr>
              <w:pStyle w:val="Compact"/>
            </w:pPr>
            <w:r>
              <w:t xml:space="preserve">Se ejecuta la sección 14 con Anexo B. El residual es operar el motor sin soporte de Temporal Technologies Inc. Conexión dual aplicable</w:t>
            </w:r>
          </w:p>
        </w:tc>
      </w:tr>
      <w:tr>
        <w:tc>
          <w:tcPr/>
          <w:p>
            <w:pPr>
              <w:pStyle w:val="Compact"/>
            </w:pPr>
            <w:r>
              <w:t xml:space="preserve">Elegir Durable Functions (opción 2)</w:t>
            </w:r>
          </w:p>
        </w:tc>
        <w:tc>
          <w:tcPr/>
          <w:p>
            <w:pPr>
              <w:pStyle w:val="Compact"/>
            </w:pPr>
            <w:r>
              <w:t xml:space="preserve">Arquitectura emite un patrón Azure. APOQ y NREM reescriben. No hay conexión dual. Compras usa el contrato Microsoft. Anexo B.4</w:t>
            </w:r>
          </w:p>
        </w:tc>
      </w:tr>
      <w:tr>
        <w:tc>
          <w:tcPr/>
          <w:p>
            <w:pPr>
              <w:pStyle w:val="Compact"/>
            </w:pPr>
            <w:r>
              <w:t xml:space="preserve">Elegir Dapr Workflows (opción 3)</w:t>
            </w:r>
          </w:p>
        </w:tc>
        <w:tc>
          <w:tcPr/>
          <w:p>
            <w:pPr>
              <w:pStyle w:val="Compact"/>
            </w:pPr>
            <w:r>
              <w:t xml:space="preserve">Arquitectura emite el patrón Dapr en AKS. State store PostgreSQL. APOQ y NREM reescriben al SDK Dapr. No hay conexión dual. Anexo B.4</w:t>
            </w:r>
          </w:p>
        </w:tc>
      </w:tr>
      <w:tr>
        <w:tc>
          <w:tcPr/>
          <w:p>
            <w:pPr>
              <w:pStyle w:val="Compact"/>
            </w:pPr>
            <w:r>
              <w:t xml:space="preserve">Elegir Restate (opción 4)</w:t>
            </w:r>
          </w:p>
        </w:tc>
        <w:tc>
          <w:tcPr/>
          <w:p>
            <w:pPr>
              <w:pStyle w:val="Compact"/>
            </w:pPr>
            <w:r>
              <w:t xml:space="preserve">Arquitectura emite el patrón Restate (AKS o Cloud). Compras el contrato Enterprise si se exige soporte de proveedor. APOQ y NREM reescriben al SDK Restate. Anexo B.4</w:t>
            </w:r>
          </w:p>
        </w:tc>
      </w:tr>
    </w:tbl>
    <w:p>
      <w:pPr>
        <w:pStyle w:val="BodyText"/>
      </w:pPr>
      <w:r>
        <w:t xml:space="preserve">El destino se aprueba</w:t>
      </w:r>
      <w:r>
        <w:t xml:space="preserve"> </w:t>
      </w:r>
      <w:r>
        <w:rPr>
          <w:b/>
          <w:bCs/>
        </w:rPr>
        <w:t xml:space="preserve">antes</w:t>
      </w:r>
      <w:r>
        <w:t xml:space="preserve"> </w:t>
      </w:r>
      <w:r>
        <w:t xml:space="preserve">del paso 0.2. La receta de conexión dual (0.4, 0.5) aplica solo si 0.0 elige la opción 1. Las opciones 2, 3 y 4 siguen la ruta de reescritura del Anexo B.4.</w:t>
      </w:r>
    </w:p>
    <w:p>
      <w:r>
        <w:pict>
          <v:rect style="width:0;height:1.5pt" o:hralign="center" o:hrstd="t" o:hr="t"/>
        </w:pict>
      </w:r>
    </w:p>
    <w:bookmarkEnd w:id="48"/>
    <w:bookmarkEnd w:id="49"/>
    <w:bookmarkEnd w:id="50"/>
    <w:bookmarkStart w:id="51" w:name="análisis-de-impacto"/>
    <w:p>
      <w:pPr>
        <w:pStyle w:val="Heading2"/>
      </w:pPr>
      <w:r>
        <w:t xml:space="preserve">05. Análisis de impacto</w:t>
      </w:r>
    </w:p>
    <w:p>
      <w:pPr>
        <w:pStyle w:val="FirstParagraph"/>
      </w:pPr>
      <w:r>
        <w:t xml:space="preserve">El impacto de cliente se concentra en APOQ y NREM. El resto de aplicaciones no debe entrar a producción sobre Temporal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Aplicación</w:t>
            </w:r>
          </w:p>
        </w:tc>
        <w:tc>
          <w:tcPr/>
          <w:p>
            <w:pPr>
              <w:pStyle w:val="Compact"/>
            </w:pPr>
            <w:r>
              <w:t xml:space="preserve">Proceso</w:t>
            </w:r>
          </w:p>
        </w:tc>
        <w:tc>
          <w:tcPr/>
          <w:p>
            <w:pPr>
              <w:pStyle w:val="Compact"/>
            </w:pPr>
            <w:r>
              <w:t xml:space="preserve">Impacto si Cloud cesa sin plataforma alternativa</w:t>
            </w:r>
          </w:p>
        </w:tc>
        <w:tc>
          <w:tcPr/>
          <w:p>
            <w:pPr>
              <w:pStyle w:val="Compact"/>
            </w:pPr>
            <w:r>
              <w:t xml:space="preserve">Control</w:t>
            </w:r>
          </w:p>
        </w:tc>
      </w:tr>
      <w:tr>
        <w:tc>
          <w:tcPr/>
          <w:p>
            <w:pPr>
              <w:pStyle w:val="Compact"/>
            </w:pPr>
            <w:r>
              <w:t xml:space="preserve">APOQ</w:t>
            </w:r>
          </w:p>
        </w:tc>
        <w:tc>
          <w:tcPr/>
          <w:p>
            <w:pPr>
              <w:pStyle w:val="Compact"/>
            </w:pPr>
            <w:r>
              <w:t xml:space="preserve">Transferencias entre cuentas</w:t>
            </w:r>
          </w:p>
        </w:tc>
        <w:tc>
          <w:tcPr/>
          <w:p>
            <w:pPr>
              <w:pStyle w:val="Compact"/>
            </w:pPr>
            <w:r>
              <w:t xml:space="preserve">Workflows de débito, crédito o compensación a medias; riesgo de duplicar o perder un lado de la operación</w:t>
            </w:r>
          </w:p>
        </w:tc>
        <w:tc>
          <w:tcPr/>
          <w:p>
            <w:pPr>
              <w:pStyle w:val="Compact"/>
            </w:pPr>
            <w:r>
              <w:t xml:space="preserve">Indicador de destino (conexión dual solo si Self-Hosted), idempotencia, conciliación, reversa y, en modo estresado, reapertura desde el estado de negocio</w:t>
            </w:r>
          </w:p>
        </w:tc>
      </w:tr>
      <w:tr>
        <w:tc>
          <w:tcPr/>
          <w:p>
            <w:pPr>
              <w:pStyle w:val="Compact"/>
            </w:pPr>
            <w:r>
              <w:t xml:space="preserve">NREM</w:t>
            </w:r>
          </w:p>
        </w:tc>
        <w:tc>
          <w:tcPr/>
          <w:p>
            <w:pPr>
              <w:pStyle w:val="Compact"/>
            </w:pPr>
            <w:r>
              <w:t xml:space="preserve">Remesas, emisión y recepción</w:t>
            </w:r>
          </w:p>
        </w:tc>
        <w:tc>
          <w:tcPr/>
          <w:p>
            <w:pPr>
              <w:pStyle w:val="Compact"/>
            </w:pPr>
            <w:r>
              <w:t xml:space="preserve">Remesas en curso sin orquestación; riesgo de doble emisión o pérdida de seguimiento</w:t>
            </w:r>
          </w:p>
        </w:tc>
        <w:tc>
          <w:tcPr/>
          <w:p>
            <w:pPr>
              <w:pStyle w:val="Compact"/>
            </w:pPr>
            <w:r>
              <w:t xml:space="preserve">Los mismos controles, con conciliación de remesas</w:t>
            </w:r>
          </w:p>
        </w:tc>
      </w:tr>
      <w:tr>
        <w:tc>
          <w:tcPr/>
          <w:p>
            <w:pPr>
              <w:pStyle w:val="Compact"/>
            </w:pPr>
            <w:r>
              <w:t xml:space="preserve">No productivas</w:t>
            </w:r>
          </w:p>
        </w:tc>
        <w:tc>
          <w:tcPr/>
          <w:p>
            <w:pPr>
              <w:pStyle w:val="Compact"/>
            </w:pPr>
            <w:r>
              <w:t xml:space="preserve">Autorizador, pagos, LBTR, core</w:t>
            </w:r>
          </w:p>
        </w:tc>
        <w:tc>
          <w:tcPr/>
          <w:p>
            <w:pPr>
              <w:pStyle w:val="Compact"/>
            </w:pPr>
            <w:r>
              <w:t xml:space="preserve">Sin impacto de cliente. Riesgo de nacer atadas a Cloud</w:t>
            </w:r>
          </w:p>
        </w:tc>
        <w:tc>
          <w:tcPr/>
          <w:p>
            <w:pPr>
              <w:pStyle w:val="Compact"/>
            </w:pPr>
            <w:r>
              <w:t xml:space="preserve">Migrar o congelar antes de producción</w:t>
            </w:r>
          </w:p>
        </w:tc>
      </w:tr>
    </w:tbl>
    <w:p>
      <w:pPr>
        <w:pStyle w:val="BodyText"/>
      </w:pPr>
      <w:r>
        <w:t xml:space="preserve">Cada aplicación debe mantener actualizados, con el PO, Continuidad y el equipo técnico, el tiempo máximo de recuperación aceptable, la pérdida máxima de información aceptable, la ventana operativa, el volumen típico de workflows, la duración (cortos o largos), los schedules, los efectos de negocio no reversibles y el dueño.</w:t>
      </w:r>
    </w:p>
    <w:p>
      <w:pPr>
        <w:pStyle w:val="BodyText"/>
      </w:pPr>
      <w:r>
        <w:t xml:space="preserve">En el seguimiento se estimarán la capacidad de la plataforma destino (no productiva y productiva), el esfuerzo de conexión dual o de reescritura por aplicación, la retención de historiales, la prueba anual de conmutación y el personal de PEVE, aplicación y seguridad. El calendario de una salida con cooperación del proveedor debe ser compatible con el plazo de preaviso contractual. El de liquidación no lo será; por ello la plataforma alternativa se prepara antes.</w:t>
      </w:r>
    </w:p>
    <w:p>
      <w:pPr>
        <w:pStyle w:val="BodyText"/>
      </w:pPr>
      <w:r>
        <w:t xml:space="preserve">APOQ y NREM no se bloquean entre sí. El avance a la fase siguiente es por aplicación, con evidencias propias.</w:t>
      </w:r>
    </w:p>
    <w:p>
      <w:r>
        <w:pict>
          <v:rect style="width:0;height:1.5pt" o:hralign="center" o:hrstd="t" o:hr="t"/>
        </w:pict>
      </w:r>
    </w:p>
    <w:bookmarkEnd w:id="51"/>
    <w:bookmarkStart w:id="53" w:name="disparadores"/>
    <w:p>
      <w:pPr>
        <w:pStyle w:val="Heading2"/>
      </w:pPr>
      <w:r>
        <w:t xml:space="preserve">06. Disparadores</w:t>
      </w:r>
    </w:p>
    <w:p>
      <w:pPr>
        <w:pStyle w:val="FirstParagraph"/>
      </w:pPr>
      <w:r>
        <w:t xml:space="preserve">La notificación formal del proveedor es un disparador, no el único. En un escenario de insolvencia, esperar únicamente el aviso puede reducir la ventana de actuación.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Señal</w:t>
            </w:r>
          </w:p>
        </w:tc>
        <w:tc>
          <w:tcPr/>
          <w:p>
            <w:pPr>
              <w:pStyle w:val="Compact"/>
            </w:pPr>
            <w:r>
              <w:t xml:space="preserve">Umbral</w:t>
            </w:r>
          </w:p>
        </w:tc>
        <w:tc>
          <w:tcPr/>
          <w:p>
            <w:pPr>
              <w:pStyle w:val="Compact"/>
            </w:pPr>
            <w:r>
              <w:t xml:space="preserve">Acción</w:t>
            </w:r>
          </w:p>
        </w:tc>
        <w:tc>
          <w:tcPr/>
          <w:p>
            <w:pPr>
              <w:pStyle w:val="Compact"/>
            </w:pPr>
            <w:r>
              <w:t xml:space="preserve">Quién declara</w:t>
            </w:r>
          </w:p>
        </w:tc>
      </w:tr>
      <w:tr>
        <w:tc>
          <w:tcPr/>
          <w:p>
            <w:pPr>
              <w:pStyle w:val="Compact"/>
            </w:pPr>
            <w:r>
              <w:t xml:space="preserve">Notificación formal de Temporal Technologies Inc.</w:t>
            </w:r>
          </w:p>
        </w:tc>
        <w:tc>
          <w:tcPr/>
          <w:p>
            <w:pPr>
              <w:pStyle w:val="Compact"/>
            </w:pPr>
            <w:r>
              <w:t xml:space="preserve">Insolvencia, liquidación, disolución, cese, terminación o imposibilidad material de seguir prestando Temporal Cloud</w:t>
            </w:r>
          </w:p>
        </w:tc>
        <w:tc>
          <w:tcPr/>
          <w:p>
            <w:pPr>
              <w:pStyle w:val="Compact"/>
            </w:pPr>
            <w:r>
              <w:t xml:space="preserve">Activación inmediata del plan</w:t>
            </w:r>
          </w:p>
        </w:tc>
        <w:tc>
          <w:tcPr/>
          <w:p>
            <w:pPr>
              <w:pStyle w:val="Compact"/>
            </w:pPr>
            <w:r>
              <w:t xml:space="preserve">Instancia aprobadora, con evidencia custodiada por Legal</w:t>
            </w:r>
          </w:p>
        </w:tc>
      </w:tr>
      <w:tr>
        <w:tc>
          <w:tcPr/>
          <w:p>
            <w:pPr>
              <w:pStyle w:val="Compact"/>
            </w:pPr>
            <w:r>
              <w:t xml:space="preserve">Comunicación contractual que anticipe la pérdida definitiva de capacidad</w:t>
            </w:r>
          </w:p>
        </w:tc>
        <w:tc>
          <w:tcPr/>
          <w:p>
            <w:pPr>
              <w:pStyle w:val="Compact"/>
            </w:pPr>
            <w:r>
              <w:t xml:space="preserve">Preaviso de cese, rechazo del contrato en concurso o impago de la infraestructura del proveedor</w:t>
            </w:r>
          </w:p>
        </w:tc>
        <w:tc>
          <w:tcPr/>
          <w:p>
            <w:pPr>
              <w:pStyle w:val="Compact"/>
            </w:pPr>
            <w:r>
              <w:t xml:space="preserve">Activación inmediata</w:t>
            </w:r>
          </w:p>
        </w:tc>
        <w:tc>
          <w:tcPr/>
          <w:p>
            <w:pPr>
              <w:pStyle w:val="Compact"/>
            </w:pPr>
            <w:r>
              <w:t xml:space="preserve">Legal / Compras e instancia aprobadora</w:t>
            </w:r>
          </w:p>
        </w:tc>
      </w:tr>
      <w:tr>
        <w:tc>
          <w:tcPr/>
          <w:p>
            <w:pPr>
              <w:pStyle w:val="Compact"/>
            </w:pPr>
            <w:r>
              <w:t xml:space="preserve">Duda sobre la continuidad del proveedor</w:t>
            </w:r>
          </w:p>
        </w:tc>
        <w:tc>
          <w:tcPr/>
          <w:p>
            <w:pPr>
              <w:pStyle w:val="Compact"/>
            </w:pPr>
            <w:r>
              <w:t xml:space="preserve">Duda sustancial de auditor, incumplimiento de obligaciones financieras o imposibilidad acreditada de operar Cloud</w:t>
            </w:r>
          </w:p>
        </w:tc>
        <w:tc>
          <w:tcPr/>
          <w:p>
            <w:pPr>
              <w:pStyle w:val="Compact"/>
            </w:pPr>
            <w:r>
              <w:t xml:space="preserve">Activación. Congelar nuevos usos de Cloud</w:t>
            </w:r>
          </w:p>
        </w:tc>
        <w:tc>
          <w:tcPr/>
          <w:p>
            <w:pPr>
              <w:pStyle w:val="Compact"/>
            </w:pPr>
            <w:r>
              <w:t xml:space="preserve">RNF, Legal e instancia aprobadora</w:t>
            </w:r>
          </w:p>
        </w:tc>
      </w:tr>
      <w:tr>
        <w:tc>
          <w:tcPr/>
          <w:p>
            <w:pPr>
              <w:pStyle w:val="Compact"/>
            </w:pPr>
            <w:r>
              <w:t xml:space="preserve">Liquidez</w:t>
            </w:r>
          </w:p>
        </w:tc>
        <w:tc>
          <w:tcPr/>
          <w:p>
            <w:pPr>
              <w:pStyle w:val="Compact"/>
            </w:pPr>
            <w:r>
              <w:t xml:space="preserve">Horizonte de caja reducido sin financiamiento comprometido, o ronda abortada con recorte operativo material</w:t>
            </w:r>
          </w:p>
        </w:tc>
        <w:tc>
          <w:tcPr/>
          <w:p>
            <w:pPr>
              <w:pStyle w:val="Compact"/>
            </w:pPr>
            <w:r>
              <w:t xml:space="preserve">Vigilancia formal. Piloto en un caso no crítico (conexión dual si Self-Hosted; flujo reescrito si opción 2, 3 o 4). Acelerar la plataforma destino</w:t>
            </w:r>
          </w:p>
        </w:tc>
        <w:tc>
          <w:tcPr/>
          <w:p>
            <w:pPr>
              <w:pStyle w:val="Compact"/>
            </w:pPr>
            <w:r>
              <w:t xml:space="preserve">RNF y PEVE</w:t>
            </w:r>
          </w:p>
        </w:tc>
      </w:tr>
      <w:tr>
        <w:tc>
          <w:tcPr/>
          <w:p>
            <w:pPr>
              <w:pStyle w:val="Compact"/>
            </w:pPr>
            <w:r>
              <w:t xml:space="preserve">Degradación persistente de Cloud</w:t>
            </w:r>
          </w:p>
        </w:tc>
        <w:tc>
          <w:tcPr/>
          <w:p>
            <w:pPr>
              <w:pStyle w:val="Compact"/>
            </w:pPr>
            <w:r>
              <w:t xml:space="preserve">Incidentes de prioridad alta reiterados o incumplimiento mensual del nivel de servicio atribuible al proveedor</w:t>
            </w:r>
          </w:p>
        </w:tc>
        <w:tc>
          <w:tcPr/>
          <w:p>
            <w:pPr>
              <w:pStyle w:val="Compact"/>
            </w:pPr>
            <w:r>
              <w:t xml:space="preserve">Tratar como cese material. Migrar las aplicaciones críticas</w:t>
            </w:r>
          </w:p>
        </w:tc>
        <w:tc>
          <w:tcPr/>
          <w:p>
            <w:pPr>
              <w:pStyle w:val="Compact"/>
            </w:pPr>
            <w:r>
              <w:t xml:space="preserve">PEVE, Continuidad e instancia aprobadora</w:t>
            </w:r>
          </w:p>
        </w:tc>
      </w:tr>
      <w:tr>
        <w:tc>
          <w:tcPr/>
          <w:p>
            <w:pPr>
              <w:pStyle w:val="Compact"/>
            </w:pPr>
            <w:r>
              <w:t xml:space="preserve">Cambio de control</w:t>
            </w:r>
          </w:p>
        </w:tc>
        <w:tc>
          <w:tcPr/>
          <w:p>
            <w:pPr>
              <w:pStyle w:val="Compact"/>
            </w:pPr>
            <w:r>
              <w:t xml:space="preserve">Fusión, venta o cambio de jurisdicción del proveedor o de sus datos</w:t>
            </w:r>
          </w:p>
        </w:tc>
        <w:tc>
          <w:tcPr/>
          <w:p>
            <w:pPr>
              <w:pStyle w:val="Compact"/>
            </w:pPr>
            <w:r>
              <w:t xml:space="preserve">Vigilancia. Misma ruta técnica si el comprador no es aceptable</w:t>
            </w:r>
          </w:p>
        </w:tc>
        <w:tc>
          <w:tcPr/>
          <w:p>
            <w:pPr>
              <w:pStyle w:val="Compact"/>
            </w:pPr>
            <w:r>
              <w:t xml:space="preserve">Legal, Arquitectura e instancia aprobadora</w:t>
            </w:r>
          </w:p>
        </w:tc>
      </w:tr>
    </w:tbl>
    <w:p>
      <w:pPr>
        <w:pStyle w:val="BodyText"/>
      </w:pPr>
      <w:r>
        <w:t xml:space="preserve">La</w:t>
      </w:r>
      <w:r>
        <w:t xml:space="preserve"> </w:t>
      </w:r>
      <w:r>
        <w:rPr>
          <w:b/>
          <w:bCs/>
        </w:rPr>
        <w:t xml:space="preserve">vigilancia</w:t>
      </w:r>
      <w:r>
        <w:t xml:space="preserve"> </w:t>
      </w:r>
      <w:r>
        <w:t xml:space="preserve">no es la activación: consiste en congelar nuevos usos productivos de Cloud, completar el inventario, ejercitar la receta en no productivo y tener el clúster listo. La</w:t>
      </w:r>
      <w:r>
        <w:t xml:space="preserve"> </w:t>
      </w:r>
      <w:r>
        <w:rPr>
          <w:b/>
          <w:bCs/>
        </w:rPr>
        <w:t xml:space="preserve">activación</w:t>
      </w:r>
      <w:r>
        <w:t xml:space="preserve"> </w:t>
      </w:r>
      <w:r>
        <w:t xml:space="preserve">abre el calendario de migración y el seguimiento ejecutivo.</w:t>
      </w:r>
    </w:p>
    <w:bookmarkStart w:id="52" w:name="acciones-inmediatas-al-activar"/>
    <w:p>
      <w:pPr>
        <w:pStyle w:val="Heading3"/>
      </w:pPr>
      <w:r>
        <w:t xml:space="preserve">Acciones inmediatas al activar</w:t>
      </w:r>
    </w:p>
    <w:p>
      <w:pPr>
        <w:pStyle w:val="Compact"/>
        <w:numPr>
          <w:ilvl w:val="0"/>
          <w:numId w:val="1005"/>
        </w:numPr>
      </w:pPr>
      <w:r>
        <w:t xml:space="preserve">Registrar y custodiar la comunicación o el expediente de continuidad del proveedor.</w:t>
      </w:r>
    </w:p>
    <w:p>
      <w:pPr>
        <w:pStyle w:val="Compact"/>
        <w:numPr>
          <w:ilvl w:val="0"/>
          <w:numId w:val="1005"/>
        </w:numPr>
      </w:pPr>
      <w:r>
        <w:t xml:space="preserve">Convocar a PEVE, aplicaciones, Arquitectura, Continuidad, RNF, Seguridad, Legal y Compras/Contratos.</w:t>
      </w:r>
    </w:p>
    <w:p>
      <w:pPr>
        <w:pStyle w:val="Compact"/>
        <w:numPr>
          <w:ilvl w:val="0"/>
          <w:numId w:val="1005"/>
        </w:numPr>
      </w:pPr>
      <w:r>
        <w:t xml:space="preserve">Confirmar si Temporal Cloud sigue disponible y cuál es la ventana residual. Puede ser nula.</w:t>
      </w:r>
    </w:p>
    <w:p>
      <w:pPr>
        <w:pStyle w:val="Compact"/>
        <w:numPr>
          <w:ilvl w:val="0"/>
          <w:numId w:val="1005"/>
        </w:numPr>
      </w:pPr>
      <w:r>
        <w:t xml:space="preserve">Congelar despliegues productivos nuevos sobre Temporal Cloud, salvo excepción aprobada.</w:t>
      </w:r>
    </w:p>
    <w:p>
      <w:pPr>
        <w:pStyle w:val="Compact"/>
        <w:numPr>
          <w:ilvl w:val="0"/>
          <w:numId w:val="1005"/>
        </w:numPr>
      </w:pPr>
      <w:r>
        <w:t xml:space="preserve">Actualizar el inventario de aplicaciones, workflows, namespaces, workers, datos de estado y accesos.</w:t>
      </w:r>
    </w:p>
    <w:p>
      <w:pPr>
        <w:pStyle w:val="Compact"/>
        <w:numPr>
          <w:ilvl w:val="0"/>
          <w:numId w:val="1005"/>
        </w:numPr>
      </w:pPr>
      <w:r>
        <w:t xml:space="preserve">Priorizar APOQ y NREM, y calendarizar el resto (migrar o congelar).</w:t>
      </w:r>
    </w:p>
    <w:p>
      <w:pPr>
        <w:pStyle w:val="Compact"/>
        <w:numPr>
          <w:ilvl w:val="0"/>
          <w:numId w:val="1005"/>
        </w:numPr>
      </w:pPr>
      <w:r>
        <w:t xml:space="preserve">Abrir el seguimiento ejecutivo, el control de riesgos y el paquete de evidencias.</w:t>
      </w:r>
    </w:p>
    <w:p>
      <w:pPr>
        <w:pStyle w:val="Compact"/>
        <w:numPr>
          <w:ilvl w:val="0"/>
          <w:numId w:val="1005"/>
        </w:numPr>
      </w:pPr>
      <w:r>
        <w:t xml:space="preserve">No eliminar configuraciones ni accesos de Cloud mientras exista estado por tratar y el servicio responda.</w:t>
      </w:r>
    </w:p>
    <w:p>
      <w:r>
        <w:pict>
          <v:rect style="width:0;height:1.5pt" o:hralign="center" o:hrstd="t" o:hr="t"/>
        </w:pict>
      </w:r>
    </w:p>
    <w:bookmarkEnd w:id="52"/>
    <w:bookmarkEnd w:id="53"/>
    <w:bookmarkStart w:id="54" w:name="gobierno-y-roles"/>
    <w:p>
      <w:pPr>
        <w:pStyle w:val="Heading2"/>
      </w:pPr>
      <w:r>
        <w:t xml:space="preserve">07. Gobierno y 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Responsabilidad</w:t>
            </w:r>
          </w:p>
        </w:tc>
        <w:tc>
          <w:tcPr/>
          <w:p>
            <w:pPr>
              <w:pStyle w:val="Compact"/>
            </w:pPr>
            <w:r>
              <w:t xml:space="preserve">Resultado</w:t>
            </w:r>
          </w:p>
        </w:tc>
      </w:tr>
      <w:tr>
        <w:tc>
          <w:tcPr/>
          <w:p>
            <w:pPr>
              <w:pStyle w:val="Compact"/>
            </w:pPr>
            <w:r>
              <w:t xml:space="preserve">Instancia aprobadora</w:t>
            </w:r>
          </w:p>
        </w:tc>
        <w:tc>
          <w:tcPr/>
          <w:p>
            <w:pPr>
              <w:pStyle w:val="Compact"/>
            </w:pPr>
            <w:r>
              <w:t xml:space="preserve">Autorizar destino (paso 0.0), vigilancia, activación, excepciones, producción y cierre</w:t>
            </w:r>
          </w:p>
        </w:tc>
        <w:tc>
          <w:tcPr/>
          <w:p>
            <w:pPr>
              <w:pStyle w:val="Compact"/>
            </w:pPr>
            <w:r>
              <w:t xml:space="preserve">Decisiones formalizadas</w:t>
            </w:r>
          </w:p>
        </w:tc>
      </w:tr>
      <w:tr>
        <w:tc>
          <w:tcPr/>
          <w:p>
            <w:pPr>
              <w:pStyle w:val="Compact"/>
            </w:pPr>
            <w:r>
              <w:t xml:space="preserve">PEVE</w:t>
            </w:r>
          </w:p>
        </w:tc>
        <w:tc>
          <w:tcPr/>
          <w:p>
            <w:pPr>
              <w:pStyle w:val="Compact"/>
            </w:pPr>
            <w:r>
              <w:t xml:space="preserve">Gobernar, priorizar, entregar la receta técnica, consolidar evidencias y mantener el plan</w:t>
            </w:r>
          </w:p>
        </w:tc>
        <w:tc>
          <w:tcPr/>
          <w:p>
            <w:pPr>
              <w:pStyle w:val="Compact"/>
            </w:pPr>
            <w:r>
              <w:t xml:space="preserve">Seguimiento único y cierre controlado</w:t>
            </w:r>
          </w:p>
        </w:tc>
      </w:tr>
      <w:tr>
        <w:tc>
          <w:tcPr/>
          <w:p>
            <w:pPr>
              <w:pStyle w:val="Compact"/>
            </w:pPr>
            <w:r>
              <w:t xml:space="preserve">Coordinación técnica</w:t>
            </w:r>
          </w:p>
        </w:tc>
        <w:tc>
          <w:tcPr/>
          <w:p>
            <w:pPr>
              <w:pStyle w:val="Compact"/>
            </w:pPr>
            <w:r>
              <w:t xml:space="preserve">Articular aplicaciones y frentes técnicos; gestionar bloqueos y avance</w:t>
            </w:r>
          </w:p>
        </w:tc>
        <w:tc>
          <w:tcPr/>
          <w:p>
            <w:pPr>
              <w:pStyle w:val="Compact"/>
            </w:pPr>
            <w:r>
              <w:t xml:space="preserve">Ejecución coordinada</w:t>
            </w:r>
          </w:p>
        </w:tc>
      </w:tr>
      <w:tr>
        <w:tc>
          <w:tcPr/>
          <w:p>
            <w:pPr>
              <w:pStyle w:val="Compact"/>
            </w:pPr>
            <w:r>
              <w:t xml:space="preserve">Equipos de aplicación</w:t>
            </w:r>
          </w:p>
        </w:tc>
        <w:tc>
          <w:tcPr/>
          <w:p>
            <w:pPr>
              <w:pStyle w:val="Compact"/>
            </w:pPr>
            <w:r>
              <w:t xml:space="preserve">Inventariar, configurar, migrar, probar, conciliar y evidenciar</w:t>
            </w:r>
          </w:p>
        </w:tc>
        <w:tc>
          <w:tcPr/>
          <w:p>
            <w:pPr>
              <w:pStyle w:val="Compact"/>
            </w:pPr>
            <w:r>
              <w:t xml:space="preserve">Aplicación estable en el destino aprobado</w:t>
            </w:r>
          </w:p>
        </w:tc>
      </w:tr>
      <w:tr>
        <w:tc>
          <w:tcPr/>
          <w:p>
            <w:pPr>
              <w:pStyle w:val="Compact"/>
            </w:pPr>
            <w:r>
              <w:t xml:space="preserve">PO / responsable funcional</w:t>
            </w:r>
          </w:p>
        </w:tc>
        <w:tc>
          <w:tcPr/>
          <w:p>
            <w:pPr>
              <w:pStyle w:val="Compact"/>
            </w:pPr>
            <w:r>
              <w:t xml:space="preserve">Validar impacto, continuidad, conciliación y aceptación</w:t>
            </w:r>
          </w:p>
        </w:tc>
        <w:tc>
          <w:tcPr/>
          <w:p>
            <w:pPr>
              <w:pStyle w:val="Compact"/>
            </w:pPr>
            <w:r>
              <w:t xml:space="preserve">Conformidad funcional</w:t>
            </w:r>
          </w:p>
        </w:tc>
      </w:tr>
      <w:tr>
        <w:tc>
          <w:tcPr/>
          <w:p>
            <w:pPr>
              <w:pStyle w:val="Compact"/>
            </w:pPr>
            <w:r>
              <w:t xml:space="preserve">Arquitectura</w:t>
            </w:r>
          </w:p>
        </w:tc>
        <w:tc>
          <w:tcPr/>
          <w:p>
            <w:pPr>
              <w:pStyle w:val="Compact"/>
            </w:pPr>
            <w:r>
              <w:t xml:space="preserve">Validar arquitectura objetivo y patrones técnicos</w:t>
            </w:r>
          </w:p>
        </w:tc>
        <w:tc>
          <w:tcPr/>
          <w:p>
            <w:pPr>
              <w:pStyle w:val="Compact"/>
            </w:pPr>
            <w:r>
              <w:t xml:space="preserve">Conformidad arquitectónica</w:t>
            </w:r>
          </w:p>
        </w:tc>
      </w:tr>
      <w:tr>
        <w:tc>
          <w:tcPr/>
          <w:p>
            <w:pPr>
              <w:pStyle w:val="Compact"/>
            </w:pPr>
            <w:r>
              <w:t xml:space="preserve">Seguridad / Ciberseguridad</w:t>
            </w:r>
          </w:p>
        </w:tc>
        <w:tc>
          <w:tcPr/>
          <w:p>
            <w:pPr>
              <w:pStyle w:val="Compact"/>
            </w:pPr>
            <w:r>
              <w:t xml:space="preserve">Validar accesos, red, certificados, cifrado, registro y cierre seguro</w:t>
            </w:r>
          </w:p>
        </w:tc>
        <w:tc>
          <w:tcPr/>
          <w:p>
            <w:pPr>
              <w:pStyle w:val="Compact"/>
            </w:pPr>
            <w:r>
              <w:t xml:space="preserve">Conformidad de seguridad</w:t>
            </w:r>
          </w:p>
        </w:tc>
      </w:tr>
      <w:tr>
        <w:tc>
          <w:tcPr/>
          <w:p>
            <w:pPr>
              <w:pStyle w:val="Compact"/>
            </w:pPr>
            <w:r>
              <w:t xml:space="preserve">Continuidad</w:t>
            </w:r>
          </w:p>
        </w:tc>
        <w:tc>
          <w:tcPr/>
          <w:p>
            <w:pPr>
              <w:pStyle w:val="Compact"/>
            </w:pPr>
            <w:r>
              <w:t xml:space="preserve">Validar tiempos de recuperación, pérdida de información y contingencia del modo estresado</w:t>
            </w:r>
          </w:p>
        </w:tc>
        <w:tc>
          <w:tcPr/>
          <w:p>
            <w:pPr>
              <w:pStyle w:val="Compact"/>
            </w:pPr>
            <w:r>
              <w:t xml:space="preserve">Criterios de continuidad aprobados</w:t>
            </w:r>
          </w:p>
        </w:tc>
      </w:tr>
      <w:tr>
        <w:tc>
          <w:tcPr/>
          <w:p>
            <w:pPr>
              <w:pStyle w:val="Compact"/>
            </w:pPr>
            <w:r>
              <w:t xml:space="preserve">RNF</w:t>
            </w:r>
          </w:p>
        </w:tc>
        <w:tc>
          <w:tcPr/>
          <w:p>
            <w:pPr>
              <w:pStyle w:val="Compact"/>
            </w:pPr>
            <w:r>
              <w:t xml:space="preserve">Validar tratamiento del riesgo y evidencias</w:t>
            </w:r>
          </w:p>
        </w:tc>
        <w:tc>
          <w:tcPr/>
          <w:p>
            <w:pPr>
              <w:pStyle w:val="Compact"/>
            </w:pPr>
            <w:r>
              <w:t xml:space="preserve">Riesgo tratado y trazable</w:t>
            </w:r>
          </w:p>
        </w:tc>
      </w:tr>
      <w:tr>
        <w:tc>
          <w:tcPr/>
          <w:p>
            <w:pPr>
              <w:pStyle w:val="Compact"/>
            </w:pPr>
            <w:r>
              <w:t xml:space="preserve">Legal / Compras</w:t>
            </w:r>
          </w:p>
        </w:tc>
        <w:tc>
          <w:tcPr/>
          <w:p>
            <w:pPr>
              <w:pStyle w:val="Compact"/>
            </w:pPr>
            <w:r>
              <w:t xml:space="preserve">Gestionar notificaciones, derechos de salida y terminación</w:t>
            </w:r>
          </w:p>
        </w:tc>
        <w:tc>
          <w:tcPr/>
          <w:p>
            <w:pPr>
              <w:pStyle w:val="Compact"/>
            </w:pPr>
            <w:r>
              <w:t xml:space="preserve">Cierre contractual sustentado</w:t>
            </w:r>
          </w:p>
        </w:tc>
      </w:tr>
    </w:tbl>
    <w:p>
      <w:pPr>
        <w:pStyle w:val="BodyText"/>
      </w:pPr>
      <w:r>
        <w:t xml:space="preserve">PEVE mantendrá un seguimiento único con avance por aplicación, ambiente, fase, riesgo, bloqueo, responsable y evidencia. Los bloqueos que comprometan continuidad, seguridad o la ventana de salida se elevan a la instancia aprobadora.</w:t>
      </w:r>
    </w:p>
    <w:p>
      <w:pPr>
        <w:pStyle w:val="BodyText"/>
      </w:pPr>
      <w:r>
        <w:t xml:space="preserve">El PO valida el impacto funcional y la continuidad del proceso. El equipo técnico identifica workflows, workers, dependencias y datos de estado, ejecuta la migración y conserva las evidencias. PEVE acompaña, estandariza la receta y consolida el seguimiento.</w:t>
      </w:r>
    </w:p>
    <w:p>
      <w:r>
        <w:pict>
          <v:rect style="width:0;height:1.5pt" o:hralign="center" o:hrstd="t" o:hr="t"/>
        </w:pict>
      </w:r>
    </w:p>
    <w:bookmarkEnd w:id="54"/>
    <w:bookmarkStart w:id="55" w:name="contrato-y-periodo-de-transición"/>
    <w:p>
      <w:pPr>
        <w:pStyle w:val="Heading2"/>
      </w:pPr>
      <w:r>
        <w:t xml:space="preserve">08. Contrato y periodo de transición</w:t>
      </w:r>
    </w:p>
    <w:p>
      <w:pPr>
        <w:pStyle w:val="FirstParagraph"/>
      </w:pPr>
      <w:r>
        <w:t xml:space="preserve">Legal y Compras gestionan las notificaciones, los derechos de salida y la terminación. Conservan las comunicaciones y la constancia de cierre.</w:t>
      </w:r>
    </w:p>
    <w:p>
      <w:pPr>
        <w:pStyle w:val="BodyText"/>
      </w:pPr>
      <w:r>
        <w:t xml:space="preserve">El contrato aporta valor en reorganización y venta (preaviso, asistencia, exportación y periodo de transición). En liquidación puede no haber asistencia ni mantenimiento del control plane. El control principal del plan es la plataforma alternativa, no la cláusula contractual.</w:t>
      </w:r>
    </w:p>
    <w:p>
      <w:pPr>
        <w:pStyle w:val="BodyText"/>
      </w:pPr>
      <w:r>
        <w:t xml:space="preserve">Mientras Temporal Cloud exista como contraparte:</w:t>
      </w:r>
    </w:p>
    <w:p>
      <w:pPr>
        <w:pStyle w:val="Compact"/>
        <w:numPr>
          <w:ilvl w:val="0"/>
          <w:numId w:val="1006"/>
        </w:numPr>
      </w:pPr>
      <w:r>
        <w:t xml:space="preserve">Custodiar el aviso y la ventana residual, si la hay.</w:t>
      </w:r>
    </w:p>
    <w:p>
      <w:pPr>
        <w:pStyle w:val="Compact"/>
        <w:numPr>
          <w:ilvl w:val="0"/>
          <w:numId w:val="1006"/>
        </w:numPr>
      </w:pPr>
      <w:r>
        <w:t xml:space="preserve">Exigir asistencia de salida y acceso a historiales solo si el proveedor aún opera.</w:t>
      </w:r>
    </w:p>
    <w:p>
      <w:pPr>
        <w:pStyle w:val="Compact"/>
        <w:numPr>
          <w:ilvl w:val="0"/>
          <w:numId w:val="1006"/>
        </w:numPr>
      </w:pPr>
      <w:r>
        <w:t xml:space="preserve">No pactar un calendario de salida más largo que la capacidad real del destino aprobado.</w:t>
      </w:r>
    </w:p>
    <w:p>
      <w:pPr>
        <w:pStyle w:val="Compact"/>
        <w:numPr>
          <w:ilvl w:val="0"/>
          <w:numId w:val="1006"/>
        </w:numPr>
      </w:pPr>
      <w:r>
        <w:t xml:space="preserve">Al cierre: terminación, evidencia de que no quedan dependencias y, si hay entidad subsistente, constancia de destrucción o indisponibilidad de datos del Banco en Cloud.</w:t>
      </w:r>
    </w:p>
    <w:p>
      <w:pPr>
        <w:pStyle w:val="FirstParagraph"/>
      </w:pPr>
      <w:r>
        <w:t xml:space="preserve">La destrucción certificada de datos en Cloud se solicita cuando existe contraparte. Si no la hay, se documenta la pérdida de control sobre el residual y se retiene lo ya exportado al Banco.</w:t>
      </w:r>
    </w:p>
    <w:p>
      <w:r>
        <w:pict>
          <v:rect style="width:0;height:1.5pt" o:hralign="center" o:hrstd="t" o:hr="t"/>
        </w:pict>
      </w:r>
    </w:p>
    <w:bookmarkEnd w:id="55"/>
    <w:bookmarkStart w:id="61" w:name="procedimiento-técnico-de-transición"/>
    <w:p>
      <w:pPr>
        <w:pStyle w:val="Heading2"/>
      </w:pPr>
      <w:r>
        <w:t xml:space="preserve">09. Procedimiento técnico de transición</w:t>
      </w:r>
    </w:p>
    <w:p>
      <w:pPr>
        <w:pStyle w:val="FirstParagraph"/>
      </w:pPr>
      <w:r>
        <w:t xml:space="preserve">PEVE define la receta. Cada aplicación la ejecuta. Temporal no ofrece migración automatizada de Cloud hacia ningún destino: si el destino es Self-Hosted se actualiza la conexión; si es opción 2, 3 o 4 se reescribe el proceso y se corta el tráfico nuevo.</w:t>
      </w:r>
    </w:p>
    <w:p>
      <w:pPr>
        <w:pStyle w:val="BodyText"/>
      </w:pPr>
      <w:r>
        <w:t xml:space="preserve">La receta de conexión, el tratamiento por namespace y la conexión dual de esta sección aplican</w:t>
      </w:r>
      <w:r>
        <w:t xml:space="preserve"> </w:t>
      </w:r>
      <w:r>
        <w:rPr>
          <w:b/>
          <w:bCs/>
        </w:rPr>
        <w:t xml:space="preserve">solo</w:t>
      </w:r>
      <w:r>
        <w:t xml:space="preserve"> </w:t>
      </w:r>
      <w:r>
        <w:t xml:space="preserve">si el paso 0.0 confirma Self-Hosted. Si confirma Durable Functions, Dapr Workflows o Restate, rige el Anexo B.4.</w:t>
      </w:r>
    </w:p>
    <w:bookmarkStart w:id="56" w:name="fases"/>
    <w:p>
      <w:pPr>
        <w:pStyle w:val="Heading3"/>
      </w:pPr>
      <w:r>
        <w:t xml:space="preserve">Fases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Actividades principales</w:t>
            </w:r>
          </w:p>
        </w:tc>
        <w:tc>
          <w:tcPr/>
          <w:p>
            <w:pPr>
              <w:pStyle w:val="Compact"/>
            </w:pPr>
            <w:r>
              <w:t xml:space="preserve">Responsable líder</w:t>
            </w:r>
          </w:p>
        </w:tc>
        <w:tc>
          <w:tcPr/>
          <w:p>
            <w:pPr>
              <w:pStyle w:val="Compact"/>
            </w:pPr>
            <w:r>
              <w:t xml:space="preserve">Resultado</w:t>
            </w:r>
          </w:p>
        </w:tc>
      </w:tr>
      <w:tr>
        <w:tc>
          <w:tcPr/>
          <w:p>
            <w:pPr>
              <w:pStyle w:val="Compact"/>
            </w:pPr>
            <w:r>
              <w:t xml:space="preserve">0. Preparación preventiva</w:t>
            </w:r>
          </w:p>
        </w:tc>
        <w:tc>
          <w:tcPr/>
          <w:p>
            <w:pPr>
              <w:pStyle w:val="Compact"/>
            </w:pPr>
            <w:r>
              <w:t xml:space="preserve">Confirmación del destino (uno de los cuatro destinos evaluados, con acta formal). Arquitectura, capacidad, receta, inventario, exportación de historiales a almacenamiento del Banco, conexión dual si el destino es Temporal, observabilidad y pruebas iniciales</w:t>
            </w:r>
          </w:p>
        </w:tc>
        <w:tc>
          <w:tcPr/>
          <w:p>
            <w:pPr>
              <w:pStyle w:val="Compact"/>
            </w:pPr>
            <w:r>
              <w:t xml:space="preserve">PEVE / Arquitectura</w:t>
            </w:r>
          </w:p>
        </w:tc>
        <w:tc>
          <w:tcPr/>
          <w:p>
            <w:pPr>
              <w:pStyle w:val="Compact"/>
            </w:pPr>
            <w:r>
              <w:t xml:space="preserve">Plataforma preparada antes de la activación</w:t>
            </w:r>
          </w:p>
        </w:tc>
      </w:tr>
      <w:tr>
        <w:tc>
          <w:tcPr/>
          <w:p>
            <w:pPr>
              <w:pStyle w:val="Compact"/>
            </w:pPr>
            <w:r>
              <w:t xml:space="preserve">1. Activación</w:t>
            </w:r>
          </w:p>
        </w:tc>
        <w:tc>
          <w:tcPr/>
          <w:p>
            <w:pPr>
              <w:pStyle w:val="Compact"/>
            </w:pPr>
            <w:r>
              <w:t xml:space="preserve">Registro del aviso o del expediente, convocatoria, definición del modo (ordenado o estresado) y calendario</w:t>
            </w:r>
          </w:p>
        </w:tc>
        <w:tc>
          <w:tcPr/>
          <w:p>
            <w:pPr>
              <w:pStyle w:val="Compact"/>
            </w:pPr>
            <w:r>
              <w:t xml:space="preserve">PEVE / instancia aprobadora</w:t>
            </w:r>
          </w:p>
        </w:tc>
        <w:tc>
          <w:tcPr/>
          <w:p>
            <w:pPr>
              <w:pStyle w:val="Compact"/>
            </w:pPr>
            <w:r>
              <w:t xml:space="preserve">Plan activado</w:t>
            </w:r>
          </w:p>
        </w:tc>
      </w:tr>
      <w:tr>
        <w:tc>
          <w:tcPr/>
          <w:p>
            <w:pPr>
              <w:pStyle w:val="Compact"/>
            </w:pPr>
            <w:r>
              <w:t xml:space="preserve">2. Migración no productiva</w:t>
            </w:r>
          </w:p>
        </w:tc>
        <w:tc>
          <w:tcPr/>
          <w:p>
            <w:pPr>
              <w:pStyle w:val="Compact"/>
            </w:pPr>
            <w:r>
              <w:t xml:space="preserve">Cambios en desarrollo y certificación; pruebas técnicas, funcionales, de seguridad y de observabilidad</w:t>
            </w:r>
          </w:p>
        </w:tc>
        <w:tc>
          <w:tcPr/>
          <w:p>
            <w:pPr>
              <w:pStyle w:val="Compact"/>
            </w:pPr>
            <w:r>
              <w:t xml:space="preserve">Equipos de aplicación</w:t>
            </w:r>
          </w:p>
        </w:tc>
        <w:tc>
          <w:tcPr/>
          <w:p>
            <w:pPr>
              <w:pStyle w:val="Compact"/>
            </w:pPr>
            <w:r>
              <w:t xml:space="preserve">Ambientes no productivos validados</w:t>
            </w:r>
          </w:p>
        </w:tc>
      </w:tr>
      <w:tr>
        <w:tc>
          <w:tcPr/>
          <w:p>
            <w:pPr>
              <w:pStyle w:val="Compact"/>
            </w:pPr>
            <w:r>
              <w:t xml:space="preserve">3. Migración productiva</w:t>
            </w:r>
          </w:p>
        </w:tc>
        <w:tc>
          <w:tcPr/>
          <w:p>
            <w:pPr>
              <w:pStyle w:val="Compact"/>
            </w:pPr>
            <w:r>
              <w:t xml:space="preserve">Cambio controlado o conmutación, conciliación, validación, estabilización y reversa si Cloud sigue disponible</w:t>
            </w:r>
          </w:p>
        </w:tc>
        <w:tc>
          <w:tcPr/>
          <w:p>
            <w:pPr>
              <w:pStyle w:val="Compact"/>
            </w:pPr>
            <w:r>
              <w:t xml:space="preserve">Equipos de APOQ y NREM</w:t>
            </w:r>
          </w:p>
        </w:tc>
        <w:tc>
          <w:tcPr/>
          <w:p>
            <w:pPr>
              <w:pStyle w:val="Compact"/>
            </w:pPr>
            <w:r>
              <w:t xml:space="preserve">Aplicaciones operando en el destino aprobado</w:t>
            </w:r>
          </w:p>
        </w:tc>
      </w:tr>
      <w:tr>
        <w:tc>
          <w:tcPr/>
          <w:p>
            <w:pPr>
              <w:pStyle w:val="Compact"/>
            </w:pPr>
            <w:r>
              <w:t xml:space="preserve">4. Retiro definitivo</w:t>
            </w:r>
          </w:p>
        </w:tc>
        <w:tc>
          <w:tcPr/>
          <w:p>
            <w:pPr>
              <w:pStyle w:val="Compact"/>
            </w:pPr>
            <w:r>
              <w:t xml:space="preserve">Eliminación de endpoints, accesos, secretos, certificados, pipelines y dependencias de Cloud</w:t>
            </w:r>
          </w:p>
        </w:tc>
        <w:tc>
          <w:tcPr/>
          <w:p>
            <w:pPr>
              <w:pStyle w:val="Compact"/>
            </w:pPr>
            <w:r>
              <w:t xml:space="preserve">Equipos de aplicación / PEVE</w:t>
            </w:r>
          </w:p>
        </w:tc>
        <w:tc>
          <w:tcPr/>
          <w:p>
            <w:pPr>
              <w:pStyle w:val="Compact"/>
            </w:pPr>
            <w:r>
              <w:t xml:space="preserve">Sin dependencias activas</w:t>
            </w:r>
          </w:p>
        </w:tc>
      </w:tr>
      <w:tr>
        <w:tc>
          <w:tcPr/>
          <w:p>
            <w:pPr>
              <w:pStyle w:val="Compact"/>
            </w:pPr>
            <w:r>
              <w:t xml:space="preserve">5. Cierre</w:t>
            </w:r>
          </w:p>
        </w:tc>
        <w:tc>
          <w:tcPr/>
          <w:p>
            <w:pPr>
              <w:pStyle w:val="Compact"/>
            </w:pPr>
            <w:r>
              <w:t xml:space="preserve">Consolidación de evidencias, conformidades y cierre contractual y de riesgo</w:t>
            </w:r>
          </w:p>
        </w:tc>
        <w:tc>
          <w:tcPr/>
          <w:p>
            <w:pPr>
              <w:pStyle w:val="Compact"/>
            </w:pPr>
            <w:r>
              <w:t xml:space="preserve">PEVE / áreas de control</w:t>
            </w:r>
          </w:p>
        </w:tc>
        <w:tc>
          <w:tcPr/>
          <w:p>
            <w:pPr>
              <w:pStyle w:val="Compact"/>
            </w:pPr>
            <w:r>
              <w:t xml:space="preserve">Cierre aprobado</w:t>
            </w:r>
          </w:p>
        </w:tc>
      </w:tr>
    </w:tbl>
    <w:p>
      <w:pPr>
        <w:pStyle w:val="BodyText"/>
      </w:pPr>
      <w:r>
        <w:t xml:space="preserve">Cada aplicación avanzará a la fase siguiente únicamente cuando cuente con evidencias satisfactorias de la fase anterior. Las excepciones se registrarán con riesgo, control compensatorio, responsable y aprobación.</w:t>
      </w:r>
    </w:p>
    <w:bookmarkEnd w:id="56"/>
    <w:bookmarkStart w:id="57" w:name="receta-de-conexión"/>
    <w:p>
      <w:pPr>
        <w:pStyle w:val="Heading3"/>
      </w:pPr>
      <w:r>
        <w:t xml:space="preserve">Receta de conexión</w:t>
      </w:r>
    </w:p>
    <w:p>
      <w:pPr>
        <w:pStyle w:val="Compact"/>
        <w:numPr>
          <w:ilvl w:val="0"/>
          <w:numId w:val="1007"/>
        </w:numPr>
      </w:pPr>
      <w:r>
        <w:t xml:space="preserve">Crear el namespace equivalente en Self-Hosted y validar la segregación por ambiente.</w:t>
      </w:r>
    </w:p>
    <w:p>
      <w:pPr>
        <w:pStyle w:val="Compact"/>
        <w:numPr>
          <w:ilvl w:val="0"/>
          <w:numId w:val="1007"/>
        </w:numPr>
      </w:pPr>
      <w:r>
        <w:t xml:space="preserve">Emitir identidad, secretos y certificados del destino. No reutilizar credenciales de Cloud.</w:t>
      </w:r>
    </w:p>
    <w:p>
      <w:pPr>
        <w:pStyle w:val="Compact"/>
        <w:numPr>
          <w:ilvl w:val="0"/>
          <w:numId w:val="1007"/>
        </w:numPr>
      </w:pPr>
      <w:r>
        <w:t xml:space="preserve">Actualizar workers y clientes: endpoint, namespace y autenticación.</w:t>
      </w:r>
    </w:p>
    <w:p>
      <w:pPr>
        <w:pStyle w:val="Compact"/>
        <w:numPr>
          <w:ilvl w:val="0"/>
          <w:numId w:val="1007"/>
        </w:numPr>
      </w:pPr>
      <w:r>
        <w:t xml:space="preserve">Actualizar pipelines y variables por ambiente.</w:t>
      </w:r>
    </w:p>
    <w:p>
      <w:pPr>
        <w:pStyle w:val="Compact"/>
        <w:numPr>
          <w:ilvl w:val="0"/>
          <w:numId w:val="1007"/>
        </w:numPr>
      </w:pPr>
      <w:r>
        <w:t xml:space="preserve">Validar red: resolución, rutas, puertos, balanceadores y conectividad privada.</w:t>
      </w:r>
    </w:p>
    <w:p>
      <w:pPr>
        <w:pStyle w:val="Compact"/>
        <w:numPr>
          <w:ilvl w:val="0"/>
          <w:numId w:val="1007"/>
        </w:numPr>
      </w:pPr>
      <w:r>
        <w:t xml:space="preserve">Asegurar registros, métricas, trazas, alertas y tableros en la plataforma objetivo.</w:t>
      </w:r>
    </w:p>
    <w:p>
      <w:pPr>
        <w:pStyle w:val="Compact"/>
        <w:numPr>
          <w:ilvl w:val="0"/>
          <w:numId w:val="1007"/>
        </w:numPr>
      </w:pPr>
      <w:r>
        <w:t xml:space="preserve">Habilitar la conexión dual o el indicador de destino, con mecanismo de reversa, mientras Cloud responda.</w:t>
      </w:r>
    </w:p>
    <w:p>
      <w:pPr>
        <w:pStyle w:val="Compact"/>
        <w:numPr>
          <w:ilvl w:val="0"/>
          <w:numId w:val="1007"/>
        </w:numPr>
      </w:pPr>
      <w:r>
        <w:t xml:space="preserve">Al cierre, revocar las credenciales de Cloud.</w:t>
      </w:r>
    </w:p>
    <w:bookmarkEnd w:id="57"/>
    <w:bookmarkStart w:id="58" w:name="tratamiento-de-workflows"/>
    <w:p>
      <w:pPr>
        <w:pStyle w:val="Heading3"/>
      </w:pPr>
      <w:r>
        <w:t xml:space="preserve">Tratamiento de workflows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Modo ordenado (Cloud disponible)</w:t>
            </w:r>
          </w:p>
        </w:tc>
        <w:tc>
          <w:tcPr/>
          <w:p>
            <w:pPr>
              <w:pStyle w:val="Compact"/>
            </w:pPr>
            <w:r>
              <w:t xml:space="preserve">Modo estresado (liquidación o interrupción)</w:t>
            </w:r>
          </w:p>
        </w:tc>
      </w:tr>
      <w:tr>
        <w:tc>
          <w:tcPr/>
          <w:p>
            <w:pPr>
              <w:pStyle w:val="Compact"/>
            </w:pPr>
            <w:r>
              <w:t xml:space="preserve">Nuevos inicios</w:t>
            </w:r>
          </w:p>
        </w:tc>
        <w:tc>
          <w:tcPr/>
          <w:p>
            <w:pPr>
              <w:pStyle w:val="Compact"/>
            </w:pPr>
            <w:r>
              <w:t xml:space="preserve">Solo Self-Hosted</w:t>
            </w:r>
          </w:p>
        </w:tc>
        <w:tc>
          <w:tcPr/>
          <w:p>
            <w:pPr>
              <w:pStyle w:val="Compact"/>
            </w:pPr>
            <w:r>
              <w:t xml:space="preserve">Solo Self-Hosted</w:t>
            </w:r>
          </w:p>
        </w:tc>
      </w:tr>
      <w:tr>
        <w:tc>
          <w:tcPr/>
          <w:p>
            <w:pPr>
              <w:pStyle w:val="Compact"/>
            </w:pPr>
            <w:r>
              <w:t xml:space="preserve">Activos cortos</w:t>
            </w:r>
          </w:p>
        </w:tc>
        <w:tc>
          <w:tcPr/>
          <w:p>
            <w:pPr>
              <w:pStyle w:val="Compact"/>
            </w:pPr>
            <w:r>
              <w:t xml:space="preserve">Concluir en Cloud. Sin ejecución simultánea</w:t>
            </w:r>
          </w:p>
        </w:tc>
        <w:tc>
          <w:tcPr/>
          <w:p>
            <w:pPr>
              <w:pStyle w:val="Compact"/>
            </w:pPr>
            <w:r>
              <w:t xml:space="preserve">Reconstruir o cerrar desde el estado de negocio</w:t>
            </w:r>
          </w:p>
        </w:tc>
      </w:tr>
      <w:tr>
        <w:tc>
          <w:tcPr/>
          <w:p>
            <w:pPr>
              <w:pStyle w:val="Compact"/>
            </w:pPr>
            <w:r>
              <w:t xml:space="preserve">Activos largos</w:t>
            </w:r>
          </w:p>
        </w:tc>
        <w:tc>
          <w:tcPr/>
          <w:p>
            <w:pPr>
              <w:pStyle w:val="Compact"/>
            </w:pPr>
            <w:r>
              <w:t xml:space="preserve">Trasladar el estado a una nueva ejecución en Self-Hosted, o concluir en Cloud si cabe en la ventana</w:t>
            </w:r>
          </w:p>
        </w:tc>
        <w:tc>
          <w:tcPr/>
          <w:p>
            <w:pPr>
              <w:pStyle w:val="Compact"/>
            </w:pPr>
            <w:r>
              <w:t xml:space="preserve">Reabrir desde el estado de negocio. No reejecutar efectos ya confirmados</w:t>
            </w:r>
          </w:p>
        </w:tc>
      </w:tr>
      <w:tr>
        <w:tc>
          <w:tcPr/>
          <w:p>
            <w:pPr>
              <w:pStyle w:val="Compact"/>
            </w:pPr>
            <w:r>
              <w:t xml:space="preserve">Schedules</w:t>
            </w:r>
          </w:p>
        </w:tc>
        <w:tc>
          <w:tcPr/>
          <w:p>
            <w:pPr>
              <w:pStyle w:val="Compact"/>
            </w:pPr>
            <w:r>
              <w:t xml:space="preserve">Alta en ambos ambientes; pausar en Cloud y reanudar en Self-Hosted con control que impida el disparo doble</w:t>
            </w:r>
          </w:p>
        </w:tc>
        <w:tc>
          <w:tcPr/>
          <w:p>
            <w:pPr>
              <w:pStyle w:val="Compact"/>
            </w:pPr>
            <w:r>
              <w:t xml:space="preserve">Reanudar solo en Self-Hosted</w:t>
            </w:r>
          </w:p>
        </w:tc>
      </w:tr>
      <w:tr>
        <w:tc>
          <w:tcPr/>
          <w:p>
            <w:pPr>
              <w:pStyle w:val="Compact"/>
            </w:pPr>
            <w:r>
              <w:t xml:space="preserve">Cerrados</w:t>
            </w:r>
          </w:p>
        </w:tc>
        <w:tc>
          <w:tcPr/>
          <w:p>
            <w:pPr>
              <w:pStyle w:val="Compact"/>
            </w:pPr>
            <w:r>
              <w:t xml:space="preserve">Conservar el histórico exigido (exportación a almacenamiento del Banco y retención)</w:t>
            </w:r>
          </w:p>
        </w:tc>
        <w:tc>
          <w:tcPr/>
          <w:p>
            <w:pPr>
              <w:pStyle w:val="Compact"/>
            </w:pPr>
            <w:r>
              <w:t xml:space="preserve">Conservar únicamente lo ya exportado o la evidencia externa</w:t>
            </w:r>
          </w:p>
        </w:tc>
      </w:tr>
      <w:tr>
        <w:tc>
          <w:tcPr/>
          <w:p>
            <w:pPr>
              <w:pStyle w:val="Compact"/>
            </w:pPr>
            <w:r>
              <w:t xml:space="preserve">Fallidos</w:t>
            </w:r>
          </w:p>
        </w:tc>
        <w:tc>
          <w:tcPr/>
          <w:p>
            <w:pPr>
              <w:pStyle w:val="Compact"/>
            </w:pPr>
            <w:r>
              <w:t xml:space="preserve">Analizar causa, conciliar y decidir reproceso o cierre</w:t>
            </w:r>
          </w:p>
        </w:tc>
        <w:tc>
          <w:tcPr/>
          <w:p>
            <w:pPr>
              <w:pStyle w:val="Compact"/>
            </w:pPr>
            <w:r>
              <w:t xml:space="preserve">Igual, con prioridad en cuentas y remesas</w:t>
            </w:r>
          </w:p>
        </w:tc>
      </w:tr>
      <w:tr>
        <w:tc>
          <w:tcPr/>
          <w:p>
            <w:pPr>
              <w:pStyle w:val="Compact"/>
            </w:pPr>
            <w:r>
              <w:t xml:space="preserve">Compensados</w:t>
            </w:r>
          </w:p>
        </w:tc>
        <w:tc>
          <w:tcPr/>
          <w:p>
            <w:pPr>
              <w:pStyle w:val="Compact"/>
            </w:pPr>
            <w:r>
              <w:t xml:space="preserve">Mantener evidencia del resultado y de la consistencia</w:t>
            </w:r>
          </w:p>
        </w:tc>
        <w:tc>
          <w:tcPr/>
          <w:p>
            <w:pPr>
              <w:pStyle w:val="Compact"/>
            </w:pPr>
            <w:r>
              <w:t xml:space="preserve">Igual</w:t>
            </w:r>
          </w:p>
        </w:tc>
      </w:tr>
      <w:tr>
        <w:tc>
          <w:tcPr/>
          <w:p>
            <w:pPr>
              <w:pStyle w:val="Compact"/>
            </w:pPr>
            <w:r>
              <w:t xml:space="preserve">En reproceso</w:t>
            </w:r>
          </w:p>
        </w:tc>
        <w:tc>
          <w:tcPr/>
          <w:p>
            <w:pPr>
              <w:pStyle w:val="Compact"/>
            </w:pPr>
            <w:r>
              <w:t xml:space="preserve">Controlar duplicidad, idempotencia y conciliación antes de reejecutar</w:t>
            </w:r>
          </w:p>
        </w:tc>
        <w:tc>
          <w:tcPr/>
          <w:p>
            <w:pPr>
              <w:pStyle w:val="Compact"/>
            </w:pPr>
            <w:r>
              <w:t xml:space="preserve">Igual. Cloud pudo haber ejecutado un lado no visible</w:t>
            </w:r>
          </w:p>
        </w:tc>
      </w:tr>
      <w:tr>
        <w:tc>
          <w:tcPr/>
          <w:p>
            <w:pPr>
              <w:pStyle w:val="Compact"/>
            </w:pPr>
            <w:r>
              <w:t xml:space="preserve">No productivos</w:t>
            </w:r>
          </w:p>
        </w:tc>
        <w:tc>
          <w:tcPr/>
          <w:p>
            <w:pPr>
              <w:pStyle w:val="Compact"/>
            </w:pPr>
            <w:r>
              <w:t xml:space="preserve">Migrar si continuarán, o retirar o congelar con evidencia</w:t>
            </w:r>
          </w:p>
        </w:tc>
        <w:tc>
          <w:tcPr/>
          <w:p>
            <w:pPr>
              <w:pStyle w:val="Compact"/>
            </w:pPr>
            <w:r>
              <w:t xml:space="preserve">Congelar pases a producción sobre Cloud</w:t>
            </w:r>
          </w:p>
        </w:tc>
      </w:tr>
    </w:tbl>
    <w:p>
      <w:pPr>
        <w:pStyle w:val="BodyText"/>
      </w:pPr>
      <w:r>
        <w:t xml:space="preserve">Cada equipo documenta el mecanismo aplicado: migración, exportación, reconstrucción o evidencia externa. No se eliminan namespaces ni accesos de Cloud mientras quede estado por tratar y el servicio responda.</w:t>
      </w:r>
    </w:p>
    <w:bookmarkEnd w:id="58"/>
    <w:bookmarkStart w:id="59" w:name="secuencia-por-ambiente"/>
    <w:p>
      <w:pPr>
        <w:pStyle w:val="Heading3"/>
      </w:pPr>
      <w:r>
        <w:t xml:space="preserve">Secuencia por ambiente</w:t>
      </w:r>
    </w:p>
    <w:p>
      <w:pPr>
        <w:pStyle w:val="Compact"/>
        <w:numPr>
          <w:ilvl w:val="0"/>
          <w:numId w:val="1008"/>
        </w:numPr>
      </w:pPr>
      <w:r>
        <w:rPr>
          <w:b/>
          <w:bCs/>
        </w:rPr>
        <w:t xml:space="preserve">Desarrollo.</w:t>
      </w:r>
      <w:r>
        <w:t xml:space="preserve"> </w:t>
      </w:r>
      <w:r>
        <w:t xml:space="preserve">Validar receta, conectividad, workers, autenticación y configuración.</w:t>
      </w:r>
    </w:p>
    <w:p>
      <w:pPr>
        <w:pStyle w:val="Compact"/>
        <w:numPr>
          <w:ilvl w:val="0"/>
          <w:numId w:val="1008"/>
        </w:numPr>
      </w:pPr>
      <w:r>
        <w:rPr>
          <w:b/>
          <w:bCs/>
        </w:rPr>
        <w:t xml:space="preserve">Certificación.</w:t>
      </w:r>
      <w:r>
        <w:t xml:space="preserve"> </w:t>
      </w:r>
      <w:r>
        <w:t xml:space="preserve">Validar flujos funcionales, integración, rendimiento, observabilidad y reversa.</w:t>
      </w:r>
    </w:p>
    <w:p>
      <w:pPr>
        <w:pStyle w:val="Compact"/>
        <w:numPr>
          <w:ilvl w:val="0"/>
          <w:numId w:val="1008"/>
        </w:numPr>
      </w:pPr>
      <w:r>
        <w:rPr>
          <w:b/>
          <w:bCs/>
        </w:rPr>
        <w:t xml:space="preserve">Producción.</w:t>
      </w:r>
      <w:r>
        <w:t xml:space="preserve"> </w:t>
      </w:r>
      <w:r>
        <w:t xml:space="preserve">Migrar la dependencia productiva con cambio o conmutación, conciliación y autorización.</w:t>
      </w:r>
    </w:p>
    <w:p>
      <w:pPr>
        <w:pStyle w:val="Compact"/>
        <w:numPr>
          <w:ilvl w:val="0"/>
          <w:numId w:val="1008"/>
        </w:numPr>
      </w:pPr>
      <w:r>
        <w:rPr>
          <w:b/>
          <w:bCs/>
        </w:rPr>
        <w:t xml:space="preserve">Cierre.</w:t>
      </w:r>
      <w:r>
        <w:t xml:space="preserve"> </w:t>
      </w:r>
      <w:r>
        <w:t xml:space="preserve">Retirar dependencias de Cloud y consolidar evidencias.</w:t>
      </w:r>
    </w:p>
    <w:bookmarkEnd w:id="59"/>
    <w:bookmarkStart w:id="60" w:name="uso-de-la-reversa"/>
    <w:p>
      <w:pPr>
        <w:pStyle w:val="Heading3"/>
      </w:pPr>
      <w:r>
        <w:t xml:space="preserve">Uso de la reversa</w:t>
      </w:r>
    </w:p>
    <w:p>
      <w:pPr>
        <w:pStyle w:val="FirstParagraph"/>
      </w:pPr>
      <w:r>
        <w:t xml:space="preserve">La reversa se ejecutará solo si Temporal Cloud sigue disponible y cuando la validación técnica o funcional no alcance los criterios de aceptación, existan transacciones sin conciliación, se detecte degradación relevante o no se disponga de observabilidad suficiente. La decisión y su evidencia se registrarán. En liquidación no hay reversa hacia Cloud: se estabiliza el destino aprobado y se concilia contra el core.</w:t>
      </w:r>
    </w:p>
    <w:p>
      <w:r>
        <w:pict>
          <v:rect style="width:0;height:1.5pt" o:hralign="center" o:hrstd="t" o:hr="t"/>
        </w:pict>
      </w:r>
    </w:p>
    <w:bookmarkEnd w:id="60"/>
    <w:bookmarkEnd w:id="61"/>
    <w:bookmarkStart w:id="63" w:name="continuidad-durante-la-salida"/>
    <w:p>
      <w:pPr>
        <w:pStyle w:val="Heading2"/>
      </w:pPr>
      <w:r>
        <w:t xml:space="preserve">10. Continuidad durante la salida</w:t>
      </w:r>
    </w:p>
    <w:p>
      <w:pPr>
        <w:pStyle w:val="FirstParagraph"/>
      </w:pPr>
      <w:r>
        <w:t xml:space="preserve">Los planes de continuidad cubren la indisponibilidad de corta duración. Este plan cubre la sustitución del proveedor. Durante el retiro, Continuidad valida que APOQ y NREM no superen el tiempo máximo de recuperación ni la pérdida máxima de información aceptables.</w:t>
      </w:r>
    </w:p>
    <w:bookmarkStart w:id="62" w:name="controles-mínimos-apoq-y-nrem"/>
    <w:p>
      <w:pPr>
        <w:pStyle w:val="Heading3"/>
      </w:pPr>
      <w:r>
        <w:t xml:space="preserve">Controles mínimos (APOQ y NREM)</w:t>
      </w:r>
    </w:p>
    <w:p>
      <w:pPr>
        <w:pStyle w:val="Compact"/>
        <w:numPr>
          <w:ilvl w:val="0"/>
          <w:numId w:val="1009"/>
        </w:numPr>
      </w:pPr>
      <w:r>
        <w:t xml:space="preserve">Identificar los procesos y transacciones afectados.</w:t>
      </w:r>
    </w:p>
    <w:p>
      <w:pPr>
        <w:pStyle w:val="Compact"/>
        <w:numPr>
          <w:ilvl w:val="0"/>
          <w:numId w:val="1009"/>
        </w:numPr>
      </w:pPr>
      <w:r>
        <w:t xml:space="preserve">Mantener actualizados el tiempo máximo de recuperación, la pérdida máxima de información y la ventana operativa.</w:t>
      </w:r>
    </w:p>
    <w:p>
      <w:pPr>
        <w:pStyle w:val="Compact"/>
        <w:numPr>
          <w:ilvl w:val="0"/>
          <w:numId w:val="1009"/>
        </w:numPr>
      </w:pPr>
      <w:r>
        <w:t xml:space="preserve">Definir el tratamiento de solicitudes y workflows en curso (conclusión en Cloud, traslado de estado o reapertura).</w:t>
      </w:r>
    </w:p>
    <w:p>
      <w:pPr>
        <w:pStyle w:val="Compact"/>
        <w:numPr>
          <w:ilvl w:val="0"/>
          <w:numId w:val="1009"/>
        </w:numPr>
      </w:pPr>
      <w:r>
        <w:t xml:space="preserve">Aplicar monitoreo, alertas, reproceso y conciliación durante la transición.</w:t>
      </w:r>
    </w:p>
    <w:p>
      <w:pPr>
        <w:pStyle w:val="Compact"/>
        <w:numPr>
          <w:ilvl w:val="0"/>
          <w:numId w:val="1009"/>
        </w:numPr>
      </w:pPr>
      <w:r>
        <w:t xml:space="preserve">Disponer de reversa únicamente si Cloud está disponible.</w:t>
      </w:r>
    </w:p>
    <w:p>
      <w:pPr>
        <w:pStyle w:val="Compact"/>
        <w:numPr>
          <w:ilvl w:val="0"/>
          <w:numId w:val="1009"/>
        </w:numPr>
      </w:pPr>
      <w:r>
        <w:t xml:space="preserve">Obtener conformidad del PO antes de cerrar la ventana.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Aplicación</w:t>
            </w:r>
          </w:p>
        </w:tc>
        <w:tc>
          <w:tcPr/>
          <w:p>
            <w:pPr>
              <w:pStyle w:val="Compact"/>
            </w:pPr>
            <w:r>
              <w:t xml:space="preserve">Proceso</w:t>
            </w:r>
          </w:p>
        </w:tc>
        <w:tc>
          <w:tcPr/>
          <w:p>
            <w:pPr>
              <w:pStyle w:val="Compact"/>
            </w:pPr>
            <w:r>
              <w:t xml:space="preserve">Control de continuidad</w:t>
            </w:r>
          </w:p>
        </w:tc>
        <w:tc>
          <w:tcPr/>
          <w:p>
            <w:pPr>
              <w:pStyle w:val="Compact"/>
            </w:pPr>
            <w:r>
              <w:t xml:space="preserve">Validación</w:t>
            </w:r>
          </w:p>
        </w:tc>
      </w:tr>
      <w:tr>
        <w:tc>
          <w:tcPr/>
          <w:p>
            <w:pPr>
              <w:pStyle w:val="Compact"/>
            </w:pPr>
            <w:r>
              <w:t xml:space="preserve">APOQ</w:t>
            </w:r>
          </w:p>
        </w:tc>
        <w:tc>
          <w:tcPr/>
          <w:p>
            <w:pPr>
              <w:pStyle w:val="Compact"/>
            </w:pPr>
            <w:r>
              <w:t xml:space="preserve">Transferencias entre cuentas</w:t>
            </w:r>
          </w:p>
        </w:tc>
        <w:tc>
          <w:tcPr/>
          <w:p>
            <w:pPr>
              <w:pStyle w:val="Compact"/>
            </w:pPr>
            <w:r>
              <w:t xml:space="preserve">Plan de cambio o conmutación, tratamiento de transacciones, conciliación, monitoreo y reversa si aplica</w:t>
            </w:r>
          </w:p>
        </w:tc>
        <w:tc>
          <w:tcPr/>
          <w:p>
            <w:pPr>
              <w:pStyle w:val="Compact"/>
            </w:pPr>
            <w:r>
              <w:t xml:space="preserve">PO y equipo técnico</w:t>
            </w:r>
          </w:p>
        </w:tc>
      </w:tr>
      <w:tr>
        <w:tc>
          <w:tcPr/>
          <w:p>
            <w:pPr>
              <w:pStyle w:val="Compact"/>
            </w:pPr>
            <w:r>
              <w:t xml:space="preserve">NREM</w:t>
            </w:r>
          </w:p>
        </w:tc>
        <w:tc>
          <w:tcPr/>
          <w:p>
            <w:pPr>
              <w:pStyle w:val="Compact"/>
            </w:pPr>
            <w:r>
              <w:t xml:space="preserve">Remesas</w:t>
            </w:r>
          </w:p>
        </w:tc>
        <w:tc>
          <w:tcPr/>
          <w:p>
            <w:pPr>
              <w:pStyle w:val="Compact"/>
            </w:pPr>
            <w:r>
              <w:t xml:space="preserve">Plan de cambio o conmutación, tratamiento de remesas en curso, conciliación, monitoreo y reversa si aplica</w:t>
            </w:r>
          </w:p>
        </w:tc>
        <w:tc>
          <w:tcPr/>
          <w:p>
            <w:pPr>
              <w:pStyle w:val="Compact"/>
            </w:pPr>
            <w:r>
              <w:t xml:space="preserve">PO y equipo técnico</w:t>
            </w:r>
          </w:p>
        </w:tc>
      </w:tr>
      <w:tr>
        <w:tc>
          <w:tcPr/>
          <w:p>
            <w:pPr>
              <w:pStyle w:val="Compact"/>
            </w:pPr>
            <w:r>
              <w:t xml:space="preserve">No productivas</w:t>
            </w:r>
          </w:p>
        </w:tc>
        <w:tc>
          <w:tcPr/>
          <w:p>
            <w:pPr>
              <w:pStyle w:val="Compact"/>
            </w:pPr>
            <w:r>
              <w:t xml:space="preserve">Casos en desarrollo o certificación</w:t>
            </w:r>
          </w:p>
        </w:tc>
        <w:tc>
          <w:tcPr/>
          <w:p>
            <w:pPr>
              <w:pStyle w:val="Compact"/>
            </w:pPr>
            <w:r>
              <w:t xml:space="preserve">Migración antes de producción o retiro controlado</w:t>
            </w:r>
          </w:p>
        </w:tc>
        <w:tc>
          <w:tcPr/>
          <w:p>
            <w:pPr>
              <w:pStyle w:val="Compact"/>
            </w:pPr>
            <w:r>
              <w:t xml:space="preserve">Dueño y equipo técnico</w:t>
            </w:r>
          </w:p>
        </w:tc>
      </w:tr>
    </w:tbl>
    <w:p>
      <w:pPr>
        <w:pStyle w:val="BodyText"/>
      </w:pPr>
      <w:r>
        <w:t xml:space="preserve">La continuidad se considera restablecida cuando los flujos críticos operan en el destino aprobado, las transacciones en curso han sido conciliadas o tratadas, la observabilidad se encuentra activa y el PO emite conformidad funcional.</w:t>
      </w:r>
    </w:p>
    <w:p>
      <w:pPr>
        <w:pStyle w:val="BodyText"/>
      </w:pPr>
      <w:r>
        <w:t xml:space="preserve">Si Temporal Cloud ya no está disponible, no se espera el historial vivo. Se reabren solo los casos que el core, el outbox o las colas muestran como pendientes. Se bloquea cualquier activity cuyo efecto de negocio ya esté confirmado en el registro de la aplicación.</w:t>
      </w:r>
    </w:p>
    <w:p>
      <w:r>
        <w:pict>
          <v:rect style="width:0;height:1.5pt" o:hralign="center" o:hrstd="t" o:hr="t"/>
        </w:pict>
      </w:r>
    </w:p>
    <w:bookmarkEnd w:id="62"/>
    <w:bookmarkEnd w:id="63"/>
    <w:bookmarkStart w:id="67" w:name="criterios-de-éxito-y-cierre"/>
    <w:p>
      <w:pPr>
        <w:pStyle w:val="Heading2"/>
      </w:pPr>
      <w:r>
        <w:t xml:space="preserve">11. Criterios de éxito y cierre</w:t>
      </w:r>
    </w:p>
    <w:bookmarkStart w:id="64" w:name="criterios-de-éxito"/>
    <w:p>
      <w:pPr>
        <w:pStyle w:val="Heading3"/>
      </w:pPr>
      <w:r>
        <w:t xml:space="preserve">Criterios de éxito</w:t>
      </w:r>
    </w:p>
    <w:p>
      <w:pPr>
        <w:pStyle w:val="Compact"/>
        <w:numPr>
          <w:ilvl w:val="0"/>
          <w:numId w:val="1010"/>
        </w:numPr>
      </w:pPr>
      <w:r>
        <w:t xml:space="preserve">Todas las aplicaciones incluidas operan en el destino aprobado o fueron retiradas o congeladas antes de producción.</w:t>
      </w:r>
    </w:p>
    <w:p>
      <w:pPr>
        <w:pStyle w:val="Compact"/>
        <w:numPr>
          <w:ilvl w:val="0"/>
          <w:numId w:val="1010"/>
        </w:numPr>
      </w:pPr>
      <w:r>
        <w:t xml:space="preserve">No existen workflows productivos ni datos de estado sin tratamiento.</w:t>
      </w:r>
    </w:p>
    <w:p>
      <w:pPr>
        <w:pStyle w:val="Compact"/>
        <w:numPr>
          <w:ilvl w:val="0"/>
          <w:numId w:val="1010"/>
        </w:numPr>
      </w:pPr>
      <w:r>
        <w:t xml:space="preserve">Los históricos requeridos se conservan para auditoría y trazabilidad, en control del Banco.</w:t>
      </w:r>
    </w:p>
    <w:p>
      <w:pPr>
        <w:pStyle w:val="Compact"/>
        <w:numPr>
          <w:ilvl w:val="0"/>
          <w:numId w:val="1010"/>
        </w:numPr>
      </w:pPr>
      <w:r>
        <w:t xml:space="preserve">Se retiraron o deshabilitaron endpoints, accesos, secretos, certificados y credenciales de Temporal Cloud.</w:t>
      </w:r>
    </w:p>
    <w:p>
      <w:pPr>
        <w:pStyle w:val="Compact"/>
        <w:numPr>
          <w:ilvl w:val="0"/>
          <w:numId w:val="1010"/>
        </w:numPr>
      </w:pPr>
      <w:r>
        <w:t xml:space="preserve">No existe ejecución simultánea en ambos ambientes.</w:t>
      </w:r>
    </w:p>
    <w:p>
      <w:pPr>
        <w:pStyle w:val="Compact"/>
        <w:numPr>
          <w:ilvl w:val="0"/>
          <w:numId w:val="1010"/>
        </w:numPr>
      </w:pPr>
      <w:r>
        <w:t xml:space="preserve">Las evidencias técnicas, funcionales, de continuidad, de datos, de seguridad, contractuales y de riesgo están consolidadas.</w:t>
      </w:r>
    </w:p>
    <w:p>
      <w:pPr>
        <w:pStyle w:val="Compact"/>
        <w:numPr>
          <w:ilvl w:val="0"/>
          <w:numId w:val="1010"/>
        </w:numPr>
      </w:pPr>
      <w:r>
        <w:t xml:space="preserve">PEVE y las áreas de control aprueban el cierre. La instancia aprobadora lo formaliza.</w:t>
      </w:r>
    </w:p>
    <w:bookmarkEnd w:id="64"/>
    <w:bookmarkStart w:id="65" w:name="paquete-mínimo-de-evidencias"/>
    <w:p>
      <w:pPr>
        <w:pStyle w:val="Heading3"/>
      </w:pPr>
      <w:r>
        <w:t xml:space="preserve">Paquete mínimo de evidencias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pPr>
            <w:r>
              <w:t xml:space="preserve">Evidencia</w:t>
            </w:r>
          </w:p>
        </w:tc>
      </w:tr>
      <w:tr>
        <w:tc>
          <w:tcPr/>
          <w:p>
            <w:pPr>
              <w:pStyle w:val="Compact"/>
            </w:pPr>
            <w:r>
              <w:t xml:space="preserve">Técnica</w:t>
            </w:r>
          </w:p>
        </w:tc>
        <w:tc>
          <w:tcPr/>
          <w:p>
            <w:pPr>
              <w:pStyle w:val="Compact"/>
            </w:pPr>
            <w:r>
              <w:t xml:space="preserve">Configuración aplicada, pruebas, conectividad, pipelines y validación de estabilidad</w:t>
            </w:r>
          </w:p>
        </w:tc>
      </w:tr>
      <w:tr>
        <w:tc>
          <w:tcPr/>
          <w:p>
            <w:pPr>
              <w:pStyle w:val="Compact"/>
            </w:pPr>
            <w:r>
              <w:t xml:space="preserve">Funcional</w:t>
            </w:r>
          </w:p>
        </w:tc>
        <w:tc>
          <w:tcPr/>
          <w:p>
            <w:pPr>
              <w:pStyle w:val="Compact"/>
            </w:pPr>
            <w:r>
              <w:t xml:space="preserve">Conformidad del PO y evidencia de flujos críticos</w:t>
            </w:r>
          </w:p>
        </w:tc>
      </w:tr>
      <w:tr>
        <w:tc>
          <w:tcPr/>
          <w:p>
            <w:pPr>
              <w:pStyle w:val="Compact"/>
            </w:pPr>
            <w:r>
              <w:t xml:space="preserve">Continuidad</w:t>
            </w:r>
          </w:p>
        </w:tc>
        <w:tc>
          <w:tcPr/>
          <w:p>
            <w:pPr>
              <w:pStyle w:val="Compact"/>
            </w:pPr>
            <w:r>
              <w:t xml:space="preserve">Conciliación, tratamiento de transacciones y cumplimiento de la ventana operativa</w:t>
            </w:r>
          </w:p>
        </w:tc>
      </w:tr>
      <w:tr>
        <w:tc>
          <w:tcPr/>
          <w:p>
            <w:pPr>
              <w:pStyle w:val="Compact"/>
            </w:pPr>
            <w:r>
              <w:t xml:space="preserve">Datos</w:t>
            </w:r>
          </w:p>
        </w:tc>
        <w:tc>
          <w:tcPr/>
          <w:p>
            <w:pPr>
              <w:pStyle w:val="Compact"/>
            </w:pPr>
            <w:r>
              <w:t xml:space="preserve">Tratamiento de workflows activos e históricos, integridad y ubicación de la exportación</w:t>
            </w:r>
          </w:p>
        </w:tc>
      </w:tr>
      <w:tr>
        <w:tc>
          <w:tcPr/>
          <w:p>
            <w:pPr>
              <w:pStyle w:val="Compact"/>
            </w:pPr>
            <w:r>
              <w:t xml:space="preserve">Seguridad</w:t>
            </w:r>
          </w:p>
        </w:tc>
        <w:tc>
          <w:tcPr/>
          <w:p>
            <w:pPr>
              <w:pStyle w:val="Compact"/>
            </w:pPr>
            <w:r>
              <w:t xml:space="preserve">Accesos, secretos, certificados, registro de eventos y cierre seguro</w:t>
            </w:r>
          </w:p>
        </w:tc>
      </w:tr>
      <w:tr>
        <w:tc>
          <w:tcPr/>
          <w:p>
            <w:pPr>
              <w:pStyle w:val="Compact"/>
            </w:pPr>
            <w:r>
              <w:t xml:space="preserve">Contractual</w:t>
            </w:r>
          </w:p>
        </w:tc>
        <w:tc>
          <w:tcPr/>
          <w:p>
            <w:pPr>
              <w:pStyle w:val="Compact"/>
            </w:pPr>
            <w:r>
              <w:t xml:space="preserve">Comunicaciones, terminación o constancia de inexistencia de contraparte</w:t>
            </w:r>
          </w:p>
        </w:tc>
      </w:tr>
      <w:tr>
        <w:tc>
          <w:tcPr/>
          <w:p>
            <w:pPr>
              <w:pStyle w:val="Compact"/>
            </w:pPr>
            <w:r>
              <w:t xml:space="preserve">Riesgo</w:t>
            </w:r>
          </w:p>
        </w:tc>
        <w:tc>
          <w:tcPr/>
          <w:p>
            <w:pPr>
              <w:pStyle w:val="Compact"/>
            </w:pPr>
            <w:r>
              <w:t xml:space="preserve">Tratamiento del riesgo residual y aprobación de cierre</w:t>
            </w:r>
          </w:p>
        </w:tc>
      </w:tr>
    </w:tbl>
    <w:bookmarkEnd w:id="65"/>
    <w:bookmarkStart w:id="66" w:name="cierre-seguro"/>
    <w:p>
      <w:pPr>
        <w:pStyle w:val="Heading3"/>
      </w:pPr>
      <w:r>
        <w:t xml:space="preserve">Cierre seguro</w:t>
      </w:r>
    </w:p>
    <w:p>
      <w:pPr>
        <w:pStyle w:val="FirstParagraph"/>
      </w:pPr>
      <w:r>
        <w:t xml:space="preserve">El retiro no se considera cerrado hasta evidenciar la eliminación, rotación o deshabilitación de credenciales, certificados, secretos, usuarios, conexiones y configuraciones que ya no sean requeridas en Temporal Cloud. Legal y Compras/Contratos conservarán las comunicaciones y evidencias de terminación. PEVE confirmará que no queden dependencias activas y emitirá el consolidado de cierre.</w:t>
      </w:r>
    </w:p>
    <w:p>
      <w:r>
        <w:pict>
          <v:rect style="width:0;height:1.5pt" o:hralign="center" o:hrstd="t" o:hr="t"/>
        </w:pict>
      </w:r>
    </w:p>
    <w:bookmarkEnd w:id="66"/>
    <w:bookmarkEnd w:id="67"/>
    <w:bookmarkStart w:id="73" w:name="pruebas-revisión-y-riesgo-residual"/>
    <w:p>
      <w:pPr>
        <w:pStyle w:val="Heading2"/>
      </w:pPr>
      <w:r>
        <w:t xml:space="preserve">12. Pruebas, revisión y riesgo residual</w:t>
      </w:r>
    </w:p>
    <w:bookmarkStart w:id="68" w:name="pruebas-mínimas-por-aplicación"/>
    <w:p>
      <w:pPr>
        <w:pStyle w:val="Heading3"/>
      </w:pPr>
      <w:r>
        <w:t xml:space="preserve">Pruebas mínimas por aplicación</w:t>
      </w:r>
    </w:p>
    <w:p>
      <w:pPr>
        <w:pStyle w:val="Compact"/>
        <w:numPr>
          <w:ilvl w:val="0"/>
          <w:numId w:val="1011"/>
        </w:numPr>
      </w:pPr>
      <w:r>
        <w:t xml:space="preserve">Conectividad, resolución, autenticación y autorización.</w:t>
      </w:r>
    </w:p>
    <w:p>
      <w:pPr>
        <w:pStyle w:val="Compact"/>
        <w:numPr>
          <w:ilvl w:val="0"/>
          <w:numId w:val="1011"/>
        </w:numPr>
      </w:pPr>
      <w:r>
        <w:t xml:space="preserve">Registro y ejecución de workflows y activities.</w:t>
      </w:r>
    </w:p>
    <w:p>
      <w:pPr>
        <w:pStyle w:val="Compact"/>
        <w:numPr>
          <w:ilvl w:val="0"/>
          <w:numId w:val="1011"/>
        </w:numPr>
      </w:pPr>
      <w:r>
        <w:t xml:space="preserve">Recuperación ante fallos, reintentos, compensaciones y reprocesos, sin duplicar efectos de negocio.</w:t>
      </w:r>
    </w:p>
    <w:p>
      <w:pPr>
        <w:pStyle w:val="Compact"/>
        <w:numPr>
          <w:ilvl w:val="0"/>
          <w:numId w:val="1011"/>
        </w:numPr>
      </w:pPr>
      <w:r>
        <w:t xml:space="preserve">Integración con dependencias de la aplicación.</w:t>
      </w:r>
    </w:p>
    <w:p>
      <w:pPr>
        <w:pStyle w:val="Compact"/>
        <w:numPr>
          <w:ilvl w:val="0"/>
          <w:numId w:val="1011"/>
        </w:numPr>
      </w:pPr>
      <w:r>
        <w:t xml:space="preserve">Registros, métricas, trazas, alertas y tableros.</w:t>
      </w:r>
    </w:p>
    <w:p>
      <w:pPr>
        <w:pStyle w:val="Compact"/>
        <w:numPr>
          <w:ilvl w:val="0"/>
          <w:numId w:val="1011"/>
        </w:numPr>
      </w:pPr>
      <w:r>
        <w:t xml:space="preserve">Rendimiento y capacidad para la carga de la aplicación.</w:t>
      </w:r>
    </w:p>
    <w:p>
      <w:pPr>
        <w:pStyle w:val="Compact"/>
        <w:numPr>
          <w:ilvl w:val="0"/>
          <w:numId w:val="1011"/>
        </w:numPr>
      </w:pPr>
      <w:r>
        <w:t xml:space="preserve">Conciliación funcional y técnica.</w:t>
      </w:r>
    </w:p>
    <w:p>
      <w:pPr>
        <w:pStyle w:val="Compact"/>
        <w:numPr>
          <w:ilvl w:val="0"/>
          <w:numId w:val="1011"/>
        </w:numPr>
      </w:pPr>
      <w:r>
        <w:t xml:space="preserve">Prueba de reversa antes de la migración productiva, si Cloud es el origen.</w:t>
      </w:r>
    </w:p>
    <w:bookmarkEnd w:id="68"/>
    <w:bookmarkStart w:id="69" w:name="criterios-de-entrada-a-producción"/>
    <w:p>
      <w:pPr>
        <w:pStyle w:val="Heading3"/>
      </w:pPr>
      <w:r>
        <w:t xml:space="preserve">Criterios de entrada a producción</w:t>
      </w:r>
    </w:p>
    <w:p>
      <w:pPr>
        <w:pStyle w:val="Compact"/>
        <w:numPr>
          <w:ilvl w:val="0"/>
          <w:numId w:val="1012"/>
        </w:numPr>
      </w:pPr>
      <w:r>
        <w:t xml:space="preserve">Arquitectura y controles de seguridad validados.</w:t>
      </w:r>
    </w:p>
    <w:p>
      <w:pPr>
        <w:pStyle w:val="Compact"/>
        <w:numPr>
          <w:ilvl w:val="0"/>
          <w:numId w:val="1012"/>
        </w:numPr>
      </w:pPr>
      <w:r>
        <w:t xml:space="preserve">Pruebas satisfactorias en desarrollo y certificación.</w:t>
      </w:r>
    </w:p>
    <w:p>
      <w:pPr>
        <w:pStyle w:val="Compact"/>
        <w:numPr>
          <w:ilvl w:val="0"/>
          <w:numId w:val="1012"/>
        </w:numPr>
      </w:pPr>
      <w:r>
        <w:t xml:space="preserve">Tratamiento de workflows activos e históricos definido para el modo ordenado y para el modo estresado.</w:t>
      </w:r>
    </w:p>
    <w:p>
      <w:pPr>
        <w:pStyle w:val="Compact"/>
        <w:numPr>
          <w:ilvl w:val="0"/>
          <w:numId w:val="1012"/>
        </w:numPr>
      </w:pPr>
      <w:r>
        <w:t xml:space="preserve">Plan de cambio, validación, conciliación y reversa aprobado, o declaración de ausencia de reversa en modo estresado.</w:t>
      </w:r>
    </w:p>
    <w:p>
      <w:pPr>
        <w:pStyle w:val="Compact"/>
        <w:numPr>
          <w:ilvl w:val="0"/>
          <w:numId w:val="1012"/>
        </w:numPr>
      </w:pPr>
      <w:r>
        <w:t xml:space="preserve">Observabilidad y soporte habilitados.</w:t>
      </w:r>
    </w:p>
    <w:p>
      <w:pPr>
        <w:pStyle w:val="Compact"/>
        <w:numPr>
          <w:ilvl w:val="0"/>
          <w:numId w:val="1012"/>
        </w:numPr>
      </w:pPr>
      <w:r>
        <w:t xml:space="preserve">Autorización de la instancia correspondiente.</w:t>
      </w:r>
    </w:p>
    <w:bookmarkEnd w:id="69"/>
    <w:bookmarkStart w:id="70" w:name="pruebas-del-plan"/>
    <w:p>
      <w:pPr>
        <w:pStyle w:val="Heading3"/>
      </w:pPr>
      <w:r>
        <w:t xml:space="preserve">Pruebas del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Qué se prueba</w:t>
            </w:r>
          </w:p>
        </w:tc>
        <w:tc>
          <w:tcPr/>
          <w:p>
            <w:pPr>
              <w:pStyle w:val="Compact"/>
            </w:pPr>
            <w:r>
              <w:t xml:space="preserve">Frecuencia</w:t>
            </w:r>
          </w:p>
        </w:tc>
      </w:tr>
      <w:tr>
        <w:tc>
          <w:tcPr/>
          <w:p>
            <w:pPr>
              <w:pStyle w:val="Compact"/>
            </w:pPr>
            <w:r>
              <w:t xml:space="preserve">Revisión documental</w:t>
            </w:r>
          </w:p>
        </w:tc>
        <w:tc>
          <w:tcPr/>
          <w:p>
            <w:pPr>
              <w:pStyle w:val="Compact"/>
            </w:pPr>
            <w:r>
              <w:t xml:space="preserve">Inventario, supuestos, costos, tiempos, capacidades, disparadores y compatibilidad residual del contrato</w:t>
            </w:r>
          </w:p>
        </w:tc>
        <w:tc>
          <w:tcPr/>
          <w:p>
            <w:pPr>
              <w:pStyle w:val="Compact"/>
            </w:pPr>
            <w:r>
              <w:t xml:space="preserve">Anual o ante cambio material</w:t>
            </w:r>
          </w:p>
        </w:tc>
      </w:tr>
      <w:tr>
        <w:tc>
          <w:tcPr/>
          <w:p>
            <w:pPr>
              <w:pStyle w:val="Compact"/>
            </w:pPr>
            <w:r>
              <w:t xml:space="preserve">Recorrido operativo</w:t>
            </w:r>
          </w:p>
        </w:tc>
        <w:tc>
          <w:tcPr/>
          <w:p>
            <w:pPr>
              <w:pStyle w:val="Compact"/>
            </w:pPr>
            <w:r>
              <w:t xml:space="preserve">PEVE y las aplicaciones recorren las fases 0 a 5 y confirman que pueden ejecutarlas</w:t>
            </w:r>
          </w:p>
        </w:tc>
        <w:tc>
          <w:tcPr/>
          <w:p>
            <w:pPr>
              <w:pStyle w:val="Compact"/>
            </w:pPr>
            <w:r>
              <w:t xml:space="preserve">Anual</w:t>
            </w:r>
          </w:p>
        </w:tc>
      </w:tr>
      <w:tr>
        <w:tc>
          <w:tcPr/>
          <w:p>
            <w:pPr>
              <w:pStyle w:val="Compact"/>
            </w:pPr>
            <w:r>
              <w:t xml:space="preserve">Ejercicio técnico</w:t>
            </w:r>
          </w:p>
        </w:tc>
        <w:tc>
          <w:tcPr/>
          <w:p>
            <w:pPr>
              <w:pStyle w:val="Compact"/>
            </w:pPr>
            <w:r>
              <w:t xml:space="preserve">Un caso no crítico en el destino: conexión dual si Self-Hosted, o flujo reescrito si opción 2, 3 o 4; conclusión o reapertura; schedules; observabilidad</w:t>
            </w:r>
          </w:p>
        </w:tc>
        <w:tc>
          <w:tcPr/>
          <w:p>
            <w:pPr>
              <w:pStyle w:val="Compact"/>
            </w:pPr>
            <w:r>
              <w:t xml:space="preserve">Anual</w:t>
            </w:r>
          </w:p>
        </w:tc>
      </w:tr>
      <w:tr>
        <w:tc>
          <w:tcPr/>
          <w:p>
            <w:pPr>
              <w:pStyle w:val="Compact"/>
            </w:pPr>
            <w:r>
              <w:t xml:space="preserve">Ejercicio de mesa en modo estresado</w:t>
            </w:r>
          </w:p>
        </w:tc>
        <w:tc>
          <w:tcPr/>
          <w:p>
            <w:pPr>
              <w:pStyle w:val="Compact"/>
            </w:pPr>
            <w:r>
              <w:t xml:space="preserve">Temporal Cloud no responde; conmutación al destino aprobado; conciliación de APOQ y NREM contra el estado de negocio; aviso a control</w:t>
            </w:r>
          </w:p>
        </w:tc>
        <w:tc>
          <w:tcPr/>
          <w:p>
            <w:pPr>
              <w:pStyle w:val="Compact"/>
            </w:pPr>
            <w:r>
              <w:t xml:space="preserve">Anual, junto con las pruebas de continuidad</w:t>
            </w:r>
          </w:p>
        </w:tc>
      </w:tr>
    </w:tbl>
    <w:p>
      <w:pPr>
        <w:pStyle w:val="BodyText"/>
      </w:pPr>
      <w:r>
        <w:t xml:space="preserve">La revisión de suficiencia del plan la realiza un área que no lo elaboró (RNF o Auditoría Interna, según el mandato interno).</w:t>
      </w:r>
    </w:p>
    <w:bookmarkEnd w:id="70"/>
    <w:bookmarkStart w:id="71" w:name="X9fe3a3e1deca8f63bcded07ba02253a68f04258"/>
    <w:p>
      <w:pPr>
        <w:pStyle w:val="Heading3"/>
      </w:pPr>
      <w:r>
        <w:t xml:space="preserve">Información que debe mantenerse actualizada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Información</w:t>
            </w:r>
          </w:p>
        </w:tc>
        <w:tc>
          <w:tcPr/>
          <w:p>
            <w:pPr>
              <w:pStyle w:val="Compact"/>
            </w:pPr>
            <w:r>
              <w:t xml:space="preserve">Responsable</w:t>
            </w:r>
          </w:p>
        </w:tc>
      </w:tr>
      <w:tr>
        <w:tc>
          <w:tcPr/>
          <w:p>
            <w:pPr>
              <w:pStyle w:val="Compact"/>
            </w:pPr>
            <w:r>
              <w:t xml:space="preserve">Inventario de aplicaciones, workflows, workers, namespaces y dependencias</w:t>
            </w:r>
          </w:p>
        </w:tc>
        <w:tc>
          <w:tcPr/>
          <w:p>
            <w:pPr>
              <w:pStyle w:val="Compact"/>
            </w:pPr>
            <w:r>
              <w:t xml:space="preserve">Equipos de aplicación / PEVE</w:t>
            </w:r>
          </w:p>
        </w:tc>
      </w:tr>
      <w:tr>
        <w:tc>
          <w:tcPr/>
          <w:p>
            <w:pPr>
              <w:pStyle w:val="Compact"/>
            </w:pPr>
            <w:r>
              <w:t xml:space="preserve">Responsables funcionales, técnicos y aprobadores</w:t>
            </w:r>
          </w:p>
        </w:tc>
        <w:tc>
          <w:tcPr/>
          <w:p>
            <w:pPr>
              <w:pStyle w:val="Compact"/>
            </w:pPr>
            <w:r>
              <w:t xml:space="preserve">PEVE / dueños de aplicación</w:t>
            </w:r>
          </w:p>
        </w:tc>
      </w:tr>
      <w:tr>
        <w:tc>
          <w:tcPr/>
          <w:p>
            <w:pPr>
              <w:pStyle w:val="Compact"/>
            </w:pPr>
            <w:r>
              <w:t xml:space="preserve">Tiempo máximo de recuperación, pérdida máxima de información y ventanas operativas</w:t>
            </w:r>
          </w:p>
        </w:tc>
        <w:tc>
          <w:tcPr/>
          <w:p>
            <w:pPr>
              <w:pStyle w:val="Compact"/>
            </w:pPr>
            <w:r>
              <w:t xml:space="preserve">PO / Continuidad / equipo técnico</w:t>
            </w:r>
          </w:p>
        </w:tc>
      </w:tr>
      <w:tr>
        <w:tc>
          <w:tcPr/>
          <w:p>
            <w:pPr>
              <w:pStyle w:val="Compact"/>
            </w:pPr>
            <w:r>
              <w:t xml:space="preserve">Arquitectura, capacidad, accesos y controles del destino aprobado</w:t>
            </w:r>
          </w:p>
        </w:tc>
        <w:tc>
          <w:tcPr/>
          <w:p>
            <w:pPr>
              <w:pStyle w:val="Compact"/>
            </w:pPr>
            <w:r>
              <w:t xml:space="preserve">PEVE / Arquitectura / Seguridad</w:t>
            </w:r>
          </w:p>
        </w:tc>
      </w:tr>
      <w:tr>
        <w:tc>
          <w:tcPr/>
          <w:p>
            <w:pPr>
              <w:pStyle w:val="Compact"/>
            </w:pPr>
            <w:r>
              <w:t xml:space="preserve">Receta técnica, pruebas, reversa y evidencias</w:t>
            </w:r>
          </w:p>
        </w:tc>
        <w:tc>
          <w:tcPr/>
          <w:p>
            <w:pPr>
              <w:pStyle w:val="Compact"/>
            </w:pPr>
            <w:r>
              <w:t xml:space="preserve">PEVE / equipos de aplicación</w:t>
            </w:r>
          </w:p>
        </w:tc>
      </w:tr>
      <w:tr>
        <w:tc>
          <w:tcPr/>
          <w:p>
            <w:pPr>
              <w:pStyle w:val="Compact"/>
            </w:pPr>
            <w:r>
              <w:t xml:space="preserve">Calendario, esfuerzo, bloqueos y riesgos</w:t>
            </w:r>
          </w:p>
        </w:tc>
        <w:tc>
          <w:tcPr/>
          <w:p>
            <w:pPr>
              <w:pStyle w:val="Compact"/>
            </w:pPr>
            <w:r>
              <w:t xml:space="preserve">PEVE</w:t>
            </w:r>
          </w:p>
        </w:tc>
      </w:tr>
      <w:tr>
        <w:tc>
          <w:tcPr/>
          <w:p>
            <w:pPr>
              <w:pStyle w:val="Compact"/>
            </w:pPr>
            <w:r>
              <w:t xml:space="preserve">Comunicaciones contractuales y derechos de salida</w:t>
            </w:r>
          </w:p>
        </w:tc>
        <w:tc>
          <w:tcPr/>
          <w:p>
            <w:pPr>
              <w:pStyle w:val="Compact"/>
            </w:pPr>
            <w:r>
              <w:t xml:space="preserve">Legal / Compras</w:t>
            </w:r>
          </w:p>
        </w:tc>
      </w:tr>
    </w:tbl>
    <w:bookmarkEnd w:id="71"/>
    <w:bookmarkStart w:id="72" w:name="riesgo-residual"/>
    <w:p>
      <w:pPr>
        <w:pStyle w:val="Heading3"/>
      </w:pPr>
      <w:r>
        <w:t xml:space="preserve">Riesgo residual</w:t>
      </w:r>
    </w:p>
    <w:p>
      <w:pPr>
        <w:pStyle w:val="FirstParagraph"/>
      </w:pPr>
      <w:r>
        <w:t xml:space="preserve">El riesgo residual se mantiene mientras la preparación preventiva no esté completa (plataforma destino, receta, exportación de historiales, matriz de workflows) o la información operativa no se encuentre actualizada. En Self-Hosted eso incluye clúster y conexión dual. En opciones 2, 3 o 4 incluye reescritura validada en certificación y ausencia de ejecución simultánea con Cloud. Completar la fase 0 permite ejecutar el retiro ante un cese del proveedor. El resultado financiero del proveedor, por sí solo, no reduce ese residual. El residual de Self-Hosted es operar sin soporte de Temporal Technologies Inc. El residual de Durable Functions o Dapr es lock-in Azure y madurez del modelo Durable Task. El residual de Restate Cloud es la continuidad de un proveedor más joven; el de Restate Self-Managed sin Enterprise es el mismo que el OSS de Temporal.</w:t>
      </w:r>
    </w:p>
    <w:p>
      <w:pPr>
        <w:pStyle w:val="BodyText"/>
      </w:pPr>
      <w:r>
        <w:t xml:space="preserve">La versión vigente, sus actualizaciones relevantes y su cierre serán presentados a las áreas de control y a la instancia aprobadora, con trazabilidad de la revisión y de la conformidad.</w:t>
      </w:r>
    </w:p>
    <w:p>
      <w:r>
        <w:pict>
          <v:rect style="width:0;height:1.5pt" o:hralign="center" o:hrstd="t" o:hr="t"/>
        </w:pict>
      </w:r>
    </w:p>
    <w:bookmarkEnd w:id="72"/>
    <w:bookmarkEnd w:id="73"/>
    <w:bookmarkStart w:id="74" w:name="comunicación"/>
    <w:p>
      <w:pPr>
        <w:pStyle w:val="Heading2"/>
      </w:pPr>
      <w:r>
        <w:t xml:space="preserve">13. Comunicación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Momento</w:t>
            </w:r>
          </w:p>
        </w:tc>
        <w:tc>
          <w:tcPr/>
          <w:p>
            <w:pPr>
              <w:pStyle w:val="Compact"/>
            </w:pPr>
            <w:r>
              <w:t xml:space="preserve">Audiencia</w:t>
            </w:r>
          </w:p>
        </w:tc>
        <w:tc>
          <w:tcPr/>
          <w:p>
            <w:pPr>
              <w:pStyle w:val="Compact"/>
            </w:pPr>
            <w:r>
              <w:t xml:space="preserve">Mensaje</w:t>
            </w:r>
          </w:p>
        </w:tc>
        <w:tc>
          <w:tcPr/>
          <w:p>
            <w:pPr>
              <w:pStyle w:val="Compact"/>
            </w:pPr>
            <w:r>
              <w:t xml:space="preserve">Responsable</w:t>
            </w:r>
          </w:p>
        </w:tc>
      </w:tr>
      <w:tr>
        <w:tc>
          <w:tcPr/>
          <w:p>
            <w:pPr>
              <w:pStyle w:val="Compact"/>
            </w:pPr>
            <w:r>
              <w:t xml:space="preserve">Aprobación de esta versión</w:t>
            </w:r>
          </w:p>
        </w:tc>
        <w:tc>
          <w:tcPr/>
          <w:p>
            <w:pPr>
              <w:pStyle w:val="Compact"/>
            </w:pPr>
            <w:r>
              <w:t xml:space="preserve">Instancia, RNF, Arquitectura, Seguridad, Continuidad, PO APOQ y PO NREM</w:t>
            </w:r>
          </w:p>
        </w:tc>
        <w:tc>
          <w:tcPr/>
          <w:p>
            <w:pPr>
              <w:pStyle w:val="Compact"/>
            </w:pPr>
            <w:r>
              <w:t xml:space="preserve">Plan vigente. Se autoriza la fase 0. El paso 0.0 confirma el destino. No se ejecuta la migración productiva</w:t>
            </w:r>
          </w:p>
        </w:tc>
        <w:tc>
          <w:tcPr/>
          <w:p>
            <w:pPr>
              <w:pStyle w:val="Compact"/>
            </w:pPr>
            <w:r>
              <w:t xml:space="preserve">PEVE</w:t>
            </w:r>
          </w:p>
        </w:tc>
      </w:tr>
      <w:tr>
        <w:tc>
          <w:tcPr/>
          <w:p>
            <w:pPr>
              <w:pStyle w:val="Compact"/>
            </w:pPr>
            <w:r>
              <w:t xml:space="preserve">Vigilancia</w:t>
            </w:r>
          </w:p>
        </w:tc>
        <w:tc>
          <w:tcPr/>
          <w:p>
            <w:pPr>
              <w:pStyle w:val="Compact"/>
            </w:pPr>
            <w:r>
              <w:t xml:space="preserve">Las mismas áreas y los equipos de aplicación</w:t>
            </w:r>
          </w:p>
        </w:tc>
        <w:tc>
          <w:tcPr/>
          <w:p>
            <w:pPr>
              <w:pStyle w:val="Compact"/>
            </w:pPr>
            <w:r>
              <w:t xml:space="preserve">Congelar namespaces productivos nuevos en Cloud. Completar el Anexo F</w:t>
            </w:r>
          </w:p>
        </w:tc>
        <w:tc>
          <w:tcPr/>
          <w:p>
            <w:pPr>
              <w:pStyle w:val="Compact"/>
            </w:pPr>
            <w:r>
              <w:t xml:space="preserve">PEVE / RNF</w:t>
            </w:r>
          </w:p>
        </w:tc>
      </w:tr>
      <w:tr>
        <w:tc>
          <w:tcPr/>
          <w:p>
            <w:pPr>
              <w:pStyle w:val="Compact"/>
            </w:pPr>
            <w:r>
              <w:t xml:space="preserve">Activación en modo ordenado</w:t>
            </w:r>
          </w:p>
        </w:tc>
        <w:tc>
          <w:tcPr/>
          <w:p>
            <w:pPr>
              <w:pStyle w:val="Compact"/>
            </w:pPr>
            <w:r>
              <w:t xml:space="preserve">Roles de la sección 07 y mesa de cambios</w:t>
            </w:r>
          </w:p>
        </w:tc>
        <w:tc>
          <w:tcPr/>
          <w:p>
            <w:pPr>
              <w:pStyle w:val="Compact"/>
            </w:pPr>
            <w:r>
              <w:t xml:space="preserve">Cloud disponible. Conclusión de workflows abiertos. Conexión dual solo si el destino es Self-Hosted. Calendario por aplicación</w:t>
            </w:r>
          </w:p>
        </w:tc>
        <w:tc>
          <w:tcPr/>
          <w:p>
            <w:pPr>
              <w:pStyle w:val="Compact"/>
            </w:pPr>
            <w:r>
              <w:t xml:space="preserve">Instancia aprobadora y PEVE</w:t>
            </w:r>
          </w:p>
        </w:tc>
      </w:tr>
      <w:tr>
        <w:tc>
          <w:tcPr/>
          <w:p>
            <w:pPr>
              <w:pStyle w:val="Compact"/>
            </w:pPr>
            <w:r>
              <w:t xml:space="preserve">Activación en modo estresado</w:t>
            </w:r>
          </w:p>
        </w:tc>
        <w:tc>
          <w:tcPr/>
          <w:p>
            <w:pPr>
              <w:pStyle w:val="Compact"/>
            </w:pPr>
            <w:r>
              <w:t xml:space="preserve">Las mismas áreas y operaciones de APOQ y NREM</w:t>
            </w:r>
          </w:p>
        </w:tc>
        <w:tc>
          <w:tcPr/>
          <w:p>
            <w:pPr>
              <w:pStyle w:val="Compact"/>
            </w:pPr>
            <w:r>
              <w:t xml:space="preserve">Cloud no disponible. Conmutación. Conciliar contra el core. Sin reversa</w:t>
            </w:r>
          </w:p>
        </w:tc>
        <w:tc>
          <w:tcPr/>
          <w:p>
            <w:pPr>
              <w:pStyle w:val="Compact"/>
            </w:pPr>
            <w:r>
              <w:t xml:space="preserve">PEVE y Continuidad</w:t>
            </w:r>
          </w:p>
        </w:tc>
      </w:tr>
      <w:tr>
        <w:tc>
          <w:tcPr/>
          <w:p>
            <w:pPr>
              <w:pStyle w:val="Compact"/>
            </w:pPr>
            <w:r>
              <w:t xml:space="preserve">Ventana productiva</w:t>
            </w:r>
          </w:p>
        </w:tc>
        <w:tc>
          <w:tcPr/>
          <w:p>
            <w:pPr>
              <w:pStyle w:val="Compact"/>
            </w:pPr>
            <w:r>
              <w:t xml:space="preserve">PO, operaciones y soporte</w:t>
            </w:r>
          </w:p>
        </w:tc>
        <w:tc>
          <w:tcPr/>
          <w:p>
            <w:pPr>
              <w:pStyle w:val="Compact"/>
            </w:pPr>
            <w:r>
              <w:t xml:space="preserve">Qué opera en el destino, qué permanece en conclusión en Cloud y qué está en cola de excepción</w:t>
            </w:r>
          </w:p>
        </w:tc>
        <w:tc>
          <w:tcPr/>
          <w:p>
            <w:pPr>
              <w:pStyle w:val="Compact"/>
            </w:pPr>
            <w:r>
              <w:t xml:space="preserve">Equipo de aplicación</w:t>
            </w:r>
          </w:p>
        </w:tc>
      </w:tr>
      <w:tr>
        <w:tc>
          <w:tcPr/>
          <w:p>
            <w:pPr>
              <w:pStyle w:val="Compact"/>
            </w:pPr>
            <w:r>
              <w:t xml:space="preserve">Cierre</w:t>
            </w:r>
          </w:p>
        </w:tc>
        <w:tc>
          <w:tcPr/>
          <w:p>
            <w:pPr>
              <w:pStyle w:val="Compact"/>
            </w:pPr>
            <w:r>
              <w:t xml:space="preserve">Legal, Seguridad, RNF e instancia</w:t>
            </w:r>
          </w:p>
        </w:tc>
        <w:tc>
          <w:tcPr/>
          <w:p>
            <w:pPr>
              <w:pStyle w:val="Compact"/>
            </w:pPr>
            <w:r>
              <w:t xml:space="preserve">Sin dependencias activas en Cloud. Expediente del Anexo D</w:t>
            </w:r>
          </w:p>
        </w:tc>
        <w:tc>
          <w:tcPr/>
          <w:p>
            <w:pPr>
              <w:pStyle w:val="Compact"/>
            </w:pPr>
            <w:r>
              <w:t xml:space="preserve">PEVE</w:t>
            </w:r>
          </w:p>
        </w:tc>
      </w:tr>
      <w:tr>
        <w:tc>
          <w:tcPr/>
          <w:p>
            <w:pPr>
              <w:pStyle w:val="Compact"/>
            </w:pPr>
            <w:r>
              <w:t xml:space="preserve">Áreas de control y supervisor, si corresponde</w:t>
            </w:r>
          </w:p>
        </w:tc>
        <w:tc>
          <w:tcPr/>
          <w:p>
            <w:pPr>
              <w:pStyle w:val="Compact"/>
            </w:pPr>
            <w:r>
              <w:t xml:space="preserve">Según mandato interno</w:t>
            </w:r>
          </w:p>
        </w:tc>
        <w:tc>
          <w:tcPr/>
          <w:p>
            <w:pPr>
              <w:pStyle w:val="Compact"/>
            </w:pPr>
            <w:r>
              <w:t xml:space="preserve">Servicio significativo y, de ser el caso, cambio del proveedor de procesamiento</w:t>
            </w:r>
          </w:p>
        </w:tc>
        <w:tc>
          <w:tcPr/>
          <w:p>
            <w:pPr>
              <w:pStyle w:val="Compact"/>
            </w:pPr>
            <w:r>
              <w:t xml:space="preserve">Legal / RNF</w:t>
            </w:r>
          </w:p>
        </w:tc>
      </w:tr>
    </w:tbl>
    <w:p>
      <w:pPr>
        <w:pStyle w:val="BodyText"/>
      </w:pPr>
      <w:r>
        <w:t xml:space="preserve">No se requiere comunicado al cliente final: el cambio es de orquestación interna. Si APOQ o NREM afectan el servicio visible, se aplica el protocolo de incidente de la aplicación.</w:t>
      </w:r>
    </w:p>
    <w:p>
      <w:r>
        <w:pict>
          <v:rect style="width:0;height:1.5pt" o:hralign="center" o:hrstd="t" o:hr="t"/>
        </w:pict>
      </w:r>
    </w:p>
    <w:bookmarkEnd w:id="74"/>
    <w:bookmarkStart w:id="75" w:name="hoja-de-ruta-de-la-fase-0"/>
    <w:p>
      <w:pPr>
        <w:pStyle w:val="Heading2"/>
      </w:pPr>
      <w:r>
        <w:t xml:space="preserve">14. Hoja de ruta de la fase 0</w:t>
      </w:r>
    </w:p>
    <w:p>
      <w:pPr>
        <w:pStyle w:val="FirstParagraph"/>
      </w:pPr>
      <w:r>
        <w:t xml:space="preserve">El objetivo es completar el Anexo F. El orden siguiente es referencial. Las fechas las registra PEVE en el seguimiento.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Entregable</w:t>
            </w:r>
          </w:p>
        </w:tc>
        <w:tc>
          <w:tcPr/>
          <w:p>
            <w:pPr>
              <w:pStyle w:val="Compact"/>
            </w:pPr>
            <w:r>
              <w:t xml:space="preserve">Líder</w:t>
            </w:r>
          </w:p>
        </w:tc>
        <w:tc>
          <w:tcPr/>
          <w:p>
            <w:pPr>
              <w:pStyle w:val="Compact"/>
            </w:pPr>
            <w:r>
              <w:t xml:space="preserve">Depende de</w:t>
            </w:r>
          </w:p>
        </w:tc>
      </w:tr>
      <w:tr>
        <w:tc>
          <w:tcPr/>
          <w:p>
            <w:pPr>
              <w:pStyle w:val="Compact"/>
            </w:pPr>
            <w:r>
              <w:t xml:space="preserve">0.0</w:t>
            </w:r>
          </w:p>
        </w:tc>
        <w:tc>
          <w:tcPr/>
          <w:p>
            <w:pPr>
              <w:pStyle w:val="Compact"/>
            </w:pPr>
            <w:r>
              <w:t xml:space="preserve">Acta de destino: elige uno de los cuatro evaluados (Self-Hosted, Durable Functions, Dapr Workflows o Restate)</w:t>
            </w:r>
          </w:p>
        </w:tc>
        <w:tc>
          <w:tcPr/>
          <w:p>
            <w:pPr>
              <w:pStyle w:val="Compact"/>
            </w:pPr>
            <w:r>
              <w:t xml:space="preserve">Instancia / Arquitectura / Compras</w:t>
            </w:r>
          </w:p>
        </w:tc>
        <w:tc>
          <w:tcPr/>
          <w:p>
            <w:pPr>
              <w:pStyle w:val="Compact"/>
            </w:pPr>
            <w:r>
              <w:t xml:space="preserve">Aprobación del plan</w:t>
            </w:r>
          </w:p>
        </w:tc>
      </w:tr>
      <w:tr>
        <w:tc>
          <w:tcPr/>
          <w:p>
            <w:pPr>
              <w:pStyle w:val="Compact"/>
            </w:pPr>
            <w:r>
              <w:t xml:space="preserve">0.1</w:t>
            </w:r>
          </w:p>
        </w:tc>
        <w:tc>
          <w:tcPr/>
          <w:p>
            <w:pPr>
              <w:pStyle w:val="Compact"/>
            </w:pPr>
            <w:r>
              <w:t xml:space="preserve">Conformidad de la arquitectura: sección 04 si Self-Hosted; patrón Durable Functions, Dapr o Restate si 0.0 lo eligió</w:t>
            </w:r>
          </w:p>
        </w:tc>
        <w:tc>
          <w:tcPr/>
          <w:p>
            <w:pPr>
              <w:pStyle w:val="Compact"/>
            </w:pPr>
            <w:r>
              <w:t xml:space="preserve">Arquitectura / Seguridad</w:t>
            </w:r>
          </w:p>
        </w:tc>
        <w:tc>
          <w:tcPr/>
          <w:p>
            <w:pPr>
              <w:pStyle w:val="Compact"/>
            </w:pPr>
            <w:r>
              <w:t xml:space="preserve">0.0</w:t>
            </w:r>
          </w:p>
        </w:tc>
      </w:tr>
    </w:tbl>
    <w:p>
      <w:pPr>
        <w:pStyle w:val="BodyText"/>
      </w:pPr>
      <w:r>
        <w:t xml:space="preserve">Si el paso 0.0 confirma la</w:t>
      </w:r>
      <w:r>
        <w:t xml:space="preserve"> </w:t>
      </w:r>
      <w:r>
        <w:rPr>
          <w:b/>
          <w:bCs/>
        </w:rPr>
        <w:t xml:space="preserve">opción 1 (Self-Hosted)</w:t>
      </w:r>
      <w:r>
        <w:t xml:space="preserve">, siguen 0.2 a 0.10. Si confirma las</w:t>
      </w:r>
      <w:r>
        <w:t xml:space="preserve"> </w:t>
      </w:r>
      <w:r>
        <w:rPr>
          <w:b/>
          <w:bCs/>
        </w:rPr>
        <w:t xml:space="preserve">opciones 2, 3 o 4 (Durable Functions, Dapr o Restate)</w:t>
      </w:r>
      <w:r>
        <w:t xml:space="preserve">, se omiten 0.3 a 0.5 (namespaces y conexión dual) y rigen 0.2b a 0.5b, más 0.6 a 0.10.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Entregable (Self-Hosted)</w:t>
            </w:r>
          </w:p>
        </w:tc>
        <w:tc>
          <w:tcPr/>
          <w:p>
            <w:pPr>
              <w:pStyle w:val="Compact"/>
            </w:pPr>
            <w:r>
              <w:t xml:space="preserve">Líder</w:t>
            </w:r>
          </w:p>
        </w:tc>
        <w:tc>
          <w:tcPr/>
          <w:p>
            <w:pPr>
              <w:pStyle w:val="Compact"/>
            </w:pPr>
            <w:r>
              <w:t xml:space="preserve">Depende de</w:t>
            </w:r>
          </w:p>
        </w:tc>
      </w:tr>
      <w:tr>
        <w:tc>
          <w:tcPr/>
          <w:p>
            <w:pPr>
              <w:pStyle w:val="Compact"/>
            </w:pPr>
            <w:r>
              <w:t xml:space="preserve">0.2</w:t>
            </w:r>
          </w:p>
        </w:tc>
        <w:tc>
          <w:tcPr/>
          <w:p>
            <w:pPr>
              <w:pStyle w:val="Compact"/>
            </w:pPr>
            <w:r>
              <w:t xml:space="preserve">Instalación no productiva: AKS PEVE, PostgreSQL, visibilidad, Key Vault y Monitor</w:t>
            </w:r>
          </w:p>
        </w:tc>
        <w:tc>
          <w:tcPr/>
          <w:p>
            <w:pPr>
              <w:pStyle w:val="Compact"/>
            </w:pPr>
            <w:r>
              <w:t xml:space="preserve">PEVE</w:t>
            </w:r>
          </w:p>
        </w:tc>
        <w:tc>
          <w:tcPr/>
          <w:p>
            <w:pPr>
              <w:pStyle w:val="Compact"/>
            </w:pPr>
            <w:r>
              <w:t xml:space="preserve">0.1</w:t>
            </w:r>
          </w:p>
        </w:tc>
      </w:tr>
      <w:tr>
        <w:tc>
          <w:tcPr/>
          <w:p>
            <w:pPr>
              <w:pStyle w:val="Compact"/>
            </w:pPr>
            <w:r>
              <w:t xml:space="preserve">0.3</w:t>
            </w:r>
          </w:p>
        </w:tc>
        <w:tc>
          <w:tcPr/>
          <w:p>
            <w:pPr>
              <w:pStyle w:val="Compact"/>
            </w:pPr>
            <w:r>
              <w:t xml:space="preserve">Namespaces de desarrollo y certificación; red privada desde los workers</w:t>
            </w:r>
          </w:p>
        </w:tc>
        <w:tc>
          <w:tcPr/>
          <w:p>
            <w:pPr>
              <w:pStyle w:val="Compact"/>
            </w:pPr>
            <w:r>
              <w:t xml:space="preserve">PEVE y redes</w:t>
            </w:r>
          </w:p>
        </w:tc>
        <w:tc>
          <w:tcPr/>
          <w:p>
            <w:pPr>
              <w:pStyle w:val="Compact"/>
            </w:pPr>
            <w:r>
              <w:t xml:space="preserve">0.2</w:t>
            </w:r>
          </w:p>
        </w:tc>
      </w:tr>
      <w:tr>
        <w:tc>
          <w:tcPr/>
          <w:p>
            <w:pPr>
              <w:pStyle w:val="Compact"/>
            </w:pPr>
            <w:r>
              <w:t xml:space="preserve">0.4</w:t>
            </w:r>
          </w:p>
        </w:tc>
        <w:tc>
          <w:tcPr/>
          <w:p>
            <w:pPr>
              <w:pStyle w:val="Compact"/>
            </w:pPr>
            <w:r>
              <w:t xml:space="preserve">Receta de conexión dual en un namespace no crítico (ejercicio F8)</w:t>
            </w:r>
          </w:p>
        </w:tc>
        <w:tc>
          <w:tcPr/>
          <w:p>
            <w:pPr>
              <w:pStyle w:val="Compact"/>
            </w:pPr>
            <w:r>
              <w:t xml:space="preserve">PEVE y una aplicación</w:t>
            </w:r>
          </w:p>
        </w:tc>
        <w:tc>
          <w:tcPr/>
          <w:p>
            <w:pPr>
              <w:pStyle w:val="Compact"/>
            </w:pPr>
            <w:r>
              <w:t xml:space="preserve">0.3</w:t>
            </w:r>
          </w:p>
        </w:tc>
      </w:tr>
      <w:tr>
        <w:tc>
          <w:tcPr/>
          <w:p>
            <w:pPr>
              <w:pStyle w:val="Compact"/>
            </w:pPr>
            <w:r>
              <w:t xml:space="preserve">0.5</w:t>
            </w:r>
          </w:p>
        </w:tc>
        <w:tc>
          <w:tcPr/>
          <w:p>
            <w:pPr>
              <w:pStyle w:val="Compact"/>
            </w:pPr>
            <w:r>
              <w:t xml:space="preserve">Conexión dual de APOQ y NREM en desarrollo y certificación</w:t>
            </w:r>
          </w:p>
        </w:tc>
        <w:tc>
          <w:tcPr/>
          <w:p>
            <w:pPr>
              <w:pStyle w:val="Compact"/>
            </w:pPr>
            <w:r>
              <w:t xml:space="preserve">Equipos APOQ y NREM</w:t>
            </w:r>
          </w:p>
        </w:tc>
        <w:tc>
          <w:tcPr/>
          <w:p>
            <w:pPr>
              <w:pStyle w:val="Compact"/>
            </w:pPr>
            <w:r>
              <w:t xml:space="preserve">0.4</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Entregable (Durable Functions, Dapr o Restate)</w:t>
            </w:r>
          </w:p>
        </w:tc>
        <w:tc>
          <w:tcPr/>
          <w:p>
            <w:pPr>
              <w:pStyle w:val="Compact"/>
            </w:pPr>
            <w:r>
              <w:t xml:space="preserve">Líder</w:t>
            </w:r>
          </w:p>
        </w:tc>
        <w:tc>
          <w:tcPr/>
          <w:p>
            <w:pPr>
              <w:pStyle w:val="Compact"/>
            </w:pPr>
            <w:r>
              <w:t xml:space="preserve">Depende de</w:t>
            </w:r>
          </w:p>
        </w:tc>
      </w:tr>
      <w:tr>
        <w:tc>
          <w:tcPr/>
          <w:p>
            <w:pPr>
              <w:pStyle w:val="Compact"/>
            </w:pPr>
            <w:r>
              <w:t xml:space="preserve">0.2b</w:t>
            </w:r>
          </w:p>
        </w:tc>
        <w:tc>
          <w:tcPr/>
          <w:p>
            <w:pPr>
              <w:pStyle w:val="Compact"/>
            </w:pPr>
            <w:r>
              <w:t xml:space="preserve">Plataforma no productiva del destino (Scheduler / sidecars Dapr / Restate Server o Cloud) según Anexo B.4</w:t>
            </w:r>
          </w:p>
        </w:tc>
        <w:tc>
          <w:tcPr/>
          <w:p>
            <w:pPr>
              <w:pStyle w:val="Compact"/>
            </w:pPr>
            <w:r>
              <w:t xml:space="preserve">PEVE</w:t>
            </w:r>
          </w:p>
        </w:tc>
        <w:tc>
          <w:tcPr/>
          <w:p>
            <w:pPr>
              <w:pStyle w:val="Compact"/>
            </w:pPr>
            <w:r>
              <w:t xml:space="preserve">0.1</w:t>
            </w:r>
          </w:p>
        </w:tc>
      </w:tr>
      <w:tr>
        <w:tc>
          <w:tcPr/>
          <w:p>
            <w:pPr>
              <w:pStyle w:val="Compact"/>
            </w:pPr>
            <w:r>
              <w:t xml:space="preserve">0.3b</w:t>
            </w:r>
          </w:p>
        </w:tc>
        <w:tc>
          <w:tcPr/>
          <w:p>
            <w:pPr>
              <w:pStyle w:val="Compact"/>
            </w:pPr>
            <w:r>
              <w:t xml:space="preserve">Identidad, red privada y secretos del destino; sin credenciales de Cloud reutilizadas</w:t>
            </w:r>
          </w:p>
        </w:tc>
        <w:tc>
          <w:tcPr/>
          <w:p>
            <w:pPr>
              <w:pStyle w:val="Compact"/>
            </w:pPr>
            <w:r>
              <w:t xml:space="preserve">PEVE / Seguridad / redes</w:t>
            </w:r>
          </w:p>
        </w:tc>
        <w:tc>
          <w:tcPr/>
          <w:p>
            <w:pPr>
              <w:pStyle w:val="Compact"/>
            </w:pPr>
            <w:r>
              <w:t xml:space="preserve">0.2b</w:t>
            </w:r>
          </w:p>
        </w:tc>
      </w:tr>
      <w:tr>
        <w:tc>
          <w:tcPr/>
          <w:p>
            <w:pPr>
              <w:pStyle w:val="Compact"/>
            </w:pPr>
            <w:r>
              <w:t xml:space="preserve">0.4b</w:t>
            </w:r>
          </w:p>
        </w:tc>
        <w:tc>
          <w:tcPr/>
          <w:p>
            <w:pPr>
              <w:pStyle w:val="Compact"/>
            </w:pPr>
            <w:r>
              <w:t xml:space="preserve">Un flujo no crítico reescrito y probado (equivalente F8; no hay conexión dual)</w:t>
            </w:r>
          </w:p>
        </w:tc>
        <w:tc>
          <w:tcPr/>
          <w:p>
            <w:pPr>
              <w:pStyle w:val="Compact"/>
            </w:pPr>
            <w:r>
              <w:t xml:space="preserve">PEVE y una aplicación</w:t>
            </w:r>
          </w:p>
        </w:tc>
        <w:tc>
          <w:tcPr/>
          <w:p>
            <w:pPr>
              <w:pStyle w:val="Compact"/>
            </w:pPr>
            <w:r>
              <w:t xml:space="preserve">0.3b</w:t>
            </w:r>
          </w:p>
        </w:tc>
      </w:tr>
      <w:tr>
        <w:tc>
          <w:tcPr/>
          <w:p>
            <w:pPr>
              <w:pStyle w:val="Compact"/>
            </w:pPr>
            <w:r>
              <w:t xml:space="preserve">0.5b</w:t>
            </w:r>
          </w:p>
        </w:tc>
        <w:tc>
          <w:tcPr/>
          <w:p>
            <w:pPr>
              <w:pStyle w:val="Compact"/>
            </w:pPr>
            <w:r>
              <w:t xml:space="preserve">APOQ y NREM reescritos en desarrollo y certificación, sin ejecución simultánea con Cloud</w:t>
            </w:r>
          </w:p>
        </w:tc>
        <w:tc>
          <w:tcPr/>
          <w:p>
            <w:pPr>
              <w:pStyle w:val="Compact"/>
            </w:pPr>
            <w:r>
              <w:t xml:space="preserve">Equipos APOQ y NREM</w:t>
            </w:r>
          </w:p>
        </w:tc>
        <w:tc>
          <w:tcPr/>
          <w:p>
            <w:pPr>
              <w:pStyle w:val="Compact"/>
            </w:pPr>
            <w:r>
              <w:t xml:space="preserve">0.4b</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Entregable (ambos destinos)</w:t>
            </w:r>
          </w:p>
        </w:tc>
        <w:tc>
          <w:tcPr/>
          <w:p>
            <w:pPr>
              <w:pStyle w:val="Compact"/>
            </w:pPr>
            <w:r>
              <w:t xml:space="preserve">Líder</w:t>
            </w:r>
          </w:p>
        </w:tc>
        <w:tc>
          <w:tcPr/>
          <w:p>
            <w:pPr>
              <w:pStyle w:val="Compact"/>
            </w:pPr>
            <w:r>
              <w:t xml:space="preserve">Depende de</w:t>
            </w:r>
          </w:p>
        </w:tc>
      </w:tr>
      <w:tr>
        <w:tc>
          <w:tcPr/>
          <w:p>
            <w:pPr>
              <w:pStyle w:val="Compact"/>
            </w:pPr>
            <w:r>
              <w:t xml:space="preserve">0.6</w:t>
            </w:r>
          </w:p>
        </w:tc>
        <w:tc>
          <w:tcPr/>
          <w:p>
            <w:pPr>
              <w:pStyle w:val="Compact"/>
            </w:pPr>
            <w:r>
              <w:t xml:space="preserve">Exportación de Cloud hacia Blob, mientras Cloud responda</w:t>
            </w:r>
          </w:p>
        </w:tc>
        <w:tc>
          <w:tcPr/>
          <w:p>
            <w:pPr>
              <w:pStyle w:val="Compact"/>
            </w:pPr>
            <w:r>
              <w:t xml:space="preserve">PEVE / Seguridad</w:t>
            </w:r>
          </w:p>
        </w:tc>
        <w:tc>
          <w:tcPr/>
          <w:p>
            <w:pPr>
              <w:pStyle w:val="Compact"/>
            </w:pPr>
            <w:r>
              <w:t xml:space="preserve">0.2 o 0.2b</w:t>
            </w:r>
          </w:p>
        </w:tc>
      </w:tr>
      <w:tr>
        <w:tc>
          <w:tcPr/>
          <w:p>
            <w:pPr>
              <w:pStyle w:val="Compact"/>
            </w:pPr>
            <w:r>
              <w:t xml:space="preserve">0.7</w:t>
            </w:r>
          </w:p>
        </w:tc>
        <w:tc>
          <w:tcPr/>
          <w:p>
            <w:pPr>
              <w:pStyle w:val="Compact"/>
            </w:pPr>
            <w:r>
              <w:t xml:space="preserve">Instalación productiva del destino: alta disponibilidad, respaldo, restauración ensayada y capacidad para APOQ y NREM</w:t>
            </w:r>
          </w:p>
        </w:tc>
        <w:tc>
          <w:tcPr/>
          <w:p>
            <w:pPr>
              <w:pStyle w:val="Compact"/>
            </w:pPr>
            <w:r>
              <w:t xml:space="preserve">PEVE</w:t>
            </w:r>
          </w:p>
        </w:tc>
        <w:tc>
          <w:tcPr/>
          <w:p>
            <w:pPr>
              <w:pStyle w:val="Compact"/>
            </w:pPr>
            <w:r>
              <w:t xml:space="preserve">0.5 o 0.5b, y 0.6</w:t>
            </w:r>
          </w:p>
        </w:tc>
      </w:tr>
      <w:tr>
        <w:tc>
          <w:tcPr/>
          <w:p>
            <w:pPr>
              <w:pStyle w:val="Compact"/>
            </w:pPr>
            <w:r>
              <w:t xml:space="preserve">0.8</w:t>
            </w:r>
          </w:p>
        </w:tc>
        <w:tc>
          <w:tcPr/>
          <w:p>
            <w:pPr>
              <w:pStyle w:val="Compact"/>
            </w:pPr>
            <w:r>
              <w:t xml:space="preserve">Anexo C firmado con nombres reales, y tiempos de recuperación vigentes</w:t>
            </w:r>
          </w:p>
        </w:tc>
        <w:tc>
          <w:tcPr/>
          <w:p>
            <w:pPr>
              <w:pStyle w:val="Compact"/>
            </w:pPr>
            <w:r>
              <w:t xml:space="preserve">PO y Continuidad</w:t>
            </w:r>
          </w:p>
        </w:tc>
        <w:tc>
          <w:tcPr/>
          <w:p>
            <w:pPr>
              <w:pStyle w:val="Compact"/>
            </w:pPr>
            <w:r>
              <w:t xml:space="preserve">0.5 o 0.5b</w:t>
            </w:r>
          </w:p>
        </w:tc>
      </w:tr>
      <w:tr>
        <w:tc>
          <w:tcPr/>
          <w:p>
            <w:pPr>
              <w:pStyle w:val="Compact"/>
            </w:pPr>
            <w:r>
              <w:t xml:space="preserve">0.9</w:t>
            </w:r>
          </w:p>
        </w:tc>
        <w:tc>
          <w:tcPr/>
          <w:p>
            <w:pPr>
              <w:pStyle w:val="Compact"/>
            </w:pPr>
            <w:r>
              <w:t xml:space="preserve">Ejercicio de mesa “Cloud no responde” con APOQ y NREM (F9)</w:t>
            </w:r>
          </w:p>
        </w:tc>
        <w:tc>
          <w:tcPr/>
          <w:p>
            <w:pPr>
              <w:pStyle w:val="Compact"/>
            </w:pPr>
            <w:r>
              <w:t xml:space="preserve">PEVE y Continuidad</w:t>
            </w:r>
          </w:p>
        </w:tc>
        <w:tc>
          <w:tcPr/>
          <w:p>
            <w:pPr>
              <w:pStyle w:val="Compact"/>
            </w:pPr>
            <w:r>
              <w:t xml:space="preserve">0.7 y 0.8</w:t>
            </w:r>
          </w:p>
        </w:tc>
      </w:tr>
      <w:tr>
        <w:tc>
          <w:tcPr/>
          <w:p>
            <w:pPr>
              <w:pStyle w:val="Compact"/>
            </w:pPr>
            <w:r>
              <w:t xml:space="preserve">0.10</w:t>
            </w:r>
          </w:p>
        </w:tc>
        <w:tc>
          <w:tcPr/>
          <w:p>
            <w:pPr>
              <w:pStyle w:val="Compact"/>
            </w:pPr>
            <w:r>
              <w:t xml:space="preserve">Inventario A con antigüedad no mayor a 90 días, contrato localizado e instancia informada (F10 a F12)</w:t>
            </w:r>
          </w:p>
        </w:tc>
        <w:tc>
          <w:tcPr/>
          <w:p>
            <w:pPr>
              <w:pStyle w:val="Compact"/>
            </w:pPr>
            <w:r>
              <w:t xml:space="preserve">PEVE / Legal</w:t>
            </w:r>
          </w:p>
        </w:tc>
        <w:tc>
          <w:tcPr/>
          <w:p>
            <w:pPr>
              <w:pStyle w:val="Compact"/>
            </w:pPr>
            <w:r>
              <w:t xml:space="preserve">0.9</w:t>
            </w:r>
          </w:p>
        </w:tc>
      </w:tr>
    </w:tbl>
    <w:p>
      <w:pPr>
        <w:pStyle w:val="BodyText"/>
      </w:pPr>
      <w:r>
        <w:t xml:space="preserve">Al completar el paso 0.10, la plataforma objetivo queda lista para recibir las aplicaciones. La migración productiva sigue reservada a la activación descrita en la sección 06. Un destino opción 2, 3 o 4 alarga la fase 0: la reescritura de APOQ y NREM no cabe en el calendario de un solo cambio de endpoint.</w:t>
      </w:r>
    </w:p>
    <w:p>
      <w:r>
        <w:pict>
          <v:rect style="width:0;height:1.5pt" o:hralign="center" o:hrstd="t" o:hr="t"/>
        </w:pict>
      </w:r>
    </w:p>
    <w:bookmarkEnd w:id="75"/>
    <w:bookmarkStart w:id="76" w:name="glosario"/>
    <w:p>
      <w:pPr>
        <w:pStyle w:val="Heading2"/>
      </w:pPr>
      <w:r>
        <w:t xml:space="preserve">15. 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Significado en este plan</w:t>
            </w:r>
          </w:p>
        </w:tc>
      </w:tr>
      <w:tr>
        <w:tc>
          <w:tcPr/>
          <w:p>
            <w:pPr>
              <w:pStyle w:val="Compact"/>
            </w:pPr>
            <w:r>
              <w:t xml:space="preserve">Temporal Cloud</w:t>
            </w:r>
          </w:p>
        </w:tc>
        <w:tc>
          <w:tcPr/>
          <w:p>
            <w:pPr>
              <w:pStyle w:val="Compact"/>
            </w:pPr>
            <w:r>
              <w:t xml:space="preserve">Servicio gestionado de Temporal Technologies Inc.</w:t>
            </w:r>
          </w:p>
        </w:tc>
      </w:tr>
      <w:tr>
        <w:tc>
          <w:tcPr/>
          <w:p>
            <w:pPr>
              <w:pStyle w:val="Compact"/>
            </w:pPr>
            <w:r>
              <w:t xml:space="preserve">Self-Hosted</w:t>
            </w:r>
          </w:p>
        </w:tc>
        <w:tc>
          <w:tcPr/>
          <w:p>
            <w:pPr>
              <w:pStyle w:val="Compact"/>
            </w:pPr>
            <w:r>
              <w:t xml:space="preserve">Servidor Temporal de código abierto operado por el Banco en Azure AKS. Opción 1 de las cuatro evaluadas. Sin soporte de Temporal Technologies Inc.</w:t>
            </w:r>
          </w:p>
        </w:tc>
      </w:tr>
      <w:tr>
        <w:tc>
          <w:tcPr/>
          <w:p>
            <w:pPr>
              <w:pStyle w:val="Compact"/>
            </w:pPr>
            <w:r>
              <w:t xml:space="preserve">Durable Functions</w:t>
            </w:r>
          </w:p>
        </w:tc>
        <w:tc>
          <w:tcPr/>
          <w:p>
            <w:pPr>
              <w:pStyle w:val="Compact"/>
            </w:pPr>
            <w:r>
              <w:t xml:space="preserve">Opción 2. Orquestación Azure (Durable Task Scheduler o Durable Task SDK). Soporte Microsoft</w:t>
            </w:r>
          </w:p>
        </w:tc>
      </w:tr>
      <w:tr>
        <w:tc>
          <w:tcPr/>
          <w:p>
            <w:pPr>
              <w:pStyle w:val="Compact"/>
            </w:pPr>
            <w:r>
              <w:t xml:space="preserve">Dapr Workflows</w:t>
            </w:r>
          </w:p>
        </w:tc>
        <w:tc>
          <w:tcPr/>
          <w:p>
            <w:pPr>
              <w:pStyle w:val="Compact"/>
            </w:pPr>
            <w:r>
              <w:t xml:space="preserve">Opción 3. Ejecución durable en código sobre sidecars en AKS. Soporte Microsoft / extensión Dapr</w:t>
            </w:r>
          </w:p>
        </w:tc>
      </w:tr>
      <w:tr>
        <w:tc>
          <w:tcPr/>
          <w:p>
            <w:pPr>
              <w:pStyle w:val="Compact"/>
            </w:pPr>
            <w:r>
              <w:t xml:space="preserve">Restate</w:t>
            </w:r>
          </w:p>
        </w:tc>
        <w:tc>
          <w:tcPr/>
          <w:p>
            <w:pPr>
              <w:pStyle w:val="Compact"/>
            </w:pPr>
            <w:r>
              <w:t xml:space="preserve">Opción 4. Motor de ejecución durable en código. Restate Cloud Enterprise o Self-Managed en AKS</w:t>
            </w:r>
          </w:p>
        </w:tc>
      </w:tr>
      <w:tr>
        <w:tc>
          <w:tcPr/>
          <w:p>
            <w:pPr>
              <w:pStyle w:val="Compact"/>
            </w:pPr>
            <w:r>
              <w:t xml:space="preserve">PEVE</w:t>
            </w:r>
          </w:p>
        </w:tc>
        <w:tc>
          <w:tcPr/>
          <w:p>
            <w:pPr>
              <w:pStyle w:val="Compact"/>
            </w:pPr>
            <w:r>
              <w:t xml:space="preserve">Frente que gobierna el plan y opera el control plane</w:t>
            </w:r>
          </w:p>
        </w:tc>
      </w:tr>
      <w:tr>
        <w:tc>
          <w:tcPr/>
          <w:p>
            <w:pPr>
              <w:pStyle w:val="Compact"/>
            </w:pPr>
            <w:r>
              <w:t xml:space="preserve">Vigilancia</w:t>
            </w:r>
          </w:p>
        </w:tc>
        <w:tc>
          <w:tcPr/>
          <w:p>
            <w:pPr>
              <w:pStyle w:val="Compact"/>
            </w:pPr>
            <w:r>
              <w:t xml:space="preserve">Seguimiento de la continuidad del proveedor, sin iniciar la migración productiva</w:t>
            </w:r>
          </w:p>
        </w:tc>
      </w:tr>
      <w:tr>
        <w:tc>
          <w:tcPr/>
          <w:p>
            <w:pPr>
              <w:pStyle w:val="Compact"/>
            </w:pPr>
            <w:r>
              <w:t xml:space="preserve">Activación</w:t>
            </w:r>
          </w:p>
        </w:tc>
        <w:tc>
          <w:tcPr/>
          <w:p>
            <w:pPr>
              <w:pStyle w:val="Compact"/>
            </w:pPr>
            <w:r>
              <w:t xml:space="preserve">Orden de ejecutar el retiro en modo ordenado o estresado</w:t>
            </w:r>
          </w:p>
        </w:tc>
      </w:tr>
      <w:tr>
        <w:tc>
          <w:tcPr/>
          <w:p>
            <w:pPr>
              <w:pStyle w:val="Compact"/>
            </w:pPr>
            <w:r>
              <w:t xml:space="preserve">Destino aprobado</w:t>
            </w:r>
          </w:p>
        </w:tc>
        <w:tc>
          <w:tcPr/>
          <w:p>
            <w:pPr>
              <w:pStyle w:val="Compact"/>
            </w:pPr>
            <w:r>
              <w:t xml:space="preserve">El elegido por el paso 0.0: Self-Hosted, Durable Functions, Dapr Workflows o Restate</w:t>
            </w:r>
          </w:p>
        </w:tc>
      </w:tr>
      <w:tr>
        <w:tc>
          <w:tcPr/>
          <w:p>
            <w:pPr>
              <w:pStyle w:val="Compact"/>
            </w:pPr>
            <w:r>
              <w:t xml:space="preserve">Conexión dual</w:t>
            </w:r>
          </w:p>
        </w:tc>
        <w:tc>
          <w:tcPr/>
          <w:p>
            <w:pPr>
              <w:pStyle w:val="Compact"/>
            </w:pPr>
            <w:r>
              <w:t xml:space="preserve">Solo si el destino es Self-Hosted. Mismo worker o cliente con dos endpoints Temporal. Un solo clúster activo por ejecución. No aplica a opciones 2, 3 ni 4</w:t>
            </w:r>
          </w:p>
        </w:tc>
      </w:tr>
      <w:tr>
        <w:tc>
          <w:tcPr/>
          <w:p>
            <w:pPr>
              <w:pStyle w:val="Compact"/>
            </w:pPr>
            <w:r>
              <w:t xml:space="preserve">Conclusión en Cloud</w:t>
            </w:r>
          </w:p>
        </w:tc>
        <w:tc>
          <w:tcPr/>
          <w:p>
            <w:pPr>
              <w:pStyle w:val="Compact"/>
            </w:pPr>
            <w:r>
              <w:t xml:space="preserve">Dejar terminar en Cloud los workflows cortos ya abiertos</w:t>
            </w:r>
          </w:p>
        </w:tc>
      </w:tr>
      <w:tr>
        <w:tc>
          <w:tcPr/>
          <w:p>
            <w:pPr>
              <w:pStyle w:val="Compact"/>
            </w:pPr>
            <w:r>
              <w:t xml:space="preserve">Traslado de estado</w:t>
            </w:r>
          </w:p>
        </w:tc>
        <w:tc>
          <w:tcPr/>
          <w:p>
            <w:pPr>
              <w:pStyle w:val="Compact"/>
            </w:pPr>
            <w:r>
              <w:t xml:space="preserve">Pasar el estado de una ejecución larga a una nueva ejecución en Self-Hosted</w:t>
            </w:r>
          </w:p>
        </w:tc>
      </w:tr>
      <w:tr>
        <w:tc>
          <w:tcPr/>
          <w:p>
            <w:pPr>
              <w:pStyle w:val="Compact"/>
            </w:pPr>
            <w:r>
              <w:t xml:space="preserve">Reapertura desde negocio</w:t>
            </w:r>
          </w:p>
        </w:tc>
        <w:tc>
          <w:tcPr/>
          <w:p>
            <w:pPr>
              <w:pStyle w:val="Compact"/>
            </w:pPr>
            <w:r>
              <w:t xml:space="preserve">Reabrir desde el core, outbox o colas, no desde el historial de Cloud</w:t>
            </w:r>
          </w:p>
        </w:tc>
      </w:tr>
      <w:tr>
        <w:tc>
          <w:tcPr/>
          <w:p>
            <w:pPr>
              <w:pStyle w:val="Compact"/>
            </w:pPr>
            <w:r>
              <w:t xml:space="preserve">Ejecución simultánea</w:t>
            </w:r>
          </w:p>
        </w:tc>
        <w:tc>
          <w:tcPr/>
          <w:p>
            <w:pPr>
              <w:pStyle w:val="Compact"/>
            </w:pPr>
            <w:r>
              <w:t xml:space="preserve">El mismo workflow o schedule activo en ambos clústeres. No está permitida</w:t>
            </w:r>
          </w:p>
        </w:tc>
      </w:tr>
      <w:tr>
        <w:tc>
          <w:tcPr/>
          <w:p>
            <w:pPr>
              <w:pStyle w:val="Compact"/>
            </w:pPr>
            <w:r>
              <w:t xml:space="preserve">Efecto de negocio</w:t>
            </w:r>
          </w:p>
        </w:tc>
        <w:tc>
          <w:tcPr/>
          <w:p>
            <w:pPr>
              <w:pStyle w:val="Compact"/>
            </w:pPr>
            <w:r>
              <w:t xml:space="preserve">Resultado no reversible (cargo, abono, remesa, liquidación interbancaria)</w:t>
            </w:r>
          </w:p>
        </w:tc>
      </w:tr>
      <w:tr>
        <w:tc>
          <w:tcPr/>
          <w:p>
            <w:pPr>
              <w:pStyle w:val="Compact"/>
            </w:pPr>
            <w:r>
              <w:t xml:space="preserve">Fase 0</w:t>
            </w:r>
          </w:p>
        </w:tc>
        <w:tc>
          <w:tcPr/>
          <w:p>
            <w:pPr>
              <w:pStyle w:val="Compact"/>
            </w:pPr>
            <w:r>
              <w:t xml:space="preserve">Preparación preventiva. Condición para declarar el plan operativo</w:t>
            </w:r>
          </w:p>
        </w:tc>
      </w:tr>
    </w:tbl>
    <w:p>
      <w:r>
        <w:pict>
          <v:rect style="width:0;height:1.5pt" o:hralign="center" o:hrstd="t" o:hr="t"/>
        </w:pict>
      </w:r>
    </w:p>
    <w:bookmarkEnd w:id="76"/>
    <w:bookmarkStart w:id="77" w:name="anexo-a.-inventario-operativo"/>
    <w:p>
      <w:pPr>
        <w:pStyle w:val="Heading2"/>
      </w:pPr>
      <w:r>
        <w:t xml:space="preserve">Anexo A. Inventario operativo</w:t>
      </w:r>
    </w:p>
    <w:p>
      <w:pPr>
        <w:pStyle w:val="FirstParagraph"/>
      </w:pPr>
      <w:r>
        <w:t xml:space="preserve">PEVE consolida. Cada equipo de aplicación completa y firma su fila. Los namespaces siguen el patrón de código de aplicación y ambiente, salvo que el inventario real documente una excepción.</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Aplicación</w:t>
            </w:r>
          </w:p>
        </w:tc>
        <w:tc>
          <w:tcPr/>
          <w:p>
            <w:pPr>
              <w:pStyle w:val="Compact"/>
            </w:pPr>
            <w:r>
              <w:t xml:space="preserve">Namespace Cloud (esperado)</w:t>
            </w:r>
          </w:p>
        </w:tc>
        <w:tc>
          <w:tcPr/>
          <w:p>
            <w:pPr>
              <w:pStyle w:val="Compact"/>
            </w:pPr>
            <w:r>
              <w:t xml:space="preserve">Namespace Self-Hosted</w:t>
            </w:r>
          </w:p>
        </w:tc>
        <w:tc>
          <w:tcPr/>
          <w:p>
            <w:pPr>
              <w:pStyle w:val="Compact"/>
            </w:pPr>
            <w:r>
              <w:t xml:space="preserve">Ambiente</w:t>
            </w:r>
          </w:p>
        </w:tc>
        <w:tc>
          <w:tcPr/>
          <w:p>
            <w:pPr>
              <w:pStyle w:val="Compact"/>
            </w:pPr>
            <w:r>
              <w:t xml:space="preserve">Workers (AKS)</w:t>
            </w:r>
          </w:p>
        </w:tc>
        <w:tc>
          <w:tcPr/>
          <w:p>
            <w:pPr>
              <w:pStyle w:val="Compact"/>
            </w:pPr>
            <w:r>
              <w:t xml:space="preserve">Efectos de negocio no reversibles</w:t>
            </w:r>
          </w:p>
        </w:tc>
        <w:tc>
          <w:tcPr/>
          <w:p>
            <w:pPr>
              <w:pStyle w:val="Compact"/>
            </w:pPr>
            <w:r>
              <w:t xml:space="preserve">RTO</w:t>
            </w:r>
          </w:p>
        </w:tc>
        <w:tc>
          <w:tcPr/>
          <w:p>
            <w:pPr>
              <w:pStyle w:val="Compact"/>
            </w:pPr>
            <w:r>
              <w:t xml:space="preserve">RPO</w:t>
            </w:r>
          </w:p>
        </w:tc>
        <w:tc>
          <w:tcPr/>
          <w:p>
            <w:pPr>
              <w:pStyle w:val="Compact"/>
            </w:pPr>
            <w:r>
              <w:t xml:space="preserve">Responsable técnico</w:t>
            </w:r>
          </w:p>
        </w:tc>
        <w:tc>
          <w:tcPr/>
          <w:p>
            <w:pPr>
              <w:pStyle w:val="Compact"/>
            </w:pPr>
            <w:r>
              <w:t xml:space="preserve">PO</w:t>
            </w:r>
          </w:p>
        </w:tc>
      </w:tr>
      <w:tr>
        <w:tc>
          <w:tcPr/>
          <w:p>
            <w:pPr>
              <w:pStyle w:val="Compact"/>
            </w:pPr>
            <w:r>
              <w:t xml:space="preserve">APOQ</w:t>
            </w:r>
          </w:p>
        </w:tc>
        <w:tc>
          <w:tcPr/>
          <w:p>
            <w:pPr>
              <w:pStyle w:val="Compact"/>
            </w:pPr>
            <w:r>
              <w:t xml:space="preserve">apoq-prod</w:t>
            </w:r>
          </w:p>
        </w:tc>
        <w:tc>
          <w:tcPr/>
          <w:p>
            <w:pPr>
              <w:pStyle w:val="Compact"/>
            </w:pPr>
            <w:r>
              <w:t xml:space="preserve">apoq-prod</w:t>
            </w:r>
          </w:p>
        </w:tc>
        <w:tc>
          <w:tcPr/>
          <w:p>
            <w:pPr>
              <w:pStyle w:val="Compact"/>
            </w:pPr>
            <w:r>
              <w:t xml:space="preserve">Producción</w:t>
            </w:r>
          </w:p>
        </w:tc>
        <w:tc>
          <w:tcPr/>
          <w:p>
            <w:pPr>
              <w:pStyle w:val="Compact"/>
            </w:pPr>
            <w:r>
              <w:t xml:space="preserve">Clúster AKS del Banco; endpoint a actualizar</w:t>
            </w:r>
          </w:p>
        </w:tc>
        <w:tc>
          <w:tcPr/>
          <w:p>
            <w:pPr>
              <w:pStyle w:val="Compact"/>
            </w:pPr>
            <w:r>
              <w:t xml:space="preserve">Débito, crédito, compensación</w:t>
            </w:r>
          </w:p>
        </w:tc>
        <w:tc>
          <w:tcPr/>
          <w:p>
            <w:pPr>
              <w:pStyle w:val="Compact"/>
            </w:pPr>
            <w:r>
              <w:rPr>
                <w:i/>
                <w:iCs/>
              </w:rPr>
              <w:t xml:space="preserve">PO / Continuidad</w:t>
            </w:r>
          </w:p>
        </w:tc>
        <w:tc>
          <w:tcPr/>
          <w:p>
            <w:pPr>
              <w:pStyle w:val="Compact"/>
            </w:pPr>
            <w:r>
              <w:rPr>
                <w:i/>
                <w:iCs/>
              </w:rPr>
              <w:t xml:space="preserve">PO / Continuidad</w:t>
            </w:r>
          </w:p>
        </w:tc>
        <w:tc>
          <w:tcPr/>
          <w:p>
            <w:pPr>
              <w:pStyle w:val="Compact"/>
            </w:pPr>
            <w:r>
              <w:rPr>
                <w:i/>
                <w:iCs/>
              </w:rPr>
              <w:t xml:space="preserve">equipo APOQ</w:t>
            </w:r>
          </w:p>
        </w:tc>
        <w:tc>
          <w:tcPr/>
          <w:p>
            <w:pPr>
              <w:pStyle w:val="Compact"/>
            </w:pPr>
            <w:r>
              <w:rPr>
                <w:i/>
                <w:iCs/>
              </w:rPr>
              <w:t xml:space="preserve">PO APOQ</w:t>
            </w:r>
          </w:p>
        </w:tc>
      </w:tr>
      <w:tr>
        <w:tc>
          <w:tcPr/>
          <w:p>
            <w:pPr>
              <w:pStyle w:val="Compact"/>
            </w:pPr>
            <w:r>
              <w:t xml:space="preserve">APOQ</w:t>
            </w:r>
          </w:p>
        </w:tc>
        <w:tc>
          <w:tcPr/>
          <w:p>
            <w:pPr>
              <w:pStyle w:val="Compact"/>
            </w:pPr>
            <w:r>
              <w:t xml:space="preserve">apoq-cert / apoq-dev</w:t>
            </w:r>
          </w:p>
        </w:tc>
        <w:tc>
          <w:tcPr/>
          <w:p>
            <w:pPr>
              <w:pStyle w:val="Compact"/>
            </w:pPr>
            <w:r>
              <w:t xml:space="preserve">apoq-cert / apoq-dev</w:t>
            </w:r>
          </w:p>
        </w:tc>
        <w:tc>
          <w:tcPr/>
          <w:p>
            <w:pPr>
              <w:pStyle w:val="Compact"/>
            </w:pPr>
            <w:r>
              <w:t xml:space="preserve">Certificación / desarrollo</w:t>
            </w:r>
          </w:p>
        </w:tc>
        <w:tc>
          <w:tcPr/>
          <w:p>
            <w:pPr>
              <w:pStyle w:val="Compact"/>
            </w:pPr>
            <w:r>
              <w:t xml:space="preserve">Igual</w:t>
            </w:r>
          </w:p>
        </w:tc>
        <w:tc>
          <w:tcPr/>
          <w:p>
            <w:pPr>
              <w:pStyle w:val="Compact"/>
            </w:pPr>
            <w:r>
              <w:t xml:space="preserve">Igual (datos no productivos)</w:t>
            </w:r>
          </w:p>
        </w:tc>
        <w:tc>
          <w:tcPr/>
          <w:p>
            <w:pPr>
              <w:pStyle w:val="Compact"/>
            </w:pPr>
            <w:r>
              <w:t xml:space="preserve">No aplica a cliente</w:t>
            </w:r>
          </w:p>
        </w:tc>
        <w:tc>
          <w:tcPr/>
          <w:p>
            <w:pPr>
              <w:pStyle w:val="Compact"/>
            </w:pPr>
            <w:r>
              <w:t xml:space="preserve">No aplica a cliente</w:t>
            </w:r>
          </w:p>
        </w:tc>
        <w:tc>
          <w:tcPr/>
          <w:p>
            <w:pPr>
              <w:pStyle w:val="Compact"/>
            </w:pPr>
            <w:r>
              <w:rPr>
                <w:i/>
                <w:iCs/>
              </w:rPr>
              <w:t xml:space="preserve">equipo APOQ</w:t>
            </w:r>
          </w:p>
        </w:tc>
        <w:tc>
          <w:tcPr/>
          <w:p>
            <w:pPr>
              <w:pStyle w:val="Compact"/>
            </w:pPr>
            <w:r>
              <w:rPr>
                <w:i/>
                <w:iCs/>
              </w:rPr>
              <w:t xml:space="preserve">PO APOQ</w:t>
            </w:r>
          </w:p>
        </w:tc>
      </w:tr>
      <w:tr>
        <w:tc>
          <w:tcPr/>
          <w:p>
            <w:pPr>
              <w:pStyle w:val="Compact"/>
            </w:pPr>
            <w:r>
              <w:t xml:space="preserve">NREM</w:t>
            </w:r>
          </w:p>
        </w:tc>
        <w:tc>
          <w:tcPr/>
          <w:p>
            <w:pPr>
              <w:pStyle w:val="Compact"/>
            </w:pPr>
            <w:r>
              <w:t xml:space="preserve">nrem-prod</w:t>
            </w:r>
          </w:p>
        </w:tc>
        <w:tc>
          <w:tcPr/>
          <w:p>
            <w:pPr>
              <w:pStyle w:val="Compact"/>
            </w:pPr>
            <w:r>
              <w:t xml:space="preserve">nrem-prod</w:t>
            </w:r>
          </w:p>
        </w:tc>
        <w:tc>
          <w:tcPr/>
          <w:p>
            <w:pPr>
              <w:pStyle w:val="Compact"/>
            </w:pPr>
            <w:r>
              <w:t xml:space="preserve">Producción</w:t>
            </w:r>
          </w:p>
        </w:tc>
        <w:tc>
          <w:tcPr/>
          <w:p>
            <w:pPr>
              <w:pStyle w:val="Compact"/>
            </w:pPr>
            <w:r>
              <w:t xml:space="preserve">Clúster AKS del Banco; endpoint a actualizar</w:t>
            </w:r>
          </w:p>
        </w:tc>
        <w:tc>
          <w:tcPr/>
          <w:p>
            <w:pPr>
              <w:pStyle w:val="Compact"/>
            </w:pPr>
            <w:r>
              <w:t xml:space="preserve">Emisión y recepción de remesa</w:t>
            </w:r>
          </w:p>
        </w:tc>
        <w:tc>
          <w:tcPr/>
          <w:p>
            <w:pPr>
              <w:pStyle w:val="Compact"/>
            </w:pPr>
            <w:r>
              <w:rPr>
                <w:i/>
                <w:iCs/>
              </w:rPr>
              <w:t xml:space="preserve">PO / Continuidad</w:t>
            </w:r>
          </w:p>
        </w:tc>
        <w:tc>
          <w:tcPr/>
          <w:p>
            <w:pPr>
              <w:pStyle w:val="Compact"/>
            </w:pPr>
            <w:r>
              <w:rPr>
                <w:i/>
                <w:iCs/>
              </w:rPr>
              <w:t xml:space="preserve">PO / Continuidad</w:t>
            </w:r>
          </w:p>
        </w:tc>
        <w:tc>
          <w:tcPr/>
          <w:p>
            <w:pPr>
              <w:pStyle w:val="Compact"/>
            </w:pPr>
            <w:r>
              <w:rPr>
                <w:i/>
                <w:iCs/>
              </w:rPr>
              <w:t xml:space="preserve">equipo NREM</w:t>
            </w:r>
          </w:p>
        </w:tc>
        <w:tc>
          <w:tcPr/>
          <w:p>
            <w:pPr>
              <w:pStyle w:val="Compact"/>
            </w:pPr>
            <w:r>
              <w:rPr>
                <w:i/>
                <w:iCs/>
              </w:rPr>
              <w:t xml:space="preserve">PO NREM</w:t>
            </w:r>
          </w:p>
        </w:tc>
      </w:tr>
      <w:tr>
        <w:tc>
          <w:tcPr/>
          <w:p>
            <w:pPr>
              <w:pStyle w:val="Compact"/>
            </w:pPr>
            <w:r>
              <w:t xml:space="preserve">NREM</w:t>
            </w:r>
          </w:p>
        </w:tc>
        <w:tc>
          <w:tcPr/>
          <w:p>
            <w:pPr>
              <w:pStyle w:val="Compact"/>
            </w:pPr>
            <w:r>
              <w:t xml:space="preserve">nrem-cert / nrem-dev</w:t>
            </w:r>
          </w:p>
        </w:tc>
        <w:tc>
          <w:tcPr/>
          <w:p>
            <w:pPr>
              <w:pStyle w:val="Compact"/>
            </w:pPr>
            <w:r>
              <w:t xml:space="preserve">nrem-cert / nrem-dev</w:t>
            </w:r>
          </w:p>
        </w:tc>
        <w:tc>
          <w:tcPr/>
          <w:p>
            <w:pPr>
              <w:pStyle w:val="Compact"/>
            </w:pPr>
            <w:r>
              <w:t xml:space="preserve">Certificación / desarrollo</w:t>
            </w:r>
          </w:p>
        </w:tc>
        <w:tc>
          <w:tcPr/>
          <w:p>
            <w:pPr>
              <w:pStyle w:val="Compact"/>
            </w:pPr>
            <w:r>
              <w:t xml:space="preserve">Igual</w:t>
            </w:r>
          </w:p>
        </w:tc>
        <w:tc>
          <w:tcPr/>
          <w:p>
            <w:pPr>
              <w:pStyle w:val="Compact"/>
            </w:pPr>
            <w:r>
              <w:t xml:space="preserve">Igual (datos no productivos)</w:t>
            </w:r>
          </w:p>
        </w:tc>
        <w:tc>
          <w:tcPr/>
          <w:p>
            <w:pPr>
              <w:pStyle w:val="Compact"/>
            </w:pPr>
            <w:r>
              <w:t xml:space="preserve">No aplica a cliente</w:t>
            </w:r>
          </w:p>
        </w:tc>
        <w:tc>
          <w:tcPr/>
          <w:p>
            <w:pPr>
              <w:pStyle w:val="Compact"/>
            </w:pPr>
            <w:r>
              <w:t xml:space="preserve">No aplica a cliente</w:t>
            </w:r>
          </w:p>
        </w:tc>
        <w:tc>
          <w:tcPr/>
          <w:p>
            <w:pPr>
              <w:pStyle w:val="Compact"/>
            </w:pPr>
            <w:r>
              <w:rPr>
                <w:i/>
                <w:iCs/>
              </w:rPr>
              <w:t xml:space="preserve">equipo NREM</w:t>
            </w:r>
          </w:p>
        </w:tc>
        <w:tc>
          <w:tcPr/>
          <w:p>
            <w:pPr>
              <w:pStyle w:val="Compact"/>
            </w:pPr>
            <w:r>
              <w:rPr>
                <w:i/>
                <w:iCs/>
              </w:rPr>
              <w:t xml:space="preserve">PO NREM</w:t>
            </w:r>
          </w:p>
        </w:tc>
      </w:tr>
      <w:tr>
        <w:tc>
          <w:tcPr/>
          <w:p>
            <w:pPr>
              <w:pStyle w:val="Compact"/>
            </w:pPr>
            <w:r>
              <w:t xml:space="preserve">CPCA</w:t>
            </w:r>
          </w:p>
        </w:tc>
        <w:tc>
          <w:tcPr/>
          <w:p>
            <w:pPr>
              <w:pStyle w:val="Compact"/>
            </w:pPr>
            <w:r>
              <w:t xml:space="preserve">cpca-dev / cpca-cert</w:t>
            </w:r>
          </w:p>
        </w:tc>
        <w:tc>
          <w:tcPr/>
          <w:p>
            <w:pPr>
              <w:pStyle w:val="Compact"/>
            </w:pPr>
            <w:r>
              <w:t xml:space="preserve">cpca-dev / cpca-cert</w:t>
            </w:r>
          </w:p>
        </w:tc>
        <w:tc>
          <w:tcPr/>
          <w:p>
            <w:pPr>
              <w:pStyle w:val="Compact"/>
            </w:pPr>
            <w:r>
              <w:t xml:space="preserve">Desarrollo / certificación</w:t>
            </w:r>
          </w:p>
        </w:tc>
        <w:tc>
          <w:tcPr/>
          <w:p>
            <w:pPr>
              <w:pStyle w:val="Compact"/>
            </w:pPr>
            <w:r>
              <w:t xml:space="preserve">AKS del Banco</w:t>
            </w:r>
          </w:p>
        </w:tc>
        <w:tc>
          <w:tcPr/>
          <w:p>
            <w:pPr>
              <w:pStyle w:val="Compact"/>
            </w:pPr>
            <w:r>
              <w:t xml:space="preserve">Movimientos de ahorro, si se habilita</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CPCC</w:t>
            </w:r>
          </w:p>
        </w:tc>
        <w:tc>
          <w:tcPr/>
          <w:p>
            <w:pPr>
              <w:pStyle w:val="Compact"/>
            </w:pPr>
            <w:r>
              <w:t xml:space="preserve">cpcc-dev / cpcc-cert</w:t>
            </w:r>
          </w:p>
        </w:tc>
        <w:tc>
          <w:tcPr/>
          <w:p>
            <w:pPr>
              <w:pStyle w:val="Compact"/>
            </w:pPr>
            <w:r>
              <w:t xml:space="preserve">cpcc-dev / cpcc-cert</w:t>
            </w:r>
          </w:p>
        </w:tc>
        <w:tc>
          <w:tcPr/>
          <w:p>
            <w:pPr>
              <w:pStyle w:val="Compact"/>
            </w:pPr>
            <w:r>
              <w:t xml:space="preserve">Desarrollo / certificación</w:t>
            </w:r>
          </w:p>
        </w:tc>
        <w:tc>
          <w:tcPr/>
          <w:p>
            <w:pPr>
              <w:pStyle w:val="Compact"/>
            </w:pPr>
            <w:r>
              <w:t xml:space="preserve">AKS del Banco</w:t>
            </w:r>
          </w:p>
        </w:tc>
        <w:tc>
          <w:tcPr/>
          <w:p>
            <w:pPr>
              <w:pStyle w:val="Compact"/>
            </w:pPr>
            <w:r>
              <w:t xml:space="preserve">Movimientos de corriente, si se habilita</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APTI / TUPI</w:t>
            </w:r>
          </w:p>
        </w:tc>
        <w:tc>
          <w:tcPr/>
          <w:p>
            <w:pPr>
              <w:pStyle w:val="Compact"/>
            </w:pPr>
            <w:r>
              <w:t xml:space="preserve">apti / tupi, por ambiente</w:t>
            </w:r>
          </w:p>
        </w:tc>
        <w:tc>
          <w:tcPr/>
          <w:p>
            <w:pPr>
              <w:pStyle w:val="Compact"/>
            </w:pPr>
            <w:r>
              <w:t xml:space="preserve">apti / tupi, por ambiente</w:t>
            </w:r>
          </w:p>
        </w:tc>
        <w:tc>
          <w:tcPr/>
          <w:p>
            <w:pPr>
              <w:pStyle w:val="Compact"/>
            </w:pPr>
            <w:r>
              <w:t xml:space="preserve">Desarrollo / certificación</w:t>
            </w:r>
          </w:p>
        </w:tc>
        <w:tc>
          <w:tcPr/>
          <w:p>
            <w:pPr>
              <w:pStyle w:val="Compact"/>
            </w:pPr>
            <w:r>
              <w:t xml:space="preserve">AKS del Banco</w:t>
            </w:r>
          </w:p>
        </w:tc>
        <w:tc>
          <w:tcPr/>
          <w:p>
            <w:pPr>
              <w:pStyle w:val="Compact"/>
            </w:pPr>
            <w:r>
              <w:t xml:space="preserve">Pagos y transferencias digitales</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CDPT</w:t>
            </w:r>
          </w:p>
        </w:tc>
        <w:tc>
          <w:tcPr/>
          <w:p>
            <w:pPr>
              <w:pStyle w:val="Compact"/>
            </w:pPr>
            <w:r>
              <w:t xml:space="preserve">cdpt-dev / cdpt-cert</w:t>
            </w:r>
          </w:p>
        </w:tc>
        <w:tc>
          <w:tcPr/>
          <w:p>
            <w:pPr>
              <w:pStyle w:val="Compact"/>
            </w:pPr>
            <w:r>
              <w:t xml:space="preserve">cdpt-dev / cdpt-cert</w:t>
            </w:r>
          </w:p>
        </w:tc>
        <w:tc>
          <w:tcPr/>
          <w:p>
            <w:pPr>
              <w:pStyle w:val="Compact"/>
            </w:pPr>
            <w:r>
              <w:t xml:space="preserve">Desarrollo / certificación</w:t>
            </w:r>
          </w:p>
        </w:tc>
        <w:tc>
          <w:tcPr/>
          <w:p>
            <w:pPr>
              <w:pStyle w:val="Compact"/>
            </w:pPr>
            <w:r>
              <w:t xml:space="preserve">AKS del Banco</w:t>
            </w:r>
          </w:p>
        </w:tc>
        <w:tc>
          <w:tcPr/>
          <w:p>
            <w:pPr>
              <w:pStyle w:val="Compact"/>
            </w:pPr>
            <w:r>
              <w:t xml:space="preserve">Pagos y transferencias</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SRCR</w:t>
            </w:r>
          </w:p>
        </w:tc>
        <w:tc>
          <w:tcPr/>
          <w:p>
            <w:pPr>
              <w:pStyle w:val="Compact"/>
            </w:pPr>
            <w:r>
              <w:t xml:space="preserve">srcr-dev / srcr-cert</w:t>
            </w:r>
          </w:p>
        </w:tc>
        <w:tc>
          <w:tcPr/>
          <w:p>
            <w:pPr>
              <w:pStyle w:val="Compact"/>
            </w:pPr>
            <w:r>
              <w:t xml:space="preserve">srcr-dev / srcr-cert</w:t>
            </w:r>
          </w:p>
        </w:tc>
        <w:tc>
          <w:tcPr/>
          <w:p>
            <w:pPr>
              <w:pStyle w:val="Compact"/>
            </w:pPr>
            <w:r>
              <w:t xml:space="preserve">Desarrollo / certificación</w:t>
            </w:r>
          </w:p>
        </w:tc>
        <w:tc>
          <w:tcPr/>
          <w:p>
            <w:pPr>
              <w:pStyle w:val="Compact"/>
            </w:pPr>
            <w:r>
              <w:t xml:space="preserve">AKS del Banco</w:t>
            </w:r>
          </w:p>
        </w:tc>
        <w:tc>
          <w:tcPr/>
          <w:p>
            <w:pPr>
              <w:pStyle w:val="Compact"/>
            </w:pPr>
            <w:r>
              <w:t xml:space="preserve">Seguimiento de pagos</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LBCL</w:t>
            </w:r>
          </w:p>
        </w:tc>
        <w:tc>
          <w:tcPr/>
          <w:p>
            <w:pPr>
              <w:pStyle w:val="Compact"/>
            </w:pPr>
            <w:r>
              <w:t xml:space="preserve">lbcl-dev / lbcl-cert</w:t>
            </w:r>
          </w:p>
        </w:tc>
        <w:tc>
          <w:tcPr/>
          <w:p>
            <w:pPr>
              <w:pStyle w:val="Compact"/>
            </w:pPr>
            <w:r>
              <w:t xml:space="preserve">lbcl-dev / lbcl-cert</w:t>
            </w:r>
          </w:p>
        </w:tc>
        <w:tc>
          <w:tcPr/>
          <w:p>
            <w:pPr>
              <w:pStyle w:val="Compact"/>
            </w:pPr>
            <w:r>
              <w:t xml:space="preserve">Desarrollo / certificación</w:t>
            </w:r>
          </w:p>
        </w:tc>
        <w:tc>
          <w:tcPr/>
          <w:p>
            <w:pPr>
              <w:pStyle w:val="Compact"/>
            </w:pPr>
            <w:r>
              <w:t xml:space="preserve">AKS del Banco</w:t>
            </w:r>
          </w:p>
        </w:tc>
        <w:tc>
          <w:tcPr/>
          <w:p>
            <w:pPr>
              <w:pStyle w:val="Compact"/>
            </w:pPr>
            <w:r>
              <w:t xml:space="preserve">Transferencia interbancaria BCR / LBTR</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r>
        <w:tc>
          <w:tcPr/>
          <w:p>
            <w:pPr>
              <w:pStyle w:val="Compact"/>
            </w:pPr>
            <w:r>
              <w:t xml:space="preserve">CPCR</w:t>
            </w:r>
          </w:p>
        </w:tc>
        <w:tc>
          <w:tcPr/>
          <w:p>
            <w:pPr>
              <w:pStyle w:val="Compact"/>
            </w:pPr>
            <w:r>
              <w:t xml:space="preserve">cpcr-dev / cpcr-cert</w:t>
            </w:r>
          </w:p>
        </w:tc>
        <w:tc>
          <w:tcPr/>
          <w:p>
            <w:pPr>
              <w:pStyle w:val="Compact"/>
            </w:pPr>
            <w:r>
              <w:t xml:space="preserve">cpcr-dev / cpcr-cert</w:t>
            </w:r>
          </w:p>
        </w:tc>
        <w:tc>
          <w:tcPr/>
          <w:p>
            <w:pPr>
              <w:pStyle w:val="Compact"/>
            </w:pPr>
            <w:r>
              <w:t xml:space="preserve">Desarrollo / certificación</w:t>
            </w:r>
          </w:p>
        </w:tc>
        <w:tc>
          <w:tcPr/>
          <w:p>
            <w:pPr>
              <w:pStyle w:val="Compact"/>
            </w:pPr>
            <w:r>
              <w:t xml:space="preserve">AKS del Banco</w:t>
            </w:r>
          </w:p>
        </w:tc>
        <w:tc>
          <w:tcPr/>
          <w:p>
            <w:pPr>
              <w:pStyle w:val="Compact"/>
            </w:pPr>
            <w:r>
              <w:t xml:space="preserve">Core de cuentas</w:t>
            </w:r>
          </w:p>
        </w:tc>
        <w:tc>
          <w:tcPr/>
          <w:p>
            <w:pPr>
              <w:pStyle w:val="Compact"/>
            </w:pPr>
            <w:r>
              <w:t xml:space="preserve">Antes de producción</w:t>
            </w:r>
          </w:p>
        </w:tc>
        <w:tc>
          <w:tcPr/>
          <w:p>
            <w:pPr>
              <w:pStyle w:val="Compact"/>
            </w:pPr>
            <w:r>
              <w:t xml:space="preserve">Antes de producción</w:t>
            </w:r>
          </w:p>
        </w:tc>
        <w:tc>
          <w:tcPr/>
          <w:p>
            <w:pPr>
              <w:pStyle w:val="Compact"/>
            </w:pPr>
            <w:r>
              <w:rPr>
                <w:i/>
                <w:iCs/>
              </w:rPr>
              <w:t xml:space="preserve">equipo</w:t>
            </w:r>
          </w:p>
        </w:tc>
        <w:tc>
          <w:tcPr/>
          <w:p>
            <w:pPr>
              <w:pStyle w:val="Compact"/>
            </w:pPr>
            <w:r>
              <w:rPr>
                <w:i/>
                <w:iCs/>
              </w:rPr>
              <w:t xml:space="preserve">dueño</w:t>
            </w:r>
          </w:p>
        </w:tc>
      </w:tr>
    </w:tbl>
    <w:p>
      <w:pPr>
        <w:pStyle w:val="BodyText"/>
      </w:pPr>
      <w:r>
        <w:t xml:space="preserve">Cada fila debe adjuntar, en la hoja operativa: colas de tareas, imagen y réplicas del worker, schedules, atributos de búsqueda, mecanismo de cifrado del payload, secretos y certificados vigentes, pipeline, tablero de observabilidad y estrategia por tipo de workflow (Anexo C).</w:t>
      </w:r>
    </w:p>
    <w:p>
      <w:pPr>
        <w:pStyle w:val="BodyText"/>
      </w:pPr>
      <w:r>
        <w:t xml:space="preserve">Ninguna aplicación no productiva habilitará un namespace productivo en Temporal Cloud. Si pasa a producción, el namespace o el equivalente del destino (task hub, app Dapr, deployment Restate) se crea en el destino aprobado.</w:t>
      </w:r>
    </w:p>
    <w:p>
      <w:r>
        <w:pict>
          <v:rect style="width:0;height:1.5pt" o:hralign="center" o:hrstd="t" o:hr="t"/>
        </w:pict>
      </w:r>
    </w:p>
    <w:bookmarkEnd w:id="77"/>
    <w:bookmarkStart w:id="82" w:name="anexo-b.-receta-self-hosted-peve"/>
    <w:p>
      <w:pPr>
        <w:pStyle w:val="Heading2"/>
      </w:pPr>
      <w:r>
        <w:t xml:space="preserve">Anexo B. Receta Self-Hosted (PEVE)</w:t>
      </w:r>
    </w:p>
    <w:p>
      <w:pPr>
        <w:pStyle w:val="FirstParagraph"/>
      </w:pPr>
      <w:r>
        <w:t xml:space="preserve">Objetivo de la fase 0: el Banco puede recibir APOQ y NREM sin depender de Temporal Technologies Inc. en el momento de la activación. La topología de Self-Hosted es la de la sección 04. Si el paso 0.0 elige opción 2, 3 o 4, rige B.4 y no B.1–B.2.</w:t>
      </w:r>
    </w:p>
    <w:bookmarkStart w:id="78" w:name="b.1-plataforma"/>
    <w:p>
      <w:pPr>
        <w:pStyle w:val="Heading3"/>
      </w:pPr>
      <w:r>
        <w:t xml:space="preserve">B.1 Plataforma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Ítem</w:t>
            </w:r>
          </w:p>
        </w:tc>
        <w:tc>
          <w:tcPr/>
          <w:p>
            <w:pPr>
              <w:pStyle w:val="Compact"/>
            </w:pPr>
            <w:r>
              <w:t xml:space="preserve">Requisito</w:t>
            </w:r>
          </w:p>
        </w:tc>
        <w:tc>
          <w:tcPr/>
          <w:p>
            <w:pPr>
              <w:pStyle w:val="Compact"/>
            </w:pPr>
            <w:r>
              <w:t xml:space="preserve">Evidencia</w:t>
            </w:r>
          </w:p>
        </w:tc>
        <w:tc>
          <w:tcPr/>
          <w:p>
            <w:pPr>
              <w:pStyle w:val="Compact"/>
            </w:pPr>
            <w:r>
              <w:t xml:space="preserve">Estado</w:t>
            </w:r>
          </w:p>
        </w:tc>
      </w:tr>
      <w:tr>
        <w:tc>
          <w:tcPr/>
          <w:p>
            <w:pPr>
              <w:pStyle w:val="Compact"/>
            </w:pPr>
            <w:r>
              <w:t xml:space="preserve">Arquitectura objetivo</w:t>
            </w:r>
          </w:p>
        </w:tc>
        <w:tc>
          <w:tcPr/>
          <w:p>
            <w:pPr>
              <w:pStyle w:val="Compact"/>
            </w:pPr>
            <w:r>
              <w:t xml:space="preserve">Sección 04 conformada (diagrama y decisiones de diseño)</w:t>
            </w:r>
          </w:p>
        </w:tc>
        <w:tc>
          <w:tcPr/>
          <w:p>
            <w:pPr>
              <w:pStyle w:val="Compact"/>
            </w:pPr>
            <w:r>
              <w:t xml:space="preserve">Acta de Arquitectura y Seguridad</w:t>
            </w:r>
          </w:p>
        </w:tc>
        <w:tc>
          <w:tcPr/>
          <w:p>
            <w:pPr>
              <w:pStyle w:val="Compact"/>
            </w:pPr>
          </w:p>
        </w:tc>
      </w:tr>
      <w:tr>
        <w:tc>
          <w:tcPr/>
          <w:p>
            <w:pPr>
              <w:pStyle w:val="Compact"/>
            </w:pPr>
            <w:r>
              <w:t xml:space="preserve">Clúster Temporal en Azure AKS</w:t>
            </w:r>
          </w:p>
        </w:tc>
        <w:tc>
          <w:tcPr/>
          <w:p>
            <w:pPr>
              <w:pStyle w:val="Compact"/>
            </w:pPr>
            <w:r>
              <w:t xml:space="preserve">Alta disponibilidad, al menos equivalente al nivel de servicio interno de APOQ y NREM; instalación no productiva y productiva</w:t>
            </w:r>
          </w:p>
        </w:tc>
        <w:tc>
          <w:tcPr/>
          <w:p>
            <w:pPr>
              <w:pStyle w:val="Compact"/>
            </w:pPr>
            <w:r>
              <w:t xml:space="preserve">Diagrama de despliegue e infraestructura como código</w:t>
            </w:r>
          </w:p>
        </w:tc>
        <w:tc>
          <w:tcPr/>
          <w:p>
            <w:pPr>
              <w:pStyle w:val="Compact"/>
            </w:pPr>
          </w:p>
        </w:tc>
      </w:tr>
      <w:tr>
        <w:tc>
          <w:tcPr/>
          <w:p>
            <w:pPr>
              <w:pStyle w:val="Compact"/>
            </w:pPr>
            <w:r>
              <w:t xml:space="preserve">Persistencia</w:t>
            </w:r>
          </w:p>
        </w:tc>
        <w:tc>
          <w:tcPr/>
          <w:p>
            <w:pPr>
              <w:pStyle w:val="Compact"/>
            </w:pPr>
            <w:r>
              <w:t xml:space="preserve">Base de datos del Banco, con respaldo y restauración ensayados</w:t>
            </w:r>
          </w:p>
        </w:tc>
        <w:tc>
          <w:tcPr/>
          <w:p>
            <w:pPr>
              <w:pStyle w:val="Compact"/>
            </w:pPr>
            <w:r>
              <w:t xml:space="preserve">Prueba de restauración con la pérdida de información declarada</w:t>
            </w:r>
          </w:p>
        </w:tc>
        <w:tc>
          <w:tcPr/>
          <w:p>
            <w:pPr>
              <w:pStyle w:val="Compact"/>
            </w:pPr>
          </w:p>
        </w:tc>
      </w:tr>
      <w:tr>
        <w:tc>
          <w:tcPr/>
          <w:p>
            <w:pPr>
              <w:pStyle w:val="Compact"/>
            </w:pPr>
            <w:r>
              <w:t xml:space="preserve">Capacidad no productiva</w:t>
            </w:r>
          </w:p>
        </w:tc>
        <w:tc>
          <w:tcPr/>
          <w:p>
            <w:pPr>
              <w:pStyle w:val="Compact"/>
            </w:pPr>
            <w:r>
              <w:t xml:space="preserve">Desarrollo y certificación para las aplicaciones del inventario</w:t>
            </w:r>
          </w:p>
        </w:tc>
        <w:tc>
          <w:tcPr/>
          <w:p>
            <w:pPr>
              <w:pStyle w:val="Compact"/>
            </w:pPr>
            <w:r>
              <w:t xml:space="preserve">Asignación de recursos AKS y prueba de arranque</w:t>
            </w:r>
          </w:p>
        </w:tc>
        <w:tc>
          <w:tcPr/>
          <w:p>
            <w:pPr>
              <w:pStyle w:val="Compact"/>
            </w:pPr>
          </w:p>
        </w:tc>
      </w:tr>
      <w:tr>
        <w:tc>
          <w:tcPr/>
          <w:p>
            <w:pPr>
              <w:pStyle w:val="Compact"/>
            </w:pPr>
            <w:r>
              <w:t xml:space="preserve">Capacidad productiva</w:t>
            </w:r>
          </w:p>
        </w:tc>
        <w:tc>
          <w:tcPr/>
          <w:p>
            <w:pPr>
              <w:pStyle w:val="Compact"/>
            </w:pPr>
            <w:r>
              <w:t xml:space="preserve">Dimensionada para APOQ y NREM de forma concurrente</w:t>
            </w:r>
          </w:p>
        </w:tc>
        <w:tc>
          <w:tcPr/>
          <w:p>
            <w:pPr>
              <w:pStyle w:val="Compact"/>
            </w:pPr>
            <w:r>
              <w:t xml:space="preserve">Plan de capacidad firmado por PEVE</w:t>
            </w:r>
          </w:p>
        </w:tc>
        <w:tc>
          <w:tcPr/>
          <w:p>
            <w:pPr>
              <w:pStyle w:val="Compact"/>
            </w:pPr>
          </w:p>
        </w:tc>
      </w:tr>
      <w:tr>
        <w:tc>
          <w:tcPr/>
          <w:p>
            <w:pPr>
              <w:pStyle w:val="Compact"/>
            </w:pPr>
            <w:r>
              <w:t xml:space="preserve">Namespaces</w:t>
            </w:r>
          </w:p>
        </w:tc>
        <w:tc>
          <w:tcPr/>
          <w:p>
            <w:pPr>
              <w:pStyle w:val="Compact"/>
            </w:pPr>
            <w:r>
              <w:t xml:space="preserve">Creados según el Anexo A, segregados por ambiente</w:t>
            </w:r>
          </w:p>
        </w:tc>
        <w:tc>
          <w:tcPr/>
          <w:p>
            <w:pPr>
              <w:pStyle w:val="Compact"/>
            </w:pPr>
            <w:r>
              <w:t xml:space="preserve">Listado de namespaces y responsables</w:t>
            </w:r>
          </w:p>
        </w:tc>
        <w:tc>
          <w:tcPr/>
          <w:p>
            <w:pPr>
              <w:pStyle w:val="Compact"/>
            </w:pPr>
          </w:p>
        </w:tc>
      </w:tr>
      <w:tr>
        <w:tc>
          <w:tcPr/>
          <w:p>
            <w:pPr>
              <w:pStyle w:val="Compact"/>
            </w:pPr>
            <w:r>
              <w:t xml:space="preserve">Identidad y mTLS o equivalente</w:t>
            </w:r>
          </w:p>
        </w:tc>
        <w:tc>
          <w:tcPr/>
          <w:p>
            <w:pPr>
              <w:pStyle w:val="Compact"/>
            </w:pPr>
            <w:r>
              <w:t xml:space="preserve">Identidades distintas a las de Cloud; mínimo privilegio</w:t>
            </w:r>
          </w:p>
        </w:tc>
        <w:tc>
          <w:tcPr/>
          <w:p>
            <w:pPr>
              <w:pStyle w:val="Compact"/>
            </w:pPr>
            <w:r>
              <w:t xml:space="preserve">Matriz de roles de Seguridad</w:t>
            </w:r>
          </w:p>
        </w:tc>
        <w:tc>
          <w:tcPr/>
          <w:p>
            <w:pPr>
              <w:pStyle w:val="Compact"/>
            </w:pPr>
          </w:p>
        </w:tc>
      </w:tr>
      <w:tr>
        <w:tc>
          <w:tcPr/>
          <w:p>
            <w:pPr>
              <w:pStyle w:val="Compact"/>
            </w:pPr>
            <w:r>
              <w:t xml:space="preserve">Secretos</w:t>
            </w:r>
          </w:p>
        </w:tc>
        <w:tc>
          <w:tcPr/>
          <w:p>
            <w:pPr>
              <w:pStyle w:val="Compact"/>
            </w:pPr>
            <w:r>
              <w:t xml:space="preserve">En el repositorio de secretos del Banco; rotación documentada</w:t>
            </w:r>
          </w:p>
        </w:tc>
        <w:tc>
          <w:tcPr/>
          <w:p>
            <w:pPr>
              <w:pStyle w:val="Compact"/>
            </w:pPr>
            <w:r>
              <w:t xml:space="preserve">Inventario de secretos</w:t>
            </w:r>
          </w:p>
        </w:tc>
        <w:tc>
          <w:tcPr/>
          <w:p>
            <w:pPr>
              <w:pStyle w:val="Compact"/>
            </w:pPr>
          </w:p>
        </w:tc>
      </w:tr>
      <w:tr>
        <w:tc>
          <w:tcPr/>
          <w:p>
            <w:pPr>
              <w:pStyle w:val="Compact"/>
            </w:pPr>
            <w:r>
              <w:t xml:space="preserve">Red</w:t>
            </w:r>
          </w:p>
        </w:tc>
        <w:tc>
          <w:tcPr/>
          <w:p>
            <w:pPr>
              <w:pStyle w:val="Compact"/>
            </w:pPr>
            <w:r>
              <w:t xml:space="preserve">Resolución, puertos, balanceo y conectividad privada aplicable</w:t>
            </w:r>
          </w:p>
        </w:tc>
        <w:tc>
          <w:tcPr/>
          <w:p>
            <w:pPr>
              <w:pStyle w:val="Compact"/>
            </w:pPr>
            <w:r>
              <w:t xml:space="preserve">Prueba de conectividad desde los workers</w:t>
            </w:r>
          </w:p>
        </w:tc>
        <w:tc>
          <w:tcPr/>
          <w:p>
            <w:pPr>
              <w:pStyle w:val="Compact"/>
            </w:pPr>
          </w:p>
        </w:tc>
      </w:tr>
      <w:tr>
        <w:tc>
          <w:tcPr/>
          <w:p>
            <w:pPr>
              <w:pStyle w:val="Compact"/>
            </w:pPr>
            <w:r>
              <w:t xml:space="preserve">Observabilidad</w:t>
            </w:r>
          </w:p>
        </w:tc>
        <w:tc>
          <w:tcPr/>
          <w:p>
            <w:pPr>
              <w:pStyle w:val="Compact"/>
            </w:pPr>
            <w:r>
              <w:t xml:space="preserve">Registros, métricas, trazas, alertas y tableros</w:t>
            </w:r>
          </w:p>
        </w:tc>
        <w:tc>
          <w:tcPr/>
          <w:p>
            <w:pPr>
              <w:pStyle w:val="Compact"/>
            </w:pPr>
            <w:r>
              <w:t xml:space="preserve">Tablero Self-Hosted operativo</w:t>
            </w:r>
          </w:p>
        </w:tc>
        <w:tc>
          <w:tcPr/>
          <w:p>
            <w:pPr>
              <w:pStyle w:val="Compact"/>
            </w:pPr>
          </w:p>
        </w:tc>
      </w:tr>
      <w:tr>
        <w:tc>
          <w:tcPr/>
          <w:p>
            <w:pPr>
              <w:pStyle w:val="Compact"/>
            </w:pPr>
            <w:r>
              <w:t xml:space="preserve">Residencia</w:t>
            </w:r>
          </w:p>
        </w:tc>
        <w:tc>
          <w:tcPr/>
          <w:p>
            <w:pPr>
              <w:pStyle w:val="Compact"/>
            </w:pPr>
            <w:r>
              <w:t xml:space="preserve">Datos y respaldos en ubicaciones aceptadas por el Banco</w:t>
            </w:r>
          </w:p>
        </w:tc>
        <w:tc>
          <w:tcPr/>
          <w:p>
            <w:pPr>
              <w:pStyle w:val="Compact"/>
            </w:pPr>
            <w:r>
              <w:t xml:space="preserve">Constancia de Arquitectura y Seguridad</w:t>
            </w:r>
          </w:p>
        </w:tc>
        <w:tc>
          <w:tcPr/>
          <w:p>
            <w:pPr>
              <w:pStyle w:val="Compact"/>
            </w:pPr>
          </w:p>
        </w:tc>
      </w:tr>
      <w:tr>
        <w:tc>
          <w:tcPr/>
          <w:p>
            <w:pPr>
              <w:pStyle w:val="Compact"/>
            </w:pPr>
            <w:r>
              <w:t xml:space="preserve">Exportación de historiales Cloud</w:t>
            </w:r>
          </w:p>
        </w:tc>
        <w:tc>
          <w:tcPr/>
          <w:p>
            <w:pPr>
              <w:pStyle w:val="Compact"/>
            </w:pPr>
            <w:r>
              <w:t xml:space="preserve">Proceso periódico a almacenamiento del Banco, verificado</w:t>
            </w:r>
          </w:p>
        </w:tc>
        <w:tc>
          <w:tcPr/>
          <w:p>
            <w:pPr>
              <w:pStyle w:val="Compact"/>
            </w:pPr>
            <w:r>
              <w:t xml:space="preserve">Muestra de archivos y política de retención</w:t>
            </w:r>
          </w:p>
        </w:tc>
        <w:tc>
          <w:tcPr/>
          <w:p>
            <w:pPr>
              <w:pStyle w:val="Compact"/>
            </w:pPr>
          </w:p>
        </w:tc>
      </w:tr>
      <w:tr>
        <w:tc>
          <w:tcPr/>
          <w:p>
            <w:pPr>
              <w:pStyle w:val="Compact"/>
            </w:pPr>
            <w:r>
              <w:t xml:space="preserve">Operación</w:t>
            </w:r>
          </w:p>
        </w:tc>
        <w:tc>
          <w:tcPr/>
          <w:p>
            <w:pPr>
              <w:pStyle w:val="Compact"/>
            </w:pPr>
            <w:r>
              <w:t xml:space="preserve">Procedimiento de incidente, restauración, actualización y escalamiento</w:t>
            </w:r>
          </w:p>
        </w:tc>
        <w:tc>
          <w:tcPr/>
          <w:p>
            <w:pPr>
              <w:pStyle w:val="Compact"/>
            </w:pPr>
            <w:r>
              <w:t xml:space="preserve">Procedimiento publicado</w:t>
            </w:r>
          </w:p>
        </w:tc>
        <w:tc>
          <w:tcPr/>
          <w:p>
            <w:pPr>
              <w:pStyle w:val="Compact"/>
            </w:pPr>
          </w:p>
        </w:tc>
      </w:tr>
    </w:tbl>
    <w:bookmarkEnd w:id="78"/>
    <w:bookmarkStart w:id="79" w:name="b.2-receta-de-aplicación"/>
    <w:p>
      <w:pPr>
        <w:pStyle w:val="Heading3"/>
      </w:pPr>
      <w:r>
        <w:t xml:space="preserve">B.2 Receta de aplicación</w:t>
      </w:r>
    </w:p>
    <w:p>
      <w:pPr>
        <w:pStyle w:val="Compact"/>
        <w:numPr>
          <w:ilvl w:val="0"/>
          <w:numId w:val="1013"/>
        </w:numPr>
      </w:pPr>
      <w:r>
        <w:t xml:space="preserve">Namespace destino creado, sin ejecución simultánea con Cloud.</w:t>
      </w:r>
    </w:p>
    <w:p>
      <w:pPr>
        <w:pStyle w:val="Compact"/>
        <w:numPr>
          <w:ilvl w:val="0"/>
          <w:numId w:val="1013"/>
        </w:numPr>
      </w:pPr>
      <w:r>
        <w:t xml:space="preserve">Secretos y certificados nuevos, no reutilizados de Cloud.</w:t>
      </w:r>
    </w:p>
    <w:p>
      <w:pPr>
        <w:pStyle w:val="Compact"/>
        <w:numPr>
          <w:ilvl w:val="0"/>
          <w:numId w:val="1013"/>
        </w:numPr>
      </w:pPr>
      <w:r>
        <w:t xml:space="preserve">Cliente y workers con dos endpoints (Cloud y Self-Hosted) detrás de un indicador de configuración, y mecanismo de reversa.</w:t>
      </w:r>
    </w:p>
    <w:p>
      <w:pPr>
        <w:pStyle w:val="Compact"/>
        <w:numPr>
          <w:ilvl w:val="0"/>
          <w:numId w:val="1013"/>
        </w:numPr>
      </w:pPr>
      <w:r>
        <w:t xml:space="preserve">Pipeline por ambiente actualizado, con trazabilidad del cambio.</w:t>
      </w:r>
    </w:p>
    <w:p>
      <w:pPr>
        <w:pStyle w:val="Compact"/>
        <w:numPr>
          <w:ilvl w:val="0"/>
          <w:numId w:val="1013"/>
        </w:numPr>
      </w:pPr>
      <w:r>
        <w:t xml:space="preserve">Pruebas de la sección 12 en desarrollo y certificación.</w:t>
      </w:r>
    </w:p>
    <w:p>
      <w:pPr>
        <w:pStyle w:val="Compact"/>
        <w:numPr>
          <w:ilvl w:val="0"/>
          <w:numId w:val="1013"/>
        </w:numPr>
      </w:pPr>
      <w:r>
        <w:t xml:space="preserve">Matriz del Anexo C firmada por el PO de la aplicación.</w:t>
      </w:r>
    </w:p>
    <w:p>
      <w:pPr>
        <w:pStyle w:val="Compact"/>
        <w:numPr>
          <w:ilvl w:val="0"/>
          <w:numId w:val="1013"/>
        </w:numPr>
      </w:pPr>
      <w:r>
        <w:t xml:space="preserve">Plan de cambio productivo o declaración de conmutación en modo estresado, sin reversa a Cloud.</w:t>
      </w:r>
    </w:p>
    <w:bookmarkEnd w:id="79"/>
    <w:bookmarkStart w:id="80" w:name="X710271ca820e2c83cdc79b5de71c2036e8671ca"/>
    <w:p>
      <w:pPr>
        <w:pStyle w:val="Heading3"/>
      </w:pPr>
      <w:r>
        <w:t xml:space="preserve">B.3 Alcance técnico excluido en la activación</w:t>
      </w:r>
    </w:p>
    <w:p>
      <w:pPr>
        <w:pStyle w:val="FirstParagraph"/>
      </w:pPr>
      <w:r>
        <w:t xml:space="preserve">No se construye en el momento de la activación una réplica oficial de Cloud hacia Self-Hosted, una copia de la base de Temporal Cloud, la asistencia de Temporal Technologies Inc. ni un segundo motor (Durable Functions, Dapr Workflows o Restate), salvo que el paso 0.0 ya lo hubiera aprobado y la plataforma alternativa estuviera lista.</w:t>
      </w:r>
    </w:p>
    <w:bookmarkEnd w:id="80"/>
    <w:bookmarkStart w:id="81" w:name="b.4-receta-si-el-destino-es-04.6"/>
    <w:p>
      <w:pPr>
        <w:pStyle w:val="Heading3"/>
      </w:pPr>
      <w:r>
        <w:t xml:space="preserve">B.4 Receta si el destino es 04.6</w:t>
      </w:r>
    </w:p>
    <w:p>
      <w:pPr>
        <w:pStyle w:val="FirstParagraph"/>
      </w:pPr>
      <w:r>
        <w:t xml:space="preserve">Sustituye B.1 y B.2 cuando el paso 0.0 elige Durable Functions, Dapr Workflows o Restate. No hay conexión dual ni namespaces Temporal.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Ítem</w:t>
            </w:r>
          </w:p>
        </w:tc>
        <w:tc>
          <w:tcPr/>
          <w:p>
            <w:pPr>
              <w:pStyle w:val="Compact"/>
            </w:pPr>
            <w:r>
              <w:t xml:space="preserve">Requisito</w:t>
            </w:r>
          </w:p>
        </w:tc>
        <w:tc>
          <w:tcPr/>
          <w:p>
            <w:pPr>
              <w:pStyle w:val="Compact"/>
            </w:pPr>
            <w:r>
              <w:t xml:space="preserve">Evidencia</w:t>
            </w:r>
          </w:p>
        </w:tc>
      </w:tr>
      <w:tr>
        <w:tc>
          <w:tcPr/>
          <w:p>
            <w:pPr>
              <w:pStyle w:val="Compact"/>
            </w:pPr>
            <w:r>
              <w:t xml:space="preserve">Patrón de Arquitectura</w:t>
            </w:r>
          </w:p>
        </w:tc>
        <w:tc>
          <w:tcPr/>
          <w:p>
            <w:pPr>
              <w:pStyle w:val="Compact"/>
            </w:pPr>
            <w:r>
              <w:t xml:space="preserve">Conformidad del destino elegido (Functions + Scheduler, Dapr + PostgreSQL, o Restate AKS/Cloud)</w:t>
            </w:r>
          </w:p>
        </w:tc>
        <w:tc>
          <w:tcPr/>
          <w:p>
            <w:pPr>
              <w:pStyle w:val="Compact"/>
            </w:pPr>
            <w:r>
              <w:t xml:space="preserve">Acta de Arquitectura y Seguridad</w:t>
            </w:r>
          </w:p>
        </w:tc>
      </w:tr>
      <w:tr>
        <w:tc>
          <w:tcPr/>
          <w:p>
            <w:pPr>
              <w:pStyle w:val="Compact"/>
            </w:pPr>
            <w:r>
              <w:t xml:space="preserve">Plataforma no productiva y productiva</w:t>
            </w:r>
          </w:p>
        </w:tc>
        <w:tc>
          <w:tcPr/>
          <w:p>
            <w:pPr>
              <w:pStyle w:val="Compact"/>
            </w:pPr>
            <w:r>
              <w:t xml:space="preserve">Alta disponibilidad y restauración ensayadas, capacidad concurrente para APOQ y NREM</w:t>
            </w:r>
          </w:p>
        </w:tc>
        <w:tc>
          <w:tcPr/>
          <w:p>
            <w:pPr>
              <w:pStyle w:val="Compact"/>
            </w:pPr>
            <w:r>
              <w:t xml:space="preserve">Diagrama, IaC y prueba de restauración</w:t>
            </w:r>
          </w:p>
        </w:tc>
      </w:tr>
      <w:tr>
        <w:tc>
          <w:tcPr/>
          <w:p>
            <w:pPr>
              <w:pStyle w:val="Compact"/>
            </w:pPr>
            <w:r>
              <w:t xml:space="preserve">Identidad</w:t>
            </w:r>
          </w:p>
        </w:tc>
        <w:tc>
          <w:tcPr/>
          <w:p>
            <w:pPr>
              <w:pStyle w:val="Compact"/>
            </w:pPr>
            <w:r>
              <w:t xml:space="preserve">Identidades nuevas (Entra / managed identity / mTLS). No reutilizar secretos de Cloud</w:t>
            </w:r>
          </w:p>
        </w:tc>
        <w:tc>
          <w:tcPr/>
          <w:p>
            <w:pPr>
              <w:pStyle w:val="Compact"/>
            </w:pPr>
            <w:r>
              <w:t xml:space="preserve">Matriz de roles</w:t>
            </w:r>
          </w:p>
        </w:tc>
      </w:tr>
      <w:tr>
        <w:tc>
          <w:tcPr/>
          <w:p>
            <w:pPr>
              <w:pStyle w:val="Compact"/>
            </w:pPr>
            <w:r>
              <w:t xml:space="preserve">Red</w:t>
            </w:r>
          </w:p>
        </w:tc>
        <w:tc>
          <w:tcPr/>
          <w:p>
            <w:pPr>
              <w:pStyle w:val="Compact"/>
            </w:pPr>
            <w:r>
              <w:t xml:space="preserve">Conectividad privada desde las aplicaciones hacia el control plane del destino</w:t>
            </w:r>
          </w:p>
        </w:tc>
        <w:tc>
          <w:tcPr/>
          <w:p>
            <w:pPr>
              <w:pStyle w:val="Compact"/>
            </w:pPr>
            <w:r>
              <w:t xml:space="preserve">Prueba de conectividad</w:t>
            </w:r>
          </w:p>
        </w:tc>
      </w:tr>
      <w:tr>
        <w:tc>
          <w:tcPr/>
          <w:p>
            <w:pPr>
              <w:pStyle w:val="Compact"/>
            </w:pPr>
            <w:r>
              <w:t xml:space="preserve">Observabilidad</w:t>
            </w:r>
          </w:p>
        </w:tc>
        <w:tc>
          <w:tcPr/>
          <w:p>
            <w:pPr>
              <w:pStyle w:val="Compact"/>
            </w:pPr>
            <w:r>
              <w:t xml:space="preserve">Registros, métricas, trazas, alertas y tablero del destino</w:t>
            </w:r>
          </w:p>
        </w:tc>
        <w:tc>
          <w:tcPr/>
          <w:p>
            <w:pPr>
              <w:pStyle w:val="Compact"/>
            </w:pPr>
            <w:r>
              <w:t xml:space="preserve">Tablero operativo</w:t>
            </w:r>
          </w:p>
        </w:tc>
      </w:tr>
      <w:tr>
        <w:tc>
          <w:tcPr/>
          <w:p>
            <w:pPr>
              <w:pStyle w:val="Compact"/>
            </w:pPr>
            <w:r>
              <w:t xml:space="preserve">Residencia</w:t>
            </w:r>
          </w:p>
        </w:tc>
        <w:tc>
          <w:tcPr/>
          <w:p>
            <w:pPr>
              <w:pStyle w:val="Compact"/>
            </w:pPr>
            <w:r>
              <w:t xml:space="preserve">Datos y respaldos en ubicaciones aceptadas</w:t>
            </w:r>
          </w:p>
        </w:tc>
        <w:tc>
          <w:tcPr/>
          <w:p>
            <w:pPr>
              <w:pStyle w:val="Compact"/>
            </w:pPr>
            <w:r>
              <w:t xml:space="preserve">Constancia de Arquitectura y Seguridad</w:t>
            </w:r>
          </w:p>
        </w:tc>
      </w:tr>
      <w:tr>
        <w:tc>
          <w:tcPr/>
          <w:p>
            <w:pPr>
              <w:pStyle w:val="Compact"/>
            </w:pPr>
            <w:r>
              <w:t xml:space="preserve">Soporte de proveedor</w:t>
            </w:r>
          </w:p>
        </w:tc>
        <w:tc>
          <w:tcPr/>
          <w:p>
            <w:pPr>
              <w:pStyle w:val="Compact"/>
            </w:pPr>
            <w:r>
              <w:t xml:space="preserve">Contrato o plan de soporte vigente: Microsoft (1 y 2) o Restate Enterprise (3, si se exige soporte)</w:t>
            </w:r>
          </w:p>
        </w:tc>
        <w:tc>
          <w:tcPr/>
          <w:p>
            <w:pPr>
              <w:pStyle w:val="Compact"/>
            </w:pPr>
            <w:r>
              <w:t xml:space="preserve">Constancia de Compras</w:t>
            </w:r>
          </w:p>
        </w:tc>
      </w:tr>
      <w:tr>
        <w:tc>
          <w:tcPr/>
          <w:p>
            <w:pPr>
              <w:pStyle w:val="Compact"/>
            </w:pPr>
            <w:r>
              <w:t xml:space="preserve">Receta de aplicación</w:t>
            </w:r>
          </w:p>
        </w:tc>
        <w:tc>
          <w:tcPr/>
          <w:p>
            <w:pPr>
              <w:pStyle w:val="Compact"/>
            </w:pPr>
            <w:r>
              <w:t xml:space="preserve">Proceso reescrito; indicador que impida iniciar el mismo efecto en Cloud y en el destino; reversa solo mientras Cloud responda</w:t>
            </w:r>
          </w:p>
        </w:tc>
        <w:tc>
          <w:tcPr/>
          <w:p>
            <w:pPr>
              <w:pStyle w:val="Compact"/>
            </w:pPr>
            <w:r>
              <w:t xml:space="preserve">Pruebas de la sección 12 en certificación</w:t>
            </w:r>
          </w:p>
        </w:tc>
      </w:tr>
      <w:tr>
        <w:tc>
          <w:tcPr/>
          <w:p>
            <w:pPr>
              <w:pStyle w:val="Compact"/>
            </w:pPr>
            <w:r>
              <w:t xml:space="preserve">Anexo C</w:t>
            </w:r>
          </w:p>
        </w:tc>
        <w:tc>
          <w:tcPr/>
          <w:p>
            <w:pPr>
              <w:pStyle w:val="Compact"/>
            </w:pPr>
            <w:r>
              <w:t xml:space="preserve">Firmado con el mecanismo del destino (no “namespace Self-Hosted”)</w:t>
            </w:r>
          </w:p>
        </w:tc>
        <w:tc>
          <w:tcPr/>
          <w:p>
            <w:pPr>
              <w:pStyle w:val="Compact"/>
            </w:pPr>
            <w:r>
              <w:t xml:space="preserve">Acta del PO</w:t>
            </w:r>
          </w:p>
        </w:tc>
      </w:tr>
    </w:tbl>
    <w:p>
      <w:pPr>
        <w:pStyle w:val="BodyText"/>
      </w:pPr>
      <w:r>
        <w:t xml:space="preserve">State store de Dapr: PostgreSQL. Cosmos DB queda excluido para APOQ y NREM. Durable Functions y Dapr no se despliegan a la vez: son el mismo Durable Task Framework. Restate se elige en lugar de esos dos, no junto con ellos.</w:t>
      </w:r>
    </w:p>
    <w:p>
      <w:r>
        <w:pict>
          <v:rect style="width:0;height:1.5pt" o:hralign="center" o:hrstd="t" o:hr="t"/>
        </w:pict>
      </w:r>
    </w:p>
    <w:bookmarkEnd w:id="81"/>
    <w:bookmarkEnd w:id="82"/>
    <w:bookmarkStart w:id="86" w:name="anexo-c.-matriz-de-workflow-y-estrategia"/>
    <w:p>
      <w:pPr>
        <w:pStyle w:val="Heading2"/>
      </w:pPr>
      <w:r>
        <w:t xml:space="preserve">Anexo C. Matriz de workflow y estrategia</w:t>
      </w:r>
    </w:p>
    <w:p>
      <w:pPr>
        <w:pStyle w:val="FirstParagraph"/>
      </w:pPr>
      <w:r>
        <w:t xml:space="preserve">Los tipos siguientes corresponden al uso declarado por el Banco. Cada equipo sustituye el nombre interno real del workflow y confirma duración, schedules y clave de idempotencia. Un tipo no se inicia a la vez en Cloud y en el destino.</w:t>
      </w:r>
    </w:p>
    <w:bookmarkStart w:id="83" w:name="Xa6e86e79dda6bb62e430412a7cc340bc9215b1b"/>
    <w:p>
      <w:pPr>
        <w:pStyle w:val="Heading3"/>
      </w:pPr>
      <w:r>
        <w:t xml:space="preserve">C.1 APOQ, transferencias entre cuentas (producción)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Tipo de proceso</w:t>
            </w:r>
          </w:p>
        </w:tc>
        <w:tc>
          <w:tcPr/>
          <w:p>
            <w:pPr>
              <w:pStyle w:val="Compact"/>
            </w:pPr>
            <w:r>
              <w:t xml:space="preserve">Duración típica</w:t>
            </w:r>
          </w:p>
        </w:tc>
        <w:tc>
          <w:tcPr/>
          <w:p>
            <w:pPr>
              <w:pStyle w:val="Compact"/>
            </w:pPr>
            <w:r>
              <w:t xml:space="preserve">Efecto de negocio</w:t>
            </w:r>
          </w:p>
        </w:tc>
        <w:tc>
          <w:tcPr/>
          <w:p>
            <w:pPr>
              <w:pStyle w:val="Compact"/>
            </w:pPr>
            <w:r>
              <w:t xml:space="preserve">Clave de idempotencia</w:t>
            </w:r>
          </w:p>
        </w:tc>
        <w:tc>
          <w:tcPr/>
          <w:p>
            <w:pPr>
              <w:pStyle w:val="Compact"/>
            </w:pPr>
            <w:r>
              <w:t xml:space="preserve">Modo ordenado (Cloud disponible)</w:t>
            </w:r>
          </w:p>
        </w:tc>
        <w:tc>
          <w:tcPr/>
          <w:p>
            <w:pPr>
              <w:pStyle w:val="Compact"/>
            </w:pPr>
            <w:r>
              <w:t xml:space="preserve">Modo estresado (Cloud no disponible)</w:t>
            </w:r>
          </w:p>
        </w:tc>
        <w:tc>
          <w:tcPr/>
          <w:p>
            <w:pPr>
              <w:pStyle w:val="Compact"/>
            </w:pPr>
            <w:r>
              <w:t xml:space="preserve">Evidencia de conciliación</w:t>
            </w:r>
          </w:p>
        </w:tc>
        <w:tc>
          <w:tcPr/>
          <w:p>
            <w:pPr>
              <w:pStyle w:val="Compact"/>
            </w:pPr>
            <w:r>
              <w:t xml:space="preserve">Dueño</w:t>
            </w:r>
          </w:p>
        </w:tc>
      </w:tr>
      <w:tr>
        <w:tc>
          <w:tcPr/>
          <w:p>
            <w:pPr>
              <w:pStyle w:val="Compact"/>
            </w:pPr>
            <w:r>
              <w:t xml:space="preserve">Débito de cuenta origen</w:t>
            </w:r>
          </w:p>
        </w:tc>
        <w:tc>
          <w:tcPr/>
          <w:p>
            <w:pPr>
              <w:pStyle w:val="Compact"/>
            </w:pPr>
            <w:r>
              <w:t xml:space="preserve">Corta</w:t>
            </w:r>
          </w:p>
        </w:tc>
        <w:tc>
          <w:tcPr/>
          <w:p>
            <w:pPr>
              <w:pStyle w:val="Compact"/>
            </w:pPr>
            <w:r>
              <w:t xml:space="preserve">Cargo en cuenta</w:t>
            </w:r>
          </w:p>
        </w:tc>
        <w:tc>
          <w:tcPr/>
          <w:p>
            <w:pPr>
              <w:pStyle w:val="Compact"/>
            </w:pPr>
            <w:r>
              <w:t xml:space="preserve">Identificador de transferencia de negocio</w:t>
            </w:r>
          </w:p>
        </w:tc>
        <w:tc>
          <w:tcPr/>
          <w:p>
            <w:pPr>
              <w:pStyle w:val="Compact"/>
            </w:pPr>
            <w:r>
              <w:t xml:space="preserve">Concluir en Cloud. Nuevos inicios solo en Self-Hosted</w:t>
            </w:r>
          </w:p>
        </w:tc>
        <w:tc>
          <w:tcPr/>
          <w:p>
            <w:pPr>
              <w:pStyle w:val="Compact"/>
            </w:pPr>
            <w:r>
              <w:t xml:space="preserve">Si el core ya muestra el cargo, no reejecutar. Si no hay cargo y la solicitud sigue pendiente, nueva ejecución en Self-Hosted</w:t>
            </w:r>
          </w:p>
        </w:tc>
        <w:tc>
          <w:tcPr/>
          <w:p>
            <w:pPr>
              <w:pStyle w:val="Compact"/>
            </w:pPr>
            <w:r>
              <w:t xml:space="preserve">Saldo y movimiento en core frente al resultado del workflow</w:t>
            </w:r>
          </w:p>
        </w:tc>
        <w:tc>
          <w:tcPr/>
          <w:p>
            <w:pPr>
              <w:pStyle w:val="Compact"/>
            </w:pPr>
            <w:r>
              <w:t xml:space="preserve">PO APOQ</w:t>
            </w:r>
          </w:p>
        </w:tc>
      </w:tr>
      <w:tr>
        <w:tc>
          <w:tcPr/>
          <w:p>
            <w:pPr>
              <w:pStyle w:val="Compact"/>
            </w:pPr>
            <w:r>
              <w:t xml:space="preserve">Crédito de cuenta destino</w:t>
            </w:r>
          </w:p>
        </w:tc>
        <w:tc>
          <w:tcPr/>
          <w:p>
            <w:pPr>
              <w:pStyle w:val="Compact"/>
            </w:pPr>
            <w:r>
              <w:t xml:space="preserve">Corta</w:t>
            </w:r>
          </w:p>
        </w:tc>
        <w:tc>
          <w:tcPr/>
          <w:p>
            <w:pPr>
              <w:pStyle w:val="Compact"/>
            </w:pPr>
            <w:r>
              <w:t xml:space="preserve">Abono en cuenta</w:t>
            </w:r>
          </w:p>
        </w:tc>
        <w:tc>
          <w:tcPr/>
          <w:p>
            <w:pPr>
              <w:pStyle w:val="Compact"/>
            </w:pPr>
            <w:r>
              <w:t xml:space="preserve">Identificador de transferencia y lado crédito</w:t>
            </w:r>
          </w:p>
        </w:tc>
        <w:tc>
          <w:tcPr/>
          <w:p>
            <w:pPr>
              <w:pStyle w:val="Compact"/>
            </w:pPr>
            <w:r>
              <w:t xml:space="preserve">Igual</w:t>
            </w:r>
          </w:p>
        </w:tc>
        <w:tc>
          <w:tcPr/>
          <w:p>
            <w:pPr>
              <w:pStyle w:val="Compact"/>
            </w:pPr>
            <w:r>
              <w:t xml:space="preserve">Igual, para el abono</w:t>
            </w:r>
          </w:p>
        </w:tc>
        <w:tc>
          <w:tcPr/>
          <w:p>
            <w:pPr>
              <w:pStyle w:val="Compact"/>
            </w:pPr>
            <w:r>
              <w:t xml:space="preserve">Movimiento de abono en core</w:t>
            </w:r>
          </w:p>
        </w:tc>
        <w:tc>
          <w:tcPr/>
          <w:p>
            <w:pPr>
              <w:pStyle w:val="Compact"/>
            </w:pPr>
            <w:r>
              <w:t xml:space="preserve">PO APOQ</w:t>
            </w:r>
          </w:p>
        </w:tc>
      </w:tr>
      <w:tr>
        <w:tc>
          <w:tcPr/>
          <w:p>
            <w:pPr>
              <w:pStyle w:val="Compact"/>
            </w:pPr>
            <w:r>
              <w:t xml:space="preserve">Compensación</w:t>
            </w:r>
          </w:p>
        </w:tc>
        <w:tc>
          <w:tcPr/>
          <w:p>
            <w:pPr>
              <w:pStyle w:val="Compact"/>
            </w:pPr>
            <w:r>
              <w:t xml:space="preserve">Corta</w:t>
            </w:r>
          </w:p>
        </w:tc>
        <w:tc>
          <w:tcPr/>
          <w:p>
            <w:pPr>
              <w:pStyle w:val="Compact"/>
            </w:pPr>
            <w:r>
              <w:t xml:space="preserve">Reverso de débito o crédito</w:t>
            </w:r>
          </w:p>
        </w:tc>
        <w:tc>
          <w:tcPr/>
          <w:p>
            <w:pPr>
              <w:pStyle w:val="Compact"/>
            </w:pPr>
            <w:r>
              <w:t xml:space="preserve">Identificador de compensación ligado al original</w:t>
            </w:r>
          </w:p>
        </w:tc>
        <w:tc>
          <w:tcPr/>
          <w:p>
            <w:pPr>
              <w:pStyle w:val="Compact"/>
            </w:pPr>
            <w:r>
              <w:t xml:space="preserve">Completar en Cloud si la ejecución está activa. Si no, compensar solo si el core confirma el lado a deshacer</w:t>
            </w:r>
          </w:p>
        </w:tc>
        <w:tc>
          <w:tcPr/>
          <w:p>
            <w:pPr>
              <w:pStyle w:val="Compact"/>
            </w:pPr>
            <w:r>
              <w:t xml:space="preserve">Compensar únicamente contra el estado del core. No compensar de forma preventiva</w:t>
            </w:r>
          </w:p>
        </w:tc>
        <w:tc>
          <w:tcPr/>
          <w:p>
            <w:pPr>
              <w:pStyle w:val="Compact"/>
            </w:pPr>
            <w:r>
              <w:t xml:space="preserve">Asiento de reverso y bitácora</w:t>
            </w:r>
          </w:p>
        </w:tc>
        <w:tc>
          <w:tcPr/>
          <w:p>
            <w:pPr>
              <w:pStyle w:val="Compact"/>
            </w:pPr>
            <w:r>
              <w:t xml:space="preserve">PO APOQ</w:t>
            </w:r>
          </w:p>
        </w:tc>
      </w:tr>
      <w:tr>
        <w:tc>
          <w:tcPr/>
          <w:p>
            <w:pPr>
              <w:pStyle w:val="Compact"/>
            </w:pPr>
            <w:r>
              <w:t xml:space="preserve">Recuperación ante fallos o reproceso</w:t>
            </w:r>
          </w:p>
        </w:tc>
        <w:tc>
          <w:tcPr/>
          <w:p>
            <w:pPr>
              <w:pStyle w:val="Compact"/>
            </w:pPr>
            <w:r>
              <w:t xml:space="preserve">Corta a media</w:t>
            </w:r>
          </w:p>
        </w:tc>
        <w:tc>
          <w:tcPr/>
          <w:p>
            <w:pPr>
              <w:pStyle w:val="Compact"/>
            </w:pPr>
            <w:r>
              <w:t xml:space="preserve">Puede reintentar débito, crédito o compensación</w:t>
            </w:r>
          </w:p>
        </w:tc>
        <w:tc>
          <w:tcPr/>
          <w:p>
            <w:pPr>
              <w:pStyle w:val="Compact"/>
            </w:pPr>
            <w:r>
              <w:t xml:space="preserve">La misma clave del lado original</w:t>
            </w:r>
          </w:p>
        </w:tc>
        <w:tc>
          <w:tcPr/>
          <w:p>
            <w:pPr>
              <w:pStyle w:val="Compact"/>
            </w:pPr>
            <w:r>
              <w:t xml:space="preserve">Reproceso en un solo clúster, el que posee la ejecución</w:t>
            </w:r>
          </w:p>
        </w:tc>
        <w:tc>
          <w:tcPr/>
          <w:p>
            <w:pPr>
              <w:pStyle w:val="Compact"/>
            </w:pPr>
            <w:r>
              <w:t xml:space="preserve">Reproceso solo si el core no tiene el efecto. Si está indeterminado, cola de excepción</w:t>
            </w:r>
          </w:p>
        </w:tc>
        <w:tc>
          <w:tcPr/>
          <w:p>
            <w:pPr>
              <w:pStyle w:val="Compact"/>
            </w:pPr>
            <w:r>
              <w:t xml:space="preserve">Cola de excepción y conciliación</w:t>
            </w:r>
          </w:p>
        </w:tc>
        <w:tc>
          <w:tcPr/>
          <w:p>
            <w:pPr>
              <w:pStyle w:val="Compact"/>
            </w:pPr>
            <w:r>
              <w:t xml:space="preserve">PO APOQ y operaciones</w:t>
            </w:r>
          </w:p>
        </w:tc>
      </w:tr>
    </w:tbl>
    <w:p>
      <w:pPr>
        <w:pStyle w:val="BodyText"/>
      </w:pPr>
      <w:r>
        <w:t xml:space="preserve">Una transferencia es un par débito y crédito. La conmutación no puede completar un lado que el otro ambiente ya confirmó. Si hay duda, se deriva a excepción operativa.</w:t>
      </w:r>
    </w:p>
    <w:bookmarkEnd w:id="83"/>
    <w:bookmarkStart w:id="84" w:name="c.2-nrem-remesas-producción"/>
    <w:p>
      <w:pPr>
        <w:pStyle w:val="Heading3"/>
      </w:pPr>
      <w:r>
        <w:t xml:space="preserve">C.2 NREM, remesas (producción)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Tipo de proceso</w:t>
            </w:r>
          </w:p>
        </w:tc>
        <w:tc>
          <w:tcPr/>
          <w:p>
            <w:pPr>
              <w:pStyle w:val="Compact"/>
            </w:pPr>
            <w:r>
              <w:t xml:space="preserve">Duración típica</w:t>
            </w:r>
          </w:p>
        </w:tc>
        <w:tc>
          <w:tcPr/>
          <w:p>
            <w:pPr>
              <w:pStyle w:val="Compact"/>
            </w:pPr>
            <w:r>
              <w:t xml:space="preserve">Efecto de negocio</w:t>
            </w:r>
          </w:p>
        </w:tc>
        <w:tc>
          <w:tcPr/>
          <w:p>
            <w:pPr>
              <w:pStyle w:val="Compact"/>
            </w:pPr>
            <w:r>
              <w:t xml:space="preserve">Clave de idempotencia</w:t>
            </w:r>
          </w:p>
        </w:tc>
        <w:tc>
          <w:tcPr/>
          <w:p>
            <w:pPr>
              <w:pStyle w:val="Compact"/>
            </w:pPr>
            <w:r>
              <w:t xml:space="preserve">Modo ordenado</w:t>
            </w:r>
          </w:p>
        </w:tc>
        <w:tc>
          <w:tcPr/>
          <w:p>
            <w:pPr>
              <w:pStyle w:val="Compact"/>
            </w:pPr>
            <w:r>
              <w:t xml:space="preserve">Modo estresado</w:t>
            </w:r>
          </w:p>
        </w:tc>
        <w:tc>
          <w:tcPr/>
          <w:p>
            <w:pPr>
              <w:pStyle w:val="Compact"/>
            </w:pPr>
            <w:r>
              <w:t xml:space="preserve">Evidencia de conciliación</w:t>
            </w:r>
          </w:p>
        </w:tc>
        <w:tc>
          <w:tcPr/>
          <w:p>
            <w:pPr>
              <w:pStyle w:val="Compact"/>
            </w:pPr>
            <w:r>
              <w:t xml:space="preserve">Dueño</w:t>
            </w:r>
          </w:p>
        </w:tc>
      </w:tr>
      <w:tr>
        <w:tc>
          <w:tcPr/>
          <w:p>
            <w:pPr>
              <w:pStyle w:val="Compact"/>
            </w:pPr>
            <w:r>
              <w:t xml:space="preserve">Emisión de remesa</w:t>
            </w:r>
          </w:p>
        </w:tc>
        <w:tc>
          <w:tcPr/>
          <w:p>
            <w:pPr>
              <w:pStyle w:val="Compact"/>
            </w:pPr>
            <w:r>
              <w:t xml:space="preserve">Corta a media</w:t>
            </w:r>
          </w:p>
        </w:tc>
        <w:tc>
          <w:tcPr/>
          <w:p>
            <w:pPr>
              <w:pStyle w:val="Compact"/>
            </w:pPr>
            <w:r>
              <w:t xml:space="preserve">Orden de pago o instrucción de envío</w:t>
            </w:r>
          </w:p>
        </w:tc>
        <w:tc>
          <w:tcPr/>
          <w:p>
            <w:pPr>
              <w:pStyle w:val="Compact"/>
            </w:pPr>
            <w:r>
              <w:t xml:space="preserve">Identificador de remesa de negocio</w:t>
            </w:r>
          </w:p>
        </w:tc>
        <w:tc>
          <w:tcPr/>
          <w:p>
            <w:pPr>
              <w:pStyle w:val="Compact"/>
            </w:pPr>
            <w:r>
              <w:t xml:space="preserve">Concluir en Cloud. Nuevas emisiones en Self-Hosted</w:t>
            </w:r>
          </w:p>
        </w:tc>
        <w:tc>
          <w:tcPr/>
          <w:p>
            <w:pPr>
              <w:pStyle w:val="Compact"/>
            </w:pPr>
            <w:r>
              <w:t xml:space="preserve">Si la remesa ya está instruida, no reemitir. Si solo existe la solicitud interna, nueva ejecución en Self-Hosted</w:t>
            </w:r>
          </w:p>
        </w:tc>
        <w:tc>
          <w:tcPr/>
          <w:p>
            <w:pPr>
              <w:pStyle w:val="Compact"/>
            </w:pPr>
            <w:r>
              <w:t xml:space="preserve">Estado de remesa en NREM frente a core o corresponsal</w:t>
            </w:r>
          </w:p>
        </w:tc>
        <w:tc>
          <w:tcPr/>
          <w:p>
            <w:pPr>
              <w:pStyle w:val="Compact"/>
            </w:pPr>
            <w:r>
              <w:t xml:space="preserve">PO NREM</w:t>
            </w:r>
          </w:p>
        </w:tc>
      </w:tr>
      <w:tr>
        <w:tc>
          <w:tcPr/>
          <w:p>
            <w:pPr>
              <w:pStyle w:val="Compact"/>
            </w:pPr>
            <w:r>
              <w:t xml:space="preserve">Recepción de remesa</w:t>
            </w:r>
          </w:p>
        </w:tc>
        <w:tc>
          <w:tcPr/>
          <w:p>
            <w:pPr>
              <w:pStyle w:val="Compact"/>
            </w:pPr>
            <w:r>
              <w:t xml:space="preserve">Corta a media</w:t>
            </w:r>
          </w:p>
        </w:tc>
        <w:tc>
          <w:tcPr/>
          <w:p>
            <w:pPr>
              <w:pStyle w:val="Compact"/>
            </w:pPr>
            <w:r>
              <w:t xml:space="preserve">Abono o disponibilidad al beneficiario</w:t>
            </w:r>
          </w:p>
        </w:tc>
        <w:tc>
          <w:tcPr/>
          <w:p>
            <w:pPr>
              <w:pStyle w:val="Compact"/>
            </w:pPr>
            <w:r>
              <w:t xml:space="preserve">Identificador de remesa entrante</w:t>
            </w:r>
          </w:p>
        </w:tc>
        <w:tc>
          <w:tcPr/>
          <w:p>
            <w:pPr>
              <w:pStyle w:val="Compact"/>
            </w:pPr>
            <w:r>
              <w:t xml:space="preserve">Concluir en Cloud</w:t>
            </w:r>
          </w:p>
        </w:tc>
        <w:tc>
          <w:tcPr/>
          <w:p>
            <w:pPr>
              <w:pStyle w:val="Compact"/>
            </w:pPr>
            <w:r>
              <w:t xml:space="preserve">Si el abono ya está en core, no reejecutar. Si la remesa está notificada y no abonada, ejecución en Self-Hosted</w:t>
            </w:r>
          </w:p>
        </w:tc>
        <w:tc>
          <w:tcPr/>
          <w:p>
            <w:pPr>
              <w:pStyle w:val="Compact"/>
            </w:pPr>
            <w:r>
              <w:t xml:space="preserve">Abono en cuenta y seguimiento NREM</w:t>
            </w:r>
          </w:p>
        </w:tc>
        <w:tc>
          <w:tcPr/>
          <w:p>
            <w:pPr>
              <w:pStyle w:val="Compact"/>
            </w:pPr>
            <w:r>
              <w:t xml:space="preserve">PO NREM</w:t>
            </w:r>
          </w:p>
        </w:tc>
      </w:tr>
      <w:tr>
        <w:tc>
          <w:tcPr/>
          <w:p>
            <w:pPr>
              <w:pStyle w:val="Compact"/>
            </w:pPr>
            <w:r>
              <w:t xml:space="preserve">Reproceso o recupero de remesa</w:t>
            </w:r>
          </w:p>
        </w:tc>
        <w:tc>
          <w:tcPr/>
          <w:p>
            <w:pPr>
              <w:pStyle w:val="Compact"/>
            </w:pPr>
            <w:r>
              <w:t xml:space="preserve">Corta a media</w:t>
            </w:r>
          </w:p>
        </w:tc>
        <w:tc>
          <w:tcPr/>
          <w:p>
            <w:pPr>
              <w:pStyle w:val="Compact"/>
            </w:pPr>
            <w:r>
              <w:t xml:space="preserve">Reintento de emisión, recepción o aviso</w:t>
            </w:r>
          </w:p>
        </w:tc>
        <w:tc>
          <w:tcPr/>
          <w:p>
            <w:pPr>
              <w:pStyle w:val="Compact"/>
            </w:pPr>
            <w:r>
              <w:t xml:space="preserve">La misma clave de remesa</w:t>
            </w:r>
          </w:p>
        </w:tc>
        <w:tc>
          <w:tcPr/>
          <w:p>
            <w:pPr>
              <w:pStyle w:val="Compact"/>
            </w:pPr>
            <w:r>
              <w:t xml:space="preserve">Un solo clúster</w:t>
            </w:r>
          </w:p>
        </w:tc>
        <w:tc>
          <w:tcPr/>
          <w:p>
            <w:pPr>
              <w:pStyle w:val="Compact"/>
            </w:pPr>
            <w:r>
              <w:t xml:space="preserve">Cola de excepción si el corresponsal o el core están indeterminados</w:t>
            </w:r>
          </w:p>
        </w:tc>
        <w:tc>
          <w:tcPr/>
          <w:p>
            <w:pPr>
              <w:pStyle w:val="Compact"/>
            </w:pPr>
            <w:r>
              <w:t xml:space="preserve">Seguimiento y constancia de no doble pago</w:t>
            </w:r>
          </w:p>
        </w:tc>
        <w:tc>
          <w:tcPr/>
          <w:p>
            <w:pPr>
              <w:pStyle w:val="Compact"/>
            </w:pPr>
            <w:r>
              <w:t xml:space="preserve">PO NREM y operaciones</w:t>
            </w:r>
          </w:p>
        </w:tc>
      </w:tr>
    </w:tbl>
    <w:p>
      <w:pPr>
        <w:pStyle w:val="BodyText"/>
      </w:pPr>
      <w:r>
        <w:t xml:space="preserve">El seguimiento de la remesa no autoriza a reemitir. La fuente de verdad es el estado en el sistema de negocio y, si aplica, la confirmación del corresponsal.</w:t>
      </w:r>
    </w:p>
    <w:bookmarkEnd w:id="84"/>
    <w:bookmarkStart w:id="85" w:name="c.3-aplicaciones-no-productivas"/>
    <w:p>
      <w:pPr>
        <w:pStyle w:val="Heading3"/>
      </w:pPr>
      <w:r>
        <w:t xml:space="preserve">C.3 Aplicaciones no productivas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Aplicación</w:t>
            </w:r>
          </w:p>
        </w:tc>
        <w:tc>
          <w:tcPr/>
          <w:p>
            <w:pPr>
              <w:pStyle w:val="Compact"/>
            </w:pPr>
            <w:r>
              <w:t xml:space="preserve">Tratamiento</w:t>
            </w:r>
          </w:p>
        </w:tc>
        <w:tc>
          <w:tcPr/>
          <w:p>
            <w:pPr>
              <w:pStyle w:val="Compact"/>
            </w:pPr>
            <w:r>
              <w:t xml:space="preserve">Condición para producción</w:t>
            </w:r>
          </w:p>
        </w:tc>
      </w:tr>
      <w:tr>
        <w:tc>
          <w:tcPr/>
          <w:p>
            <w:pPr>
              <w:pStyle w:val="Compact"/>
            </w:pPr>
            <w:r>
              <w:t xml:space="preserve">CPCA, CPCC</w:t>
            </w:r>
          </w:p>
        </w:tc>
        <w:tc>
          <w:tcPr/>
          <w:p>
            <w:pPr>
              <w:pStyle w:val="Compact"/>
            </w:pPr>
            <w:r>
              <w:t xml:space="preserve">Migrar la receta al destino aprobado o congelar</w:t>
            </w:r>
          </w:p>
        </w:tc>
        <w:tc>
          <w:tcPr/>
          <w:p>
            <w:pPr>
              <w:pStyle w:val="Compact"/>
            </w:pPr>
            <w:r>
              <w:t xml:space="preserve">Producción solo en el destino aprobado</w:t>
            </w:r>
          </w:p>
        </w:tc>
      </w:tr>
      <w:tr>
        <w:tc>
          <w:tcPr/>
          <w:p>
            <w:pPr>
              <w:pStyle w:val="Compact"/>
            </w:pPr>
            <w:r>
              <w:t xml:space="preserve">APTI / TUPI, CDPT, SRCR</w:t>
            </w:r>
          </w:p>
        </w:tc>
        <w:tc>
          <w:tcPr/>
          <w:p>
            <w:pPr>
              <w:pStyle w:val="Compact"/>
            </w:pPr>
            <w:r>
              <w:t xml:space="preserve">Igual</w:t>
            </w:r>
          </w:p>
        </w:tc>
        <w:tc>
          <w:tcPr/>
          <w:p>
            <w:pPr>
              <w:pStyle w:val="Compact"/>
            </w:pPr>
            <w:r>
              <w:t xml:space="preserve">Producción solo en el destino aprobado, con Anexo C propio antes del pase</w:t>
            </w:r>
          </w:p>
        </w:tc>
      </w:tr>
      <w:tr>
        <w:tc>
          <w:tcPr/>
          <w:p>
            <w:pPr>
              <w:pStyle w:val="Compact"/>
            </w:pPr>
            <w:r>
              <w:t xml:space="preserve">LBCL</w:t>
            </w:r>
          </w:p>
        </w:tc>
        <w:tc>
          <w:tcPr/>
          <w:p>
            <w:pPr>
              <w:pStyle w:val="Compact"/>
            </w:pPr>
            <w:r>
              <w:t xml:space="preserve">Igual</w:t>
            </w:r>
          </w:p>
        </w:tc>
        <w:tc>
          <w:tcPr/>
          <w:p>
            <w:pPr>
              <w:pStyle w:val="Compact"/>
            </w:pPr>
            <w:r>
              <w:t xml:space="preserve">Producción solo en el destino aprobado, con Anexo C propio (BCR / LBTR)</w:t>
            </w:r>
          </w:p>
        </w:tc>
      </w:tr>
      <w:tr>
        <w:tc>
          <w:tcPr/>
          <w:p>
            <w:pPr>
              <w:pStyle w:val="Compact"/>
            </w:pPr>
            <w:r>
              <w:t xml:space="preserve">CPCR</w:t>
            </w:r>
          </w:p>
        </w:tc>
        <w:tc>
          <w:tcPr/>
          <w:p>
            <w:pPr>
              <w:pStyle w:val="Compact"/>
            </w:pPr>
            <w:r>
              <w:t xml:space="preserve">Igual</w:t>
            </w:r>
          </w:p>
        </w:tc>
        <w:tc>
          <w:tcPr/>
          <w:p>
            <w:pPr>
              <w:pStyle w:val="Compact"/>
            </w:pPr>
            <w:r>
              <w:t xml:space="preserve">Producción solo en el destino aprobado, con Anexo C propio (core de cuentas)</w:t>
            </w:r>
          </w:p>
        </w:tc>
      </w:tr>
    </w:tbl>
    <w:p>
      <w:r>
        <w:pict>
          <v:rect style="width:0;height:1.5pt" o:hralign="center" o:hrstd="t" o:hr="t"/>
        </w:pict>
      </w:r>
    </w:p>
    <w:bookmarkEnd w:id="85"/>
    <w:bookmarkEnd w:id="86"/>
    <w:bookmarkStart w:id="87" w:name="X176a71ab43bbe4170748a43889b2c0f20a4c195"/>
    <w:p>
      <w:pPr>
        <w:pStyle w:val="Heading2"/>
      </w:pPr>
      <w:r>
        <w:t xml:space="preserve">Anexo D. Expediente de activación y cierre</w:t>
      </w:r>
    </w:p>
    <w:p>
      <w:pPr>
        <w:pStyle w:val="FirstParagraph"/>
      </w:pPr>
      <w:r>
        <w:t xml:space="preserve">Custodia: PEVE (expediente único). Copias: Legal/Compras (contractual), RNF (riesgo) y Seguridad (cierre de accesos).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Pieza</w:t>
            </w:r>
          </w:p>
        </w:tc>
        <w:tc>
          <w:tcPr/>
          <w:p>
            <w:pPr>
              <w:pStyle w:val="Compact"/>
            </w:pPr>
            <w:r>
              <w:t xml:space="preserve">Quién aporta</w:t>
            </w:r>
          </w:p>
        </w:tc>
        <w:tc>
          <w:tcPr/>
          <w:p>
            <w:pPr>
              <w:pStyle w:val="Compact"/>
            </w:pPr>
            <w:r>
              <w:t xml:space="preserve">Cuándo</w:t>
            </w:r>
          </w:p>
        </w:tc>
      </w:tr>
      <w:tr>
        <w:tc>
          <w:tcPr/>
          <w:p>
            <w:pPr>
              <w:pStyle w:val="Compact"/>
            </w:pPr>
            <w:r>
              <w:t xml:space="preserve">D1</w:t>
            </w:r>
          </w:p>
        </w:tc>
        <w:tc>
          <w:tcPr/>
          <w:p>
            <w:pPr>
              <w:pStyle w:val="Compact"/>
            </w:pPr>
            <w:r>
              <w:t xml:space="preserve">Comunicación del proveedor o expediente de continuidad</w:t>
            </w:r>
          </w:p>
        </w:tc>
        <w:tc>
          <w:tcPr/>
          <w:p>
            <w:pPr>
              <w:pStyle w:val="Compact"/>
            </w:pPr>
            <w:r>
              <w:t xml:space="preserve">Legal</w:t>
            </w:r>
          </w:p>
        </w:tc>
        <w:tc>
          <w:tcPr/>
          <w:p>
            <w:pPr>
              <w:pStyle w:val="Compact"/>
            </w:pPr>
            <w:r>
              <w:t xml:space="preserve">Activación</w:t>
            </w:r>
          </w:p>
        </w:tc>
      </w:tr>
      <w:tr>
        <w:tc>
          <w:tcPr/>
          <w:p>
            <w:pPr>
              <w:pStyle w:val="Compact"/>
            </w:pPr>
            <w:r>
              <w:t xml:space="preserve">D2</w:t>
            </w:r>
          </w:p>
        </w:tc>
        <w:tc>
          <w:tcPr/>
          <w:p>
            <w:pPr>
              <w:pStyle w:val="Compact"/>
            </w:pPr>
            <w:r>
              <w:t xml:space="preserve">Acta de vigilancia o de activación, con el modo (ordenado o estresado)</w:t>
            </w:r>
          </w:p>
        </w:tc>
        <w:tc>
          <w:tcPr/>
          <w:p>
            <w:pPr>
              <w:pStyle w:val="Compact"/>
            </w:pPr>
            <w:r>
              <w:t xml:space="preserve">Instancia aprobadora</w:t>
            </w:r>
          </w:p>
        </w:tc>
        <w:tc>
          <w:tcPr/>
          <w:p>
            <w:pPr>
              <w:pStyle w:val="Compact"/>
            </w:pPr>
            <w:r>
              <w:t xml:space="preserve">Activación</w:t>
            </w:r>
          </w:p>
        </w:tc>
      </w:tr>
      <w:tr>
        <w:tc>
          <w:tcPr/>
          <w:p>
            <w:pPr>
              <w:pStyle w:val="Compact"/>
            </w:pPr>
            <w:r>
              <w:t xml:space="preserve">D3</w:t>
            </w:r>
          </w:p>
        </w:tc>
        <w:tc>
          <w:tcPr/>
          <w:p>
            <w:pPr>
              <w:pStyle w:val="Compact"/>
            </w:pPr>
            <w:r>
              <w:t xml:space="preserve">Inventario del Anexo A vigente, con fecha</w:t>
            </w:r>
          </w:p>
        </w:tc>
        <w:tc>
          <w:tcPr/>
          <w:p>
            <w:pPr>
              <w:pStyle w:val="Compact"/>
            </w:pPr>
            <w:r>
              <w:t xml:space="preserve">PEVE y aplicaciones</w:t>
            </w:r>
          </w:p>
        </w:tc>
        <w:tc>
          <w:tcPr/>
          <w:p>
            <w:pPr>
              <w:pStyle w:val="Compact"/>
            </w:pPr>
            <w:r>
              <w:t xml:space="preserve">Activación y cada fase</w:t>
            </w:r>
          </w:p>
        </w:tc>
      </w:tr>
      <w:tr>
        <w:tc>
          <w:tcPr/>
          <w:p>
            <w:pPr>
              <w:pStyle w:val="Compact"/>
            </w:pPr>
            <w:r>
              <w:t xml:space="preserve">D4</w:t>
            </w:r>
          </w:p>
        </w:tc>
        <w:tc>
          <w:tcPr/>
          <w:p>
            <w:pPr>
              <w:pStyle w:val="Compact"/>
            </w:pPr>
            <w:r>
              <w:t xml:space="preserve">Matriz del Anexo C firmada (APOQ, NREM; resto si aplica)</w:t>
            </w:r>
          </w:p>
        </w:tc>
        <w:tc>
          <w:tcPr/>
          <w:p>
            <w:pPr>
              <w:pStyle w:val="Compact"/>
            </w:pPr>
            <w:r>
              <w:t xml:space="preserve">PO y equipo técnico</w:t>
            </w:r>
          </w:p>
        </w:tc>
        <w:tc>
          <w:tcPr/>
          <w:p>
            <w:pPr>
              <w:pStyle w:val="Compact"/>
            </w:pPr>
            <w:r>
              <w:t xml:space="preserve">Antes de producción o conmutación</w:t>
            </w:r>
          </w:p>
        </w:tc>
      </w:tr>
      <w:tr>
        <w:tc>
          <w:tcPr/>
          <w:p>
            <w:pPr>
              <w:pStyle w:val="Compact"/>
            </w:pPr>
            <w:r>
              <w:t xml:space="preserve">D5</w:t>
            </w:r>
          </w:p>
        </w:tc>
        <w:tc>
          <w:tcPr/>
          <w:p>
            <w:pPr>
              <w:pStyle w:val="Compact"/>
            </w:pPr>
            <w:r>
              <w:t xml:space="preserve">Evidencias de la fase 0 (Anexo B o B.4 según destino)</w:t>
            </w:r>
          </w:p>
        </w:tc>
        <w:tc>
          <w:tcPr/>
          <w:p>
            <w:pPr>
              <w:pStyle w:val="Compact"/>
            </w:pPr>
            <w:r>
              <w:t xml:space="preserve">PEVE, Arquitectura y Seguridad</w:t>
            </w:r>
          </w:p>
        </w:tc>
        <w:tc>
          <w:tcPr/>
          <w:p>
            <w:pPr>
              <w:pStyle w:val="Compact"/>
            </w:pPr>
            <w:r>
              <w:t xml:space="preserve">Antes o al activar</w:t>
            </w:r>
          </w:p>
        </w:tc>
      </w:tr>
      <w:tr>
        <w:tc>
          <w:tcPr/>
          <w:p>
            <w:pPr>
              <w:pStyle w:val="Compact"/>
            </w:pPr>
            <w:r>
              <w:t xml:space="preserve">D6</w:t>
            </w:r>
          </w:p>
        </w:tc>
        <w:tc>
          <w:tcPr/>
          <w:p>
            <w:pPr>
              <w:pStyle w:val="Compact"/>
            </w:pPr>
            <w:r>
              <w:t xml:space="preserve">Evidencias de desarrollo y certificación por aplicación</w:t>
            </w:r>
          </w:p>
        </w:tc>
        <w:tc>
          <w:tcPr/>
          <w:p>
            <w:pPr>
              <w:pStyle w:val="Compact"/>
            </w:pPr>
            <w:r>
              <w:t xml:space="preserve">Equipo de aplicación</w:t>
            </w:r>
          </w:p>
        </w:tc>
        <w:tc>
          <w:tcPr/>
          <w:p>
            <w:pPr>
              <w:pStyle w:val="Compact"/>
            </w:pPr>
            <w:r>
              <w:t xml:space="preserve">Fase 2</w:t>
            </w:r>
          </w:p>
        </w:tc>
      </w:tr>
      <w:tr>
        <w:tc>
          <w:tcPr/>
          <w:p>
            <w:pPr>
              <w:pStyle w:val="Compact"/>
            </w:pPr>
            <w:r>
              <w:t xml:space="preserve">D7</w:t>
            </w:r>
          </w:p>
        </w:tc>
        <w:tc>
          <w:tcPr/>
          <w:p>
            <w:pPr>
              <w:pStyle w:val="Compact"/>
            </w:pPr>
            <w:r>
              <w:t xml:space="preserve">Plan de cambio productivo o constancia de conmutación sin reversa</w:t>
            </w:r>
          </w:p>
        </w:tc>
        <w:tc>
          <w:tcPr/>
          <w:p>
            <w:pPr>
              <w:pStyle w:val="Compact"/>
            </w:pPr>
            <w:r>
              <w:t xml:space="preserve">Equipo y Continuidad</w:t>
            </w:r>
          </w:p>
        </w:tc>
        <w:tc>
          <w:tcPr/>
          <w:p>
            <w:pPr>
              <w:pStyle w:val="Compact"/>
            </w:pPr>
            <w:r>
              <w:t xml:space="preserve">Fase 3</w:t>
            </w:r>
          </w:p>
        </w:tc>
      </w:tr>
      <w:tr>
        <w:tc>
          <w:tcPr/>
          <w:p>
            <w:pPr>
              <w:pStyle w:val="Compact"/>
            </w:pPr>
            <w:r>
              <w:t xml:space="preserve">D8</w:t>
            </w:r>
          </w:p>
        </w:tc>
        <w:tc>
          <w:tcPr/>
          <w:p>
            <w:pPr>
              <w:pStyle w:val="Compact"/>
            </w:pPr>
            <w:r>
              <w:t xml:space="preserve">Conciliación de APOQ y NREM y conformidad del PO</w:t>
            </w:r>
          </w:p>
        </w:tc>
        <w:tc>
          <w:tcPr/>
          <w:p>
            <w:pPr>
              <w:pStyle w:val="Compact"/>
            </w:pPr>
            <w:r>
              <w:t xml:space="preserve">PO</w:t>
            </w:r>
          </w:p>
        </w:tc>
        <w:tc>
          <w:tcPr/>
          <w:p>
            <w:pPr>
              <w:pStyle w:val="Compact"/>
            </w:pPr>
            <w:r>
              <w:t xml:space="preserve">Cierre de ventana</w:t>
            </w:r>
          </w:p>
        </w:tc>
      </w:tr>
      <w:tr>
        <w:tc>
          <w:tcPr/>
          <w:p>
            <w:pPr>
              <w:pStyle w:val="Compact"/>
            </w:pPr>
            <w:r>
              <w:t xml:space="preserve">D9</w:t>
            </w:r>
          </w:p>
        </w:tc>
        <w:tc>
          <w:tcPr/>
          <w:p>
            <w:pPr>
              <w:pStyle w:val="Compact"/>
            </w:pPr>
            <w:r>
              <w:t xml:space="preserve">Inventario de accesos Cloud antes y después, y revocación</w:t>
            </w:r>
          </w:p>
        </w:tc>
        <w:tc>
          <w:tcPr/>
          <w:p>
            <w:pPr>
              <w:pStyle w:val="Compact"/>
            </w:pPr>
            <w:r>
              <w:t xml:space="preserve">Seguridad</w:t>
            </w:r>
          </w:p>
        </w:tc>
        <w:tc>
          <w:tcPr/>
          <w:p>
            <w:pPr>
              <w:pStyle w:val="Compact"/>
            </w:pPr>
            <w:r>
              <w:t xml:space="preserve">Fase 4</w:t>
            </w:r>
          </w:p>
        </w:tc>
      </w:tr>
      <w:tr>
        <w:tc>
          <w:tcPr/>
          <w:p>
            <w:pPr>
              <w:pStyle w:val="Compact"/>
            </w:pPr>
            <w:r>
              <w:t xml:space="preserve">D10</w:t>
            </w:r>
          </w:p>
        </w:tc>
        <w:tc>
          <w:tcPr/>
          <w:p>
            <w:pPr>
              <w:pStyle w:val="Compact"/>
            </w:pPr>
            <w:r>
              <w:t xml:space="preserve">Terminación contractual o constancia de inexistencia de contraparte</w:t>
            </w:r>
          </w:p>
        </w:tc>
        <w:tc>
          <w:tcPr/>
          <w:p>
            <w:pPr>
              <w:pStyle w:val="Compact"/>
            </w:pPr>
            <w:r>
              <w:t xml:space="preserve">Legal / Compras</w:t>
            </w:r>
          </w:p>
        </w:tc>
        <w:tc>
          <w:tcPr/>
          <w:p>
            <w:pPr>
              <w:pStyle w:val="Compact"/>
            </w:pPr>
            <w:r>
              <w:t xml:space="preserve">Fase 5</w:t>
            </w:r>
          </w:p>
        </w:tc>
      </w:tr>
      <w:tr>
        <w:tc>
          <w:tcPr/>
          <w:p>
            <w:pPr>
              <w:pStyle w:val="Compact"/>
            </w:pPr>
            <w:r>
              <w:t xml:space="preserve">D11</w:t>
            </w:r>
          </w:p>
        </w:tc>
        <w:tc>
          <w:tcPr/>
          <w:p>
            <w:pPr>
              <w:pStyle w:val="Compact"/>
            </w:pPr>
            <w:r>
              <w:t xml:space="preserve">Riesgo residual y aprobación de cierre</w:t>
            </w:r>
          </w:p>
        </w:tc>
        <w:tc>
          <w:tcPr/>
          <w:p>
            <w:pPr>
              <w:pStyle w:val="Compact"/>
            </w:pPr>
            <w:r>
              <w:t xml:space="preserve">RNF e instancia aprobadora</w:t>
            </w:r>
          </w:p>
        </w:tc>
        <w:tc>
          <w:tcPr/>
          <w:p>
            <w:pPr>
              <w:pStyle w:val="Compact"/>
            </w:pPr>
            <w:r>
              <w:t xml:space="preserve">Fase 5</w:t>
            </w:r>
          </w:p>
        </w:tc>
      </w:tr>
      <w:tr>
        <w:tc>
          <w:tcPr/>
          <w:p>
            <w:pPr>
              <w:pStyle w:val="Compact"/>
            </w:pPr>
            <w:r>
              <w:t xml:space="preserve">D12</w:t>
            </w:r>
          </w:p>
        </w:tc>
        <w:tc>
          <w:tcPr/>
          <w:p>
            <w:pPr>
              <w:pStyle w:val="Compact"/>
            </w:pPr>
            <w:r>
              <w:t xml:space="preserve">Lecciones del ejercicio anual “Cloud no responde”</w:t>
            </w:r>
          </w:p>
        </w:tc>
        <w:tc>
          <w:tcPr/>
          <w:p>
            <w:pPr>
              <w:pStyle w:val="Compact"/>
            </w:pPr>
            <w:r>
              <w:t xml:space="preserve">PEVE</w:t>
            </w:r>
          </w:p>
        </w:tc>
        <w:tc>
          <w:tcPr/>
          <w:p>
            <w:pPr>
              <w:pStyle w:val="Compact"/>
            </w:pPr>
            <w:r>
              <w:t xml:space="preserve">Revisión del plan</w:t>
            </w:r>
          </w:p>
        </w:tc>
      </w:tr>
      <w:tr>
        <w:tc>
          <w:tcPr/>
          <w:p>
            <w:pPr>
              <w:pStyle w:val="Compact"/>
            </w:pPr>
            <w:r>
              <w:t xml:space="preserve">D13</w:t>
            </w:r>
          </w:p>
        </w:tc>
        <w:tc>
          <w:tcPr/>
          <w:p>
            <w:pPr>
              <w:pStyle w:val="Compact"/>
            </w:pPr>
            <w:r>
              <w:t xml:space="preserve">Acta de destino del paso 0.0 (Self-Hosted o una opciones 2, 3 o 4)</w:t>
            </w:r>
          </w:p>
        </w:tc>
        <w:tc>
          <w:tcPr/>
          <w:p>
            <w:pPr>
              <w:pStyle w:val="Compact"/>
            </w:pPr>
            <w:r>
              <w:t xml:space="preserve">Instancia / Arquitectura / Compras</w:t>
            </w:r>
          </w:p>
        </w:tc>
        <w:tc>
          <w:tcPr/>
          <w:p>
            <w:pPr>
              <w:pStyle w:val="Compact"/>
            </w:pPr>
            <w:r>
              <w:t xml:space="preserve">Antes del paso 0.2 o 0.2b</w:t>
            </w:r>
          </w:p>
        </w:tc>
      </w:tr>
    </w:tbl>
    <w:p>
      <w:r>
        <w:pict>
          <v:rect style="width:0;height:1.5pt" o:hralign="center" o:hrstd="t" o:hr="t"/>
        </w:pict>
      </w:r>
    </w:p>
    <w:bookmarkEnd w:id="87"/>
    <w:bookmarkStart w:id="90" w:name="X2771d93435afbbcfc69cb763e3b2359e0f23223"/>
    <w:p>
      <w:pPr>
        <w:pStyle w:val="Heading2"/>
      </w:pPr>
      <w:r>
        <w:t xml:space="preserve">Anexo E. Actuación en el día de activación</w:t>
      </w:r>
    </w:p>
    <w:p>
      <w:pPr>
        <w:pStyle w:val="FirstParagraph"/>
      </w:pPr>
      <w:r>
        <w:t xml:space="preserve">PEVE declara el modo en la primera hora. No se combinan las dos rutas.</w:t>
      </w:r>
    </w:p>
    <w:bookmarkStart w:id="88" w:name="Xdd183042d4542719d3334868dc7b89bf26eb2b3"/>
    <w:p>
      <w:pPr>
        <w:pStyle w:val="Heading3"/>
      </w:pPr>
      <w:r>
        <w:t xml:space="preserve">E.1 Temporal Cloud disponible (reorganización o venta)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Tiempo</w:t>
            </w:r>
          </w:p>
        </w:tc>
        <w:tc>
          <w:tcPr/>
          <w:p>
            <w:pPr>
              <w:pStyle w:val="Compact"/>
            </w:pPr>
            <w:r>
              <w:t xml:space="preserve">Acción</w:t>
            </w:r>
          </w:p>
        </w:tc>
        <w:tc>
          <w:tcPr/>
          <w:p>
            <w:pPr>
              <w:pStyle w:val="Compact"/>
            </w:pPr>
            <w:r>
              <w:t xml:space="preserve">Responsable</w:t>
            </w:r>
          </w:p>
        </w:tc>
      </w:tr>
      <w:tr>
        <w:tc>
          <w:tcPr/>
          <w:p>
            <w:pPr>
              <w:pStyle w:val="Compact"/>
            </w:pPr>
            <w:r>
              <w:t xml:space="preserve">Inicio</w:t>
            </w:r>
          </w:p>
        </w:tc>
        <w:tc>
          <w:tcPr/>
          <w:p>
            <w:pPr>
              <w:pStyle w:val="Compact"/>
            </w:pPr>
            <w:r>
              <w:t xml:space="preserve">Acta de activación. Congelar nuevos inicios productivos hacia Cloud</w:t>
            </w:r>
          </w:p>
        </w:tc>
        <w:tc>
          <w:tcPr/>
          <w:p>
            <w:pPr>
              <w:pStyle w:val="Compact"/>
            </w:pPr>
            <w:r>
              <w:t xml:space="preserve">Instancia aprobadora y PEVE</w:t>
            </w:r>
          </w:p>
        </w:tc>
      </w:tr>
      <w:tr>
        <w:tc>
          <w:tcPr/>
          <w:p>
            <w:pPr>
              <w:pStyle w:val="Compact"/>
            </w:pPr>
            <w:r>
              <w:t xml:space="preserve">Primeras 2 horas</w:t>
            </w:r>
          </w:p>
        </w:tc>
        <w:tc>
          <w:tcPr/>
          <w:p>
            <w:pPr>
              <w:pStyle w:val="Compact"/>
            </w:pPr>
            <w:r>
              <w:t xml:space="preserve">Indicador de destino: nuevos inicios de APOQ y NREM hacia el destino aprobado. Workers o funciones listos; sin ejecución simultánea con Cloud</w:t>
            </w:r>
          </w:p>
        </w:tc>
        <w:tc>
          <w:tcPr/>
          <w:p>
            <w:pPr>
              <w:pStyle w:val="Compact"/>
            </w:pPr>
            <w:r>
              <w:t xml:space="preserve">Equipos APOQ y NREM</w:t>
            </w:r>
          </w:p>
        </w:tc>
      </w:tr>
      <w:tr>
        <w:tc>
          <w:tcPr/>
          <w:p>
            <w:pPr>
              <w:pStyle w:val="Compact"/>
            </w:pPr>
            <w:r>
              <w:t xml:space="preserve">2 a 24 horas</w:t>
            </w:r>
          </w:p>
        </w:tc>
        <w:tc>
          <w:tcPr/>
          <w:p>
            <w:pPr>
              <w:pStyle w:val="Compact"/>
            </w:pPr>
            <w:r>
              <w:t xml:space="preserve">Conclusión de ejecuciones cortas en Cloud. Inventario de largos, fallidos y reprocesos</w:t>
            </w:r>
          </w:p>
        </w:tc>
        <w:tc>
          <w:tcPr/>
          <w:p>
            <w:pPr>
              <w:pStyle w:val="Compact"/>
            </w:pPr>
            <w:r>
              <w:t xml:space="preserve">Equipos y PO</w:t>
            </w:r>
          </w:p>
        </w:tc>
      </w:tr>
      <w:tr>
        <w:tc>
          <w:tcPr/>
          <w:p>
            <w:pPr>
              <w:pStyle w:val="Compact"/>
            </w:pPr>
            <w:r>
              <w:t xml:space="preserve">Día 2 en adelante</w:t>
            </w:r>
          </w:p>
        </w:tc>
        <w:tc>
          <w:tcPr/>
          <w:p>
            <w:pPr>
              <w:pStyle w:val="Compact"/>
            </w:pPr>
            <w:r>
              <w:t xml:space="preserve">Traslado de ejecuciones largas. Pausa de schedules en Cloud y reanudación en el destino, con control de disparo único</w:t>
            </w:r>
          </w:p>
        </w:tc>
        <w:tc>
          <w:tcPr/>
          <w:p>
            <w:pPr>
              <w:pStyle w:val="Compact"/>
            </w:pPr>
            <w:r>
              <w:t xml:space="preserve">Equipos</w:t>
            </w:r>
          </w:p>
        </w:tc>
      </w:tr>
      <w:tr>
        <w:tc>
          <w:tcPr/>
          <w:p>
            <w:pPr>
              <w:pStyle w:val="Compact"/>
            </w:pPr>
            <w:r>
              <w:t xml:space="preserve">Ventana</w:t>
            </w:r>
          </w:p>
        </w:tc>
        <w:tc>
          <w:tcPr/>
          <w:p>
            <w:pPr>
              <w:pStyle w:val="Compact"/>
            </w:pPr>
            <w:r>
              <w:t xml:space="preserve">Conciliación continua. Reversa solo si el destino no cumple criterios y Cloud sigue operable</w:t>
            </w:r>
          </w:p>
        </w:tc>
        <w:tc>
          <w:tcPr/>
          <w:p>
            <w:pPr>
              <w:pStyle w:val="Compact"/>
            </w:pPr>
            <w:r>
              <w:t xml:space="preserve">PO y Continuidad</w:t>
            </w:r>
          </w:p>
        </w:tc>
      </w:tr>
      <w:tr>
        <w:tc>
          <w:tcPr/>
          <w:p>
            <w:pPr>
              <w:pStyle w:val="Compact"/>
            </w:pPr>
            <w:r>
              <w:t xml:space="preserve">Cierre de ventana</w:t>
            </w:r>
          </w:p>
        </w:tc>
        <w:tc>
          <w:tcPr/>
          <w:p>
            <w:pPr>
              <w:pStyle w:val="Compact"/>
            </w:pPr>
            <w:r>
              <w:t xml:space="preserve">Conformidad del PO. Cloud queda en consulta el tiempo de retención</w:t>
            </w:r>
          </w:p>
        </w:tc>
        <w:tc>
          <w:tcPr/>
          <w:p>
            <w:pPr>
              <w:pStyle w:val="Compact"/>
            </w:pPr>
            <w:r>
              <w:t xml:space="preserve">PEVE</w:t>
            </w:r>
          </w:p>
        </w:tc>
      </w:tr>
      <w:tr>
        <w:tc>
          <w:tcPr/>
          <w:p>
            <w:pPr>
              <w:pStyle w:val="Compact"/>
            </w:pPr>
            <w:r>
              <w:t xml:space="preserve">Retiro</w:t>
            </w:r>
          </w:p>
        </w:tc>
        <w:tc>
          <w:tcPr/>
          <w:p>
            <w:pPr>
              <w:pStyle w:val="Compact"/>
            </w:pPr>
            <w:r>
              <w:t xml:space="preserve">Revocar secretos de Cloud. Expediente D9 a D11</w:t>
            </w:r>
          </w:p>
        </w:tc>
        <w:tc>
          <w:tcPr/>
          <w:p>
            <w:pPr>
              <w:pStyle w:val="Compact"/>
            </w:pPr>
            <w:r>
              <w:t xml:space="preserve">Seguridad y Legal</w:t>
            </w:r>
          </w:p>
        </w:tc>
      </w:tr>
    </w:tbl>
    <w:bookmarkEnd w:id="88"/>
    <w:bookmarkStart w:id="89" w:name="X5d6f7c28ca2da342853cbc98e7caeafb142d3f6"/>
    <w:p>
      <w:pPr>
        <w:pStyle w:val="Heading3"/>
      </w:pPr>
      <w:r>
        <w:t xml:space="preserve">E.2 Temporal Cloud no disponible (liquidación o interrupción)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Tiempo</w:t>
            </w:r>
          </w:p>
        </w:tc>
        <w:tc>
          <w:tcPr/>
          <w:p>
            <w:pPr>
              <w:pStyle w:val="Compact"/>
            </w:pPr>
            <w:r>
              <w:t xml:space="preserve">Acción</w:t>
            </w:r>
          </w:p>
        </w:tc>
        <w:tc>
          <w:tcPr/>
          <w:p>
            <w:pPr>
              <w:pStyle w:val="Compact"/>
            </w:pPr>
            <w:r>
              <w:t xml:space="preserve">Responsable</w:t>
            </w:r>
          </w:p>
        </w:tc>
      </w:tr>
      <w:tr>
        <w:tc>
          <w:tcPr/>
          <w:p>
            <w:pPr>
              <w:pStyle w:val="Compact"/>
            </w:pPr>
            <w:r>
              <w:t xml:space="preserve">Inicio</w:t>
            </w:r>
          </w:p>
        </w:tc>
        <w:tc>
          <w:tcPr/>
          <w:p>
            <w:pPr>
              <w:pStyle w:val="Compact"/>
            </w:pPr>
            <w:r>
              <w:t xml:space="preserve">Incidente de proveedor. Modo estresado. No se espera exportación ni soporte</w:t>
            </w:r>
          </w:p>
        </w:tc>
        <w:tc>
          <w:tcPr/>
          <w:p>
            <w:pPr>
              <w:pStyle w:val="Compact"/>
            </w:pPr>
            <w:r>
              <w:t xml:space="preserve">PEVE y Continuidad</w:t>
            </w:r>
          </w:p>
        </w:tc>
      </w:tr>
      <w:tr>
        <w:tc>
          <w:tcPr/>
          <w:p>
            <w:pPr>
              <w:pStyle w:val="Compact"/>
            </w:pPr>
            <w:r>
              <w:t xml:space="preserve">Primeras 2 horas</w:t>
            </w:r>
          </w:p>
        </w:tc>
        <w:tc>
          <w:tcPr/>
          <w:p>
            <w:pPr>
              <w:pStyle w:val="Compact"/>
            </w:pPr>
            <w:r>
              <w:t xml:space="preserve">Workers, clientes o funciones solo hacia el destino aprobado. Schedules reanudados solo ahí</w:t>
            </w:r>
          </w:p>
        </w:tc>
        <w:tc>
          <w:tcPr/>
          <w:p>
            <w:pPr>
              <w:pStyle w:val="Compact"/>
            </w:pPr>
            <w:r>
              <w:t xml:space="preserve">Equipos APOQ y NREM</w:t>
            </w:r>
          </w:p>
        </w:tc>
      </w:tr>
      <w:tr>
        <w:tc>
          <w:tcPr/>
          <w:p>
            <w:pPr>
              <w:pStyle w:val="Compact"/>
            </w:pPr>
            <w:r>
              <w:t xml:space="preserve">2 a 24 horas</w:t>
            </w:r>
          </w:p>
        </w:tc>
        <w:tc>
          <w:tcPr/>
          <w:p>
            <w:pPr>
              <w:pStyle w:val="Compact"/>
            </w:pPr>
            <w:r>
              <w:t xml:space="preserve">Reabrir únicamente lo que el core, NREM o el outbox muestran como pendiente. Bloquear efectos de negocio ya confirmados</w:t>
            </w:r>
          </w:p>
        </w:tc>
        <w:tc>
          <w:tcPr/>
          <w:p>
            <w:pPr>
              <w:pStyle w:val="Compact"/>
            </w:pPr>
            <w:r>
              <w:t xml:space="preserve">PO y operaciones</w:t>
            </w:r>
          </w:p>
        </w:tc>
      </w:tr>
      <w:tr>
        <w:tc>
          <w:tcPr/>
          <w:p>
            <w:pPr>
              <w:pStyle w:val="Compact"/>
            </w:pPr>
            <w:r>
              <w:t xml:space="preserve">1 a 7 días</w:t>
            </w:r>
          </w:p>
        </w:tc>
        <w:tc>
          <w:tcPr/>
          <w:p>
            <w:pPr>
              <w:pStyle w:val="Compact"/>
            </w:pPr>
            <w:r>
              <w:t xml:space="preserve">Colas de excepción para casos indeterminados. Aviso a las áreas de control si el servicio es significativo</w:t>
            </w:r>
          </w:p>
        </w:tc>
        <w:tc>
          <w:tcPr/>
          <w:p>
            <w:pPr>
              <w:pStyle w:val="Compact"/>
            </w:pPr>
            <w:r>
              <w:t xml:space="preserve">RNF y Continuidad</w:t>
            </w:r>
          </w:p>
        </w:tc>
      </w:tr>
      <w:tr>
        <w:tc>
          <w:tcPr/>
          <w:p>
            <w:pPr>
              <w:pStyle w:val="Compact"/>
            </w:pPr>
            <w:r>
              <w:t xml:space="preserve">30 días</w:t>
            </w:r>
          </w:p>
        </w:tc>
        <w:tc>
          <w:tcPr/>
          <w:p>
            <w:pPr>
              <w:pStyle w:val="Compact"/>
            </w:pPr>
            <w:r>
              <w:t xml:space="preserve">Retener las exportaciones ya obtenidas. Documentar el historial no recuperable. Cerrar el contrato si queda entidad</w:t>
            </w:r>
          </w:p>
        </w:tc>
        <w:tc>
          <w:tcPr/>
          <w:p>
            <w:pPr>
              <w:pStyle w:val="Compact"/>
            </w:pPr>
            <w:r>
              <w:t xml:space="preserve">PEVE y Legal</w:t>
            </w:r>
          </w:p>
        </w:tc>
      </w:tr>
    </w:tbl>
    <w:p>
      <w:pPr>
        <w:pStyle w:val="BodyText"/>
      </w:pPr>
      <w:r>
        <w:t xml:space="preserve">En E.2 no hay reversa hacia Cloud.</w:t>
      </w:r>
    </w:p>
    <w:p>
      <w:r>
        <w:pict>
          <v:rect style="width:0;height:1.5pt" o:hralign="center" o:hrstd="t" o:hr="t"/>
        </w:pict>
      </w:r>
    </w:p>
    <w:bookmarkEnd w:id="89"/>
    <w:bookmarkEnd w:id="90"/>
    <w:bookmarkStart w:id="91" w:name="anexo-f.-criterio-de-fase-0-completa"/>
    <w:p>
      <w:pPr>
        <w:pStyle w:val="Heading2"/>
      </w:pPr>
      <w:r>
        <w:t xml:space="preserve">Anexo F. Criterio de fase 0 completa</w:t>
      </w:r>
    </w:p>
    <w:p>
      <w:pPr>
        <w:pStyle w:val="FirstParagraph"/>
      </w:pPr>
      <w:r>
        <w:t xml:space="preserve">La fase 0 se considera completa cuando PEVE puede marcar afirmativo en todos los puntos. F14 se resuelve primero: condiciona cómo se leen F1 a F3, F7 y F8. Mientras exista un negativo, se mantiene el riesgo residual descrito en la sección 12.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Criterio</w:t>
            </w:r>
          </w:p>
        </w:tc>
        <w:tc>
          <w:tcPr/>
          <w:p>
            <w:pPr>
              <w:pStyle w:val="Compact"/>
            </w:pPr>
            <w:r>
              <w:t xml:space="preserve">Sí / No</w:t>
            </w:r>
          </w:p>
        </w:tc>
      </w:tr>
      <w:tr>
        <w:tc>
          <w:tcPr/>
          <w:p>
            <w:pPr>
              <w:pStyle w:val="Compact"/>
            </w:pPr>
            <w:r>
              <w:t xml:space="preserve">F14</w:t>
            </w:r>
          </w:p>
        </w:tc>
        <w:tc>
          <w:tcPr/>
          <w:p>
            <w:pPr>
              <w:pStyle w:val="Compact"/>
            </w:pPr>
            <w:r>
              <w:t xml:space="preserve">Destino confirmado: Self-Hosted, o acta D13 de una opciones 2, 3 o 4</w:t>
            </w:r>
          </w:p>
        </w:tc>
        <w:tc>
          <w:tcPr/>
          <w:p>
            <w:pPr>
              <w:pStyle w:val="Compact"/>
            </w:pPr>
          </w:p>
        </w:tc>
      </w:tr>
      <w:tr>
        <w:tc>
          <w:tcPr/>
          <w:p>
            <w:pPr>
              <w:pStyle w:val="Compact"/>
            </w:pPr>
            <w:r>
              <w:t xml:space="preserve">F1</w:t>
            </w:r>
          </w:p>
        </w:tc>
        <w:tc>
          <w:tcPr/>
          <w:p>
            <w:pPr>
              <w:pStyle w:val="Compact"/>
            </w:pPr>
            <w:r>
              <w:t xml:space="preserve">Plataforma destino con alta disponibilidad, respaldo y restauración ensayada (clúster Self-Hosted, o Scheduler / Dapr / Restate según F14)</w:t>
            </w:r>
          </w:p>
        </w:tc>
        <w:tc>
          <w:tcPr/>
          <w:p>
            <w:pPr>
              <w:pStyle w:val="Compact"/>
            </w:pPr>
          </w:p>
        </w:tc>
      </w:tr>
      <w:tr>
        <w:tc>
          <w:tcPr/>
          <w:p>
            <w:pPr>
              <w:pStyle w:val="Compact"/>
            </w:pPr>
            <w:r>
              <w:t xml:space="preserve">F2</w:t>
            </w:r>
          </w:p>
        </w:tc>
        <w:tc>
          <w:tcPr/>
          <w:p>
            <w:pPr>
              <w:pStyle w:val="Compact"/>
            </w:pPr>
            <w:r>
              <w:t xml:space="preserve">Segregación por ambiente de APOQ y NREM en el destino (namespaces Self-Hosted, o task hubs / apps Dapr / deployments Restate)</w:t>
            </w:r>
          </w:p>
        </w:tc>
        <w:tc>
          <w:tcPr/>
          <w:p>
            <w:pPr>
              <w:pStyle w:val="Compact"/>
            </w:pPr>
          </w:p>
        </w:tc>
      </w:tr>
      <w:tr>
        <w:tc>
          <w:tcPr/>
          <w:p>
            <w:pPr>
              <w:pStyle w:val="Compact"/>
            </w:pPr>
            <w:r>
              <w:t xml:space="preserve">F3</w:t>
            </w:r>
          </w:p>
        </w:tc>
        <w:tc>
          <w:tcPr/>
          <w:p>
            <w:pPr>
              <w:pStyle w:val="Compact"/>
            </w:pPr>
            <w:r>
              <w:t xml:space="preserve">Indicador que impide ejecución simultánea con Cloud, y reversa solo si Cloud responde. Conexión dual Temporal únicamente si F14 es Self-Hosted</w:t>
            </w:r>
          </w:p>
        </w:tc>
        <w:tc>
          <w:tcPr/>
          <w:p>
            <w:pPr>
              <w:pStyle w:val="Compact"/>
            </w:pPr>
          </w:p>
        </w:tc>
      </w:tr>
      <w:tr>
        <w:tc>
          <w:tcPr/>
          <w:p>
            <w:pPr>
              <w:pStyle w:val="Compact"/>
            </w:pPr>
            <w:r>
              <w:t xml:space="preserve">F4</w:t>
            </w:r>
          </w:p>
        </w:tc>
        <w:tc>
          <w:tcPr/>
          <w:p>
            <w:pPr>
              <w:pStyle w:val="Compact"/>
            </w:pPr>
            <w:r>
              <w:t xml:space="preserve">Exportación periódica de historiales de Cloud hacia almacenamiento del Banco, verificada</w:t>
            </w:r>
          </w:p>
        </w:tc>
        <w:tc>
          <w:tcPr/>
          <w:p>
            <w:pPr>
              <w:pStyle w:val="Compact"/>
            </w:pPr>
          </w:p>
        </w:tc>
      </w:tr>
      <w:tr>
        <w:tc>
          <w:tcPr/>
          <w:p>
            <w:pPr>
              <w:pStyle w:val="Compact"/>
            </w:pPr>
            <w:r>
              <w:t xml:space="preserve">F5</w:t>
            </w:r>
          </w:p>
        </w:tc>
        <w:tc>
          <w:tcPr/>
          <w:p>
            <w:pPr>
              <w:pStyle w:val="Compact"/>
            </w:pPr>
            <w:r>
              <w:t xml:space="preserve">Anexo C de APOQ y NREM firmado por el PO, con nombres reales de workflow</w:t>
            </w:r>
          </w:p>
        </w:tc>
        <w:tc>
          <w:tcPr/>
          <w:p>
            <w:pPr>
              <w:pStyle w:val="Compact"/>
            </w:pPr>
          </w:p>
        </w:tc>
      </w:tr>
      <w:tr>
        <w:tc>
          <w:tcPr/>
          <w:p>
            <w:pPr>
              <w:pStyle w:val="Compact"/>
            </w:pPr>
            <w:r>
              <w:t xml:space="preserve">F6</w:t>
            </w:r>
          </w:p>
        </w:tc>
        <w:tc>
          <w:tcPr/>
          <w:p>
            <w:pPr>
              <w:pStyle w:val="Compact"/>
            </w:pPr>
            <w:r>
              <w:t xml:space="preserve">Tiempos de recuperación y ventana de APOQ y NREM vigentes en Continuidad</w:t>
            </w:r>
          </w:p>
        </w:tc>
        <w:tc>
          <w:tcPr/>
          <w:p>
            <w:pPr>
              <w:pStyle w:val="Compact"/>
            </w:pPr>
          </w:p>
        </w:tc>
      </w:tr>
      <w:tr>
        <w:tc>
          <w:tcPr/>
          <w:p>
            <w:pPr>
              <w:pStyle w:val="Compact"/>
            </w:pPr>
            <w:r>
              <w:t xml:space="preserve">F7</w:t>
            </w:r>
          </w:p>
        </w:tc>
        <w:tc>
          <w:tcPr/>
          <w:p>
            <w:pPr>
              <w:pStyle w:val="Compact"/>
            </w:pPr>
            <w:r>
              <w:t xml:space="preserve">Observabilidad del destino con alertas equivalentes</w:t>
            </w:r>
          </w:p>
        </w:tc>
        <w:tc>
          <w:tcPr/>
          <w:p>
            <w:pPr>
              <w:pStyle w:val="Compact"/>
            </w:pPr>
          </w:p>
        </w:tc>
      </w:tr>
      <w:tr>
        <w:tc>
          <w:tcPr/>
          <w:p>
            <w:pPr>
              <w:pStyle w:val="Compact"/>
            </w:pPr>
            <w:r>
              <w:t xml:space="preserve">F8</w:t>
            </w:r>
          </w:p>
        </w:tc>
        <w:tc>
          <w:tcPr/>
          <w:p>
            <w:pPr>
              <w:pStyle w:val="Compact"/>
            </w:pPr>
            <w:r>
              <w:t xml:space="preserve">Ejercicio técnico no crítico ejecutado (conexión dual si Self-Hosted; flujo reescrito si opción 2, 3 o 4)</w:t>
            </w:r>
          </w:p>
        </w:tc>
        <w:tc>
          <w:tcPr/>
          <w:p>
            <w:pPr>
              <w:pStyle w:val="Compact"/>
            </w:pPr>
          </w:p>
        </w:tc>
      </w:tr>
      <w:tr>
        <w:tc>
          <w:tcPr/>
          <w:p>
            <w:pPr>
              <w:pStyle w:val="Compact"/>
            </w:pPr>
            <w:r>
              <w:t xml:space="preserve">F9</w:t>
            </w:r>
          </w:p>
        </w:tc>
        <w:tc>
          <w:tcPr/>
          <w:p>
            <w:pPr>
              <w:pStyle w:val="Compact"/>
            </w:pPr>
            <w:r>
              <w:t xml:space="preserve">Ejercicio de mesa “Cloud no responde” ejecutado con APOQ y NREM</w:t>
            </w:r>
          </w:p>
        </w:tc>
        <w:tc>
          <w:tcPr/>
          <w:p>
            <w:pPr>
              <w:pStyle w:val="Compact"/>
            </w:pPr>
          </w:p>
        </w:tc>
      </w:tr>
      <w:tr>
        <w:tc>
          <w:tcPr/>
          <w:p>
            <w:pPr>
              <w:pStyle w:val="Compact"/>
            </w:pPr>
            <w:r>
              <w:t xml:space="preserve">F10</w:t>
            </w:r>
          </w:p>
        </w:tc>
        <w:tc>
          <w:tcPr/>
          <w:p>
            <w:pPr>
              <w:pStyle w:val="Compact"/>
            </w:pPr>
            <w:r>
              <w:t xml:space="preserve">Inventario A actualizado en los últimos 90 días</w:t>
            </w:r>
          </w:p>
        </w:tc>
        <w:tc>
          <w:tcPr/>
          <w:p>
            <w:pPr>
              <w:pStyle w:val="Compact"/>
            </w:pPr>
          </w:p>
        </w:tc>
      </w:tr>
      <w:tr>
        <w:tc>
          <w:tcPr/>
          <w:p>
            <w:pPr>
              <w:pStyle w:val="Compact"/>
            </w:pPr>
            <w:r>
              <w:t xml:space="preserve">F11</w:t>
            </w:r>
          </w:p>
        </w:tc>
        <w:tc>
          <w:tcPr/>
          <w:p>
            <w:pPr>
              <w:pStyle w:val="Compact"/>
            </w:pPr>
            <w:r>
              <w:t xml:space="preserve">Legal tiene localizado el contrato, el preaviso y los contactos de Temporal Technologies Inc.</w:t>
            </w:r>
          </w:p>
        </w:tc>
        <w:tc>
          <w:tcPr/>
          <w:p>
            <w:pPr>
              <w:pStyle w:val="Compact"/>
            </w:pPr>
          </w:p>
        </w:tc>
      </w:tr>
      <w:tr>
        <w:tc>
          <w:tcPr/>
          <w:p>
            <w:pPr>
              <w:pStyle w:val="Compact"/>
            </w:pPr>
            <w:r>
              <w:t xml:space="preserve">F12</w:t>
            </w:r>
          </w:p>
        </w:tc>
        <w:tc>
          <w:tcPr/>
          <w:p>
            <w:pPr>
              <w:pStyle w:val="Compact"/>
            </w:pPr>
            <w:r>
              <w:t xml:space="preserve">La instancia aprobadora ha recibido la versión vigente del plan</w:t>
            </w:r>
          </w:p>
        </w:tc>
        <w:tc>
          <w:tcPr/>
          <w:p>
            <w:pPr>
              <w:pStyle w:val="Compact"/>
            </w:pPr>
          </w:p>
        </w:tc>
      </w:tr>
      <w:tr>
        <w:tc>
          <w:tcPr/>
          <w:p>
            <w:pPr>
              <w:pStyle w:val="Compact"/>
            </w:pPr>
            <w:r>
              <w:t xml:space="preserve">F13</w:t>
            </w:r>
          </w:p>
        </w:tc>
        <w:tc>
          <w:tcPr/>
          <w:p>
            <w:pPr>
              <w:pStyle w:val="Compact"/>
            </w:pPr>
            <w:r>
              <w:t xml:space="preserve">Arquitectura conformada: sección 04 si Self-Hosted; patrón de opción 2, 3 o 4 si F14 cambió el destino</w:t>
            </w:r>
          </w:p>
        </w:tc>
        <w:tc>
          <w:tcPr/>
          <w:p>
            <w:pPr>
              <w:pStyle w:val="Compact"/>
            </w:pPr>
          </w:p>
        </w:tc>
      </w:tr>
    </w:tbl>
    <w:p>
      <w:r>
        <w:pict>
          <v:rect style="width:0;height:1.5pt" o:hralign="center" o:hrstd="t" o:hr="t"/>
        </w:pict>
      </w:r>
    </w:p>
    <w:bookmarkEnd w:id="91"/>
    <w:bookmarkStart w:id="92" w:name="Xb47a173557a4f35a319b3d3ee55a45e4368dc53"/>
    <w:p>
      <w:pPr>
        <w:pStyle w:val="Heading2"/>
      </w:pPr>
      <w:r>
        <w:t xml:space="preserve">Anexo G. Información a completar por los dueños</w:t>
      </w:r>
    </w:p>
    <w:p>
      <w:pPr>
        <w:pStyle w:val="FirstParagraph"/>
      </w:pPr>
      <w:r>
        <w:t xml:space="preserve">Los siguientes datos deben registrarse antes de declarar completa la fase 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Dato</w:t>
            </w:r>
          </w:p>
        </w:tc>
        <w:tc>
          <w:tcPr/>
          <w:p>
            <w:pPr>
              <w:pStyle w:val="Compact"/>
            </w:pPr>
            <w:r>
              <w:t xml:space="preserve">Dueño</w:t>
            </w:r>
          </w:p>
        </w:tc>
        <w:tc>
          <w:tcPr/>
          <w:p>
            <w:pPr>
              <w:pStyle w:val="Compact"/>
            </w:pPr>
            <w:r>
              <w:t xml:space="preserve">Uso</w:t>
            </w:r>
          </w:p>
        </w:tc>
      </w:tr>
      <w:tr>
        <w:tc>
          <w:tcPr/>
          <w:p>
            <w:pPr>
              <w:pStyle w:val="Compact"/>
            </w:pPr>
            <w:r>
              <w:t xml:space="preserve">Tiempo máximo de recuperación, pérdida máxima de información y ventana de APOQ y NREM</w:t>
            </w:r>
          </w:p>
        </w:tc>
        <w:tc>
          <w:tcPr/>
          <w:p>
            <w:pPr>
              <w:pStyle w:val="Compact"/>
            </w:pPr>
            <w:r>
              <w:t xml:space="preserve">PO y Continuidad</w:t>
            </w:r>
          </w:p>
        </w:tc>
        <w:tc>
          <w:tcPr/>
          <w:p>
            <w:pPr>
              <w:pStyle w:val="Compact"/>
            </w:pPr>
            <w:r>
              <w:t xml:space="preserve">Secciones 05 y 10, Anexo A</w:t>
            </w:r>
          </w:p>
        </w:tc>
      </w:tr>
      <w:tr>
        <w:tc>
          <w:tcPr/>
          <w:p>
            <w:pPr>
              <w:pStyle w:val="Compact"/>
            </w:pPr>
            <w:r>
              <w:t xml:space="preserve">Nombres internos de workflows, colas de tareas y schedules</w:t>
            </w:r>
          </w:p>
        </w:tc>
        <w:tc>
          <w:tcPr/>
          <w:p>
            <w:pPr>
              <w:pStyle w:val="Compact"/>
            </w:pPr>
            <w:r>
              <w:t xml:space="preserve">Equipos APOQ y NREM</w:t>
            </w:r>
          </w:p>
        </w:tc>
        <w:tc>
          <w:tcPr/>
          <w:p>
            <w:pPr>
              <w:pStyle w:val="Compact"/>
            </w:pPr>
            <w:r>
              <w:t xml:space="preserve">Anexo C</w:t>
            </w:r>
          </w:p>
        </w:tc>
      </w:tr>
      <w:tr>
        <w:tc>
          <w:tcPr/>
          <w:p>
            <w:pPr>
              <w:pStyle w:val="Compact"/>
            </w:pPr>
            <w:r>
              <w:t xml:space="preserve">Responsables nominativos</w:t>
            </w:r>
          </w:p>
        </w:tc>
        <w:tc>
          <w:tcPr/>
          <w:p>
            <w:pPr>
              <w:pStyle w:val="Compact"/>
            </w:pPr>
            <w:r>
              <w:t xml:space="preserve">PEVE y dueños</w:t>
            </w:r>
          </w:p>
        </w:tc>
        <w:tc>
          <w:tcPr/>
          <w:p>
            <w:pPr>
              <w:pStyle w:val="Compact"/>
            </w:pPr>
            <w:r>
              <w:t xml:space="preserve">Anexos A y D</w:t>
            </w:r>
          </w:p>
        </w:tc>
      </w:tr>
      <w:tr>
        <w:tc>
          <w:tcPr/>
          <w:p>
            <w:pPr>
              <w:pStyle w:val="Compact"/>
            </w:pPr>
            <w:r>
              <w:t xml:space="preserve">Versión del servidor Temporal, particiones de historial y dimensionamiento AKS (si Self-Hosted)</w:t>
            </w:r>
          </w:p>
        </w:tc>
        <w:tc>
          <w:tcPr/>
          <w:p>
            <w:pPr>
              <w:pStyle w:val="Compact"/>
            </w:pPr>
            <w:r>
              <w:t xml:space="preserve">PEVE</w:t>
            </w:r>
          </w:p>
        </w:tc>
        <w:tc>
          <w:tcPr/>
          <w:p>
            <w:pPr>
              <w:pStyle w:val="Compact"/>
            </w:pPr>
            <w:r>
              <w:t xml:space="preserve">Anexo B</w:t>
            </w:r>
          </w:p>
        </w:tc>
      </w:tr>
      <w:tr>
        <w:tc>
          <w:tcPr/>
          <w:p>
            <w:pPr>
              <w:pStyle w:val="Compact"/>
            </w:pPr>
            <w:r>
              <w:t xml:space="preserve">Runtime, SKU y región del Durable Task Scheduler o versión Dapr + state store, o versión Restate / plan Enterprise (si 04.6)</w:t>
            </w:r>
          </w:p>
        </w:tc>
        <w:tc>
          <w:tcPr/>
          <w:p>
            <w:pPr>
              <w:pStyle w:val="Compact"/>
            </w:pPr>
            <w:r>
              <w:t xml:space="preserve">PEVE</w:t>
            </w:r>
          </w:p>
        </w:tc>
        <w:tc>
          <w:tcPr/>
          <w:p>
            <w:pPr>
              <w:pStyle w:val="Compact"/>
            </w:pPr>
            <w:r>
              <w:t xml:space="preserve">Anexo B.4</w:t>
            </w:r>
          </w:p>
        </w:tc>
      </w:tr>
      <w:tr>
        <w:tc>
          <w:tcPr/>
          <w:p>
            <w:pPr>
              <w:pStyle w:val="Compact"/>
            </w:pPr>
            <w:r>
              <w:t xml:space="preserve">Lenguaje y SDK actuales de APOQ y NREM (condiciona Functions, Dapr o Restate)</w:t>
            </w:r>
          </w:p>
        </w:tc>
        <w:tc>
          <w:tcPr/>
          <w:p>
            <w:pPr>
              <w:pStyle w:val="Compact"/>
            </w:pPr>
            <w:r>
              <w:t xml:space="preserve">Equipos APOQ y NREM</w:t>
            </w:r>
          </w:p>
        </w:tc>
        <w:tc>
          <w:tcPr/>
          <w:p>
            <w:pPr>
              <w:pStyle w:val="Compact"/>
            </w:pPr>
            <w:r>
              <w:t xml:space="preserve">Cuatro opciones evaluadas (cuatro opciones evaluadas (sección 04.6))</w:t>
            </w:r>
          </w:p>
        </w:tc>
      </w:tr>
      <w:tr>
        <w:tc>
          <w:tcPr/>
          <w:p>
            <w:pPr>
              <w:pStyle w:val="Compact"/>
            </w:pPr>
            <w:r>
              <w:t xml:space="preserve">Ubicación y retención de la exportación de historiales</w:t>
            </w:r>
          </w:p>
        </w:tc>
        <w:tc>
          <w:tcPr/>
          <w:p>
            <w:pPr>
              <w:pStyle w:val="Compact"/>
            </w:pPr>
            <w:r>
              <w:t xml:space="preserve">PEVE y Seguridad</w:t>
            </w:r>
          </w:p>
        </w:tc>
        <w:tc>
          <w:tcPr/>
          <w:p>
            <w:pPr>
              <w:pStyle w:val="Compact"/>
            </w:pPr>
            <w:r>
              <w:t xml:space="preserve">Sección 09 y fase 0</w:t>
            </w:r>
          </w:p>
        </w:tc>
      </w:tr>
      <w:tr>
        <w:tc>
          <w:tcPr/>
          <w:p>
            <w:pPr>
              <w:pStyle w:val="Compact"/>
            </w:pPr>
            <w:r>
              <w:t xml:space="preserve">Umbral de liquidez y de nivel de servicio para declarar vigilancia</w:t>
            </w:r>
          </w:p>
        </w:tc>
        <w:tc>
          <w:tcPr/>
          <w:p>
            <w:pPr>
              <w:pStyle w:val="Compact"/>
            </w:pPr>
            <w:r>
              <w:t xml:space="preserve">RNF</w:t>
            </w:r>
          </w:p>
        </w:tc>
        <w:tc>
          <w:tcPr/>
          <w:p>
            <w:pPr>
              <w:pStyle w:val="Compact"/>
            </w:pPr>
            <w:r>
              <w:t xml:space="preserve">Sección 06</w:t>
            </w:r>
          </w:p>
        </w:tc>
      </w:tr>
      <w:tr>
        <w:tc>
          <w:tcPr/>
          <w:p>
            <w:pPr>
              <w:pStyle w:val="Compact"/>
            </w:pPr>
            <w:r>
              <w:t xml:space="preserve">Instancia aprobadora concreta (comité o gerencia)</w:t>
            </w:r>
          </w:p>
        </w:tc>
        <w:tc>
          <w:tcPr/>
          <w:p>
            <w:pPr>
              <w:pStyle w:val="Compact"/>
            </w:pPr>
            <w:r>
              <w:t xml:space="preserve">PEVE / gobierno</w:t>
            </w:r>
          </w:p>
        </w:tc>
        <w:tc>
          <w:tcPr/>
          <w:p>
            <w:pPr>
              <w:pStyle w:val="Compact"/>
            </w:pPr>
            <w:r>
              <w:t xml:space="preserve">Sección 07</w:t>
            </w:r>
          </w:p>
        </w:tc>
      </w:tr>
      <w:tr>
        <w:tc>
          <w:tcPr/>
          <w:p>
            <w:pPr>
              <w:pStyle w:val="Compact"/>
            </w:pPr>
            <w:r>
              <w:t xml:space="preserve">Destino de la fase 0 (Self-Hosted o 04.6)</w:t>
            </w:r>
          </w:p>
        </w:tc>
        <w:tc>
          <w:tcPr/>
          <w:p>
            <w:pPr>
              <w:pStyle w:val="Compact"/>
            </w:pPr>
            <w:r>
              <w:t xml:space="preserve">Instancia / Arquitectura / Compras</w:t>
            </w:r>
          </w:p>
        </w:tc>
        <w:tc>
          <w:tcPr/>
          <w:p>
            <w:pPr>
              <w:pStyle w:val="Compact"/>
            </w:pPr>
            <w:r>
              <w:t xml:space="preserve">Cuatro opciones evaluadas (cuatro opciones evaluadas (sección 04.6)) y paso 0.0</w:t>
            </w:r>
          </w:p>
        </w:tc>
      </w:tr>
    </w:tbl>
    <w:p>
      <w:r>
        <w:pict>
          <v:rect style="width:0;height:1.5pt" o:hralign="center" o:hrstd="t" o:hr="t"/>
        </w:pict>
      </w:r>
    </w:p>
    <w:bookmarkEnd w:id="92"/>
    <w:bookmarkStart w:id="98" w:name="anexo-h.-fuentes"/>
    <w:p>
      <w:pPr>
        <w:pStyle w:val="Heading2"/>
      </w:pPr>
      <w:r>
        <w:t xml:space="preserve">Anexo H. Fuentes</w:t>
      </w:r>
    </w:p>
    <w:p>
      <w:pPr>
        <w:pStyle w:val="FirstParagraph"/>
      </w:pPr>
      <w:r>
        <w:t xml:space="preserve">Documentación pública de los proveedores, consultada el 30 de septiembre de 2026. La columna</w:t>
      </w:r>
      <w:r>
        <w:t xml:space="preserve"> </w:t>
      </w:r>
      <w:r>
        <w:t xml:space="preserve">“Qué indica la fuente”</w:t>
      </w:r>
      <w:r>
        <w:t xml:space="preserve"> </w:t>
      </w:r>
      <w:r>
        <w:t xml:space="preserve">resume lo que dice cada documento, no el texto del plan. Las citas siguen el formato APA (7.ª edición); la referencia completa de cada una está en el Anexo J. PEVE revisa estas fuentes en la revisión anual del plan (sección 12), porque los productos cambian de versión y de condiciones.</w:t>
      </w:r>
    </w:p>
    <w:bookmarkStart w:id="93" w:name="h.1-temporal-opción-1-y-origen-cloud"/>
    <w:p>
      <w:pPr>
        <w:pStyle w:val="Heading3"/>
      </w:pPr>
      <w:r>
        <w:t xml:space="preserve">H.1 Temporal (opción 1 y origen Cloud)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Sección del plan</w:t>
            </w:r>
          </w:p>
        </w:tc>
        <w:tc>
          <w:tcPr/>
          <w:p>
            <w:pPr>
              <w:pStyle w:val="Compact"/>
            </w:pPr>
            <w:r>
              <w:t xml:space="preserve">Qué indica la fuente</w:t>
            </w:r>
          </w:p>
        </w:tc>
        <w:tc>
          <w:tcPr/>
          <w:p>
            <w:pPr>
              <w:pStyle w:val="Compact"/>
            </w:pPr>
            <w:r>
              <w:t xml:space="preserve">Cita</w:t>
            </w:r>
          </w:p>
        </w:tc>
      </w:tr>
      <w:tr>
        <w:tc>
          <w:tcPr/>
          <w:p>
            <w:pPr>
              <w:pStyle w:val="Compact"/>
            </w:pPr>
            <w:r>
              <w:t xml:space="preserve">Licencia del servidor</w:t>
            </w:r>
          </w:p>
        </w:tc>
        <w:tc>
          <w:tcPr/>
          <w:p>
            <w:pPr>
              <w:pStyle w:val="Compact"/>
            </w:pPr>
            <w:r>
              <w:t xml:space="preserve">Ficha, 04.6 opción 1</w:t>
            </w:r>
          </w:p>
        </w:tc>
        <w:tc>
          <w:tcPr/>
          <w:p>
            <w:pPr>
              <w:pStyle w:val="Compact"/>
            </w:pPr>
            <w:r>
              <w:t xml:space="preserve">El servidor Temporal se distribuye con licencia MIT</w:t>
            </w:r>
          </w:p>
        </w:tc>
        <w:tc>
          <w:tcPr/>
          <w:p>
            <w:pPr>
              <w:pStyle w:val="Compact"/>
            </w:pPr>
            <w:r>
              <w:t xml:space="preserve">(Temporal Technologies, s. f.-k)</w:t>
            </w:r>
          </w:p>
        </w:tc>
      </w:tr>
      <w:tr>
        <w:tc>
          <w:tcPr/>
          <w:p>
            <w:pPr>
              <w:pStyle w:val="Compact"/>
            </w:pPr>
            <w:r>
              <w:t xml:space="preserve">Componentes del control plane</w:t>
            </w:r>
          </w:p>
        </w:tc>
        <w:tc>
          <w:tcPr/>
          <w:p>
            <w:pPr>
              <w:pStyle w:val="Compact"/>
            </w:pPr>
            <w:r>
              <w:t xml:space="preserve">04.1</w:t>
            </w:r>
          </w:p>
        </w:tc>
        <w:tc>
          <w:tcPr/>
          <w:p>
            <w:pPr>
              <w:pStyle w:val="Compact"/>
            </w:pPr>
            <w:r>
              <w:t xml:space="preserve">El Temporal Service agrupa Frontend, History, Matching y Worker Service, más los stores de persistence y visibility</w:t>
            </w:r>
          </w:p>
        </w:tc>
        <w:tc>
          <w:tcPr/>
          <w:p>
            <w:pPr>
              <w:pStyle w:val="Compact"/>
            </w:pPr>
            <w:r>
              <w:t xml:space="preserve">(Temporal Technologies, s. f.-i)</w:t>
            </w:r>
          </w:p>
        </w:tc>
      </w:tr>
      <w:tr>
        <w:tc>
          <w:tcPr/>
          <w:p>
            <w:pPr>
              <w:pStyle w:val="Compact"/>
            </w:pPr>
            <w:r>
              <w:t xml:space="preserve">Persistence en PostgreSQL</w:t>
            </w:r>
          </w:p>
        </w:tc>
        <w:tc>
          <w:tcPr/>
          <w:p>
            <w:pPr>
              <w:pStyle w:val="Compact"/>
            </w:pPr>
            <w:r>
              <w:t xml:space="preserve">04.2</w:t>
            </w:r>
          </w:p>
        </w:tc>
        <w:tc>
          <w:tcPr/>
          <w:p>
            <w:pPr>
              <w:pStyle w:val="Compact"/>
            </w:pPr>
            <w:r>
              <w:t xml:space="preserve">PostgreSQL figura entre las bases soportadas (13.18, 14.15, 15.10 y 16.6 probadas)</w:t>
            </w:r>
          </w:p>
        </w:tc>
        <w:tc>
          <w:tcPr/>
          <w:p>
            <w:pPr>
              <w:pStyle w:val="Compact"/>
            </w:pPr>
            <w:r>
              <w:t xml:space="preserve">(Temporal Technologies, s. f.-d)</w:t>
            </w:r>
          </w:p>
        </w:tc>
      </w:tr>
      <w:tr>
        <w:tc>
          <w:tcPr/>
          <w:p>
            <w:pPr>
              <w:pStyle w:val="Compact"/>
            </w:pPr>
            <w:r>
              <w:t xml:space="preserve">Visibility</w:t>
            </w:r>
          </w:p>
        </w:tc>
        <w:tc>
          <w:tcPr/>
          <w:p>
            <w:pPr>
              <w:pStyle w:val="Compact"/>
            </w:pPr>
            <w:r>
              <w:t xml:space="preserve">04.2</w:t>
            </w:r>
          </w:p>
        </w:tc>
        <w:tc>
          <w:tcPr/>
          <w:p>
            <w:pPr>
              <w:pStyle w:val="Compact"/>
            </w:pPr>
            <w:r>
              <w:t xml:space="preserve">Visibility soporta Elasticsearch 7 y 8, OpenSearch 2+ (desde Temporal Server 1.30.1), MySQL, PostgreSQL y SQLite</w:t>
            </w:r>
          </w:p>
        </w:tc>
        <w:tc>
          <w:tcPr/>
          <w:p>
            <w:pPr>
              <w:pStyle w:val="Compact"/>
            </w:pPr>
            <w:r>
              <w:t xml:space="preserve">(Temporal Technologies, s. f.-f)</w:t>
            </w:r>
          </w:p>
        </w:tc>
      </w:tr>
      <w:tr>
        <w:tc>
          <w:tcPr/>
          <w:p>
            <w:pPr>
              <w:pStyle w:val="Compact"/>
            </w:pPr>
            <w:r>
              <w:t xml:space="preserve">Archival</w:t>
            </w:r>
          </w:p>
        </w:tc>
        <w:tc>
          <w:tcPr/>
          <w:p>
            <w:pPr>
              <w:pStyle w:val="Compact"/>
            </w:pPr>
            <w:r>
              <w:t xml:space="preserve">04.2</w:t>
            </w:r>
          </w:p>
        </w:tc>
        <w:tc>
          <w:tcPr/>
          <w:p>
            <w:pPr>
              <w:pStyle w:val="Compact"/>
            </w:pPr>
            <w:r>
              <w:t xml:space="preserve">Archival es una función experimental. Proveedores nativos: S3, Google Cloud y sistema de archivos local; otros requieren un archiver propio</w:t>
            </w:r>
          </w:p>
        </w:tc>
        <w:tc>
          <w:tcPr/>
          <w:p>
            <w:pPr>
              <w:pStyle w:val="Compact"/>
            </w:pPr>
            <w:r>
              <w:t xml:space="preserve">(Temporal Technologies, s. f.-e)</w:t>
            </w:r>
          </w:p>
        </w:tc>
      </w:tr>
      <w:tr>
        <w:tc>
          <w:tcPr/>
          <w:p>
            <w:pPr>
              <w:pStyle w:val="Compact"/>
            </w:pPr>
            <w:r>
              <w:t xml:space="preserve">Despliegue en Kubernetes y red privada</w:t>
            </w:r>
          </w:p>
        </w:tc>
        <w:tc>
          <w:tcPr/>
          <w:p>
            <w:pPr>
              <w:pStyle w:val="Compact"/>
            </w:pPr>
            <w:r>
              <w:t xml:space="preserve">04.1, 04.2, Anexo B</w:t>
            </w:r>
          </w:p>
        </w:tc>
        <w:tc>
          <w:tcPr/>
          <w:p>
            <w:pPr>
              <w:pStyle w:val="Compact"/>
            </w:pPr>
            <w:r>
              <w:t xml:space="preserve">Despliegue con Helm charts. El Temporal Service no debe exponerse a internet público</w:t>
            </w:r>
          </w:p>
        </w:tc>
        <w:tc>
          <w:tcPr/>
          <w:p>
            <w:pPr>
              <w:pStyle w:val="Compact"/>
            </w:pPr>
            <w:r>
              <w:t xml:space="preserve">(Temporal Technologies, s. f.-a, s. f.-j)</w:t>
            </w:r>
          </w:p>
        </w:tc>
      </w:tr>
      <w:tr>
        <w:tc>
          <w:tcPr/>
          <w:p>
            <w:pPr>
              <w:pStyle w:val="Compact"/>
            </w:pPr>
            <w:r>
              <w:t xml:space="preserve">mTLS y autorización</w:t>
            </w:r>
          </w:p>
        </w:tc>
        <w:tc>
          <w:tcPr/>
          <w:p>
            <w:pPr>
              <w:pStyle w:val="Compact"/>
            </w:pPr>
            <w:r>
              <w:t xml:space="preserve">04.2, Anexo B.1</w:t>
            </w:r>
          </w:p>
        </w:tc>
        <w:tc>
          <w:tcPr/>
          <w:p>
            <w:pPr>
              <w:pStyle w:val="Compact"/>
            </w:pPr>
            <w:r>
              <w:t xml:space="preserve">Configuración de TLS / mTLS y autorización en Self-Hosted</w:t>
            </w:r>
          </w:p>
        </w:tc>
        <w:tc>
          <w:tcPr/>
          <w:p>
            <w:pPr>
              <w:pStyle w:val="Compact"/>
            </w:pPr>
            <w:r>
              <w:t xml:space="preserve">(Temporal Technologies, s. f.-h)</w:t>
            </w:r>
          </w:p>
        </w:tc>
      </w:tr>
      <w:tr>
        <w:tc>
          <w:tcPr/>
          <w:p>
            <w:pPr>
              <w:pStyle w:val="Compact"/>
            </w:pPr>
            <w:r>
              <w:t xml:space="preserve">Exportación de historiales desde Cloud</w:t>
            </w:r>
          </w:p>
        </w:tc>
        <w:tc>
          <w:tcPr/>
          <w:p>
            <w:pPr>
              <w:pStyle w:val="Compact"/>
            </w:pPr>
            <w:r>
              <w:t xml:space="preserve">03, 04.2, 0.6, F4</w:t>
            </w:r>
          </w:p>
        </w:tc>
        <w:tc>
          <w:tcPr/>
          <w:p>
            <w:pPr>
              <w:pStyle w:val="Compact"/>
            </w:pPr>
            <w:r>
              <w:t xml:space="preserve">Workflow History Export envía historiales cerrados, cada hora, a AWS S3 o GCP GCS, en protobuf. Puede tardar hasta 24 horas. Archival no existe en Cloud</w:t>
            </w:r>
          </w:p>
        </w:tc>
        <w:tc>
          <w:tcPr/>
          <w:p>
            <w:pPr>
              <w:pStyle w:val="Compact"/>
            </w:pPr>
            <w:r>
              <w:t xml:space="preserve">(Temporal Technologies, s. f.-l)</w:t>
            </w:r>
          </w:p>
        </w:tc>
      </w:tr>
      <w:tr>
        <w:tc>
          <w:tcPr/>
          <w:p>
            <w:pPr>
              <w:pStyle w:val="Compact"/>
            </w:pPr>
            <w:r>
              <w:t xml:space="preserve">Nubes de Temporal Cloud</w:t>
            </w:r>
          </w:p>
        </w:tc>
        <w:tc>
          <w:tcPr/>
          <w:p>
            <w:pPr>
              <w:pStyle w:val="Compact"/>
            </w:pPr>
            <w:r>
              <w:t xml:space="preserve">03, 04.2</w:t>
            </w:r>
          </w:p>
        </w:tc>
        <w:tc>
          <w:tcPr/>
          <w:p>
            <w:pPr>
              <w:pStyle w:val="Compact"/>
            </w:pPr>
            <w:r>
              <w:t xml:space="preserve">Temporal Cloud opera en regiones de AWS y GCP</w:t>
            </w:r>
          </w:p>
        </w:tc>
        <w:tc>
          <w:tcPr/>
          <w:p>
            <w:pPr>
              <w:pStyle w:val="Compact"/>
            </w:pPr>
            <w:r>
              <w:t xml:space="preserve">(Temporal Technologies, s. f.-g)</w:t>
            </w:r>
          </w:p>
        </w:tc>
      </w:tr>
      <w:tr>
        <w:tc>
          <w:tcPr/>
          <w:p>
            <w:pPr>
              <w:pStyle w:val="Compact"/>
            </w:pPr>
            <w:r>
              <w:t xml:space="preserve">Sentido de la migración oficial</w:t>
            </w:r>
          </w:p>
        </w:tc>
        <w:tc>
          <w:tcPr/>
          <w:p>
            <w:pPr>
              <w:pStyle w:val="Compact"/>
            </w:pPr>
            <w:r>
              <w:t xml:space="preserve">03, 04.2, B.3</w:t>
            </w:r>
          </w:p>
        </w:tc>
        <w:tc>
          <w:tcPr/>
          <w:p>
            <w:pPr>
              <w:pStyle w:val="Compact"/>
            </w:pPr>
            <w:r>
              <w:t xml:space="preserve">La migración documentada va de Self-Hosted hacia Cloud, o entre regiones de Cloud. No hay ruta documentada de Cloud hacia Self-Hosted</w:t>
            </w:r>
          </w:p>
        </w:tc>
        <w:tc>
          <w:tcPr/>
          <w:p>
            <w:pPr>
              <w:pStyle w:val="Compact"/>
            </w:pPr>
            <w:r>
              <w:t xml:space="preserve">(Temporal Technologies, s. f.-c)</w:t>
            </w:r>
          </w:p>
        </w:tc>
      </w:tr>
      <w:tr>
        <w:tc>
          <w:tcPr/>
          <w:p>
            <w:pPr>
              <w:pStyle w:val="Compact"/>
            </w:pPr>
            <w:r>
              <w:t xml:space="preserve">Patrón de conexión dual</w:t>
            </w:r>
          </w:p>
        </w:tc>
        <w:tc>
          <w:tcPr/>
          <w:p>
            <w:pPr>
              <w:pStyle w:val="Compact"/>
            </w:pPr>
            <w:r>
              <w:t xml:space="preserve">04.4, 09, B.2</w:t>
            </w:r>
          </w:p>
        </w:tc>
        <w:tc>
          <w:tcPr/>
          <w:p>
            <w:pPr>
              <w:pStyle w:val="Compact"/>
            </w:pPr>
            <w:r>
              <w:t xml:space="preserve">La migración manual usa un segundo cliente para los nuevos inicios, drena los workflows cortos y traslada el estado de los largos. El historial cerrado no se migra</w:t>
            </w:r>
          </w:p>
        </w:tc>
        <w:tc>
          <w:tcPr/>
          <w:p>
            <w:pPr>
              <w:pStyle w:val="Compact"/>
            </w:pPr>
            <w:r>
              <w:t xml:space="preserve">(Temporal Technologies, s. f.-b)</w:t>
            </w:r>
          </w:p>
        </w:tc>
      </w:tr>
    </w:tbl>
    <w:bookmarkEnd w:id="93"/>
    <w:bookmarkStart w:id="94" w:name="X77d1ba284f02d9e6fa6a6b27e2c515bfebaa818"/>
    <w:p>
      <w:pPr>
        <w:pStyle w:val="Heading3"/>
      </w:pPr>
      <w:r>
        <w:t xml:space="preserve">H.2 Azure Durable Functions y Durable Task Scheduler (opción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Sección del plan</w:t>
            </w:r>
          </w:p>
        </w:tc>
        <w:tc>
          <w:tcPr/>
          <w:p>
            <w:pPr>
              <w:pStyle w:val="Compact"/>
            </w:pPr>
            <w:r>
              <w:t xml:space="preserve">Qué indica la fuente</w:t>
            </w:r>
          </w:p>
        </w:tc>
        <w:tc>
          <w:tcPr/>
          <w:p>
            <w:pPr>
              <w:pStyle w:val="Compact"/>
            </w:pPr>
            <w:r>
              <w:t xml:space="preserve">Cita</w:t>
            </w:r>
          </w:p>
        </w:tc>
      </w:tr>
      <w:tr>
        <w:tc>
          <w:tcPr/>
          <w:p>
            <w:pPr>
              <w:pStyle w:val="Compact"/>
            </w:pPr>
            <w:r>
              <w:t xml:space="preserve">Durable Task Scheduler como backend recomendado</w:t>
            </w:r>
          </w:p>
        </w:tc>
        <w:tc>
          <w:tcPr/>
          <w:p>
            <w:pPr>
              <w:pStyle w:val="Compact"/>
            </w:pPr>
            <w:r>
              <w:t xml:space="preserve">04.6 opción 2</w:t>
            </w:r>
          </w:p>
        </w:tc>
        <w:tc>
          <w:tcPr/>
          <w:p>
            <w:pPr>
              <w:pStyle w:val="Compact"/>
            </w:pPr>
            <w:r>
              <w:t xml:space="preserve">Es el storage provider recomendado para Durable Functions y los Durable Task SDKs. Conexión gRPC con TLS e identidad de la aplicación</w:t>
            </w:r>
          </w:p>
        </w:tc>
        <w:tc>
          <w:tcPr/>
          <w:p>
            <w:pPr>
              <w:pStyle w:val="Compact"/>
            </w:pPr>
            <w:r>
              <w:t xml:space="preserve">(Microsoft, s. f.-d)</w:t>
            </w:r>
          </w:p>
        </w:tc>
      </w:tr>
      <w:tr>
        <w:tc>
          <w:tcPr/>
          <w:p>
            <w:pPr>
              <w:pStyle w:val="Compact"/>
            </w:pPr>
            <w:r>
              <w:t xml:space="preserve">Backends alternativos</w:t>
            </w:r>
          </w:p>
        </w:tc>
        <w:tc>
          <w:tcPr/>
          <w:p>
            <w:pPr>
              <w:pStyle w:val="Compact"/>
            </w:pPr>
            <w:r>
              <w:t xml:space="preserve">04.6 opción 2</w:t>
            </w:r>
          </w:p>
        </w:tc>
        <w:tc>
          <w:tcPr/>
          <w:p>
            <w:pPr>
              <w:pStyle w:val="Compact"/>
            </w:pPr>
            <w:r>
              <w:t xml:space="preserve">Durable Functions admite Durable Task Scheduler, Azure Storage, MSSQL y Netherite (soporte de Netherite hasta el 31 de marzo de 2028)</w:t>
            </w:r>
          </w:p>
        </w:tc>
        <w:tc>
          <w:tcPr/>
          <w:p>
            <w:pPr>
              <w:pStyle w:val="Compact"/>
            </w:pPr>
            <w:r>
              <w:t xml:space="preserve">(Microsoft, s. f.-f)</w:t>
            </w:r>
          </w:p>
        </w:tc>
      </w:tr>
      <w:tr>
        <w:tc>
          <w:tcPr/>
          <w:p>
            <w:pPr>
              <w:pStyle w:val="Compact"/>
            </w:pPr>
            <w:r>
              <w:t xml:space="preserve">Hosting fuera de Azure Functions</w:t>
            </w:r>
          </w:p>
        </w:tc>
        <w:tc>
          <w:tcPr/>
          <w:p>
            <w:pPr>
              <w:pStyle w:val="Compact"/>
            </w:pPr>
            <w:r>
              <w:t xml:space="preserve">04.6 opción 2</w:t>
            </w:r>
          </w:p>
        </w:tc>
        <w:tc>
          <w:tcPr/>
          <w:p>
            <w:pPr>
              <w:pStyle w:val="Compact"/>
            </w:pPr>
            <w:r>
              <w:t xml:space="preserve">Los Durable Task SDKs standalone corren en AKS, Container Apps o VMs y usan solo Durable Task Scheduler. Los backends propios (MSSQL y otros) son de Durable Functions</w:t>
            </w:r>
          </w:p>
        </w:tc>
        <w:tc>
          <w:tcPr/>
          <w:p>
            <w:pPr>
              <w:pStyle w:val="Compact"/>
            </w:pPr>
            <w:r>
              <w:t xml:space="preserve">(Microsoft, s. f.-a)</w:t>
            </w:r>
          </w:p>
        </w:tc>
      </w:tr>
    </w:tbl>
    <w:bookmarkEnd w:id="94"/>
    <w:bookmarkStart w:id="95" w:name="h.3-dapr-workflows-opción-3"/>
    <w:p>
      <w:pPr>
        <w:pStyle w:val="Heading3"/>
      </w:pPr>
      <w:r>
        <w:t xml:space="preserve">H.3 Dapr Workflows (opción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Sección del plan</w:t>
            </w:r>
          </w:p>
        </w:tc>
        <w:tc>
          <w:tcPr/>
          <w:p>
            <w:pPr>
              <w:pStyle w:val="Compact"/>
            </w:pPr>
            <w:r>
              <w:t xml:space="preserve">Qué indica la fuente</w:t>
            </w:r>
          </w:p>
        </w:tc>
        <w:tc>
          <w:tcPr/>
          <w:p>
            <w:pPr>
              <w:pStyle w:val="Compact"/>
            </w:pPr>
            <w:r>
              <w:t xml:space="preserve">Cita</w:t>
            </w:r>
          </w:p>
        </w:tc>
      </w:tr>
      <w:tr>
        <w:tc>
          <w:tcPr/>
          <w:p>
            <w:pPr>
              <w:pStyle w:val="Compact"/>
            </w:pPr>
            <w:r>
              <w:t xml:space="preserve">Motor de workflows</w:t>
            </w:r>
          </w:p>
        </w:tc>
        <w:tc>
          <w:tcPr/>
          <w:p>
            <w:pPr>
              <w:pStyle w:val="Compact"/>
            </w:pPr>
            <w:r>
              <w:t xml:space="preserve">04.6 opción 3</w:t>
            </w:r>
          </w:p>
        </w:tc>
        <w:tc>
          <w:tcPr/>
          <w:p>
            <w:pPr>
              <w:pStyle w:val="Compact"/>
            </w:pPr>
            <w:r>
              <w:t xml:space="preserve">El motor corre en el sidecar, está implementado con durabletask-go y usa actores de Dapr. Replay sobre historial de eventos</w:t>
            </w:r>
          </w:p>
        </w:tc>
        <w:tc>
          <w:tcPr/>
          <w:p>
            <w:pPr>
              <w:pStyle w:val="Compact"/>
            </w:pPr>
            <w:r>
              <w:t xml:space="preserve">(The Dapr Authors, s. f.-d)</w:t>
            </w:r>
          </w:p>
        </w:tc>
      </w:tr>
      <w:tr>
        <w:tc>
          <w:tcPr/>
          <w:p>
            <w:pPr>
              <w:pStyle w:val="Compact"/>
            </w:pPr>
            <w:r>
              <w:t xml:space="preserve">State store PostgreSQL</w:t>
            </w:r>
          </w:p>
        </w:tc>
        <w:tc>
          <w:tcPr/>
          <w:p>
            <w:pPr>
              <w:pStyle w:val="Compact"/>
            </w:pPr>
            <w:r>
              <w:t xml:space="preserve">04.6 opción 3, B.4</w:t>
            </w:r>
          </w:p>
        </w:tc>
        <w:tc>
          <w:tcPr/>
          <w:p>
            <w:pPr>
              <w:pStyle w:val="Compact"/>
            </w:pPr>
            <w:r>
              <w:t xml:space="preserve">PostgreSQL v1 y v2 soportan workflows (estado Stable). Azure Cosmos DB no figura con soporte de workflows</w:t>
            </w:r>
          </w:p>
        </w:tc>
        <w:tc>
          <w:tcPr/>
          <w:p>
            <w:pPr>
              <w:pStyle w:val="Compact"/>
            </w:pPr>
            <w:r>
              <w:t xml:space="preserve">(The Dapr Authors, s. f.-b)</w:t>
            </w:r>
          </w:p>
        </w:tc>
      </w:tr>
      <w:tr>
        <w:tc>
          <w:tcPr/>
          <w:p>
            <w:pPr>
              <w:pStyle w:val="Compact"/>
            </w:pPr>
            <w:r>
              <w:t xml:space="preserve">Exclusión de Cosmos DB</w:t>
            </w:r>
          </w:p>
        </w:tc>
        <w:tc>
          <w:tcPr/>
          <w:p>
            <w:pPr>
              <w:pStyle w:val="Compact"/>
            </w:pPr>
            <w:r>
              <w:t xml:space="preserve">04.6 opción 3, B.4</w:t>
            </w:r>
          </w:p>
        </w:tc>
        <w:tc>
          <w:tcPr/>
          <w:p>
            <w:pPr>
              <w:pStyle w:val="Compact"/>
            </w:pPr>
            <w:r>
              <w:t xml:space="preserve">Cosmos DB limita a 2 MB y 100 operaciones por transacción; no hay migración de datos de workflow hacia otro store</w:t>
            </w:r>
          </w:p>
        </w:tc>
        <w:tc>
          <w:tcPr/>
          <w:p>
            <w:pPr>
              <w:pStyle w:val="Compact"/>
            </w:pPr>
            <w:r>
              <w:t xml:space="preserve">(Microsoft, s. f.-g; The Dapr Authors, s. f.-a)</w:t>
            </w:r>
          </w:p>
        </w:tc>
      </w:tr>
      <w:tr>
        <w:tc>
          <w:tcPr/>
          <w:p>
            <w:pPr>
              <w:pStyle w:val="Compact"/>
            </w:pPr>
            <w:r>
              <w:t xml:space="preserve">Versiones soportadas</w:t>
            </w:r>
          </w:p>
        </w:tc>
        <w:tc>
          <w:tcPr/>
          <w:p>
            <w:pPr>
              <w:pStyle w:val="Compact"/>
            </w:pPr>
            <w:r>
              <w:t xml:space="preserve">04.6 opción 3</w:t>
            </w:r>
          </w:p>
        </w:tc>
        <w:tc>
          <w:tcPr/>
          <w:p>
            <w:pPr>
              <w:pStyle w:val="Compact"/>
            </w:pPr>
            <w:r>
              <w:t xml:space="preserve">El proyecto Dapr soporta la versión actual y las dos anteriores (N-2)</w:t>
            </w:r>
          </w:p>
        </w:tc>
        <w:tc>
          <w:tcPr/>
          <w:p>
            <w:pPr>
              <w:pStyle w:val="Compact"/>
            </w:pPr>
            <w:r>
              <w:t xml:space="preserve">(The Dapr Authors, s. f.-c)</w:t>
            </w:r>
          </w:p>
        </w:tc>
      </w:tr>
      <w:tr>
        <w:tc>
          <w:tcPr/>
          <w:p>
            <w:pPr>
              <w:pStyle w:val="Compact"/>
            </w:pPr>
            <w:r>
              <w:t xml:space="preserve">Soporte de Microsoft</w:t>
            </w:r>
          </w:p>
        </w:tc>
        <w:tc>
          <w:tcPr/>
          <w:p>
            <w:pPr>
              <w:pStyle w:val="Compact"/>
            </w:pPr>
            <w:r>
              <w:t xml:space="preserve">04.6 opción 3, criterio de selección</w:t>
            </w:r>
          </w:p>
        </w:tc>
        <w:tc>
          <w:tcPr/>
          <w:p>
            <w:pPr>
              <w:pStyle w:val="Compact"/>
            </w:pPr>
            <w:r>
              <w:t xml:space="preserve">La extensión de Dapr para AKS sigue la política de soporte de AKS. Los problemas del runtime, las APIs y los componentes se resuelven con el proyecto open source</w:t>
            </w:r>
          </w:p>
        </w:tc>
        <w:tc>
          <w:tcPr/>
          <w:p>
            <w:pPr>
              <w:pStyle w:val="Compact"/>
            </w:pPr>
            <w:r>
              <w:t xml:space="preserve">(Microsoft, s. f.-c)</w:t>
            </w:r>
          </w:p>
        </w:tc>
      </w:tr>
      <w:tr>
        <w:tc>
          <w:tcPr/>
          <w:p>
            <w:pPr>
              <w:pStyle w:val="Compact"/>
            </w:pPr>
            <w:r>
              <w:t xml:space="preserve">Gobierno del proyecto</w:t>
            </w:r>
          </w:p>
        </w:tc>
        <w:tc>
          <w:tcPr/>
          <w:p>
            <w:pPr>
              <w:pStyle w:val="Compact"/>
            </w:pPr>
            <w:r>
              <w:t xml:space="preserve">04.6 opción 3</w:t>
            </w:r>
          </w:p>
        </w:tc>
        <w:tc>
          <w:tcPr/>
          <w:p>
            <w:pPr>
              <w:pStyle w:val="Compact"/>
            </w:pPr>
            <w:r>
              <w:t xml:space="preserve">Dapr es un proyecto de la CNCF</w:t>
            </w:r>
          </w:p>
        </w:tc>
        <w:tc>
          <w:tcPr/>
          <w:p>
            <w:pPr>
              <w:pStyle w:val="Compact"/>
            </w:pPr>
            <w:r>
              <w:t xml:space="preserve">(Cloud Native Computing Foundation, s. f.)</w:t>
            </w:r>
          </w:p>
        </w:tc>
      </w:tr>
    </w:tbl>
    <w:bookmarkEnd w:id="95"/>
    <w:bookmarkStart w:id="96" w:name="h.4-restate-opción-4"/>
    <w:p>
      <w:pPr>
        <w:pStyle w:val="Heading3"/>
      </w:pPr>
      <w:r>
        <w:t xml:space="preserve">H.4 Restate (opción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Sección del plan</w:t>
            </w:r>
          </w:p>
        </w:tc>
        <w:tc>
          <w:tcPr/>
          <w:p>
            <w:pPr>
              <w:pStyle w:val="Compact"/>
            </w:pPr>
            <w:r>
              <w:t xml:space="preserve">Qué indica la fuente</w:t>
            </w:r>
          </w:p>
        </w:tc>
        <w:tc>
          <w:tcPr/>
          <w:p>
            <w:pPr>
              <w:pStyle w:val="Compact"/>
            </w:pPr>
            <w:r>
              <w:t xml:space="preserve">Cita</w:t>
            </w:r>
          </w:p>
        </w:tc>
      </w:tr>
      <w:tr>
        <w:tc>
          <w:tcPr/>
          <w:p>
            <w:pPr>
              <w:pStyle w:val="Compact"/>
            </w:pPr>
            <w:r>
              <w:t xml:space="preserve">Licencia del servidor</w:t>
            </w:r>
          </w:p>
        </w:tc>
        <w:tc>
          <w:tcPr/>
          <w:p>
            <w:pPr>
              <w:pStyle w:val="Compact"/>
            </w:pPr>
            <w:r>
              <w:t xml:space="preserve">04.6 opción 4, 12</w:t>
            </w:r>
          </w:p>
        </w:tc>
        <w:tc>
          <w:tcPr/>
          <w:p>
            <w:pPr>
              <w:pStyle w:val="Compact"/>
            </w:pPr>
            <w:r>
              <w:t xml:space="preserve">Restate Server usa Business Source License 1.1. Permite el despliegue productivo interno; prohíbe ofrecerlo como servicio gestionado a terceros. Cada versión pasa a Apache 2.0 a los cuatro años</w:t>
            </w:r>
          </w:p>
        </w:tc>
        <w:tc>
          <w:tcPr/>
          <w:p>
            <w:pPr>
              <w:pStyle w:val="Compact"/>
            </w:pPr>
            <w:r>
              <w:t xml:space="preserve">(Restate, s. f.-d)</w:t>
            </w:r>
          </w:p>
        </w:tc>
      </w:tr>
      <w:tr>
        <w:tc>
          <w:tcPr/>
          <w:p>
            <w:pPr>
              <w:pStyle w:val="Compact"/>
            </w:pPr>
            <w:r>
              <w:t xml:space="preserve">Modelo y SDKs</w:t>
            </w:r>
          </w:p>
        </w:tc>
        <w:tc>
          <w:tcPr/>
          <w:p>
            <w:pPr>
              <w:pStyle w:val="Compact"/>
            </w:pPr>
            <w:r>
              <w:t xml:space="preserve">04.6 opción 4</w:t>
            </w:r>
          </w:p>
        </w:tc>
        <w:tc>
          <w:tcPr/>
          <w:p>
            <w:pPr>
              <w:pStyle w:val="Compact"/>
            </w:pPr>
            <w:r>
              <w:t xml:space="preserve">Servidor en un solo binario (Rust). SDKs para TypeScript, Java, Kotlin, Python, Go y Rust</w:t>
            </w:r>
          </w:p>
        </w:tc>
        <w:tc>
          <w:tcPr/>
          <w:p>
            <w:pPr>
              <w:pStyle w:val="Compact"/>
            </w:pPr>
            <w:r>
              <w:t xml:space="preserve">(Restate, s. f.-a)</w:t>
            </w:r>
          </w:p>
        </w:tc>
      </w:tr>
      <w:tr>
        <w:tc>
          <w:tcPr/>
          <w:p>
            <w:pPr>
              <w:pStyle w:val="Compact"/>
            </w:pPr>
            <w:r>
              <w:t xml:space="preserve">Despliegue en AKS</w:t>
            </w:r>
          </w:p>
        </w:tc>
        <w:tc>
          <w:tcPr/>
          <w:p>
            <w:pPr>
              <w:pStyle w:val="Compact"/>
            </w:pPr>
            <w:r>
              <w:t xml:space="preserve">04.6 opción 4</w:t>
            </w:r>
          </w:p>
        </w:tc>
        <w:tc>
          <w:tcPr/>
          <w:p>
            <w:pPr>
              <w:pStyle w:val="Compact"/>
            </w:pPr>
            <w:r>
              <w:t xml:space="preserve">Restate Operator recomendado para Kubernetes, incluido AKS; Helm chart como alternativa</w:t>
            </w:r>
          </w:p>
        </w:tc>
        <w:tc>
          <w:tcPr/>
          <w:p>
            <w:pPr>
              <w:pStyle w:val="Compact"/>
            </w:pPr>
            <w:r>
              <w:t xml:space="preserve">(Restate, s. f.-b)</w:t>
            </w:r>
          </w:p>
        </w:tc>
      </w:tr>
      <w:tr>
        <w:tc>
          <w:tcPr/>
          <w:p>
            <w:pPr>
              <w:pStyle w:val="Compact"/>
            </w:pPr>
            <w:r>
              <w:t xml:space="preserve">Restate Cloud y plan Enterprise</w:t>
            </w:r>
          </w:p>
        </w:tc>
        <w:tc>
          <w:tcPr/>
          <w:p>
            <w:pPr>
              <w:pStyle w:val="Compact"/>
            </w:pPr>
            <w:r>
              <w:t xml:space="preserve">04.6 opción 4</w:t>
            </w:r>
          </w:p>
        </w:tc>
        <w:tc>
          <w:tcPr/>
          <w:p>
            <w:pPr>
              <w:pStyle w:val="Compact"/>
            </w:pPr>
            <w:r>
              <w:t xml:space="preserve">Planes de Restate Cloud; Enterprise con condiciones bajo pedido</w:t>
            </w:r>
          </w:p>
        </w:tc>
        <w:tc>
          <w:tcPr/>
          <w:p>
            <w:pPr>
              <w:pStyle w:val="Compact"/>
            </w:pPr>
            <w:r>
              <w:t xml:space="preserve">(Restate, s. f.-c)</w:t>
            </w:r>
          </w:p>
        </w:tc>
      </w:tr>
    </w:tbl>
    <w:bookmarkEnd w:id="96"/>
    <w:bookmarkStart w:id="97" w:name="h.5-azure-red-y-datos"/>
    <w:p>
      <w:pPr>
        <w:pStyle w:val="Heading3"/>
      </w:pPr>
      <w:r>
        <w:t xml:space="preserve">H.5 Azure (red y datos)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Sección del plan</w:t>
            </w:r>
          </w:p>
        </w:tc>
        <w:tc>
          <w:tcPr/>
          <w:p>
            <w:pPr>
              <w:pStyle w:val="Compact"/>
            </w:pPr>
            <w:r>
              <w:t xml:space="preserve">Qué indica la fuente</w:t>
            </w:r>
          </w:p>
        </w:tc>
        <w:tc>
          <w:tcPr/>
          <w:p>
            <w:pPr>
              <w:pStyle w:val="Compact"/>
            </w:pPr>
            <w:r>
              <w:t xml:space="preserve">Cita</w:t>
            </w:r>
          </w:p>
        </w:tc>
      </w:tr>
      <w:tr>
        <w:tc>
          <w:tcPr/>
          <w:p>
            <w:pPr>
              <w:pStyle w:val="Compact"/>
            </w:pPr>
            <w:r>
              <w:t xml:space="preserve">Internal load balancer</w:t>
            </w:r>
          </w:p>
        </w:tc>
        <w:tc>
          <w:tcPr/>
          <w:p>
            <w:pPr>
              <w:pStyle w:val="Compact"/>
            </w:pPr>
            <w:r>
              <w:t xml:space="preserve">04.1, 04.2, 04.3</w:t>
            </w:r>
          </w:p>
        </w:tc>
        <w:tc>
          <w:tcPr/>
          <w:p>
            <w:pPr>
              <w:pStyle w:val="Compact"/>
            </w:pPr>
            <w:r>
              <w:t xml:space="preserve">Balanceador interno en AKS, sin IP pública</w:t>
            </w:r>
          </w:p>
        </w:tc>
        <w:tc>
          <w:tcPr/>
          <w:p>
            <w:pPr>
              <w:pStyle w:val="Compact"/>
            </w:pPr>
            <w:r>
              <w:t xml:space="preserve">(Microsoft, s. f.-b)</w:t>
            </w:r>
          </w:p>
        </w:tc>
      </w:tr>
      <w:tr>
        <w:tc>
          <w:tcPr/>
          <w:p>
            <w:pPr>
              <w:pStyle w:val="Compact"/>
            </w:pPr>
            <w:r>
              <w:t xml:space="preserve">Private Link</w:t>
            </w:r>
          </w:p>
        </w:tc>
        <w:tc>
          <w:tcPr/>
          <w:p>
            <w:pPr>
              <w:pStyle w:val="Compact"/>
            </w:pPr>
            <w:r>
              <w:t xml:space="preserve">04.1, 04.2, 04.3</w:t>
            </w:r>
          </w:p>
        </w:tc>
        <w:tc>
          <w:tcPr/>
          <w:p>
            <w:pPr>
              <w:pStyle w:val="Compact"/>
            </w:pPr>
            <w:r>
              <w:t xml:space="preserve">Acceso privado a servicios de Azure desde la red virtual</w:t>
            </w:r>
          </w:p>
        </w:tc>
        <w:tc>
          <w:tcPr/>
          <w:p>
            <w:pPr>
              <w:pStyle w:val="Compact"/>
            </w:pPr>
            <w:r>
              <w:t xml:space="preserve">(Microsoft, s. f.-i)</w:t>
            </w:r>
          </w:p>
        </w:tc>
      </w:tr>
      <w:tr>
        <w:tc>
          <w:tcPr/>
          <w:p>
            <w:pPr>
              <w:pStyle w:val="Compact"/>
            </w:pPr>
            <w:r>
              <w:t xml:space="preserve">PostgreSQL Flexible Server</w:t>
            </w:r>
          </w:p>
        </w:tc>
        <w:tc>
          <w:tcPr/>
          <w:p>
            <w:pPr>
              <w:pStyle w:val="Compact"/>
            </w:pPr>
            <w:r>
              <w:t xml:space="preserve">04.2, B.1</w:t>
            </w:r>
          </w:p>
        </w:tc>
        <w:tc>
          <w:tcPr/>
          <w:p>
            <w:pPr>
              <w:pStyle w:val="Compact"/>
            </w:pPr>
            <w:r>
              <w:t xml:space="preserve">Servicio gestionado de PostgreSQL y su alta disponibilidad</w:t>
            </w:r>
          </w:p>
        </w:tc>
        <w:tc>
          <w:tcPr/>
          <w:p>
            <w:pPr>
              <w:pStyle w:val="Compact"/>
            </w:pPr>
            <w:r>
              <w:t xml:space="preserve">(Microsoft, s. f.-e, s. f.-h)</w:t>
            </w:r>
          </w:p>
        </w:tc>
      </w:tr>
    </w:tbl>
    <w:p>
      <w:r>
        <w:pict>
          <v:rect style="width:0;height:1.5pt" o:hralign="center" o:hrstd="t" o:hr="t"/>
        </w:pict>
      </w:r>
    </w:p>
    <w:bookmarkEnd w:id="97"/>
    <w:bookmarkEnd w:id="98"/>
    <w:bookmarkStart w:id="102" w:name="X89676eb590586fc5ae56c244751074e80668d1b"/>
    <w:p>
      <w:pPr>
        <w:pStyle w:val="Heading2"/>
      </w:pPr>
      <w:r>
        <w:t xml:space="preserve">Anexo I. Marco normativo y buenas prácticas</w:t>
      </w:r>
    </w:p>
    <w:p>
      <w:pPr>
        <w:pStyle w:val="FirstParagraph"/>
      </w:pPr>
      <w:r>
        <w:t xml:space="preserve">Normas y guías con las que es consistente la estructura del plan, consultadas el 30 de septiembre de 2026. Las normas de la Superintendencia de Banca, Seguros y AFP (SBS) son exigibles al Banco. Las referencias internacionales no son exigibles en Perú; se usan como buena práctica de la industria. Legal y RNF confirman la vigencia de las versiones citadas y la calificación del servicio como significativo. Las citas siguen el formato APA (7.ª edición) y remiten al Anexo J.</w:t>
      </w:r>
    </w:p>
    <w:bookmarkStart w:id="99" w:name="i.1-normativa-sbs"/>
    <w:p>
      <w:pPr>
        <w:pStyle w:val="Heading3"/>
      </w:pPr>
      <w:r>
        <w:t xml:space="preserve">I.1 Normativa SBS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Norma</w:t>
            </w:r>
          </w:p>
        </w:tc>
        <w:tc>
          <w:tcPr/>
          <w:p>
            <w:pPr>
              <w:pStyle w:val="Compact"/>
            </w:pPr>
            <w:r>
              <w:t xml:space="preserve">Disposición</w:t>
            </w:r>
          </w:p>
        </w:tc>
        <w:tc>
          <w:tcPr/>
          <w:p>
            <w:pPr>
              <w:pStyle w:val="Compact"/>
            </w:pPr>
            <w:r>
              <w:t xml:space="preserve">Qué exige</w:t>
            </w:r>
          </w:p>
        </w:tc>
        <w:tc>
          <w:tcPr/>
          <w:p>
            <w:pPr>
              <w:pStyle w:val="Compact"/>
            </w:pPr>
            <w:r>
              <w:t xml:space="preserve">Sección del plan</w:t>
            </w:r>
          </w:p>
        </w:tc>
      </w:tr>
      <w:tr>
        <w:tc>
          <w:tcPr/>
          <w:p>
            <w:pPr>
              <w:pStyle w:val="Compact"/>
            </w:pPr>
            <w:r>
              <w:t xml:space="preserve">Reglamento para la Gestión de la Seguridad de la Información y la Ciberseguridad (SBS, 2021)</w:t>
            </w:r>
          </w:p>
        </w:tc>
        <w:tc>
          <w:tcPr/>
          <w:p>
            <w:pPr>
              <w:pStyle w:val="Compact"/>
            </w:pPr>
            <w:r>
              <w:t xml:space="preserve">Art. 24.2 c)</w:t>
            </w:r>
          </w:p>
        </w:tc>
        <w:tc>
          <w:tcPr/>
          <w:p>
            <w:pPr>
              <w:pStyle w:val="Compact"/>
            </w:pPr>
            <w:r>
              <w:t xml:space="preserve">Para un servicio significativo de procesamiento de datos provisto por terceros, incluidos servicios en nube: contar con una estrategia de salida que permita retomar operaciones por cuenta propia o mediante otro proveedor, con las acciones para migrar la información a recursos de la empresa o de otro proveedor</w:t>
            </w:r>
          </w:p>
        </w:tc>
        <w:tc>
          <w:tcPr/>
          <w:p>
            <w:pPr>
              <w:pStyle w:val="Compact"/>
            </w:pPr>
            <w:r>
              <w:t xml:space="preserve">Ficha (función), 04, 04.6, 09, 14</w:t>
            </w:r>
          </w:p>
        </w:tc>
      </w:tr>
      <w:tr>
        <w:tc>
          <w:tcPr/>
          <w:p>
            <w:pPr>
              <w:pStyle w:val="Compact"/>
            </w:pPr>
            <w:r>
              <w:t xml:space="preserve">(SBS, 2021)</w:t>
            </w:r>
          </w:p>
        </w:tc>
        <w:tc>
          <w:tcPr/>
          <w:p>
            <w:pPr>
              <w:pStyle w:val="Compact"/>
            </w:pPr>
            <w:r>
              <w:t xml:space="preserve">Art. 24.2 e)</w:t>
            </w:r>
          </w:p>
        </w:tc>
        <w:tc>
          <w:tcPr/>
          <w:p>
            <w:pPr>
              <w:pStyle w:val="Compact"/>
            </w:pPr>
            <w:r>
              <w:t xml:space="preserve">Asegurar que la información confidencial en custodia del proveedor se elimine definitivamente al resolver el contrato</w:t>
            </w:r>
          </w:p>
        </w:tc>
        <w:tc>
          <w:tcPr/>
          <w:p>
            <w:pPr>
              <w:pStyle w:val="Compact"/>
            </w:pPr>
            <w:r>
              <w:t xml:space="preserve">08, 11 (cierre seguro)</w:t>
            </w:r>
          </w:p>
        </w:tc>
      </w:tr>
      <w:tr>
        <w:tc>
          <w:tcPr/>
          <w:p>
            <w:pPr>
              <w:pStyle w:val="Compact"/>
            </w:pPr>
            <w:r>
              <w:t xml:space="preserve">(SBS, 2021)</w:t>
            </w:r>
          </w:p>
        </w:tc>
        <w:tc>
          <w:tcPr/>
          <w:p>
            <w:pPr>
              <w:pStyle w:val="Compact"/>
            </w:pPr>
            <w:r>
              <w:t xml:space="preserve">Art. 24.2 d)</w:t>
            </w:r>
          </w:p>
        </w:tc>
        <w:tc>
          <w:tcPr/>
          <w:p>
            <w:pPr>
              <w:pStyle w:val="Compact"/>
            </w:pPr>
            <w:r>
              <w:t xml:space="preserve">Mantener un inventario de los servicios que el proveedor contrata a su vez con terceros (contratación en cadena)</w:t>
            </w:r>
          </w:p>
        </w:tc>
        <w:tc>
          <w:tcPr/>
          <w:p>
            <w:pPr>
              <w:pStyle w:val="Compact"/>
            </w:pPr>
            <w:r>
              <w:t xml:space="preserve">No cubierto. Ver I.3</w:t>
            </w:r>
          </w:p>
        </w:tc>
      </w:tr>
      <w:tr>
        <w:tc>
          <w:tcPr/>
          <w:p>
            <w:pPr>
              <w:pStyle w:val="Compact"/>
            </w:pPr>
            <w:r>
              <w:t xml:space="preserve">(SBS, 2021)</w:t>
            </w:r>
          </w:p>
        </w:tc>
        <w:tc>
          <w:tcPr/>
          <w:p>
            <w:pPr>
              <w:pStyle w:val="Compact"/>
            </w:pPr>
            <w:r>
              <w:t xml:space="preserve">Art. 24.3</w:t>
            </w:r>
          </w:p>
        </w:tc>
        <w:tc>
          <w:tcPr/>
          <w:p>
            <w:pPr>
              <w:pStyle w:val="Compact"/>
            </w:pPr>
            <w:r>
              <w:t xml:space="preserve">Informar a la SBS sobre el servicio contratado, el proveedor y la infraestructura, como máximo 30 días calendario después de iniciar la provisión</w:t>
            </w:r>
          </w:p>
        </w:tc>
        <w:tc>
          <w:tcPr/>
          <w:p>
            <w:pPr>
              <w:pStyle w:val="Compact"/>
            </w:pPr>
            <w:r>
              <w:t xml:space="preserve">13 (supervisor, si corresponde), aplicable si el destino aprobado es un nuevo proveedor</w:t>
            </w:r>
          </w:p>
        </w:tc>
      </w:tr>
      <w:tr>
        <w:tc>
          <w:tcPr/>
          <w:p>
            <w:pPr>
              <w:pStyle w:val="Compact"/>
            </w:pPr>
            <w:r>
              <w:t xml:space="preserve">Reglamento para la Gestión de la Continuidad del Negocio (SBS, 2020)</w:t>
            </w:r>
          </w:p>
        </w:tc>
        <w:tc>
          <w:tcPr/>
          <w:p>
            <w:pPr>
              <w:pStyle w:val="Compact"/>
            </w:pPr>
            <w:r>
              <w:t xml:space="preserve">Art. 7.2 y 7.3</w:t>
            </w:r>
          </w:p>
        </w:tc>
        <w:tc>
          <w:tcPr/>
          <w:p>
            <w:pPr>
              <w:pStyle w:val="Compact"/>
            </w:pPr>
            <w:r>
              <w:t xml:space="preserve">Análisis de impacto (PMTI, TOR, recursos de terceros) y evaluación de riesgos que incluya puntos únicos de falla y el escenario de recursos de terceros no disponibles</w:t>
            </w:r>
          </w:p>
        </w:tc>
        <w:tc>
          <w:tcPr/>
          <w:p>
            <w:pPr>
              <w:pStyle w:val="Compact"/>
            </w:pPr>
            <w:r>
              <w:t xml:space="preserve">01, 03, 05</w:t>
            </w:r>
          </w:p>
        </w:tc>
      </w:tr>
      <w:tr>
        <w:tc>
          <w:tcPr/>
          <w:p>
            <w:pPr>
              <w:pStyle w:val="Compact"/>
            </w:pPr>
            <w:r>
              <w:t xml:space="preserve">(SBS, 2020)</w:t>
            </w:r>
          </w:p>
        </w:tc>
        <w:tc>
          <w:tcPr/>
          <w:p>
            <w:pPr>
              <w:pStyle w:val="Compact"/>
            </w:pPr>
            <w:r>
              <w:t xml:space="preserve">Art. 8.2 b)</w:t>
            </w:r>
          </w:p>
        </w:tc>
        <w:tc>
          <w:tcPr/>
          <w:p>
            <w:pPr>
              <w:pStyle w:val="Compact"/>
            </w:pPr>
            <w:r>
              <w:t xml:space="preserve">Las estrategias de continuidad, aprobadas por el directorio, consideran la falla o indisponibilidad de servicios de terceros</w:t>
            </w:r>
          </w:p>
        </w:tc>
        <w:tc>
          <w:tcPr/>
          <w:p>
            <w:pPr>
              <w:pStyle w:val="Compact"/>
            </w:pPr>
            <w:r>
              <w:t xml:space="preserve">03, 04.5, 10</w:t>
            </w:r>
          </w:p>
        </w:tc>
      </w:tr>
      <w:tr>
        <w:tc>
          <w:tcPr/>
          <w:p>
            <w:pPr>
              <w:pStyle w:val="Compact"/>
            </w:pPr>
            <w:r>
              <w:t xml:space="preserve">(SBS, 2020)</w:t>
            </w:r>
          </w:p>
        </w:tc>
        <w:tc>
          <w:tcPr/>
          <w:p>
            <w:pPr>
              <w:pStyle w:val="Compact"/>
            </w:pPr>
            <w:r>
              <w:t xml:space="preserve">Pruebas y reporte de interrupción significativa</w:t>
            </w:r>
          </w:p>
        </w:tc>
        <w:tc>
          <w:tcPr/>
          <w:p>
            <w:pPr>
              <w:pStyle w:val="Compact"/>
            </w:pPr>
            <w:r>
              <w:t xml:space="preserve">Pruebas periódicas de los planes y reporte a la SBS de eventos de interrupción significativa</w:t>
            </w:r>
          </w:p>
        </w:tc>
        <w:tc>
          <w:tcPr/>
          <w:p>
            <w:pPr>
              <w:pStyle w:val="Compact"/>
            </w:pPr>
            <w:r>
              <w:t xml:space="preserve">12 (pruebas del plan), 13</w:t>
            </w:r>
          </w:p>
        </w:tc>
      </w:tr>
      <w:tr>
        <w:tc>
          <w:tcPr/>
          <w:p>
            <w:pPr>
              <w:pStyle w:val="Compact"/>
            </w:pPr>
            <w:r>
              <w:t xml:space="preserve">Reglamento para la Gestión del Riesgo Operacional, texto actualizado con la Res. SBS N.° 877-2020 (SBS, 2009)</w:t>
            </w:r>
          </w:p>
        </w:tc>
        <w:tc>
          <w:tcPr/>
          <w:p>
            <w:pPr>
              <w:pStyle w:val="Compact"/>
            </w:pPr>
            <w:r>
              <w:t xml:space="preserve">Gestión de proveedores</w:t>
            </w:r>
          </w:p>
        </w:tc>
        <w:tc>
          <w:tcPr/>
          <w:p>
            <w:pPr>
              <w:pStyle w:val="Compact"/>
            </w:pPr>
            <w:r>
              <w:t xml:space="preserve">Gestión del riesgo operacional en servicios provistos por terceros</w:t>
            </w:r>
          </w:p>
        </w:tc>
        <w:tc>
          <w:tcPr/>
          <w:p>
            <w:pPr>
              <w:pStyle w:val="Compact"/>
            </w:pPr>
            <w:r>
              <w:t xml:space="preserve">01 (inventario), 07, 12 (riesgo residual)</w:t>
            </w:r>
          </w:p>
        </w:tc>
      </w:tr>
      <w:tr>
        <w:tc>
          <w:tcPr/>
          <w:p>
            <w:pPr>
              <w:pStyle w:val="Compact"/>
            </w:pPr>
            <w:r>
              <w:t xml:space="preserve">Reglamento de Gobierno Corporativo y de la Gestión Integral de Riesgos (SBS, 2017)</w:t>
            </w:r>
          </w:p>
        </w:tc>
        <w:tc>
          <w:tcPr/>
          <w:p>
            <w:pPr>
              <w:pStyle w:val="Compact"/>
            </w:pPr>
            <w:r>
              <w:t xml:space="preserve">Subcontratación significativa</w:t>
            </w:r>
          </w:p>
        </w:tc>
        <w:tc>
          <w:tcPr/>
          <w:p>
            <w:pPr>
              <w:pStyle w:val="Compact"/>
            </w:pPr>
            <w:r>
              <w:t xml:space="preserve">Gobierno y gestión de riesgos de la subcontratación significativa</w:t>
            </w:r>
          </w:p>
        </w:tc>
        <w:tc>
          <w:tcPr/>
          <w:p>
            <w:pPr>
              <w:pStyle w:val="Compact"/>
            </w:pPr>
            <w:r>
              <w:t xml:space="preserve">07, Ficha (gobierno)</w:t>
            </w:r>
          </w:p>
        </w:tc>
      </w:tr>
    </w:tbl>
    <w:bookmarkEnd w:id="99"/>
    <w:bookmarkStart w:id="100" w:name="i.2-referencias-internacionales"/>
    <w:p>
      <w:pPr>
        <w:pStyle w:val="Heading3"/>
      </w:pPr>
      <w:r>
        <w:t xml:space="preserve">I.2 Referencias internacionales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Referencia</w:t>
            </w:r>
          </w:p>
        </w:tc>
        <w:tc>
          <w:tcPr/>
          <w:p>
            <w:pPr>
              <w:pStyle w:val="Compact"/>
            </w:pPr>
            <w:r>
              <w:t xml:space="preserve">Disposición</w:t>
            </w:r>
          </w:p>
        </w:tc>
        <w:tc>
          <w:tcPr/>
          <w:p>
            <w:pPr>
              <w:pStyle w:val="Compact"/>
            </w:pPr>
            <w:r>
              <w:t xml:space="preserve">Qué indica</w:t>
            </w:r>
          </w:p>
        </w:tc>
        <w:tc>
          <w:tcPr/>
          <w:p>
            <w:pPr>
              <w:pStyle w:val="Compact"/>
            </w:pPr>
            <w:r>
              <w:t xml:space="preserve">Sección del plan</w:t>
            </w:r>
          </w:p>
        </w:tc>
      </w:tr>
      <w:tr>
        <w:tc>
          <w:tcPr/>
          <w:p>
            <w:pPr>
              <w:pStyle w:val="Compact"/>
            </w:pPr>
            <w:r>
              <w:t xml:space="preserve">PRA SS2/21, Outsourcing and third party risk management (Prudential Regulation Authority, 2024)</w:t>
            </w:r>
          </w:p>
        </w:tc>
        <w:tc>
          <w:tcPr/>
          <w:p>
            <w:pPr>
              <w:pStyle w:val="Compact"/>
            </w:pPr>
            <w:r>
              <w:t xml:space="preserve">Cap. 10, párr. 10.10 a 10.19</w:t>
            </w:r>
          </w:p>
        </w:tc>
        <w:tc>
          <w:tcPr/>
          <w:p>
            <w:pPr>
              <w:pStyle w:val="Compact"/>
            </w:pPr>
            <w:r>
              <w:t xml:space="preserve">Los planes de salida cubren la salida estresada (stressed exit), documentada y probada. Es la mitigación de último recurso ante una interrupción, citando como ejemplo la insolvencia o liquidación del proveedor. Identificar formas viables de salida y medidas temporales</w:t>
            </w:r>
          </w:p>
        </w:tc>
        <w:tc>
          <w:tcPr/>
          <w:p>
            <w:pPr>
              <w:pStyle w:val="Compact"/>
            </w:pPr>
            <w:r>
              <w:t xml:space="preserve">Principio 4, 03, 04.5, 06, Anexo E.2</w:t>
            </w:r>
          </w:p>
        </w:tc>
      </w:tr>
      <w:tr>
        <w:tc>
          <w:tcPr/>
          <w:p>
            <w:pPr>
              <w:pStyle w:val="Compact"/>
            </w:pPr>
            <w:r>
              <w:t xml:space="preserve">Principles for the sound management of third-party risk (Basel Committee on Banking Supervision, 2025)</w:t>
            </w:r>
          </w:p>
        </w:tc>
        <w:tc>
          <w:tcPr/>
          <w:p>
            <w:pPr>
              <w:pStyle w:val="Compact"/>
            </w:pPr>
            <w:r>
              <w:t xml:space="preserve">Principio 9, párr. 63 a 66</w:t>
            </w:r>
          </w:p>
        </w:tc>
        <w:tc>
          <w:tcPr/>
          <w:p>
            <w:pPr>
              <w:pStyle w:val="Compact"/>
            </w:pPr>
            <w:r>
              <w:t xml:space="preserve">Exit plans para terminación planificada y exit strategies para terminación no planificada, basadas en escenarios plausibles y proporcionales a la criticidad y sustituibilidad del servicio</w:t>
            </w:r>
          </w:p>
        </w:tc>
        <w:tc>
          <w:tcPr/>
          <w:p>
            <w:pPr>
              <w:pStyle w:val="Compact"/>
            </w:pPr>
            <w:r>
              <w:t xml:space="preserve">Principio 4, 03, 04.4, 04.5, Anexo E</w:t>
            </w:r>
          </w:p>
        </w:tc>
      </w:tr>
      <w:tr>
        <w:tc>
          <w:tcPr/>
          <w:p>
            <w:pPr>
              <w:pStyle w:val="Compact"/>
            </w:pPr>
            <w:r>
              <w:t xml:space="preserve">DORA (Reglamento [UE] 2022/2554, 2022)</w:t>
            </w:r>
          </w:p>
        </w:tc>
        <w:tc>
          <w:tcPr/>
          <w:p>
            <w:pPr>
              <w:pStyle w:val="Compact"/>
            </w:pPr>
            <w:r>
              <w:t xml:space="preserve">Art. 28.8</w:t>
            </w:r>
          </w:p>
        </w:tc>
        <w:tc>
          <w:tcPr/>
          <w:p>
            <w:pPr>
              <w:pStyle w:val="Compact"/>
            </w:pPr>
            <w:r>
              <w:t xml:space="preserve">Estrategias de salida documentadas para servicios TIC que soportan funciones críticas, con planes de salida probados periódicamente y soluciones alternativas identificadas</w:t>
            </w:r>
          </w:p>
        </w:tc>
        <w:tc>
          <w:tcPr/>
          <w:p>
            <w:pPr>
              <w:pStyle w:val="Compact"/>
            </w:pPr>
            <w:r>
              <w:t xml:space="preserve">04.6, 09, 12</w:t>
            </w:r>
          </w:p>
        </w:tc>
      </w:tr>
      <w:tr>
        <w:tc>
          <w:tcPr/>
          <w:p>
            <w:pPr>
              <w:pStyle w:val="Compact"/>
            </w:pPr>
            <w:r>
              <w:t xml:space="preserve">EBA/GL/2019/02, Guidelines on outsourcing arrangements (European Banking Authority, 2019)</w:t>
            </w:r>
          </w:p>
        </w:tc>
        <w:tc>
          <w:tcPr/>
          <w:p>
            <w:pPr>
              <w:pStyle w:val="Compact"/>
            </w:pPr>
            <w:r>
              <w:t xml:space="preserve">Sección 15, párr. 106 a 108</w:t>
            </w:r>
          </w:p>
        </w:tc>
        <w:tc>
          <w:tcPr/>
          <w:p>
            <w:pPr>
              <w:pStyle w:val="Compact"/>
            </w:pPr>
            <w:r>
              <w:t xml:space="preserve">Exit plan documentado y probado; soluciones alternativas y plan de transición; objetivos, análisis de impacto, roles y recursos, criterios de éxito e indicadores que disparan la salida</w:t>
            </w:r>
          </w:p>
        </w:tc>
        <w:tc>
          <w:tcPr/>
          <w:p>
            <w:pPr>
              <w:pStyle w:val="Compact"/>
            </w:pPr>
            <w:r>
              <w:t xml:space="preserve">02, 05, 06, 07, 11</w:t>
            </w:r>
          </w:p>
        </w:tc>
      </w:tr>
      <w:tr>
        <w:tc>
          <w:tcPr/>
          <w:p>
            <w:pPr>
              <w:pStyle w:val="Compact"/>
            </w:pPr>
            <w:r>
              <w:t xml:space="preserve">ISO 22301, Business continuity management systems (International Organization for Standardization, 2019)</w:t>
            </w:r>
          </w:p>
        </w:tc>
        <w:tc>
          <w:tcPr/>
          <w:p>
            <w:pPr>
              <w:pStyle w:val="Compact"/>
            </w:pPr>
            <w:r>
              <w:t xml:space="preserve">Norma completa</w:t>
            </w:r>
          </w:p>
        </w:tc>
        <w:tc>
          <w:tcPr/>
          <w:p>
            <w:pPr>
              <w:pStyle w:val="Compact"/>
            </w:pPr>
            <w:r>
              <w:t xml:space="preserve">Sistema de gestión de continuidad del negocio. La Res. SBS N.° 877-2020 toma como referencia esta norma</w:t>
            </w:r>
          </w:p>
        </w:tc>
        <w:tc>
          <w:tcPr/>
          <w:p>
            <w:pPr>
              <w:pStyle w:val="Compact"/>
            </w:pPr>
            <w:r>
              <w:t xml:space="preserve">05, 10, 12</w:t>
            </w:r>
          </w:p>
        </w:tc>
      </w:tr>
    </w:tbl>
    <w:bookmarkEnd w:id="100"/>
    <w:bookmarkStart w:id="101" w:name="i.3-brechas-frente-al-marco"/>
    <w:p>
      <w:pPr>
        <w:pStyle w:val="Heading3"/>
      </w:pPr>
      <w:r>
        <w:t xml:space="preserve">I.3 Brechas frente al marco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Situación en el plan</w:t>
            </w:r>
          </w:p>
        </w:tc>
        <w:tc>
          <w:tcPr/>
          <w:p>
            <w:pPr>
              <w:pStyle w:val="Compact"/>
            </w:pPr>
            <w:r>
              <w:t xml:space="preserve">Responsable sugerido</w:t>
            </w:r>
          </w:p>
        </w:tc>
      </w:tr>
      <w:tr>
        <w:tc>
          <w:tcPr/>
          <w:p>
            <w:pPr>
              <w:pStyle w:val="Compact"/>
            </w:pPr>
            <w:r>
              <w:t xml:space="preserve">Inventario de contratación en cadena (SBS, 2021, art. 24.2 d)</w:t>
            </w:r>
          </w:p>
        </w:tc>
        <w:tc>
          <w:tcPr/>
          <w:p>
            <w:pPr>
              <w:pStyle w:val="Compact"/>
            </w:pPr>
            <w:r>
              <w:t xml:space="preserve">No se documentan los terceros de Temporal Cloud (proveedores de nube AWS y GCP, entre otros)</w:t>
            </w:r>
          </w:p>
        </w:tc>
        <w:tc>
          <w:tcPr/>
          <w:p>
            <w:pPr>
              <w:pStyle w:val="Compact"/>
            </w:pPr>
            <w:r>
              <w:t xml:space="preserve">Compras / RNF</w:t>
            </w:r>
          </w:p>
        </w:tc>
      </w:tr>
      <w:tr>
        <w:tc>
          <w:tcPr/>
          <w:p>
            <w:pPr>
              <w:pStyle w:val="Compact"/>
            </w:pPr>
            <w:r>
              <w:t xml:space="preserve">Reporte a la SBS del nuevo proveedor (SBS, 2021, art. 24.3)</w:t>
            </w:r>
          </w:p>
        </w:tc>
        <w:tc>
          <w:tcPr/>
          <w:p>
            <w:pPr>
              <w:pStyle w:val="Compact"/>
            </w:pPr>
            <w:r>
              <w:t xml:space="preserve">Mencionado como</w:t>
            </w:r>
            <w:r>
              <w:t xml:space="preserve"> </w:t>
            </w:r>
            <w:r>
              <w:t xml:space="preserve">“si corresponde”</w:t>
            </w:r>
            <w:r>
              <w:t xml:space="preserve"> </w:t>
            </w:r>
            <w:r>
              <w:t xml:space="preserve">en la sección 13, sin plazo</w:t>
            </w:r>
          </w:p>
        </w:tc>
        <w:tc>
          <w:tcPr/>
          <w:p>
            <w:pPr>
              <w:pStyle w:val="Compact"/>
            </w:pPr>
            <w:r>
              <w:t xml:space="preserve">Legal / RNF</w:t>
            </w:r>
          </w:p>
        </w:tc>
      </w:tr>
    </w:tbl>
    <w:p>
      <w:r>
        <w:pict>
          <v:rect style="width:0;height:1.5pt" o:hralign="center" o:hrstd="t" o:hr="t"/>
        </w:pict>
      </w:r>
    </w:p>
    <w:bookmarkEnd w:id="101"/>
    <w:bookmarkEnd w:id="102"/>
    <w:bookmarkStart w:id="142" w:name="anexo-j.-referencias"/>
    <w:p>
      <w:pPr>
        <w:pStyle w:val="Heading2"/>
      </w:pPr>
      <w:r>
        <w:t xml:space="preserve">Anexo J. Referencias</w:t>
      </w:r>
    </w:p>
    <w:p>
      <w:pPr>
        <w:pStyle w:val="FirstParagraph"/>
      </w:pPr>
      <w:r>
        <w:t xml:space="preserve">Formato APA (7.ª edición). Las páginas de documentación de los proveedores no tienen fecha de publicación (s. f.) y cambian con cada versión, por lo que incluyen la fecha de consulta.</w:t>
      </w:r>
    </w:p>
    <w:p>
      <w:pPr>
        <w:pStyle w:val="BodyText"/>
        <w:ind w:left="720" w:hanging="720"/>
      </w:pPr>
      <w:r>
        <w:t xml:space="preserve">Basel Committee on Banking Supervision. (2025).</w:t>
      </w:r>
      <w:r>
        <w:t xml:space="preserve"> </w:t>
      </w:r>
      <w:r>
        <w:rPr>
          <w:i/>
          <w:iCs/>
        </w:rPr>
        <w:t xml:space="preserve">Principles for the sound management of third-party risk</w:t>
      </w:r>
      <w:r>
        <w:t xml:space="preserve">. Bank for International Settlements.</w:t>
      </w:r>
      <w:r>
        <w:t xml:space="preserve"> </w:t>
      </w:r>
      <w:hyperlink r:id="rId103">
        <w:r>
          <w:rPr>
            <w:rStyle w:val="Hyperlink"/>
          </w:rPr>
          <w:t xml:space="preserve">https://www.bis.org/publications/202512-guidelines-principles-sound-management-third-party-risk.pdf</w:t>
        </w:r>
      </w:hyperlink>
    </w:p>
    <w:p>
      <w:pPr>
        <w:pStyle w:val="BodyText"/>
        <w:ind w:left="720" w:hanging="720"/>
      </w:pPr>
      <w:r>
        <w:t xml:space="preserve">Cloud Native Computing Foundation. (s. f.).</w:t>
      </w:r>
      <w:r>
        <w:t xml:space="preserve"> </w:t>
      </w:r>
      <w:r>
        <w:rPr>
          <w:i/>
          <w:iCs/>
        </w:rPr>
        <w:t xml:space="preserve">Dapr</w:t>
      </w:r>
      <w:r>
        <w:t xml:space="preserve">. Recuperado el 30 de septiembre de 2026, de</w:t>
      </w:r>
      <w:r>
        <w:t xml:space="preserve"> </w:t>
      </w:r>
      <w:hyperlink r:id="rId104">
        <w:r>
          <w:rPr>
            <w:rStyle w:val="Hyperlink"/>
          </w:rPr>
          <w:t xml:space="preserve">https://www.cncf.io/projects/dapr/</w:t>
        </w:r>
      </w:hyperlink>
    </w:p>
    <w:p>
      <w:pPr>
        <w:pStyle w:val="BodyText"/>
        <w:ind w:left="720" w:hanging="720"/>
      </w:pPr>
      <w:r>
        <w:t xml:space="preserve">European Banking Authority. (2019).</w:t>
      </w:r>
      <w:r>
        <w:t xml:space="preserve"> </w:t>
      </w:r>
      <w:r>
        <w:rPr>
          <w:i/>
          <w:iCs/>
        </w:rPr>
        <w:t xml:space="preserve">Guidelines on outsourcing arrangements</w:t>
      </w:r>
      <w:r>
        <w:t xml:space="preserve"> </w:t>
      </w:r>
      <w:r>
        <w:t xml:space="preserve">(EBA/GL/2019/02).</w:t>
      </w:r>
      <w:r>
        <w:t xml:space="preserve"> </w:t>
      </w:r>
      <w:hyperlink r:id="rId105">
        <w:r>
          <w:rPr>
            <w:rStyle w:val="Hyperlink"/>
          </w:rPr>
          <w:t xml:space="preserve">https://www.eba.europa.eu/sites/default/files/documents/10180/2551996/38c80601-f5d7-4855-8ba3-702423665479/EBA%20revised%20Guidelines%20on%20outsourcing%20arrangements.pdf</w:t>
        </w:r>
      </w:hyperlink>
    </w:p>
    <w:p>
      <w:pPr>
        <w:pStyle w:val="BodyText"/>
        <w:ind w:left="720" w:hanging="720"/>
      </w:pPr>
      <w:r>
        <w:t xml:space="preserve">International Organization for Standardization. (2019).</w:t>
      </w:r>
      <w:r>
        <w:t xml:space="preserve"> </w:t>
      </w:r>
      <w:r>
        <w:rPr>
          <w:i/>
          <w:iCs/>
        </w:rPr>
        <w:t xml:space="preserve">Security and resilience — Business continuity management systems — Requirements</w:t>
      </w:r>
      <w:r>
        <w:t xml:space="preserve"> </w:t>
      </w:r>
      <w:r>
        <w:t xml:space="preserve">(ISO 22301:2019).</w:t>
      </w:r>
      <w:r>
        <w:t xml:space="preserve"> </w:t>
      </w:r>
      <w:hyperlink r:id="rId106">
        <w:r>
          <w:rPr>
            <w:rStyle w:val="Hyperlink"/>
          </w:rPr>
          <w:t xml:space="preserve">https://www.iso.org/standard/75106.html</w:t>
        </w:r>
      </w:hyperlink>
    </w:p>
    <w:p>
      <w:pPr>
        <w:pStyle w:val="BodyText"/>
        <w:ind w:left="720" w:hanging="720"/>
      </w:pPr>
      <w:r>
        <w:t xml:space="preserve">Microsoft. (s. f.-a).</w:t>
      </w:r>
      <w:r>
        <w:t xml:space="preserve"> </w:t>
      </w:r>
      <w:r>
        <w:rPr>
          <w:i/>
          <w:iCs/>
        </w:rPr>
        <w:t xml:space="preserve">Choose your Durable Task hosting model: Azure Functions or self-hosted</w:t>
      </w:r>
      <w:r>
        <w:t xml:space="preserve">. Microsoft Learn. Recuperado el 30 de septiembre de 2026, de</w:t>
      </w:r>
      <w:r>
        <w:t xml:space="preserve"> </w:t>
      </w:r>
      <w:hyperlink r:id="rId107">
        <w:r>
          <w:rPr>
            <w:rStyle w:val="Hyperlink"/>
          </w:rPr>
          <w:t xml:space="preserve">https://learn.microsoft.com/en-us/azure/durable-task/common/choose-orchestration-framework</w:t>
        </w:r>
      </w:hyperlink>
    </w:p>
    <w:p>
      <w:pPr>
        <w:pStyle w:val="BodyText"/>
        <w:ind w:left="720" w:hanging="720"/>
      </w:pPr>
      <w:r>
        <w:t xml:space="preserve">Microsoft. (s. f.-b).</w:t>
      </w:r>
      <w:r>
        <w:t xml:space="preserve"> </w:t>
      </w:r>
      <w:r>
        <w:rPr>
          <w:i/>
          <w:iCs/>
        </w:rPr>
        <w:t xml:space="preserve">Create an internal load balancer in Azure Kubernetes Service (AKS)</w:t>
      </w:r>
      <w:r>
        <w:t xml:space="preserve">. Microsoft Learn. Recuperado el 30 de septiembre de 2026, de</w:t>
      </w:r>
      <w:r>
        <w:t xml:space="preserve"> </w:t>
      </w:r>
      <w:hyperlink r:id="rId108">
        <w:r>
          <w:rPr>
            <w:rStyle w:val="Hyperlink"/>
          </w:rPr>
          <w:t xml:space="preserve">https://learn.microsoft.com/en-us/azure/aks/internal-lb</w:t>
        </w:r>
      </w:hyperlink>
    </w:p>
    <w:p>
      <w:pPr>
        <w:pStyle w:val="BodyText"/>
        <w:ind w:left="720" w:hanging="720"/>
      </w:pPr>
      <w:r>
        <w:t xml:space="preserve">Microsoft. (s. f.-c).</w:t>
      </w:r>
      <w:r>
        <w:t xml:space="preserve"> </w:t>
      </w:r>
      <w:r>
        <w:rPr>
          <w:i/>
          <w:iCs/>
        </w:rPr>
        <w:t xml:space="preserve">Dapr extension for Azure Kubernetes Service (AKS) and Arc-enabled Kubernetes</w:t>
      </w:r>
      <w:r>
        <w:t xml:space="preserve">. Microsoft Learn. Recuperado el 30 de septiembre de 2026, de</w:t>
      </w:r>
      <w:r>
        <w:t xml:space="preserve"> </w:t>
      </w:r>
      <w:hyperlink r:id="rId109">
        <w:r>
          <w:rPr>
            <w:rStyle w:val="Hyperlink"/>
          </w:rPr>
          <w:t xml:space="preserve">https://learn.microsoft.com/en-us/azure/aks/dapr-overview</w:t>
        </w:r>
      </w:hyperlink>
    </w:p>
    <w:p>
      <w:pPr>
        <w:pStyle w:val="BodyText"/>
        <w:ind w:left="720" w:hanging="720"/>
      </w:pPr>
      <w:r>
        <w:t xml:space="preserve">Microsoft. (s. f.-d).</w:t>
      </w:r>
      <w:r>
        <w:t xml:space="preserve"> </w:t>
      </w:r>
      <w:r>
        <w:rPr>
          <w:i/>
          <w:iCs/>
        </w:rPr>
        <w:t xml:space="preserve">Durable Task Scheduler</w:t>
      </w:r>
      <w:r>
        <w:t xml:space="preserve">. Microsoft Learn. Recuperado el 30 de septiembre de 2026, de</w:t>
      </w:r>
      <w:r>
        <w:t xml:space="preserve"> </w:t>
      </w:r>
      <w:hyperlink r:id="rId110">
        <w:r>
          <w:rPr>
            <w:rStyle w:val="Hyperlink"/>
          </w:rPr>
          <w:t xml:space="preserve">https://learn.microsoft.com/en-us/azure/durable-task/scheduler/durable-task-scheduler</w:t>
        </w:r>
      </w:hyperlink>
    </w:p>
    <w:p>
      <w:pPr>
        <w:pStyle w:val="BodyText"/>
        <w:ind w:left="720" w:hanging="720"/>
      </w:pPr>
      <w:r>
        <w:t xml:space="preserve">Microsoft. (s. f.-e).</w:t>
      </w:r>
      <w:r>
        <w:t xml:space="preserve"> </w:t>
      </w:r>
      <w:r>
        <w:rPr>
          <w:i/>
          <w:iCs/>
        </w:rPr>
        <w:t xml:space="preserve">High availability in Azure Database for PostgreSQL flexible server</w:t>
      </w:r>
      <w:r>
        <w:t xml:space="preserve">. Microsoft Learn. Recuperado el 30 de septiembre de 2026, de</w:t>
      </w:r>
      <w:r>
        <w:t xml:space="preserve"> </w:t>
      </w:r>
      <w:hyperlink r:id="rId111">
        <w:r>
          <w:rPr>
            <w:rStyle w:val="Hyperlink"/>
          </w:rPr>
          <w:t xml:space="preserve">https://learn.microsoft.com/en-us/azure/postgresql/high-availability/concepts-high-availability</w:t>
        </w:r>
      </w:hyperlink>
    </w:p>
    <w:p>
      <w:pPr>
        <w:pStyle w:val="BodyText"/>
        <w:ind w:left="720" w:hanging="720"/>
      </w:pPr>
      <w:r>
        <w:t xml:space="preserve">Microsoft. (s. f.-f).</w:t>
      </w:r>
      <w:r>
        <w:t xml:space="preserve"> </w:t>
      </w:r>
      <w:r>
        <w:rPr>
          <w:i/>
          <w:iCs/>
        </w:rPr>
        <w:t xml:space="preserve">Storage providers for Durable Task: Compare and choose</w:t>
      </w:r>
      <w:r>
        <w:t xml:space="preserve">. Microsoft Learn. Recuperado el 30 de septiembre de 2026, de</w:t>
      </w:r>
      <w:r>
        <w:t xml:space="preserve"> </w:t>
      </w:r>
      <w:hyperlink r:id="rId112">
        <w:r>
          <w:rPr>
            <w:rStyle w:val="Hyperlink"/>
          </w:rPr>
          <w:t xml:space="preserve">https://learn.microsoft.com/en-us/azure/durable-task/common/durable-task-storage-providers</w:t>
        </w:r>
      </w:hyperlink>
    </w:p>
    <w:p>
      <w:pPr>
        <w:pStyle w:val="BodyText"/>
        <w:ind w:left="720" w:hanging="720"/>
      </w:pPr>
      <w:r>
        <w:t xml:space="preserve">Microsoft. (s. f.-g).</w:t>
      </w:r>
      <w:r>
        <w:t xml:space="preserve"> </w:t>
      </w:r>
      <w:r>
        <w:rPr>
          <w:i/>
          <w:iCs/>
        </w:rPr>
        <w:t xml:space="preserve">Transactional batch operations in Azure Cosmos DB</w:t>
      </w:r>
      <w:r>
        <w:t xml:space="preserve">. Microsoft Learn. Recuperado el 30 de septiembre de 2026, de</w:t>
      </w:r>
      <w:r>
        <w:t xml:space="preserve"> </w:t>
      </w:r>
      <w:hyperlink r:id="rId113">
        <w:r>
          <w:rPr>
            <w:rStyle w:val="Hyperlink"/>
          </w:rPr>
          <w:t xml:space="preserve">https://learn.microsoft.com/en-us/azure/cosmos-db/transactional-batch</w:t>
        </w:r>
      </w:hyperlink>
    </w:p>
    <w:p>
      <w:pPr>
        <w:pStyle w:val="BodyText"/>
        <w:ind w:left="720" w:hanging="720"/>
      </w:pPr>
      <w:r>
        <w:t xml:space="preserve">Microsoft. (s. f.-h).</w:t>
      </w:r>
      <w:r>
        <w:t xml:space="preserve"> </w:t>
      </w:r>
      <w:r>
        <w:rPr>
          <w:i/>
          <w:iCs/>
        </w:rPr>
        <w:t xml:space="preserve">What is Azure Database for PostgreSQL flexible server?</w:t>
      </w:r>
      <w:r>
        <w:t xml:space="preserve"> </w:t>
      </w:r>
      <w:r>
        <w:t xml:space="preserve">Microsoft Learn. Recuperado el 30 de septiembre de 2026, de</w:t>
      </w:r>
      <w:r>
        <w:t xml:space="preserve"> </w:t>
      </w:r>
      <w:hyperlink r:id="rId114">
        <w:r>
          <w:rPr>
            <w:rStyle w:val="Hyperlink"/>
          </w:rPr>
          <w:t xml:space="preserve">https://learn.microsoft.com/en-us/azure/postgresql/overview</w:t>
        </w:r>
      </w:hyperlink>
    </w:p>
    <w:p>
      <w:pPr>
        <w:pStyle w:val="BodyText"/>
        <w:ind w:left="720" w:hanging="720"/>
      </w:pPr>
      <w:r>
        <w:t xml:space="preserve">Microsoft. (s. f.-i).</w:t>
      </w:r>
      <w:r>
        <w:t xml:space="preserve"> </w:t>
      </w:r>
      <w:r>
        <w:rPr>
          <w:i/>
          <w:iCs/>
        </w:rPr>
        <w:t xml:space="preserve">What is Azure Private Link?</w:t>
      </w:r>
      <w:r>
        <w:t xml:space="preserve"> </w:t>
      </w:r>
      <w:r>
        <w:t xml:space="preserve">Microsoft Learn. Recuperado el 30 de septiembre de 2026, de</w:t>
      </w:r>
      <w:r>
        <w:t xml:space="preserve"> </w:t>
      </w:r>
      <w:hyperlink r:id="rId115">
        <w:r>
          <w:rPr>
            <w:rStyle w:val="Hyperlink"/>
          </w:rPr>
          <w:t xml:space="preserve">https://learn.microsoft.com/en-us/azure/private-link/private-link-overview</w:t>
        </w:r>
      </w:hyperlink>
    </w:p>
    <w:p>
      <w:pPr>
        <w:pStyle w:val="BodyText"/>
        <w:ind w:left="720" w:hanging="720"/>
      </w:pPr>
      <w:r>
        <w:t xml:space="preserve">Prudential Regulation Authority. (2024).</w:t>
      </w:r>
      <w:r>
        <w:t xml:space="preserve"> </w:t>
      </w:r>
      <w:r>
        <w:rPr>
          <w:i/>
          <w:iCs/>
        </w:rPr>
        <w:t xml:space="preserve">Outsourcing and third party risk management</w:t>
      </w:r>
      <w:r>
        <w:t xml:space="preserve"> </w:t>
      </w:r>
      <w:r>
        <w:t xml:space="preserve">(Supervisory Statement SS2/21). Bank of England.</w:t>
      </w:r>
      <w:r>
        <w:t xml:space="preserve"> </w:t>
      </w:r>
      <w:hyperlink r:id="rId116">
        <w:r>
          <w:rPr>
            <w:rStyle w:val="Hyperlink"/>
          </w:rPr>
          <w:t xml:space="preserve">https://www.bankofengland.co.uk/-/media/boe/files/prudential-regulation/supervisory-statement/2024/ss221-november-2024-update.pdf</w:t>
        </w:r>
      </w:hyperlink>
    </w:p>
    <w:p>
      <w:pPr>
        <w:pStyle w:val="BodyText"/>
        <w:ind w:left="720" w:hanging="720"/>
      </w:pPr>
      <w:r>
        <w:t xml:space="preserve">Reglamento (UE) 2022/2554 del Parlamento Europeo y del Consejo, de 14 de diciembre de 2022, sobre la resiliencia operativa digital del sector financiero. (2022).</w:t>
      </w:r>
      <w:r>
        <w:t xml:space="preserve"> </w:t>
      </w:r>
      <w:r>
        <w:rPr>
          <w:i/>
          <w:iCs/>
        </w:rPr>
        <w:t xml:space="preserve">Diario Oficial de la Unión Europea</w:t>
      </w:r>
      <w:r>
        <w:t xml:space="preserve">, L 333.</w:t>
      </w:r>
      <w:r>
        <w:t xml:space="preserve"> </w:t>
      </w:r>
      <w:hyperlink r:id="rId117">
        <w:r>
          <w:rPr>
            <w:rStyle w:val="Hyperlink"/>
          </w:rPr>
          <w:t xml:space="preserve">https://eur-lex.europa.eu/eli/reg/2022/2554/oj</w:t>
        </w:r>
      </w:hyperlink>
    </w:p>
    <w:p>
      <w:pPr>
        <w:pStyle w:val="BodyText"/>
        <w:ind w:left="720" w:hanging="720"/>
      </w:pPr>
      <w:r>
        <w:t xml:space="preserve">Restate. (s. f.-a).</w:t>
      </w:r>
      <w:r>
        <w:t xml:space="preserve"> </w:t>
      </w:r>
      <w:r>
        <w:rPr>
          <w:i/>
          <w:iCs/>
        </w:rPr>
        <w:t xml:space="preserve">Key concepts</w:t>
      </w:r>
      <w:r>
        <w:t xml:space="preserve">. Restate Documentation. Recuperado el 30 de septiembre de 2026, de</w:t>
      </w:r>
      <w:r>
        <w:t xml:space="preserve"> </w:t>
      </w:r>
      <w:hyperlink r:id="rId118">
        <w:r>
          <w:rPr>
            <w:rStyle w:val="Hyperlink"/>
          </w:rPr>
          <w:t xml:space="preserve">https://docs.restate.dev/foundations/key-concepts</w:t>
        </w:r>
      </w:hyperlink>
    </w:p>
    <w:p>
      <w:pPr>
        <w:pStyle w:val="BodyText"/>
        <w:ind w:left="720" w:hanging="720"/>
      </w:pPr>
      <w:r>
        <w:t xml:space="preserve">Restate. (s. f.-b).</w:t>
      </w:r>
      <w:r>
        <w:t xml:space="preserve"> </w:t>
      </w:r>
      <w:r>
        <w:rPr>
          <w:i/>
          <w:iCs/>
        </w:rPr>
        <w:t xml:space="preserve">Kubernetes</w:t>
      </w:r>
      <w:r>
        <w:t xml:space="preserve">. Restate Documentation. Recuperado el 30 de septiembre de 2026, de</w:t>
      </w:r>
      <w:r>
        <w:t xml:space="preserve"> </w:t>
      </w:r>
      <w:hyperlink r:id="rId119">
        <w:r>
          <w:rPr>
            <w:rStyle w:val="Hyperlink"/>
          </w:rPr>
          <w:t xml:space="preserve">https://docs.restate.dev/server/deploy/kubernetes</w:t>
        </w:r>
      </w:hyperlink>
    </w:p>
    <w:p>
      <w:pPr>
        <w:pStyle w:val="BodyText"/>
        <w:ind w:left="720" w:hanging="720"/>
      </w:pPr>
      <w:r>
        <w:t xml:space="preserve">Restate. (s. f.-c).</w:t>
      </w:r>
      <w:r>
        <w:t xml:space="preserve"> </w:t>
      </w:r>
      <w:r>
        <w:rPr>
          <w:i/>
          <w:iCs/>
        </w:rPr>
        <w:t xml:space="preserve">Pricing</w:t>
      </w:r>
      <w:r>
        <w:t xml:space="preserve">. Recuperado el 30 de septiembre de 2026, de</w:t>
      </w:r>
      <w:r>
        <w:t xml:space="preserve"> </w:t>
      </w:r>
      <w:hyperlink r:id="rId120">
        <w:r>
          <w:rPr>
            <w:rStyle w:val="Hyperlink"/>
          </w:rPr>
          <w:t xml:space="preserve">https://restate.dev/pricing</w:t>
        </w:r>
      </w:hyperlink>
    </w:p>
    <w:p>
      <w:pPr>
        <w:pStyle w:val="BodyText"/>
        <w:ind w:left="720" w:hanging="720"/>
      </w:pPr>
      <w:r>
        <w:t xml:space="preserve">Restate. (s. f.-d).</w:t>
      </w:r>
      <w:r>
        <w:t xml:space="preserve"> </w:t>
      </w:r>
      <w:r>
        <w:rPr>
          <w:i/>
          <w:iCs/>
        </w:rPr>
        <w:t xml:space="preserve">restatedev/restate: LICENSE</w:t>
      </w:r>
      <w:r>
        <w:t xml:space="preserve"> </w:t>
      </w:r>
      <w:r>
        <w:t xml:space="preserve">[Licencia de software]. GitHub. Recuperado el 30 de septiembre de 2026, de</w:t>
      </w:r>
      <w:r>
        <w:t xml:space="preserve"> </w:t>
      </w:r>
      <w:hyperlink r:id="rId121">
        <w:r>
          <w:rPr>
            <w:rStyle w:val="Hyperlink"/>
          </w:rPr>
          <w:t xml:space="preserve">https://github.com/restatedev/restate/blob/main/LICENSE</w:t>
        </w:r>
      </w:hyperlink>
    </w:p>
    <w:p>
      <w:pPr>
        <w:pStyle w:val="BodyText"/>
        <w:ind w:left="720" w:hanging="720"/>
      </w:pPr>
      <w:r>
        <w:t xml:space="preserve">Superintendencia de Banca, Seguros y AFP. (2009).</w:t>
      </w:r>
      <w:r>
        <w:t xml:space="preserve"> </w:t>
      </w:r>
      <w:r>
        <w:rPr>
          <w:i/>
          <w:iCs/>
        </w:rPr>
        <w:t xml:space="preserve">Resolución SBS N.° 2116-2009: Reglamento para la Gestión del Riesgo Operacional</w:t>
      </w:r>
      <w:r>
        <w:t xml:space="preserve"> </w:t>
      </w:r>
      <w:r>
        <w:t xml:space="preserve">(texto actualizado con la Resolución SBS N.° 877-2020).</w:t>
      </w:r>
      <w:r>
        <w:t xml:space="preserve"> </w:t>
      </w:r>
      <w:hyperlink r:id="rId122">
        <w:r>
          <w:rPr>
            <w:rStyle w:val="Hyperlink"/>
          </w:rPr>
          <w:t xml:space="preserve">https://intranet2.sbs.gob.pe/dv_int_cn/842/v4.0/Adjuntos/2116-2009%20actualizado%20con%20la%20877-2020.doc.pdf</w:t>
        </w:r>
      </w:hyperlink>
    </w:p>
    <w:p>
      <w:pPr>
        <w:pStyle w:val="BodyText"/>
        <w:ind w:left="720" w:hanging="720"/>
      </w:pPr>
      <w:r>
        <w:t xml:space="preserve">Superintendencia de Banca, Seguros y AFP. (2017).</w:t>
      </w:r>
      <w:r>
        <w:t xml:space="preserve"> </w:t>
      </w:r>
      <w:r>
        <w:rPr>
          <w:i/>
          <w:iCs/>
        </w:rPr>
        <w:t xml:space="preserve">Resolución SBS N.° 272-2017: Reglamento de Gobierno Corporativo y de la Gestión Integral de Riesgos</w:t>
      </w:r>
      <w:r>
        <w:t xml:space="preserve">.</w:t>
      </w:r>
      <w:r>
        <w:t xml:space="preserve"> </w:t>
      </w:r>
      <w:hyperlink r:id="rId123">
        <w:r>
          <w:rPr>
            <w:rStyle w:val="Hyperlink"/>
          </w:rPr>
          <w:t xml:space="preserve">https://www.sbs.gob.pe/Portals/0/jer/Auto_Nuevas_Empresas/Normas_Comunes/5.%20Reg.%20de%20Gobierno%20Corporativo_Res.%20SBS%20N%C2%B0%20272-2017.pdf</w:t>
        </w:r>
      </w:hyperlink>
    </w:p>
    <w:p>
      <w:pPr>
        <w:pStyle w:val="BodyText"/>
        <w:ind w:left="720" w:hanging="720"/>
      </w:pPr>
      <w:r>
        <w:t xml:space="preserve">Superintendencia de Banca, Seguros y AFP. (2020).</w:t>
      </w:r>
      <w:r>
        <w:t xml:space="preserve"> </w:t>
      </w:r>
      <w:r>
        <w:rPr>
          <w:i/>
          <w:iCs/>
        </w:rPr>
        <w:t xml:space="preserve">Resolución SBS N.° 877-2020: Reglamento para la Gestión de la Continuidad del Negocio</w:t>
      </w:r>
      <w:r>
        <w:t xml:space="preserve">.</w:t>
      </w:r>
      <w:r>
        <w:t xml:space="preserve"> </w:t>
      </w:r>
      <w:hyperlink r:id="rId124">
        <w:r>
          <w:rPr>
            <w:rStyle w:val="Hyperlink"/>
          </w:rPr>
          <w:t xml:space="preserve">https://intranet2.sbs.gob.pe/dv_int_cn/1894/v1.0/Adjuntos/877-2020.R.pdf</w:t>
        </w:r>
      </w:hyperlink>
    </w:p>
    <w:p>
      <w:pPr>
        <w:pStyle w:val="BodyText"/>
        <w:ind w:left="720" w:hanging="720"/>
      </w:pPr>
      <w:r>
        <w:t xml:space="preserve">Superintendencia de Banca, Seguros y AFP. (2021).</w:t>
      </w:r>
      <w:r>
        <w:t xml:space="preserve"> </w:t>
      </w:r>
      <w:r>
        <w:rPr>
          <w:i/>
          <w:iCs/>
        </w:rPr>
        <w:t xml:space="preserve">Resolución SBS N.° 504-2021: Reglamento para la Gestión de la Seguridad de la Información y la Ciberseguridad</w:t>
      </w:r>
      <w:r>
        <w:t xml:space="preserve">.</w:t>
      </w:r>
      <w:r>
        <w:t xml:space="preserve"> </w:t>
      </w:r>
      <w:hyperlink r:id="rId125">
        <w:r>
          <w:rPr>
            <w:rStyle w:val="Hyperlink"/>
          </w:rPr>
          <w:t xml:space="preserve">https://intranet2.sbs.gob.pe/dv_int_cn/2046/v2.0/Adjuntos/504-2021.R.pdf</w:t>
        </w:r>
      </w:hyperlink>
    </w:p>
    <w:p>
      <w:pPr>
        <w:pStyle w:val="BodyText"/>
        <w:ind w:left="720" w:hanging="720"/>
      </w:pPr>
      <w:r>
        <w:t xml:space="preserve">Temporal Technologies. (s. f.-a).</w:t>
      </w:r>
      <w:r>
        <w:t xml:space="preserve"> </w:t>
      </w:r>
      <w:r>
        <w:rPr>
          <w:i/>
          <w:iCs/>
        </w:rPr>
        <w:t xml:space="preserve">Deploying a Temporal Service</w:t>
      </w:r>
      <w:r>
        <w:t xml:space="preserve">. Temporal Documentation. Recuperado el 30 de septiembre de 2026, de</w:t>
      </w:r>
      <w:r>
        <w:t xml:space="preserve"> </w:t>
      </w:r>
      <w:hyperlink r:id="rId126">
        <w:r>
          <w:rPr>
            <w:rStyle w:val="Hyperlink"/>
          </w:rPr>
          <w:t xml:space="preserve">https://docs.temporal.io/self-hosted-guide/deployment</w:t>
        </w:r>
      </w:hyperlink>
    </w:p>
    <w:p>
      <w:pPr>
        <w:pStyle w:val="BodyText"/>
        <w:ind w:left="720" w:hanging="720"/>
      </w:pPr>
      <w:r>
        <w:t xml:space="preserve">Temporal Technologies. (s. f.-b).</w:t>
      </w:r>
      <w:r>
        <w:t xml:space="preserve"> </w:t>
      </w:r>
      <w:r>
        <w:rPr>
          <w:i/>
          <w:iCs/>
        </w:rPr>
        <w:t xml:space="preserve">Manual migration</w:t>
      </w:r>
      <w:r>
        <w:t xml:space="preserve">. Temporal Documentation. Recuperado el 30 de septiembre de 2026, de</w:t>
      </w:r>
      <w:r>
        <w:t xml:space="preserve"> </w:t>
      </w:r>
      <w:hyperlink r:id="rId127">
        <w:r>
          <w:rPr>
            <w:rStyle w:val="Hyperlink"/>
          </w:rPr>
          <w:t xml:space="preserve">https://docs.temporal.io/cloud/migrate/manual</w:t>
        </w:r>
      </w:hyperlink>
    </w:p>
    <w:p>
      <w:pPr>
        <w:pStyle w:val="BodyText"/>
        <w:ind w:left="720" w:hanging="720"/>
      </w:pPr>
      <w:r>
        <w:t xml:space="preserve">Temporal Technologies. (s. f.-c).</w:t>
      </w:r>
      <w:r>
        <w:t xml:space="preserve"> </w:t>
      </w:r>
      <w:r>
        <w:rPr>
          <w:i/>
          <w:iCs/>
        </w:rPr>
        <w:t xml:space="preserve">Migrate</w:t>
      </w:r>
      <w:r>
        <w:t xml:space="preserve">. Temporal Documentation. Recuperado el 30 de septiembre de 2026, de</w:t>
      </w:r>
      <w:r>
        <w:t xml:space="preserve"> </w:t>
      </w:r>
      <w:hyperlink r:id="rId128">
        <w:r>
          <w:rPr>
            <w:rStyle w:val="Hyperlink"/>
          </w:rPr>
          <w:t xml:space="preserve">https://docs.temporal.io/cloud/migrate</w:t>
        </w:r>
      </w:hyperlink>
    </w:p>
    <w:p>
      <w:pPr>
        <w:pStyle w:val="BodyText"/>
        <w:ind w:left="720" w:hanging="720"/>
      </w:pPr>
      <w:r>
        <w:t xml:space="preserve">Temporal Technologies. (s. f.-d).</w:t>
      </w:r>
      <w:r>
        <w:t xml:space="preserve"> </w:t>
      </w:r>
      <w:r>
        <w:rPr>
          <w:i/>
          <w:iCs/>
        </w:rPr>
        <w:t xml:space="preserve">Persistence</w:t>
      </w:r>
      <w:r>
        <w:t xml:space="preserve">. Temporal Documentation. Recuperado el 30 de septiembre de 2026, de</w:t>
      </w:r>
      <w:r>
        <w:t xml:space="preserve"> </w:t>
      </w:r>
      <w:hyperlink r:id="rId129">
        <w:r>
          <w:rPr>
            <w:rStyle w:val="Hyperlink"/>
          </w:rPr>
          <w:t xml:space="preserve">https://docs.temporal.io/temporal-service/persistence</w:t>
        </w:r>
      </w:hyperlink>
    </w:p>
    <w:p>
      <w:pPr>
        <w:pStyle w:val="BodyText"/>
        <w:ind w:left="720" w:hanging="720"/>
      </w:pPr>
      <w:r>
        <w:t xml:space="preserve">Temporal Technologies. (s. f.-e).</w:t>
      </w:r>
      <w:r>
        <w:t xml:space="preserve"> </w:t>
      </w:r>
      <w:r>
        <w:rPr>
          <w:i/>
          <w:iCs/>
        </w:rPr>
        <w:t xml:space="preserve">Self-hosted Archival setup</w:t>
      </w:r>
      <w:r>
        <w:t xml:space="preserve">. Temporal Documentation. Recuperado el 30 de septiembre de 2026, de</w:t>
      </w:r>
      <w:r>
        <w:t xml:space="preserve"> </w:t>
      </w:r>
      <w:hyperlink r:id="rId130">
        <w:r>
          <w:rPr>
            <w:rStyle w:val="Hyperlink"/>
          </w:rPr>
          <w:t xml:space="preserve">https://docs.temporal.io/self-hosted-guide/archival</w:t>
        </w:r>
      </w:hyperlink>
    </w:p>
    <w:p>
      <w:pPr>
        <w:pStyle w:val="BodyText"/>
        <w:ind w:left="720" w:hanging="720"/>
      </w:pPr>
      <w:r>
        <w:t xml:space="preserve">Temporal Technologies. (s. f.-f).</w:t>
      </w:r>
      <w:r>
        <w:t xml:space="preserve"> </w:t>
      </w:r>
      <w:r>
        <w:rPr>
          <w:i/>
          <w:iCs/>
        </w:rPr>
        <w:t xml:space="preserve">Self-hosted Visibility feature setup</w:t>
      </w:r>
      <w:r>
        <w:t xml:space="preserve">. Temporal Documentation. Recuperado el 30 de septiembre de 2026, de</w:t>
      </w:r>
      <w:r>
        <w:t xml:space="preserve"> </w:t>
      </w:r>
      <w:hyperlink r:id="rId131">
        <w:r>
          <w:rPr>
            <w:rStyle w:val="Hyperlink"/>
          </w:rPr>
          <w:t xml:space="preserve">https://docs.temporal.io/self-hosted-guide/visibility</w:t>
        </w:r>
      </w:hyperlink>
    </w:p>
    <w:p>
      <w:pPr>
        <w:pStyle w:val="BodyText"/>
        <w:ind w:left="720" w:hanging="720"/>
      </w:pPr>
      <w:r>
        <w:t xml:space="preserve">Temporal Technologies. (s. f.-g).</w:t>
      </w:r>
      <w:r>
        <w:t xml:space="preserve"> </w:t>
      </w:r>
      <w:r>
        <w:rPr>
          <w:i/>
          <w:iCs/>
        </w:rPr>
        <w:t xml:space="preserve">Service regions</w:t>
      </w:r>
      <w:r>
        <w:t xml:space="preserve">. Temporal Documentation. Recuperado el 30 de septiembre de 2026, de</w:t>
      </w:r>
      <w:r>
        <w:t xml:space="preserve"> </w:t>
      </w:r>
      <w:hyperlink r:id="rId132">
        <w:r>
          <w:rPr>
            <w:rStyle w:val="Hyperlink"/>
          </w:rPr>
          <w:t xml:space="preserve">https://docs.temporal.io/cloud/regions</w:t>
        </w:r>
      </w:hyperlink>
    </w:p>
    <w:p>
      <w:pPr>
        <w:pStyle w:val="BodyText"/>
        <w:ind w:left="720" w:hanging="720"/>
      </w:pPr>
      <w:r>
        <w:t xml:space="preserve">Temporal Technologies. (s. f.-h).</w:t>
      </w:r>
      <w:r>
        <w:t xml:space="preserve"> </w:t>
      </w:r>
      <w:r>
        <w:rPr>
          <w:i/>
          <w:iCs/>
        </w:rPr>
        <w:t xml:space="preserve">Temporal Platform security features</w:t>
      </w:r>
      <w:r>
        <w:t xml:space="preserve">. Temporal Documentation. Recuperado el 30 de septiembre de 2026, de</w:t>
      </w:r>
      <w:r>
        <w:t xml:space="preserve"> </w:t>
      </w:r>
      <w:hyperlink r:id="rId133">
        <w:r>
          <w:rPr>
            <w:rStyle w:val="Hyperlink"/>
          </w:rPr>
          <w:t xml:space="preserve">https://docs.temporal.io/self-hosted-guide/security</w:t>
        </w:r>
      </w:hyperlink>
    </w:p>
    <w:p>
      <w:pPr>
        <w:pStyle w:val="BodyText"/>
        <w:ind w:left="720" w:hanging="720"/>
      </w:pPr>
      <w:r>
        <w:t xml:space="preserve">Temporal Technologies. (s. f.-i).</w:t>
      </w:r>
      <w:r>
        <w:t xml:space="preserve"> </w:t>
      </w:r>
      <w:r>
        <w:rPr>
          <w:i/>
          <w:iCs/>
        </w:rPr>
        <w:t xml:space="preserve">Temporal Service</w:t>
      </w:r>
      <w:r>
        <w:t xml:space="preserve">. Temporal Documentation. Recuperado el 30 de septiembre de 2026, de</w:t>
      </w:r>
      <w:r>
        <w:t xml:space="preserve"> </w:t>
      </w:r>
      <w:hyperlink r:id="rId134">
        <w:r>
          <w:rPr>
            <w:rStyle w:val="Hyperlink"/>
          </w:rPr>
          <w:t xml:space="preserve">https://docs.temporal.io/temporal-service</w:t>
        </w:r>
      </w:hyperlink>
    </w:p>
    <w:p>
      <w:pPr>
        <w:pStyle w:val="BodyText"/>
        <w:ind w:left="720" w:hanging="720"/>
      </w:pPr>
      <w:r>
        <w:t xml:space="preserve">Temporal Technologies. (s. f.-j).</w:t>
      </w:r>
      <w:r>
        <w:t xml:space="preserve"> </w:t>
      </w:r>
      <w:r>
        <w:rPr>
          <w:i/>
          <w:iCs/>
        </w:rPr>
        <w:t xml:space="preserve">temporalio/helm-charts</w:t>
      </w:r>
      <w:r>
        <w:t xml:space="preserve"> </w:t>
      </w:r>
      <w:r>
        <w:t xml:space="preserve">[Repositorio de código fuente]. GitHub. Recuperado el 30 de septiembre de 2026, de</w:t>
      </w:r>
      <w:r>
        <w:t xml:space="preserve"> </w:t>
      </w:r>
      <w:hyperlink r:id="rId135">
        <w:r>
          <w:rPr>
            <w:rStyle w:val="Hyperlink"/>
          </w:rPr>
          <w:t xml:space="preserve">https://github.com/temporalio/helm-charts</w:t>
        </w:r>
      </w:hyperlink>
    </w:p>
    <w:p>
      <w:pPr>
        <w:pStyle w:val="BodyText"/>
        <w:ind w:left="720" w:hanging="720"/>
      </w:pPr>
      <w:r>
        <w:t xml:space="preserve">Temporal Technologies. (s. f.-k).</w:t>
      </w:r>
      <w:r>
        <w:t xml:space="preserve"> </w:t>
      </w:r>
      <w:r>
        <w:rPr>
          <w:i/>
          <w:iCs/>
        </w:rPr>
        <w:t xml:space="preserve">temporalio/temporal: LICENSE</w:t>
      </w:r>
      <w:r>
        <w:t xml:space="preserve"> </w:t>
      </w:r>
      <w:r>
        <w:t xml:space="preserve">[Licencia de software]. GitHub. Recuperado el 30 de septiembre de 2026, de</w:t>
      </w:r>
      <w:r>
        <w:t xml:space="preserve"> </w:t>
      </w:r>
      <w:hyperlink r:id="rId136">
        <w:r>
          <w:rPr>
            <w:rStyle w:val="Hyperlink"/>
          </w:rPr>
          <w:t xml:space="preserve">https://github.com/temporalio/temporal/blob/main/LICENSE</w:t>
        </w:r>
      </w:hyperlink>
    </w:p>
    <w:p>
      <w:pPr>
        <w:pStyle w:val="BodyText"/>
        <w:ind w:left="720" w:hanging="720"/>
      </w:pPr>
      <w:r>
        <w:t xml:space="preserve">Temporal Technologies. (s. f.-l).</w:t>
      </w:r>
      <w:r>
        <w:t xml:space="preserve"> </w:t>
      </w:r>
      <w:r>
        <w:rPr>
          <w:i/>
          <w:iCs/>
        </w:rPr>
        <w:t xml:space="preserve">Workflow History Export</w:t>
      </w:r>
      <w:r>
        <w:t xml:space="preserve">. Temporal Documentation. Recuperado el 30 de septiembre de 2026, de</w:t>
      </w:r>
      <w:r>
        <w:t xml:space="preserve"> </w:t>
      </w:r>
      <w:hyperlink r:id="rId137">
        <w:r>
          <w:rPr>
            <w:rStyle w:val="Hyperlink"/>
          </w:rPr>
          <w:t xml:space="preserve">https://docs.temporal.io/cloud/export</w:t>
        </w:r>
      </w:hyperlink>
    </w:p>
    <w:p>
      <w:pPr>
        <w:pStyle w:val="BodyText"/>
        <w:ind w:left="720" w:hanging="720"/>
      </w:pPr>
      <w:r>
        <w:t xml:space="preserve">The Dapr Authors. (s. f.-a).</w:t>
      </w:r>
      <w:r>
        <w:t xml:space="preserve"> </w:t>
      </w:r>
      <w:r>
        <w:rPr>
          <w:i/>
          <w:iCs/>
        </w:rPr>
        <w:t xml:space="preserve">Azure Cosmos DB (SQL API)</w:t>
      </w:r>
      <w:r>
        <w:t xml:space="preserve">. Dapr Docs. Recuperado el 30 de septiembre de 2026, de</w:t>
      </w:r>
      <w:r>
        <w:t xml:space="preserve"> </w:t>
      </w:r>
      <w:hyperlink r:id="rId138">
        <w:r>
          <w:rPr>
            <w:rStyle w:val="Hyperlink"/>
          </w:rPr>
          <w:t xml:space="preserve">https://docs.dapr.io/reference/components-reference/supported-state-stores/setup-azure-cosmosdb/</w:t>
        </w:r>
      </w:hyperlink>
    </w:p>
    <w:p>
      <w:pPr>
        <w:pStyle w:val="BodyText"/>
        <w:ind w:left="720" w:hanging="720"/>
      </w:pPr>
      <w:r>
        <w:t xml:space="preserve">The Dapr Authors. (s. f.-b).</w:t>
      </w:r>
      <w:r>
        <w:t xml:space="preserve"> </w:t>
      </w:r>
      <w:r>
        <w:rPr>
          <w:i/>
          <w:iCs/>
        </w:rPr>
        <w:t xml:space="preserve">State store component specs</w:t>
      </w:r>
      <w:r>
        <w:t xml:space="preserve">. Dapr Docs. Recuperado el 30 de septiembre de 2026, de</w:t>
      </w:r>
      <w:r>
        <w:t xml:space="preserve"> </w:t>
      </w:r>
      <w:hyperlink r:id="rId139">
        <w:r>
          <w:rPr>
            <w:rStyle w:val="Hyperlink"/>
          </w:rPr>
          <w:t xml:space="preserve">https://docs.dapr.io/reference/components-reference/supported-state-stores/</w:t>
        </w:r>
      </w:hyperlink>
    </w:p>
    <w:p>
      <w:pPr>
        <w:pStyle w:val="BodyText"/>
        <w:ind w:left="720" w:hanging="720"/>
      </w:pPr>
      <w:r>
        <w:t xml:space="preserve">The Dapr Authors. (s. f.-c).</w:t>
      </w:r>
      <w:r>
        <w:t xml:space="preserve"> </w:t>
      </w:r>
      <w:r>
        <w:rPr>
          <w:i/>
          <w:iCs/>
        </w:rPr>
        <w:t xml:space="preserve">Supported runtime and SDK releases</w:t>
      </w:r>
      <w:r>
        <w:t xml:space="preserve">. Dapr Docs. Recuperado el 30 de septiembre de 2026, de</w:t>
      </w:r>
      <w:r>
        <w:t xml:space="preserve"> </w:t>
      </w:r>
      <w:hyperlink r:id="rId140">
        <w:r>
          <w:rPr>
            <w:rStyle w:val="Hyperlink"/>
          </w:rPr>
          <w:t xml:space="preserve">https://docs.dapr.io/operations/support/support-release-policy/</w:t>
        </w:r>
      </w:hyperlink>
    </w:p>
    <w:p>
      <w:pPr>
        <w:pStyle w:val="BodyText"/>
        <w:ind w:left="720" w:hanging="720"/>
      </w:pPr>
      <w:r>
        <w:t xml:space="preserve">The Dapr Authors. (s. f.-d).</w:t>
      </w:r>
      <w:r>
        <w:t xml:space="preserve"> </w:t>
      </w:r>
      <w:r>
        <w:rPr>
          <w:i/>
          <w:iCs/>
        </w:rPr>
        <w:t xml:space="preserve">Workflow architecture</w:t>
      </w:r>
      <w:r>
        <w:t xml:space="preserve">. Dapr Docs. Recuperado el 30 de septiembre de 2026, de</w:t>
      </w:r>
      <w:r>
        <w:t xml:space="preserve"> </w:t>
      </w:r>
      <w:hyperlink r:id="rId141">
        <w:r>
          <w:rPr>
            <w:rStyle w:val="Hyperlink"/>
          </w:rPr>
          <w:t xml:space="preserve">https://docs.dapr.io/developing-applications/building-blocks/workflow/workflow-architecture/</w:t>
        </w:r>
      </w:hyperlink>
    </w:p>
    <w:bookmarkEnd w:id="142"/>
    <w:bookmarkEnd w:id="143"/>
    <w:sectPr>
      <w:headerReference w:type="default" r:id="rId9"/>
      <w:footerReference w:type="default" r:id="rId10"/>
      <w:footnotePr>
        <w:numRestart w:val="eachSect"/>
      </w:footnotePr>
      <w:pgMar w:top="1247"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Plan de retiro preventivo de Temporal Cloud  ·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55555"/>
        <w:sz w:val="18"/>
      </w:rPr>
      <w:t>BCP  |  PEVE  |  Uso interno  |  PEVE-PR-2026-001  |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3" Type="http://schemas.openxmlformats.org/officeDocument/2006/relationships/image" Target="media/rId23.png"/><Relationship Id="rId27" Type="http://schemas.openxmlformats.org/officeDocument/2006/relationships/image" Target="media/rId27.png"/><Relationship Id="rId39" Type="http://schemas.openxmlformats.org/officeDocument/2006/relationships/image" Target="media/rId39.png"/><Relationship Id="rId35" Type="http://schemas.openxmlformats.org/officeDocument/2006/relationships/image" Target="media/rId35.png"/><Relationship Id="rId43" Type="http://schemas.openxmlformats.org/officeDocument/2006/relationships/image" Target="media/rId43.png"/><Relationship Id="rId141" Type="http://schemas.openxmlformats.org/officeDocument/2006/relationships/hyperlink" Target="https://docs.dapr.io/developing-applications/building-blocks/workflow/workflow-architecture/" TargetMode="External"/><Relationship Id="rId140" Type="http://schemas.openxmlformats.org/officeDocument/2006/relationships/hyperlink" Target="https://docs.dapr.io/operations/support/support-release-policy/" TargetMode="External"/><Relationship Id="rId139" Type="http://schemas.openxmlformats.org/officeDocument/2006/relationships/hyperlink" Target="https://docs.dapr.io/reference/components-reference/supported-state-stores/" TargetMode="External"/><Relationship Id="rId138" Type="http://schemas.openxmlformats.org/officeDocument/2006/relationships/hyperlink" Target="https://docs.dapr.io/reference/components-reference/supported-state-stores/setup-azure-cosmosdb/" TargetMode="External"/><Relationship Id="rId118" Type="http://schemas.openxmlformats.org/officeDocument/2006/relationships/hyperlink" Target="https://docs.restate.dev/foundations/key-concepts" TargetMode="External"/><Relationship Id="rId119" Type="http://schemas.openxmlformats.org/officeDocument/2006/relationships/hyperlink" Target="https://docs.restate.dev/server/deploy/kubernetes" TargetMode="External"/><Relationship Id="rId137" Type="http://schemas.openxmlformats.org/officeDocument/2006/relationships/hyperlink" Target="https://docs.temporal.io/cloud/export" TargetMode="External"/><Relationship Id="rId128" Type="http://schemas.openxmlformats.org/officeDocument/2006/relationships/hyperlink" Target="https://docs.temporal.io/cloud/migrate" TargetMode="External"/><Relationship Id="rId127" Type="http://schemas.openxmlformats.org/officeDocument/2006/relationships/hyperlink" Target="https://docs.temporal.io/cloud/migrate/manual" TargetMode="External"/><Relationship Id="rId132" Type="http://schemas.openxmlformats.org/officeDocument/2006/relationships/hyperlink" Target="https://docs.temporal.io/cloud/regions" TargetMode="External"/><Relationship Id="rId130" Type="http://schemas.openxmlformats.org/officeDocument/2006/relationships/hyperlink" Target="https://docs.temporal.io/self-hosted-guide/archival" TargetMode="External"/><Relationship Id="rId126" Type="http://schemas.openxmlformats.org/officeDocument/2006/relationships/hyperlink" Target="https://docs.temporal.io/self-hosted-guide/deployment" TargetMode="External"/><Relationship Id="rId133" Type="http://schemas.openxmlformats.org/officeDocument/2006/relationships/hyperlink" Target="https://docs.temporal.io/self-hosted-guide/security" TargetMode="External"/><Relationship Id="rId131" Type="http://schemas.openxmlformats.org/officeDocument/2006/relationships/hyperlink" Target="https://docs.temporal.io/self-hosted-guide/visibility" TargetMode="External"/><Relationship Id="rId134" Type="http://schemas.openxmlformats.org/officeDocument/2006/relationships/hyperlink" Target="https://docs.temporal.io/temporal-service" TargetMode="External"/><Relationship Id="rId129" Type="http://schemas.openxmlformats.org/officeDocument/2006/relationships/hyperlink" Target="https://docs.temporal.io/temporal-service/persistence" TargetMode="External"/><Relationship Id="rId117" Type="http://schemas.openxmlformats.org/officeDocument/2006/relationships/hyperlink" Target="https://eur-lex.europa.eu/eli/reg/2022/2554/oj" TargetMode="External"/><Relationship Id="rId121" Type="http://schemas.openxmlformats.org/officeDocument/2006/relationships/hyperlink" Target="https://github.com/restatedev/restate/blob/main/LICENSE" TargetMode="External"/><Relationship Id="rId135" Type="http://schemas.openxmlformats.org/officeDocument/2006/relationships/hyperlink" Target="https://github.com/temporalio/helm-charts" TargetMode="External"/><Relationship Id="rId136" Type="http://schemas.openxmlformats.org/officeDocument/2006/relationships/hyperlink" Target="https://github.com/temporalio/temporal/blob/main/LICENSE" TargetMode="External"/><Relationship Id="rId124" Type="http://schemas.openxmlformats.org/officeDocument/2006/relationships/hyperlink" Target="https://intranet2.sbs.gob.pe/dv_int_cn/1894/v1.0/Adjuntos/877-2020.R.pdf" TargetMode="External"/><Relationship Id="rId125" Type="http://schemas.openxmlformats.org/officeDocument/2006/relationships/hyperlink" Target="https://intranet2.sbs.gob.pe/dv_int_cn/2046/v2.0/Adjuntos/504-2021.R.pdf" TargetMode="External"/><Relationship Id="rId122" Type="http://schemas.openxmlformats.org/officeDocument/2006/relationships/hyperlink" Target="https://intranet2.sbs.gob.pe/dv_int_cn/842/v4.0/Adjuntos/2116-2009%20actualizado%20con%20la%20877-2020.doc.pdf" TargetMode="External"/><Relationship Id="rId109" Type="http://schemas.openxmlformats.org/officeDocument/2006/relationships/hyperlink" Target="https://learn.microsoft.com/en-us/azure/aks/dapr-overview" TargetMode="External"/><Relationship Id="rId108" Type="http://schemas.openxmlformats.org/officeDocument/2006/relationships/hyperlink" Target="https://learn.microsoft.com/en-us/azure/aks/internal-lb" TargetMode="External"/><Relationship Id="rId113" Type="http://schemas.openxmlformats.org/officeDocument/2006/relationships/hyperlink" Target="https://learn.microsoft.com/en-us/azure/cosmos-db/transactional-batch" TargetMode="External"/><Relationship Id="rId107" Type="http://schemas.openxmlformats.org/officeDocument/2006/relationships/hyperlink" Target="https://learn.microsoft.com/en-us/azure/durable-task/common/choose-orchestration-framework" TargetMode="External"/><Relationship Id="rId112" Type="http://schemas.openxmlformats.org/officeDocument/2006/relationships/hyperlink" Target="https://learn.microsoft.com/en-us/azure/durable-task/common/durable-task-storage-providers" TargetMode="External"/><Relationship Id="rId110" Type="http://schemas.openxmlformats.org/officeDocument/2006/relationships/hyperlink" Target="https://learn.microsoft.com/en-us/azure/durable-task/scheduler/durable-task-scheduler" TargetMode="External"/><Relationship Id="rId111" Type="http://schemas.openxmlformats.org/officeDocument/2006/relationships/hyperlink" Target="https://learn.microsoft.com/en-us/azure/postgresql/high-availability/concepts-high-availability" TargetMode="External"/><Relationship Id="rId114" Type="http://schemas.openxmlformats.org/officeDocument/2006/relationships/hyperlink" Target="https://learn.microsoft.com/en-us/azure/postgresql/overview" TargetMode="External"/><Relationship Id="rId115" Type="http://schemas.openxmlformats.org/officeDocument/2006/relationships/hyperlink" Target="https://learn.microsoft.com/en-us/azure/private-link/private-link-overview" TargetMode="External"/><Relationship Id="rId120" Type="http://schemas.openxmlformats.org/officeDocument/2006/relationships/hyperlink" Target="https://restate.dev/pricing" TargetMode="External"/><Relationship Id="rId116" Type="http://schemas.openxmlformats.org/officeDocument/2006/relationships/hyperlink" Target="https://www.bankofengland.co.uk/-/media/boe/files/prudential-regulation/supervisory-statement/2024/ss221-november-2024-update.pdf" TargetMode="External"/><Relationship Id="rId103" Type="http://schemas.openxmlformats.org/officeDocument/2006/relationships/hyperlink" Target="https://www.bis.org/publications/202512-guidelines-principles-sound-management-third-party-risk.pdf" TargetMode="External"/><Relationship Id="rId104" Type="http://schemas.openxmlformats.org/officeDocument/2006/relationships/hyperlink" Target="https://www.cncf.io/projects/dapr/" TargetMode="External"/><Relationship Id="rId105" Type="http://schemas.openxmlformats.org/officeDocument/2006/relationships/hyperlink" Target="https://www.eba.europa.eu/sites/default/files/documents/10180/2551996/38c80601-f5d7-4855-8ba3-702423665479/EBA%20revised%20Guidelines%20on%20outsourcing%20arrangements.pdf" TargetMode="External"/><Relationship Id="rId106" Type="http://schemas.openxmlformats.org/officeDocument/2006/relationships/hyperlink" Target="https://www.iso.org/standard/75106.html" TargetMode="External"/><Relationship Id="rId123" Type="http://schemas.openxmlformats.org/officeDocument/2006/relationships/hyperlink" Target="https://www.sbs.gob.pe/Portals/0/jer/Auto_Nuevas_Empresas/Normas_Comunes/5.%20Reg.%20de%20Gobierno%20Corporativo_Res.%20SBS%20N%C2%B0%20272-2017.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1" Type="http://schemas.openxmlformats.org/officeDocument/2006/relationships/hyperlink" Target="https://docs.dapr.io/developing-applications/building-blocks/workflow/workflow-architecture/" TargetMode="External"/><Relationship Id="rId140" Type="http://schemas.openxmlformats.org/officeDocument/2006/relationships/hyperlink" Target="https://docs.dapr.io/operations/support/support-release-policy/" TargetMode="External"/><Relationship Id="rId139" Type="http://schemas.openxmlformats.org/officeDocument/2006/relationships/hyperlink" Target="https://docs.dapr.io/reference/components-reference/supported-state-stores/" TargetMode="External"/><Relationship Id="rId138" Type="http://schemas.openxmlformats.org/officeDocument/2006/relationships/hyperlink" Target="https://docs.dapr.io/reference/components-reference/supported-state-stores/setup-azure-cosmosdb/" TargetMode="External"/><Relationship Id="rId118" Type="http://schemas.openxmlformats.org/officeDocument/2006/relationships/hyperlink" Target="https://docs.restate.dev/foundations/key-concepts" TargetMode="External"/><Relationship Id="rId119" Type="http://schemas.openxmlformats.org/officeDocument/2006/relationships/hyperlink" Target="https://docs.restate.dev/server/deploy/kubernetes" TargetMode="External"/><Relationship Id="rId137" Type="http://schemas.openxmlformats.org/officeDocument/2006/relationships/hyperlink" Target="https://docs.temporal.io/cloud/export" TargetMode="External"/><Relationship Id="rId128" Type="http://schemas.openxmlformats.org/officeDocument/2006/relationships/hyperlink" Target="https://docs.temporal.io/cloud/migrate" TargetMode="External"/><Relationship Id="rId127" Type="http://schemas.openxmlformats.org/officeDocument/2006/relationships/hyperlink" Target="https://docs.temporal.io/cloud/migrate/manual" TargetMode="External"/><Relationship Id="rId132" Type="http://schemas.openxmlformats.org/officeDocument/2006/relationships/hyperlink" Target="https://docs.temporal.io/cloud/regions" TargetMode="External"/><Relationship Id="rId130" Type="http://schemas.openxmlformats.org/officeDocument/2006/relationships/hyperlink" Target="https://docs.temporal.io/self-hosted-guide/archival" TargetMode="External"/><Relationship Id="rId126" Type="http://schemas.openxmlformats.org/officeDocument/2006/relationships/hyperlink" Target="https://docs.temporal.io/self-hosted-guide/deployment" TargetMode="External"/><Relationship Id="rId133" Type="http://schemas.openxmlformats.org/officeDocument/2006/relationships/hyperlink" Target="https://docs.temporal.io/self-hosted-guide/security" TargetMode="External"/><Relationship Id="rId131" Type="http://schemas.openxmlformats.org/officeDocument/2006/relationships/hyperlink" Target="https://docs.temporal.io/self-hosted-guide/visibility" TargetMode="External"/><Relationship Id="rId134" Type="http://schemas.openxmlformats.org/officeDocument/2006/relationships/hyperlink" Target="https://docs.temporal.io/temporal-service" TargetMode="External"/><Relationship Id="rId129" Type="http://schemas.openxmlformats.org/officeDocument/2006/relationships/hyperlink" Target="https://docs.temporal.io/temporal-service/persistence" TargetMode="External"/><Relationship Id="rId117" Type="http://schemas.openxmlformats.org/officeDocument/2006/relationships/hyperlink" Target="https://eur-lex.europa.eu/eli/reg/2022/2554/oj" TargetMode="External"/><Relationship Id="rId121" Type="http://schemas.openxmlformats.org/officeDocument/2006/relationships/hyperlink" Target="https://github.com/restatedev/restate/blob/main/LICENSE" TargetMode="External"/><Relationship Id="rId135" Type="http://schemas.openxmlformats.org/officeDocument/2006/relationships/hyperlink" Target="https://github.com/temporalio/helm-charts" TargetMode="External"/><Relationship Id="rId136" Type="http://schemas.openxmlformats.org/officeDocument/2006/relationships/hyperlink" Target="https://github.com/temporalio/temporal/blob/main/LICENSE" TargetMode="External"/><Relationship Id="rId124" Type="http://schemas.openxmlformats.org/officeDocument/2006/relationships/hyperlink" Target="https://intranet2.sbs.gob.pe/dv_int_cn/1894/v1.0/Adjuntos/877-2020.R.pdf" TargetMode="External"/><Relationship Id="rId125" Type="http://schemas.openxmlformats.org/officeDocument/2006/relationships/hyperlink" Target="https://intranet2.sbs.gob.pe/dv_int_cn/2046/v2.0/Adjuntos/504-2021.R.pdf" TargetMode="External"/><Relationship Id="rId122" Type="http://schemas.openxmlformats.org/officeDocument/2006/relationships/hyperlink" Target="https://intranet2.sbs.gob.pe/dv_int_cn/842/v4.0/Adjuntos/2116-2009%20actualizado%20con%20la%20877-2020.doc.pdf" TargetMode="External"/><Relationship Id="rId109" Type="http://schemas.openxmlformats.org/officeDocument/2006/relationships/hyperlink" Target="https://learn.microsoft.com/en-us/azure/aks/dapr-overview" TargetMode="External"/><Relationship Id="rId108" Type="http://schemas.openxmlformats.org/officeDocument/2006/relationships/hyperlink" Target="https://learn.microsoft.com/en-us/azure/aks/internal-lb" TargetMode="External"/><Relationship Id="rId113" Type="http://schemas.openxmlformats.org/officeDocument/2006/relationships/hyperlink" Target="https://learn.microsoft.com/en-us/azure/cosmos-db/transactional-batch" TargetMode="External"/><Relationship Id="rId107" Type="http://schemas.openxmlformats.org/officeDocument/2006/relationships/hyperlink" Target="https://learn.microsoft.com/en-us/azure/durable-task/common/choose-orchestration-framework" TargetMode="External"/><Relationship Id="rId112" Type="http://schemas.openxmlformats.org/officeDocument/2006/relationships/hyperlink" Target="https://learn.microsoft.com/en-us/azure/durable-task/common/durable-task-storage-providers" TargetMode="External"/><Relationship Id="rId110" Type="http://schemas.openxmlformats.org/officeDocument/2006/relationships/hyperlink" Target="https://learn.microsoft.com/en-us/azure/durable-task/scheduler/durable-task-scheduler" TargetMode="External"/><Relationship Id="rId111" Type="http://schemas.openxmlformats.org/officeDocument/2006/relationships/hyperlink" Target="https://learn.microsoft.com/en-us/azure/postgresql/high-availability/concepts-high-availability" TargetMode="External"/><Relationship Id="rId114" Type="http://schemas.openxmlformats.org/officeDocument/2006/relationships/hyperlink" Target="https://learn.microsoft.com/en-us/azure/postgresql/overview" TargetMode="External"/><Relationship Id="rId115" Type="http://schemas.openxmlformats.org/officeDocument/2006/relationships/hyperlink" Target="https://learn.microsoft.com/en-us/azure/private-link/private-link-overview" TargetMode="External"/><Relationship Id="rId120" Type="http://schemas.openxmlformats.org/officeDocument/2006/relationships/hyperlink" Target="https://restate.dev/pricing" TargetMode="External"/><Relationship Id="rId116" Type="http://schemas.openxmlformats.org/officeDocument/2006/relationships/hyperlink" Target="https://www.bankofengland.co.uk/-/media/boe/files/prudential-regulation/supervisory-statement/2024/ss221-november-2024-update.pdf" TargetMode="External"/><Relationship Id="rId103" Type="http://schemas.openxmlformats.org/officeDocument/2006/relationships/hyperlink" Target="https://www.bis.org/publications/202512-guidelines-principles-sound-management-third-party-risk.pdf" TargetMode="External"/><Relationship Id="rId104" Type="http://schemas.openxmlformats.org/officeDocument/2006/relationships/hyperlink" Target="https://www.cncf.io/projects/dapr/" TargetMode="External"/><Relationship Id="rId105" Type="http://schemas.openxmlformats.org/officeDocument/2006/relationships/hyperlink" Target="https://www.eba.europa.eu/sites/default/files/documents/10180/2551996/38c80601-f5d7-4855-8ba3-702423665479/EBA%20revised%20Guidelines%20on%20outsourcing%20arrangements.pdf" TargetMode="External"/><Relationship Id="rId106" Type="http://schemas.openxmlformats.org/officeDocument/2006/relationships/hyperlink" Target="https://www.iso.org/standard/75106.html" TargetMode="External"/><Relationship Id="rId123" Type="http://schemas.openxmlformats.org/officeDocument/2006/relationships/hyperlink" Target="https://www.sbs.gob.pe/Portals/0/jer/Auto_Nuevas_Empresas/Normas_Comunes/5.%20Reg.%20de%20Gobierno%20Corporativo_Res.%20SBS%20N%C2%B0%20272-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2026-10-01T01:43:49Z</dcterms:created>
  <dcterms:modified xsi:type="dcterms:W3CDTF">2026-10-01T01:43:49Z</dcterms:modified>
</cp:coreProperties>
</file>

<file path=docProps/custom.xml><?xml version="1.0" encoding="utf-8"?>
<Properties xmlns="http://schemas.openxmlformats.org/officeDocument/2006/custom-properties" xmlns:vt="http://schemas.openxmlformats.org/officeDocument/2006/docPropsVTypes"/>
</file>