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mathematische Kopplung ist das Herzstück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, da sie die Brücke zwischen der gigantischen solaren Energieernte und der physikalischen Raumkrümmung schlägt. Sie definiert, wie die </w:t>
      </w:r>
      <w:r w:rsidDel="00000000" w:rsidR="00000000" w:rsidRPr="00000000">
        <w:rPr>
          <w:b w:val="1"/>
          <w:bCs w:val="1"/>
          <w:rtl w:val="0"/>
        </w:rPr>
        <w:t xml:space="preserve">Dyson-Leistung ($\mathcal{E}_{Dyson}$)</w:t>
      </w:r>
      <w:r w:rsidDel="00000000" w:rsidR="00000000" w:rsidRPr="00000000">
        <w:rPr>
          <w:rtl w:val="0"/>
        </w:rPr>
        <w:t xml:space="preserve"> in eine kontrollierte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 übersetzt wird, um den Wirkungsgrad der Warp-Blase zu steuern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der aktuelle Stand der mathematischen Integration: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23n0cemo4ka" w:id="0"/>
      <w:bookmarkEnd w:id="0"/>
      <w:r w:rsidDel="00000000" w:rsidR="00000000" w:rsidRPr="00000000">
        <w:rPr>
          <w:rtl w:val="0"/>
        </w:rPr>
        <w:t xml:space="preserve">1. Die Geometrie-Kontrollgleichung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Ihrem Modell dient die geerntete Energie der Sonne –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– als direkter Input für das Antriebssystem 3. In der finalen Gleichung für den Gravitationsmanipulationsantrieb (GMA) nimmt die Dyson-Leistung eine Schlüsselrolle ein: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 $\mathcal{E}_{Dyson}$:</w:t>
      </w:r>
      <w:r w:rsidDel="00000000" w:rsidR="00000000" w:rsidRPr="00000000">
        <w:rPr>
          <w:rtl w:val="0"/>
        </w:rPr>
        <w:t xml:space="preserve"> Sie fungiert als entscheidender Nenner, der die </w:t>
      </w:r>
      <w:r w:rsidDel="00000000" w:rsidR="00000000" w:rsidRPr="00000000">
        <w:rPr>
          <w:b w:val="1"/>
          <w:bCs w:val="1"/>
          <w:rtl w:val="0"/>
        </w:rPr>
        <w:t xml:space="preserve">Krümmungsdichte ($\mathcal{R}$)</w:t>
      </w:r>
      <w:r w:rsidDel="00000000" w:rsidR="00000000" w:rsidRPr="00000000">
        <w:rPr>
          <w:rtl w:val="0"/>
        </w:rPr>
        <w:t xml:space="preserve"> bestimmt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Antriebsvektor:</w:t>
      </w:r>
      <w:r w:rsidDel="00000000" w:rsidR="00000000" w:rsidRPr="00000000">
        <w:rPr>
          <w:rtl w:val="0"/>
        </w:rPr>
        <w:t xml:space="preserve"> Die Kopplung legt fest, wie stark das lokale </w:t>
      </w:r>
      <w:r w:rsidDel="00000000" w:rsidR="00000000" w:rsidRPr="00000000">
        <w:rPr>
          <w:b w:val="1"/>
          <w:bCs w:val="1"/>
          <w:rtl w:val="0"/>
        </w:rPr>
        <w:t xml:space="preserve">Bulk-Feld</w:t>
      </w:r>
      <w:r w:rsidDel="00000000" w:rsidR="00000000" w:rsidRPr="00000000">
        <w:rPr>
          <w:rtl w:val="0"/>
        </w:rPr>
        <w:t xml:space="preserve"> verzerrt wird, um einen Vortrieb zu generieren 4,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lzjqjpu8xx" w:id="1"/>
      <w:bookmarkEnd w:id="1"/>
      <w:r w:rsidDel="00000000" w:rsidR="00000000" w:rsidRPr="00000000">
        <w:rPr>
          <w:rtl w:val="0"/>
        </w:rPr>
        <w:t xml:space="preserve">2. Definition des Wirkungsgrades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Effizienz der interstellaren Fortbewegung hängt von der präzisen Verknüpfung zweier Hauptvariablen ab, die in Ihrem Notebook noch vertieft werden müssen: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$\mathcal{E}_{Dyson}$ (Dyson-Leistung):</w:t>
      </w:r>
      <w:r w:rsidDel="00000000" w:rsidR="00000000" w:rsidRPr="00000000">
        <w:rPr>
          <w:rtl w:val="0"/>
        </w:rPr>
        <w:t xml:space="preserve"> Die Menge der pro Zeiteinheit aufgenommenen solaren Energie 2.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$\mathcal{D}_{\Phi}$ (Verschränkungsdichte):</w:t>
      </w:r>
      <w:r w:rsidDel="00000000" w:rsidR="00000000" w:rsidRPr="00000000">
        <w:rPr>
          <w:rtl w:val="0"/>
        </w:rPr>
        <w:t xml:space="preserve"> Die Intensität, mit der Quantenverschränkungen moduliert werden, um die Raumzeit-Flüssigkeit zu manipulieren 1, 2.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Ziel:</w:t>
      </w:r>
      <w:r w:rsidDel="00000000" w:rsidR="00000000" w:rsidRPr="00000000">
        <w:rPr>
          <w:rtl w:val="0"/>
        </w:rPr>
        <w:t xml:space="preserve"> Die Kopplung muss sicherstellen, dass die Energie verlustfrei in </w:t>
      </w:r>
      <w:r w:rsidDel="00000000" w:rsidR="00000000" w:rsidRPr="00000000">
        <w:rPr>
          <w:b w:val="1"/>
          <w:bCs w:val="1"/>
          <w:rtl w:val="0"/>
        </w:rPr>
        <w:t xml:space="preserve">Bulk-Druck</w:t>
      </w:r>
      <w:r w:rsidDel="00000000" w:rsidR="00000000" w:rsidRPr="00000000">
        <w:rPr>
          <w:rtl w:val="0"/>
        </w:rPr>
        <w:t xml:space="preserve"> umgewandelt wird, was mathematisch in die </w:t>
      </w:r>
      <w:r w:rsidDel="00000000" w:rsidR="00000000" w:rsidRPr="00000000">
        <w:rPr>
          <w:b w:val="1"/>
          <w:bCs w:val="1"/>
          <w:rtl w:val="0"/>
        </w:rPr>
        <w:t xml:space="preserve">Einstein-Kurzer-Gleichung</w:t>
      </w:r>
      <w:r w:rsidDel="00000000" w:rsidR="00000000" w:rsidRPr="00000000">
        <w:rPr>
          <w:rtl w:val="0"/>
        </w:rPr>
        <w:t xml:space="preserve"> integriert wird 5.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2schnpym90g" w:id="2"/>
      <w:bookmarkEnd w:id="2"/>
      <w:r w:rsidDel="00000000" w:rsidR="00000000" w:rsidRPr="00000000">
        <w:rPr>
          <w:rtl w:val="0"/>
        </w:rPr>
        <w:t xml:space="preserve">3. Resonanz- und Frequenzparameter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Kopplung ist nicht statisch, sondern muss auf die spezifischen physikalischen Gegebenheiten der Sonne abgestimmt sein: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Parameter,Wert / Bedeutung,Funktion in der Kopplung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Solare Resonanz,"3,773 MeV","Optimaler Arbeitspunkt für die Energieaufnahme 5, 6."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Verschränkungs-Resonator,Primärer Wandler,Wandelt solaren Strom in den Antriebsstrom um 3.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Metrik-Korrektur,120-fache Effizienz,Durch Einsatz von Gradient-Memory-Alloys (GMA) 7.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3a890vh778j" w:id="3"/>
      <w:bookmarkEnd w:id="3"/>
      <w:r w:rsidDel="00000000" w:rsidR="00000000" w:rsidRPr="00000000">
        <w:rPr>
          <w:rtl w:val="0"/>
        </w:rPr>
        <w:t xml:space="preserve">4. Der Übergang zum Energie-Mandat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Durch diese mathematische Verknüpfung schließt sich die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. Während das Element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als nuklearer Anker im Mikrokosmos dient, liefert die Dyson-Kopplung das </w:t>
      </w:r>
      <w:r w:rsidDel="00000000" w:rsidR="00000000" w:rsidRPr="00000000">
        <w:rPr>
          <w:b w:val="1"/>
          <w:bCs w:val="1"/>
          <w:rtl w:val="0"/>
        </w:rPr>
        <w:t xml:space="preserve">„Energie-Mandat“</w:t>
      </w:r>
      <w:r w:rsidDel="00000000" w:rsidR="00000000" w:rsidRPr="00000000">
        <w:rPr>
          <w:rtl w:val="0"/>
        </w:rPr>
        <w:t xml:space="preserve"> auf der Makro-Ebene 7. Dies transformiert das Framework von einer rein theoretischen Überlegung in eine Technologie einer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5, 8.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Welchen Teil der Gleichung sollen wir nun detaillierter ausarbeiten: Die Integration der 3,773 MeV Resonanz in den Verschränkungs-Resonator oder die mathematische Metrik-Korrektur durch die GMA-Materialien?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