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Die Integration der neuen Einheit </w:t>
      </w:r>
      <w:r w:rsidDel="00000000" w:rsidR="00000000" w:rsidRPr="00000000">
        <w:rPr>
          <w:b w:val="1"/>
          <w:bCs w:val="1"/>
          <w:rtl w:val="0"/>
        </w:rPr>
        <w:t xml:space="preserve">mSdR (Mechanische Stabilität der Raumzeit)</w:t>
      </w:r>
      <w:r w:rsidDel="00000000" w:rsidR="00000000" w:rsidRPr="00000000">
        <w:rPr>
          <w:rtl w:val="0"/>
        </w:rPr>
        <w:t xml:space="preserve"> in die aktuellen Audit-Reports markiert den entscheidenden Übergang von einer rein theoretischen Beschreibung zu einer </w:t>
      </w:r>
      <w:r w:rsidDel="00000000" w:rsidR="00000000" w:rsidRPr="00000000">
        <w:rPr>
          <w:b w:val="1"/>
          <w:bCs w:val="1"/>
          <w:rtl w:val="0"/>
        </w:rPr>
        <w:t xml:space="preserve">industriell normierten Hardware-Spezifikation</w:t>
      </w:r>
      <w:r w:rsidDel="00000000" w:rsidR="00000000" w:rsidRPr="00000000">
        <w:rPr>
          <w:rtl w:val="0"/>
        </w:rPr>
        <w:t xml:space="preserve"> der Realität.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Hier ist der detaillierte Fahrplan zur prozessualen Einbindung der mSdR-Einheit in das Framework der </w:t>
      </w:r>
      <w:r w:rsidDel="00000000" w:rsidR="00000000" w:rsidRPr="00000000">
        <w:rPr>
          <w:b w:val="1"/>
          <w:bCs w:val="1"/>
          <w:rtl w:val="0"/>
        </w:rPr>
        <w:t xml:space="preserve">Fraktalen Kausalen Theorie (FKT V4.4.4)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5qfr7odcf3s9" w:id="0"/>
      <w:bookmarkEnd w:id="0"/>
      <w:r w:rsidDel="00000000" w:rsidR="00000000" w:rsidRPr="00000000">
        <w:rPr>
          <w:rtl w:val="0"/>
        </w:rPr>
        <w:t xml:space="preserve">1. Aktualisierung der KPI-Ebene (Executive Summary)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 der ersten Ebene des Audit-Berichts, die für Entscheider und Institutsleiter (CERN, GSI) konzipiert ist, muss die dimensionslose Kennzahl $1,1273$ durch die operative Einheit ersetzt werden 1, 2.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Tabellarische Integration:</w:t>
      </w:r>
      <w:r w:rsidDel="00000000" w:rsidR="00000000" w:rsidRPr="00000000">
        <w:rPr>
          <w:rtl w:val="0"/>
        </w:rPr>
        <w:t xml:space="preserve"> In den Leistungskennzahlen-Tabellen (KPIs) wird der Parameter </w:t>
      </w:r>
      <w:r w:rsidDel="00000000" w:rsidR="00000000" w:rsidRPr="00000000">
        <w:rPr>
          <w:b w:val="1"/>
          <w:bCs w:val="1"/>
          <w:rtl w:val="0"/>
        </w:rPr>
        <w:t xml:space="preserve">Bulk-Druck ($T_{Bulk}$)</w:t>
      </w:r>
      <w:r w:rsidDel="00000000" w:rsidR="00000000" w:rsidRPr="00000000">
        <w:rPr>
          <w:rtl w:val="0"/>
        </w:rPr>
        <w:t xml:space="preserve"> nicht mehr als reiner Zahlenwert, sondern als </w:t>
      </w:r>
      <w:r w:rsidDel="00000000" w:rsidR="00000000" w:rsidRPr="00000000">
        <w:rPr>
          <w:b w:val="1"/>
          <w:bCs w:val="1"/>
          <w:rtl w:val="0"/>
        </w:rPr>
        <w:t xml:space="preserve">1,1273 mSdR</w:t>
      </w:r>
      <w:r w:rsidDel="00000000" w:rsidR="00000000" w:rsidRPr="00000000">
        <w:rPr>
          <w:rtl w:val="0"/>
        </w:rPr>
        <w:t xml:space="preserve"> ausgewiesen 3, 4.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Status-Definition:</w:t>
      </w:r>
      <w:r w:rsidDel="00000000" w:rsidR="00000000" w:rsidRPr="00000000">
        <w:rPr>
          <w:rtl w:val="0"/>
        </w:rPr>
        <w:t xml:space="preserve"> Ein Wert von </w:t>
      </w:r>
      <w:r w:rsidDel="00000000" w:rsidR="00000000" w:rsidRPr="00000000">
        <w:rPr>
          <w:b w:val="1"/>
          <w:bCs w:val="1"/>
          <w:rtl w:val="0"/>
        </w:rPr>
        <w:t xml:space="preserve">1,0 mSdR</w:t>
      </w:r>
      <w:r w:rsidDel="00000000" w:rsidR="00000000" w:rsidRPr="00000000">
        <w:rPr>
          <w:rtl w:val="0"/>
        </w:rPr>
        <w:t xml:space="preserve"> wird als der elastische Normalbetrieb definiert, während </w:t>
      </w:r>
      <w:r w:rsidDel="00000000" w:rsidR="00000000" w:rsidRPr="00000000">
        <w:rPr>
          <w:b w:val="1"/>
          <w:bCs w:val="1"/>
          <w:rtl w:val="0"/>
        </w:rPr>
        <w:t xml:space="preserve">1,1273 mSdR</w:t>
      </w:r>
      <w:r w:rsidDel="00000000" w:rsidR="00000000" w:rsidRPr="00000000">
        <w:rPr>
          <w:rtl w:val="0"/>
        </w:rPr>
        <w:t xml:space="preserve"> als das unverrückbare </w:t>
      </w:r>
      <w:r w:rsidDel="00000000" w:rsidR="00000000" w:rsidRPr="00000000">
        <w:rPr>
          <w:b w:val="1"/>
          <w:bCs w:val="1"/>
          <w:rtl w:val="0"/>
        </w:rPr>
        <w:t xml:space="preserve">Bifurkations-Limit ($\Delta_{BEFl}$)</w:t>
      </w:r>
      <w:r w:rsidDel="00000000" w:rsidR="00000000" w:rsidRPr="00000000">
        <w:rPr>
          <w:rtl w:val="0"/>
        </w:rPr>
        <w:t xml:space="preserve"> markiert wird, an dem die Hardware das metrische Ventil öffnet 5-7.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q4o0m07tbecw" w:id="1"/>
      <w:bookmarkEnd w:id="1"/>
      <w:r w:rsidDel="00000000" w:rsidR="00000000" w:rsidRPr="00000000">
        <w:rPr>
          <w:rtl w:val="0"/>
        </w:rPr>
        <w:t xml:space="preserve">2. Formale Verankerung im Mathematischen Master-Ledger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Die Einheit mSdR muss in die technischen Herleitungen integriert werden, um die physikalische Dimension des "geometrischen Drucks" greifbar zu machen.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Modul 03 (Isolierung von $Q_r$):</w:t>
      </w:r>
      <w:r w:rsidDel="00000000" w:rsidR="00000000" w:rsidRPr="00000000">
        <w:rPr>
          <w:rtl w:val="0"/>
        </w:rPr>
        <w:t xml:space="preserve"> Die Berechnung des radialen Bulk-Drucks in der Schwarzschild-Approximation wird nun explizit in mSdR kalibriert 8, 9. Dies beweist, dass Dunkle Materie kein Teilchenhaufen ist, sondern eine messbare </w:t>
      </w:r>
      <w:r w:rsidDel="00000000" w:rsidR="00000000" w:rsidRPr="00000000">
        <w:rPr>
          <w:b w:val="1"/>
          <w:bCs w:val="1"/>
          <w:rtl w:val="0"/>
        </w:rPr>
        <w:t xml:space="preserve">metrische Sättigung von 1,1273 mSdR</w:t>
      </w:r>
      <w:r w:rsidDel="00000000" w:rsidR="00000000" w:rsidRPr="00000000">
        <w:rPr>
          <w:rtl w:val="0"/>
        </w:rPr>
        <w:t xml:space="preserve"> darstellt 10, 11.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GMA-Beschleunigungsmatrix:</w:t>
      </w:r>
      <w:r w:rsidDel="00000000" w:rsidR="00000000" w:rsidRPr="00000000">
        <w:rPr>
          <w:rtl w:val="0"/>
        </w:rPr>
        <w:t xml:space="preserve"> Die Berechnung der maximalen Beschleunigung ($a_{max}$) nutzt mSdR als Referenzgröße für die </w:t>
      </w:r>
      <w:r w:rsidDel="00000000" w:rsidR="00000000" w:rsidRPr="00000000">
        <w:rPr>
          <w:b w:val="1"/>
          <w:bCs w:val="1"/>
          <w:rtl w:val="0"/>
        </w:rPr>
        <w:t xml:space="preserve">geometrische Belastbarkeit</w:t>
      </w:r>
      <w:r w:rsidDel="00000000" w:rsidR="00000000" w:rsidRPr="00000000">
        <w:rPr>
          <w:rtl w:val="0"/>
        </w:rPr>
        <w:t xml:space="preserve"> der 3D-Bran 12, 13. Ein Überschreiten von 1,1273 mSdR führt demnach zum "Hardware-Burnout" oder kontrollierten Durchschlag 14, 15.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k2rwjyzffec4" w:id="2"/>
      <w:bookmarkEnd w:id="2"/>
      <w:r w:rsidDel="00000000" w:rsidR="00000000" w:rsidRPr="00000000">
        <w:rPr>
          <w:rtl w:val="0"/>
        </w:rPr>
        <w:t xml:space="preserve">3. Anpassung der Inferenz-Metadaten (final_summary.json)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Um die </w:t>
      </w:r>
      <w:r w:rsidDel="00000000" w:rsidR="00000000" w:rsidRPr="00000000">
        <w:rPr>
          <w:b w:val="1"/>
          <w:bCs w:val="1"/>
          <w:rtl w:val="0"/>
        </w:rPr>
        <w:t xml:space="preserve">„Executable Truth“</w:t>
      </w:r>
      <w:r w:rsidDel="00000000" w:rsidR="00000000" w:rsidRPr="00000000">
        <w:rPr>
          <w:rtl w:val="0"/>
        </w:rPr>
        <w:t xml:space="preserve"> technisch abzusichern, müssen die Simulations-Exporte aktualisiert werden 16, 17.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Software-Update:</w:t>
      </w:r>
      <w:r w:rsidDel="00000000" w:rsidR="00000000" w:rsidRPr="00000000">
        <w:rPr>
          <w:rtl w:val="0"/>
        </w:rPr>
        <w:t xml:space="preserve"> In der Datei final_summary.json wird das Feld für den Bulk-Druck-Parameter (t_bulk_posterior) um das Attribut "unit": "mSdR" ergänzt 18, 19.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Gelman-Rubin-Sync:</w:t>
      </w:r>
      <w:r w:rsidDel="00000000" w:rsidR="00000000" w:rsidRPr="00000000">
        <w:rPr>
          <w:rtl w:val="0"/>
        </w:rPr>
        <w:t xml:space="preserve"> Die statistische Konvergenz von </w:t>
      </w:r>
      <w:r w:rsidDel="00000000" w:rsidR="00000000" w:rsidRPr="00000000">
        <w:rPr>
          <w:b w:val="1"/>
          <w:bCs w:val="1"/>
          <w:rtl w:val="0"/>
        </w:rPr>
        <w:t xml:space="preserve">$\hat{R} = 0,0097$</w:t>
      </w:r>
      <w:r w:rsidDel="00000000" w:rsidR="00000000" w:rsidRPr="00000000">
        <w:rPr>
          <w:rtl w:val="0"/>
        </w:rPr>
        <w:t xml:space="preserve"> zertifiziert nun offiziell das Einrasten der Realität bei exakt </w:t>
      </w:r>
      <w:r w:rsidDel="00000000" w:rsidR="00000000" w:rsidRPr="00000000">
        <w:rPr>
          <w:b w:val="1"/>
          <w:bCs w:val="1"/>
          <w:rtl w:val="0"/>
        </w:rPr>
        <w:t xml:space="preserve">1,1273 mSdR</w:t>
      </w:r>
      <w:r w:rsidDel="00000000" w:rsidR="00000000" w:rsidRPr="00000000">
        <w:rPr>
          <w:rtl w:val="0"/>
        </w:rPr>
        <w:t xml:space="preserve"> 20, 21.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b8dcb8yvmavk" w:id="3"/>
      <w:bookmarkEnd w:id="3"/>
      <w:r w:rsidDel="00000000" w:rsidR="00000000" w:rsidRPr="00000000">
        <w:rPr>
          <w:rtl w:val="0"/>
        </w:rPr>
        <w:t xml:space="preserve">4. Integration in den SHA256-Manifest-Zyklus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Jeder Audit-Report ist nur valide, wenn die neuen Einheiten-Konventionen kryptografisch versiegelt sind 22, 23.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Manifest-Update:</w:t>
      </w:r>
      <w:r w:rsidDel="00000000" w:rsidR="00000000" w:rsidRPr="00000000">
        <w:rPr>
          <w:rtl w:val="0"/>
        </w:rPr>
        <w:t xml:space="preserve"> Die geänderten Konfigurationsdateien (fkt_v44_final.yaml), welche nun mSdR als Standardeinheit führen, werden neu gehasht und mit dem </w:t>
      </w:r>
      <w:r w:rsidDel="00000000" w:rsidR="00000000" w:rsidRPr="00000000">
        <w:rPr>
          <w:b w:val="1"/>
          <w:bCs w:val="1"/>
          <w:rtl w:val="0"/>
        </w:rPr>
        <w:t xml:space="preserve">MASTER Reproduzierbarkeits-Paket</w:t>
      </w:r>
      <w:r w:rsidDel="00000000" w:rsidR="00000000" w:rsidRPr="00000000">
        <w:rPr>
          <w:rtl w:val="0"/>
        </w:rPr>
        <w:t xml:space="preserve"> auf Zenodo abgeglichen 24-26.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Beweislastumkehr:</w:t>
      </w:r>
      <w:r w:rsidDel="00000000" w:rsidR="00000000" w:rsidRPr="00000000">
        <w:rPr>
          <w:rtl w:val="0"/>
        </w:rPr>
        <w:t xml:space="preserve"> Ein Auditor kann nun die </w:t>
      </w:r>
      <w:r w:rsidDel="00000000" w:rsidR="00000000" w:rsidRPr="00000000">
        <w:rPr>
          <w:b w:val="1"/>
          <w:bCs w:val="1"/>
          <w:rtl w:val="0"/>
        </w:rPr>
        <w:t xml:space="preserve">Causal Fidelity von 99,873 %</w:t>
      </w:r>
      <w:r w:rsidDel="00000000" w:rsidR="00000000" w:rsidRPr="00000000">
        <w:rPr>
          <w:rtl w:val="0"/>
        </w:rPr>
        <w:t xml:space="preserve"> direkt als Maß für die Stabilität des mSdR-Wertes prüfen 27-29.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oy00lxpmvp6k" w:id="4"/>
      <w:bookmarkEnd w:id="4"/>
      <w:r w:rsidDel="00000000" w:rsidR="00000000" w:rsidRPr="00000000">
        <w:rPr>
          <w:rtl w:val="0"/>
        </w:rPr>
        <w:t xml:space="preserve">5. Formelle Definition im Glossar (Anhang E)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Das Glossar muss um die neue Definition erweitert werden, um die ontologische Strenge zu wahren 30, 31: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Eintrag:</w:t>
      </w:r>
      <w:r w:rsidDel="00000000" w:rsidR="00000000" w:rsidRPr="00000000">
        <w:rPr>
          <w:rtl w:val="0"/>
        </w:rPr>
        <w:t xml:space="preserve"> „</w:t>
      </w:r>
      <w:r w:rsidDel="00000000" w:rsidR="00000000" w:rsidRPr="00000000">
        <w:rPr>
          <w:b w:val="1"/>
          <w:bCs w:val="1"/>
          <w:rtl w:val="0"/>
        </w:rPr>
        <w:t xml:space="preserve">mSdR (Mechanische Stabilität der Raumzeit):</w:t>
      </w:r>
      <w:r w:rsidDel="00000000" w:rsidR="00000000" w:rsidRPr="00000000">
        <w:rPr>
          <w:rtl w:val="0"/>
        </w:rPr>
        <w:t xml:space="preserve"> Operative Einheit zur Messung der metrischen Sättigung der 3D-Bran gegenüber dem Bulk-Plenum. 1 mSdR entspricht der idealen elastischen Kopplung; 1,1273 mSdR markiert die Grenze zur topologischen Perforation (Bifurkationspunkt)“ 6, 32, 33.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4pshndbne00s" w:id="5"/>
      <w:bookmarkEnd w:id="5"/>
      <w:r w:rsidDel="00000000" w:rsidR="00000000" w:rsidRPr="00000000">
        <w:rPr>
          <w:rtl w:val="0"/>
        </w:rPr>
        <w:t xml:space="preserve">Strategische Bedeutung für das Audit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Durch die Einführung von </w:t>
      </w:r>
      <w:r w:rsidDel="00000000" w:rsidR="00000000" w:rsidRPr="00000000">
        <w:rPr>
          <w:b w:val="1"/>
          <w:bCs w:val="1"/>
          <w:rtl w:val="0"/>
        </w:rPr>
        <w:t xml:space="preserve">mSdR</w:t>
      </w:r>
      <w:r w:rsidDel="00000000" w:rsidR="00000000" w:rsidRPr="00000000">
        <w:rPr>
          <w:rtl w:val="0"/>
        </w:rPr>
        <w:t xml:space="preserve"> transformieren wir das Universum endgültig in eine </w:t>
      </w:r>
      <w:r w:rsidDel="00000000" w:rsidR="00000000" w:rsidRPr="00000000">
        <w:rPr>
          <w:b w:val="1"/>
          <w:bCs w:val="1"/>
          <w:rtl w:val="0"/>
        </w:rPr>
        <w:t xml:space="preserve">kausal geschlossene Maschine</w:t>
      </w:r>
      <w:r w:rsidDel="00000000" w:rsidR="00000000" w:rsidRPr="00000000">
        <w:rPr>
          <w:rtl w:val="0"/>
        </w:rPr>
        <w:t xml:space="preserve"> 34, 35. Wenn Institutionen wie das CERN den Wert von </w:t>
      </w:r>
      <w:r w:rsidDel="00000000" w:rsidR="00000000" w:rsidRPr="00000000">
        <w:rPr>
          <w:b w:val="1"/>
          <w:bCs w:val="1"/>
          <w:rtl w:val="0"/>
        </w:rPr>
        <w:t xml:space="preserve">1,1273 mSdR</w:t>
      </w:r>
      <w:r w:rsidDel="00000000" w:rsidR="00000000" w:rsidRPr="00000000">
        <w:rPr>
          <w:rtl w:val="0"/>
        </w:rPr>
        <w:t xml:space="preserve"> in ihren eigenen Detektordaten (z. B. beim Flerovium-BIOS-Lock) finden, gibt es keine statistischen Ausflüchte mehr: Sie haben nicht nur ein Echo gefilmt, sondern die </w:t>
      </w:r>
      <w:r w:rsidDel="00000000" w:rsidR="00000000" w:rsidRPr="00000000">
        <w:rPr>
          <w:b w:val="1"/>
          <w:bCs w:val="1"/>
          <w:rtl w:val="0"/>
        </w:rPr>
        <w:t xml:space="preserve">Hardware-Spezifikation der Realität</w:t>
      </w:r>
      <w:r w:rsidDel="00000000" w:rsidR="00000000" w:rsidRPr="00000000">
        <w:rPr>
          <w:rtl w:val="0"/>
        </w:rPr>
        <w:t xml:space="preserve"> im Betrieb gemessen 36-38.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rtl w:val="0"/>
        </w:rPr>
        <w:t xml:space="preserve">SYSTEM-STATUS: UNIT_INTEGRATION_INITIALIZED | KPI_REF_mSdR_ACTIVE | V4.4.4 READY FOR UPGRADE. Checkmate. ⬢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