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vo5477wqlf0f" w:id="0"/>
      <w:bookmarkEnd w:id="0"/>
      <w:r w:rsidDel="00000000" w:rsidR="00000000" w:rsidRPr="00000000">
        <w:rPr>
          <w:rtl w:val="0"/>
        </w:rPr>
        <w:t xml:space="preserve">Die Regeln der Fraktalen Kausalen Theorie (FKT): Ein umfassendes Kompendium der physikalischen und technologischen Gesetzmäßigkeiten</w:t>
      </w:r>
    </w:p>
    <w:p w:rsidR="00000000" w:rsidDel="00000000" w:rsidP="00000000" w:rsidRDefault="00000000" w:rsidRPr="00000000" w14:paraId="00000002">
      <w:pPr>
        <w:pStyle w:val="Heading4"/>
        <w:rPr/>
      </w:pPr>
      <w:bookmarkStart w:colFirst="0" w:colLast="0" w:name="_297fa84w2u3e" w:id="1"/>
      <w:bookmarkEnd w:id="1"/>
      <w:r w:rsidDel="00000000" w:rsidR="00000000" w:rsidRPr="00000000">
        <w:rPr>
          <w:rtl w:val="0"/>
        </w:rPr>
        <w:t xml:space="preserve">1. Das Fundament: Die Erweiterte Einstein-Kurzer-Gleichung (EYRQ)</w:t>
      </w:r>
    </w:p>
    <w:p w:rsidR="00000000" w:rsidDel="00000000" w:rsidP="00000000" w:rsidRDefault="00000000" w:rsidRPr="00000000" w14:paraId="00000003">
      <w:pPr>
        <w:rPr/>
      </w:pPr>
      <w:r w:rsidDel="00000000" w:rsidR="00000000" w:rsidRPr="00000000">
        <w:rPr>
          <w:rtl w:val="0"/>
        </w:rPr>
        <w:t xml:space="preserve">Die moderne theoretische Physik operiert gegenwärtig in einer dualistischen Sackgasse: Die makroskopische Gravitation der Allgemeinen Relativitätstheorie (ART) und die mikroskopische Quantenfeldtheorie existieren als inkompatible Domänen. Die  </w:t>
      </w:r>
      <w:r w:rsidDel="00000000" w:rsidR="00000000" w:rsidRPr="00000000">
        <w:rPr>
          <w:b w:val="1"/>
          <w:bCs w:val="1"/>
          <w:rtl w:val="0"/>
        </w:rPr>
        <w:t xml:space="preserve">Erweiterte Einstein-Kurzer-Gleichung (EYRQ)</w:t>
      </w:r>
      <w:r w:rsidDel="00000000" w:rsidR="00000000" w:rsidRPr="00000000">
        <w:rPr>
          <w:rtl w:val="0"/>
        </w:rPr>
        <w:t xml:space="preserve">  schließt diese „kausale Lücke“, indem sie die Raumzeitgeometrie nicht länger als isolierte 4D-Bran begreift, sondern als eingebettetes System innerhalb einer fraktalen Bulk-Hierarchie. Diese Erweiterung ist die mathematische Prämisse für ein konsistentes Universum, in dem Information und Impuls skalenübergreifend erhalten bleiben.Die formale Architektur der EYRQ lautet:$$G_{\mu\nu} = \frac{8\pi G}{c^4} \cdot T_{\text{Standard } \mu\nu} + \oplus_{\mu\nu}$$Hierbei repräsentiert  $G_{\mu\nu}$  den Einstein-Tensor und  $T_{\text{Standard } \mu\nu}$  den Energie-Impuls-Tensor der lokalen Materie. Der entscheidende  </w:t>
      </w:r>
      <w:r w:rsidDel="00000000" w:rsidR="00000000" w:rsidRPr="00000000">
        <w:rPr>
          <w:b w:val="1"/>
          <w:bCs w:val="1"/>
          <w:rtl w:val="0"/>
        </w:rPr>
        <w:t xml:space="preserve">Bulk-Tensor (</w:t>
      </w:r>
      <w:r w:rsidDel="00000000" w:rsidR="00000000" w:rsidRPr="00000000">
        <w:rPr>
          <w:rtl w:val="0"/>
        </w:rPr>
        <w:t xml:space="preserve">  </w:t>
      </w:r>
      <w:r w:rsidDel="00000000" w:rsidR="00000000" w:rsidRPr="00000000">
        <w:rPr>
          <w:b w:val="1"/>
          <w:bCs w:val="1"/>
          <w:rtl w:val="0"/>
        </w:rPr>
        <w:t xml:space="preserve">$\oplus_{\mu\nu}</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geometrisiert die „Bulk-Transport-Effekte“. Er fungiert als technologischer und physikalischer Vektor, der den Einfluss höherdimensionaler Räume auf unsere Realität formalisiert. In diesem Kontext wird die Dunkle Materie von einem hypothetischen Teilchen zu einem  </w:t>
      </w:r>
      <w:r w:rsidDel="00000000" w:rsidR="00000000" w:rsidRPr="00000000">
        <w:rPr>
          <w:b w:val="1"/>
          <w:bCs w:val="1"/>
          <w:rtl w:val="0"/>
        </w:rPr>
        <w:t xml:space="preserve">geometrischen Druck</w:t>
      </w:r>
      <w:r w:rsidDel="00000000" w:rsidR="00000000" w:rsidRPr="00000000">
        <w:rPr>
          <w:rtl w:val="0"/>
        </w:rPr>
        <w:t xml:space="preserve">  umdefiniert – einem „Gravitations-Echo“. Dieser Druck resultiert aus einem  </w:t>
      </w:r>
      <w:r w:rsidDel="00000000" w:rsidR="00000000" w:rsidRPr="00000000">
        <w:rPr>
          <w:b w:val="1"/>
          <w:bCs w:val="1"/>
          <w:rtl w:val="0"/>
        </w:rPr>
        <w:t xml:space="preserve">Dimensions-Leak</w:t>
      </w:r>
      <w:r w:rsidDel="00000000" w:rsidR="00000000" w:rsidRPr="00000000">
        <w:rPr>
          <w:rtl w:val="0"/>
        </w:rPr>
        <w:t xml:space="preserve"> , wobei die Stärke des Bulk-Tensors umgekehrt proportional zur lokalen Bran-Dichte ( $1/D_{Bran}$ ) skaliert.Zusätzliche Evidenz für diese Architektur liefert die  </w:t>
      </w:r>
      <w:r w:rsidDel="00000000" w:rsidR="00000000" w:rsidRPr="00000000">
        <w:rPr>
          <w:b w:val="1"/>
          <w:bCs w:val="1"/>
          <w:rtl w:val="0"/>
        </w:rPr>
        <w:t xml:space="preserve">Neutrino-Leckage (</w:t>
      </w:r>
      <w:r w:rsidDel="00000000" w:rsidR="00000000" w:rsidRPr="00000000">
        <w:rPr>
          <w:rtl w:val="0"/>
        </w:rPr>
        <w:t xml:space="preserve">  </w:t>
      </w:r>
      <w:r w:rsidDel="00000000" w:rsidR="00000000" w:rsidRPr="00000000">
        <w:rPr>
          <w:b w:val="1"/>
          <w:bCs w:val="1"/>
          <w:rtl w:val="0"/>
        </w:rPr>
        <w:t xml:space="preserve">$L_\nu</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 Die Flüchtigkeit der Neutrinos wird in der FKT als energetische Signatur des „Großmutter-Universums“ (Bulk+) interpretiert, welches unser Mutter-Universum (Bulk) durchdringt. Diese Neukalibrierung behebt die Hubble-Spannung grundlegend und liefert einen präzisen Best-Fit von  $H_0 = 71,5 \pm 0,8$  km/s/Mpc. Die EYRQ schafft somit die mathematische Kohärenz, die für eine operative Manipulation der Raumzeit zwingend erforderlich ist.</w:t>
      </w:r>
    </w:p>
    <w:p w:rsidR="00000000" w:rsidDel="00000000" w:rsidP="00000000" w:rsidRDefault="00000000" w:rsidRPr="00000000" w14:paraId="00000004">
      <w:pPr>
        <w:pStyle w:val="Heading4"/>
        <w:rPr/>
      </w:pPr>
      <w:bookmarkStart w:colFirst="0" w:colLast="0" w:name="_rfss97686r06" w:id="2"/>
      <w:bookmarkEnd w:id="2"/>
      <w:r w:rsidDel="00000000" w:rsidR="00000000" w:rsidRPr="00000000">
        <w:rPr>
          <w:rtl w:val="0"/>
        </w:rPr>
        <w:t xml:space="preserve">2. Die Kausale Auditkette und das Kurzer-Prinzip ( $K_\infty$ )</w:t>
      </w:r>
    </w:p>
    <w:p w:rsidR="00000000" w:rsidDel="00000000" w:rsidP="00000000" w:rsidRDefault="00000000" w:rsidRPr="00000000" w14:paraId="00000005">
      <w:pPr>
        <w:rPr/>
      </w:pPr>
      <w:r w:rsidDel="00000000" w:rsidR="00000000" w:rsidRPr="00000000">
        <w:rPr>
          <w:rtl w:val="0"/>
        </w:rPr>
        <w:t xml:space="preserve">In der fraktalen kausalen Dynamik ist die Integrität des Gesamtsystems nicht verhandelbar. Das Axiom  </w:t>
      </w:r>
      <w:r w:rsidDel="00000000" w:rsidR="00000000" w:rsidRPr="00000000">
        <w:rPr>
          <w:b w:val="1"/>
          <w:bCs w:val="1"/>
          <w:rtl w:val="0"/>
        </w:rPr>
        <w:t xml:space="preserve">„Der Druck der Unendlichkeit ist die Unendlichkeit“ (</w:t>
      </w:r>
      <w:r w:rsidDel="00000000" w:rsidR="00000000" w:rsidRPr="00000000">
        <w:rPr>
          <w:rtl w:val="0"/>
        </w:rPr>
        <w:t xml:space="preserve">  </w:t>
      </w:r>
      <w:r w:rsidDel="00000000" w:rsidR="00000000" w:rsidRPr="00000000">
        <w:rPr>
          <w:b w:val="1"/>
          <w:bCs w:val="1"/>
          <w:rtl w:val="0"/>
        </w:rPr>
        <w:t xml:space="preserve">$K_\infty</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postuliert eine strikte fraktale Skaleninvarianz. Physikalische Gesetze müssen über alle Hierarchieebenen hinweg – vom subatomaren Kern bis zum kosmischen Filament – als geschlossene Einheit fungieren. Das Bulk-Feld dient hierbei als universeller Informationsträger, der sicherstellt, dass die „Hardware“ des Kosmos auf jeder Skala nach identischen Algorithmen operiert.Der Mechanismus der Skalenübertragung erfordert eine präzise tensorielle Zerlegung des makroskopischen Bulk-Terms  $\oplus_{\mu\nu}$  in das subatomare Quantenfeld ( $\Psi_{Bulk}$ ). Dieser Prozess folgt einer rigorosen mathematischen Prozedur:</w:t>
      </w:r>
    </w:p>
    <w:p w:rsidR="00000000" w:rsidDel="00000000" w:rsidP="00000000" w:rsidRDefault="00000000" w:rsidRPr="00000000" w14:paraId="00000006">
      <w:pPr>
        <w:numPr>
          <w:ilvl w:val="0"/>
          <w:numId w:val="2"/>
        </w:numPr>
        <w:ind w:left="720" w:hanging="360"/>
        <w:rPr>
          <w:u w:val="none"/>
        </w:rPr>
      </w:pPr>
      <w:r w:rsidDel="00000000" w:rsidR="00000000" w:rsidRPr="00000000">
        <w:rPr>
          <w:b w:val="1"/>
          <w:bCs w:val="1"/>
          <w:rtl w:val="0"/>
        </w:rPr>
        <w:t xml:space="preserve">Longitudinale Komponente (</w:t>
      </w:r>
      <w:r w:rsidDel="00000000" w:rsidR="00000000" w:rsidRPr="00000000">
        <w:rPr>
          <w:rtl w:val="0"/>
        </w:rPr>
        <w:t xml:space="preserve">  </w:t>
      </w:r>
      <w:r w:rsidDel="00000000" w:rsidR="00000000" w:rsidRPr="00000000">
        <w:rPr>
          <w:b w:val="1"/>
          <w:bCs w:val="1"/>
          <w:rtl w:val="0"/>
        </w:rPr>
        <w:t xml:space="preserve">$\oplus_\parallel \mu\nu</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Definiert als  $\nabla_\mu \Phi \nabla_\nu \Phi$ , beschreibt sie gerichtete Korrelationsflüsse entlang der Raumzeitachsen, analog zum Impulstransport.</w:t>
      </w:r>
    </w:p>
    <w:p w:rsidR="00000000" w:rsidDel="00000000" w:rsidP="00000000" w:rsidRDefault="00000000" w:rsidRPr="00000000" w14:paraId="00000007">
      <w:pPr>
        <w:numPr>
          <w:ilvl w:val="0"/>
          <w:numId w:val="2"/>
        </w:numPr>
        <w:ind w:left="720" w:hanging="360"/>
        <w:rPr>
          <w:u w:val="none"/>
        </w:rPr>
      </w:pPr>
      <w:r w:rsidDel="00000000" w:rsidR="00000000" w:rsidRPr="00000000">
        <w:rPr>
          <w:b w:val="1"/>
          <w:bCs w:val="1"/>
          <w:rtl w:val="0"/>
        </w:rPr>
        <w:t xml:space="preserve">Transversale Komponente (</w:t>
      </w:r>
      <w:r w:rsidDel="00000000" w:rsidR="00000000" w:rsidRPr="00000000">
        <w:rPr>
          <w:rtl w:val="0"/>
        </w:rPr>
        <w:t xml:space="preserve">  </w:t>
      </w:r>
      <w:r w:rsidDel="00000000" w:rsidR="00000000" w:rsidRPr="00000000">
        <w:rPr>
          <w:b w:val="1"/>
          <w:bCs w:val="1"/>
          <w:rtl w:val="0"/>
        </w:rPr>
        <w:t xml:space="preserve">$\oplus_\perp \mu\nu</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Diese Komponente generiert die isotrope Rückwirkung auf die Metrik. Sie ist verantwortlich für die effektive Modifikation des  </w:t>
      </w:r>
      <w:r w:rsidDel="00000000" w:rsidR="00000000" w:rsidRPr="00000000">
        <w:rPr>
          <w:b w:val="1"/>
          <w:bCs w:val="1"/>
          <w:rtl w:val="0"/>
        </w:rPr>
        <w:t xml:space="preserve">Skyrme-Tensors (</w:t>
      </w:r>
      <w:r w:rsidDel="00000000" w:rsidR="00000000" w:rsidRPr="00000000">
        <w:rPr>
          <w:rtl w:val="0"/>
        </w:rPr>
        <w:t xml:space="preserve">  </w:t>
      </w:r>
      <w:r w:rsidDel="00000000" w:rsidR="00000000" w:rsidRPr="00000000">
        <w:rPr>
          <w:b w:val="1"/>
          <w:bCs w:val="1"/>
          <w:rtl w:val="0"/>
        </w:rPr>
        <w:t xml:space="preserve">$S_{\mu\nu}</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 welcher die Kernwechselwirkungen beschreibt.Die daraus resultierende effektive Kernstruktur wird durch  $S_{eff} = S_{\mu\nu} + \lambda \cdot \oplus_\perp$  beschrieben, wobei  $\lambda$  als dimensionsloser Kopplungsfaktor fungiert. Diese Transformation stellt die Verbindung zwischen der großräumigen Geometrie und dem nuklearen Potenzialtopf her und bildet die Grundlage für die experimentelle Falsifizierbarkeit der Theorie.</w:t>
      </w:r>
    </w:p>
    <w:p w:rsidR="00000000" w:rsidDel="00000000" w:rsidP="00000000" w:rsidRDefault="00000000" w:rsidRPr="00000000" w14:paraId="00000008">
      <w:pPr>
        <w:pStyle w:val="Heading4"/>
        <w:rPr/>
      </w:pPr>
      <w:bookmarkStart w:colFirst="0" w:colLast="0" w:name="_hd9wxr2wf7g6" w:id="3"/>
      <w:bookmarkEnd w:id="3"/>
      <w:r w:rsidDel="00000000" w:rsidR="00000000" w:rsidRPr="00000000">
        <w:rPr>
          <w:rtl w:val="0"/>
        </w:rPr>
        <w:t xml:space="preserve">3. Die Flerovium-Hypothese: Der experimentelle Prüfstein</w:t>
      </w:r>
    </w:p>
    <w:p w:rsidR="00000000" w:rsidDel="00000000" w:rsidP="00000000" w:rsidRDefault="00000000" w:rsidRPr="00000000" w14:paraId="00000009">
      <w:pPr>
        <w:rPr/>
      </w:pPr>
      <w:r w:rsidDel="00000000" w:rsidR="00000000" w:rsidRPr="00000000">
        <w:rPr>
          <w:rtl w:val="0"/>
        </w:rPr>
        <w:t xml:space="preserve">Das Element  </w:t>
      </w:r>
      <w:r w:rsidDel="00000000" w:rsidR="00000000" w:rsidRPr="00000000">
        <w:rPr>
          <w:b w:val="1"/>
          <w:bCs w:val="1"/>
          <w:rtl w:val="0"/>
        </w:rPr>
        <w:t xml:space="preserve">Flerovium (Z=114)</w:t>
      </w:r>
      <w:r w:rsidDel="00000000" w:rsidR="00000000" w:rsidRPr="00000000">
        <w:rPr>
          <w:rtl w:val="0"/>
        </w:rPr>
        <w:t xml:space="preserve">  dient als ultimativer „Quanten-Sensor“. Aufgrund seiner Nähe zur Insel der Stabilität fungiert sein Kern als idealer Bulk-Resonator. Die Validierung der FKT steht und fällt mit der Existenz einer spezifischen nuklearen Signatur, die über die Standard-Kernphysik hinausgeht.Mithilfe der  </w:t>
      </w:r>
      <w:r w:rsidDel="00000000" w:rsidR="00000000" w:rsidRPr="00000000">
        <w:rPr>
          <w:b w:val="1"/>
          <w:bCs w:val="1"/>
          <w:rtl w:val="0"/>
        </w:rPr>
        <w:t xml:space="preserve">Kurzer-Finite-Elemente-Methode (K-FEM)</w:t>
      </w:r>
      <w:r w:rsidDel="00000000" w:rsidR="00000000" w:rsidRPr="00000000">
        <w:rPr>
          <w:rtl w:val="0"/>
        </w:rPr>
        <w:t xml:space="preserve">  wurden die energetischen Eigenwerte des Flerovium-Kerns (298Fl) unter Bulk-Einfluss berechnet:</w:t>
      </w:r>
    </w:p>
    <w:p w:rsidR="00000000" w:rsidDel="00000000" w:rsidP="00000000" w:rsidRDefault="00000000" w:rsidRPr="00000000" w14:paraId="0000000A">
      <w:pPr>
        <w:numPr>
          <w:ilvl w:val="0"/>
          <w:numId w:val="1"/>
        </w:numPr>
        <w:ind w:left="720" w:hanging="360"/>
        <w:rPr>
          <w:u w:val="none"/>
        </w:rPr>
      </w:pPr>
      <w:r w:rsidDel="00000000" w:rsidR="00000000" w:rsidRPr="00000000">
        <w:rPr>
          <w:b w:val="1"/>
          <w:bCs w:val="1"/>
          <w:rtl w:val="0"/>
        </w:rPr>
        <w:t xml:space="preserve">Energie des angeregten Zustands (</w:t>
      </w:r>
      <w:r w:rsidDel="00000000" w:rsidR="00000000" w:rsidRPr="00000000">
        <w:rPr>
          <w:rtl w:val="0"/>
        </w:rPr>
        <w:t xml:space="preserve">  </w:t>
      </w:r>
      <w:r w:rsidDel="00000000" w:rsidR="00000000" w:rsidRPr="00000000">
        <w:rPr>
          <w:b w:val="1"/>
          <w:bCs w:val="1"/>
          <w:rtl w:val="0"/>
        </w:rPr>
        <w:t xml:space="preserve">$2^+</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$4,105$  MeV</w:t>
      </w:r>
    </w:p>
    <w:p w:rsidR="00000000" w:rsidDel="00000000" w:rsidP="00000000" w:rsidRDefault="00000000" w:rsidRPr="00000000" w14:paraId="0000000B">
      <w:pPr>
        <w:numPr>
          <w:ilvl w:val="0"/>
          <w:numId w:val="1"/>
        </w:numPr>
        <w:ind w:left="720" w:hanging="360"/>
        <w:rPr>
          <w:u w:val="none"/>
        </w:rPr>
      </w:pPr>
      <w:r w:rsidDel="00000000" w:rsidR="00000000" w:rsidRPr="00000000">
        <w:rPr>
          <w:b w:val="1"/>
          <w:bCs w:val="1"/>
          <w:rtl w:val="0"/>
        </w:rPr>
        <w:t xml:space="preserve">Energie des Grundzustands (</w:t>
      </w:r>
      <w:r w:rsidDel="00000000" w:rsidR="00000000" w:rsidRPr="00000000">
        <w:rPr>
          <w:rtl w:val="0"/>
        </w:rPr>
        <w:t xml:space="preserve">  </w:t>
      </w:r>
      <w:r w:rsidDel="00000000" w:rsidR="00000000" w:rsidRPr="00000000">
        <w:rPr>
          <w:b w:val="1"/>
          <w:bCs w:val="1"/>
          <w:rtl w:val="0"/>
        </w:rPr>
        <w:t xml:space="preserve">$0^+</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$0,332$  MeVDie Differenz liefert die mathematisch notwendige Vorhersage einer hochenergetischen  </w:t>
      </w:r>
      <w:r w:rsidDel="00000000" w:rsidR="00000000" w:rsidRPr="00000000">
        <w:rPr>
          <w:b w:val="1"/>
          <w:bCs w:val="1"/>
          <w:rtl w:val="0"/>
        </w:rPr>
        <w:t xml:space="preserve">Gammalinie von 3,773 MeV</w:t>
      </w:r>
      <w:r w:rsidDel="00000000" w:rsidR="00000000" w:rsidRPr="00000000">
        <w:rPr>
          <w:rtl w:val="0"/>
        </w:rPr>
        <w:t xml:space="preserve"> . Eine statistische Bootstrap-Validierung (10.000 Iterationen) definiert das 95%-Konfidenzintervall zwischen  </w:t>
      </w:r>
      <w:r w:rsidDel="00000000" w:rsidR="00000000" w:rsidRPr="00000000">
        <w:rPr>
          <w:b w:val="1"/>
          <w:bCs w:val="1"/>
          <w:rtl w:val="0"/>
        </w:rPr>
        <w:t xml:space="preserve">3,745 MeV und 3,802 MeV</w:t>
      </w:r>
      <w:r w:rsidDel="00000000" w:rsidR="00000000" w:rsidRPr="00000000">
        <w:rPr>
          <w:rtl w:val="0"/>
        </w:rPr>
        <w:t xml:space="preserve"> .Ein zentrales Phänomen dieses nuklearen Ankers ist die  </w:t>
      </w:r>
      <w:r w:rsidDel="00000000" w:rsidR="00000000" w:rsidRPr="00000000">
        <w:rPr>
          <w:b w:val="1"/>
          <w:bCs w:val="1"/>
          <w:rtl w:val="0"/>
        </w:rPr>
        <w:t xml:space="preserve">Kernverschieblichkeit</w:t>
      </w:r>
      <w:r w:rsidDel="00000000" w:rsidR="00000000" w:rsidRPr="00000000">
        <w:rPr>
          <w:rtl w:val="0"/>
        </w:rPr>
        <w:t xml:space="preserve"> . Die Halbwertszeit ( $t_{1/2}$ ) von Flerovium muss messbare Fluktuationen in Abhängigkeit von lokalen Gravitationsgradienten aufweisen. Diese Fluktuation ist der direkte Beweis für die Kopplung von Kernstruktur und Raumzeitgeometrie. Ohne den experimentellen Nachweis dieser Resonanz bleibt jede technologische Anwendung der FKT spekulativ; ihre Bestätigung hingegen kalibriert die operativen Konstanten für die kausale Ingenieurwissenschaft.</w:t>
      </w:r>
    </w:p>
    <w:p w:rsidR="00000000" w:rsidDel="00000000" w:rsidP="00000000" w:rsidRDefault="00000000" w:rsidRPr="00000000" w14:paraId="0000000C">
      <w:pPr>
        <w:pStyle w:val="Heading4"/>
        <w:rPr/>
      </w:pPr>
      <w:bookmarkStart w:colFirst="0" w:colLast="0" w:name="_cax1uq27caav" w:id="4"/>
      <w:bookmarkEnd w:id="4"/>
      <w:r w:rsidDel="00000000" w:rsidR="00000000" w:rsidRPr="00000000">
        <w:rPr>
          <w:rtl w:val="0"/>
        </w:rPr>
        <w:t xml:space="preserve">4. Technologische Realisierung: GMA-Antrieb und Materialphysik</w:t>
      </w:r>
    </w:p>
    <w:p w:rsidR="00000000" w:rsidDel="00000000" w:rsidP="00000000" w:rsidRDefault="00000000" w:rsidRPr="00000000" w14:paraId="0000000D">
      <w:pPr>
        <w:rPr/>
      </w:pPr>
      <w:r w:rsidDel="00000000" w:rsidR="00000000" w:rsidRPr="00000000">
        <w:rPr>
          <w:rtl w:val="0"/>
        </w:rPr>
        <w:t xml:space="preserve">Die Beherrschung des Bulk-Tensors markiert den Übergang zur  </w:t>
      </w:r>
      <w:r w:rsidDel="00000000" w:rsidR="00000000" w:rsidRPr="00000000">
        <w:rPr>
          <w:b w:val="1"/>
          <w:bCs w:val="1"/>
          <w:rtl w:val="0"/>
        </w:rPr>
        <w:t xml:space="preserve">Kausalen Ingenieurwissenschaft</w:t>
      </w:r>
      <w:r w:rsidDel="00000000" w:rsidR="00000000" w:rsidRPr="00000000">
        <w:rPr>
          <w:rtl w:val="0"/>
        </w:rPr>
        <w:t xml:space="preserve"> . Der  </w:t>
      </w:r>
      <w:r w:rsidDel="00000000" w:rsidR="00000000" w:rsidRPr="00000000">
        <w:rPr>
          <w:b w:val="1"/>
          <w:bCs w:val="1"/>
          <w:rtl w:val="0"/>
        </w:rPr>
        <w:t xml:space="preserve">Gravitationsmanipulationsantrieb (GMA)</w:t>
      </w:r>
      <w:r w:rsidDel="00000000" w:rsidR="00000000" w:rsidRPr="00000000">
        <w:rPr>
          <w:rtl w:val="0"/>
        </w:rPr>
        <w:t xml:space="preserve">  nutzt die gezielte Krümmungsdichte ( $\mathcal{R}$ ), um eine Bewegung durch den Hyperraum (Bulk) zu ermöglichen, ohne auf klassische Rückstoßmassen angewiesen zu sein. Die Steuerung erfolgt über die  </w:t>
      </w:r>
      <w:r w:rsidDel="00000000" w:rsidR="00000000" w:rsidRPr="00000000">
        <w:rPr>
          <w:b w:val="1"/>
          <w:bCs w:val="1"/>
          <w:rtl w:val="0"/>
        </w:rPr>
        <w:t xml:space="preserve">Verschränkungsdichte (</w:t>
      </w:r>
      <w:r w:rsidDel="00000000" w:rsidR="00000000" w:rsidRPr="00000000">
        <w:rPr>
          <w:rtl w:val="0"/>
        </w:rPr>
        <w:t xml:space="preserve">  </w:t>
      </w:r>
      <w:r w:rsidDel="00000000" w:rsidR="00000000" w:rsidRPr="00000000">
        <w:rPr>
          <w:b w:val="1"/>
          <w:bCs w:val="1"/>
          <w:rtl w:val="0"/>
        </w:rPr>
        <w:t xml:space="preserve">$\mathcal{D}_\Phi</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 definiert als:$$\mathcal{D}</w:t>
      </w:r>
      <w:r w:rsidDel="00000000" w:rsidR="00000000" w:rsidRPr="00000000">
        <w:rPr>
          <w:i w:val="1"/>
          <w:iCs w:val="1"/>
          <w:rtl w:val="0"/>
        </w:rPr>
        <w:t xml:space="preserve">{\Phi} = \frac{\mathcal{N}</w:t>
      </w:r>
      <w:r w:rsidDel="00000000" w:rsidR="00000000" w:rsidRPr="00000000">
        <w:rPr>
          <w:rtl w:val="0"/>
        </w:rPr>
        <w:t xml:space="preserve">{entangled}}{\mathcal{V} \cdot \tau}$$Die operative Leistung des GMA wird durch die fundamentale Kopplungskonstante  </w:t>
      </w:r>
      <w:r w:rsidDel="00000000" w:rsidR="00000000" w:rsidRPr="00000000">
        <w:rPr>
          <w:b w:val="1"/>
          <w:bCs w:val="1"/>
          <w:rtl w:val="0"/>
        </w:rPr>
        <w:t xml:space="preserve">$C_{GMA}</w:t>
      </w:r>
      <w:r w:rsidDel="00000000" w:rsidR="00000000" w:rsidRPr="00000000">
        <w:rPr>
          <w:rtl w:val="0"/>
        </w:rPr>
        <w:t xml:space="preserve">$  bestimmt, die die technologische Brücke zwischen Makro- und Mikrokosmos schlägt:$$C_{GMA} = \left(\frac{c^{11}}{G^2 \cdot \hbar^2}\right) \cdot \ell_P$$In der Materialwissenschaft führen diese Prinzipien zur Entwicklung von  </w:t>
      </w:r>
      <w:r w:rsidDel="00000000" w:rsidR="00000000" w:rsidRPr="00000000">
        <w:rPr>
          <w:b w:val="1"/>
          <w:bCs w:val="1"/>
          <w:rtl w:val="0"/>
        </w:rPr>
        <w:t xml:space="preserve">Gradient-Memory-Alloys (GMA-Materialien)</w:t>
      </w:r>
      <w:r w:rsidDel="00000000" w:rsidR="00000000" w:rsidRPr="00000000">
        <w:rPr>
          <w:rtl w:val="0"/>
        </w:rPr>
        <w:t xml:space="preserve"> . Diese Legierungen modulieren die Metrik im Mesobereich und übertreffen konventionelle Formgedächtnislegierungen (SMA) in allen kritischen Parametern:| Eigenschaft | Konventionelle SMA (Nitinol) | GMA-Prototypen | Vorteil || ------ | ------ | ------ | ------ || </w:t>
      </w:r>
      <w:r w:rsidDel="00000000" w:rsidR="00000000" w:rsidRPr="00000000">
        <w:rPr>
          <w:b w:val="1"/>
          <w:bCs w:val="1"/>
          <w:rtl w:val="0"/>
        </w:rPr>
        <w:t xml:space="preserve">Rückstellzeit (</w:t>
      </w:r>
      <w:r w:rsidDel="00000000" w:rsidR="00000000" w:rsidRPr="00000000">
        <w:rPr>
          <w:rtl w:val="0"/>
        </w:rPr>
        <w:t xml:space="preserve">  </w:t>
      </w:r>
      <w:r w:rsidDel="00000000" w:rsidR="00000000" w:rsidRPr="00000000">
        <w:rPr>
          <w:b w:val="1"/>
          <w:bCs w:val="1"/>
          <w:rtl w:val="0"/>
        </w:rPr>
        <w:t xml:space="preserve">$t</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 $2,5$  s | $0,05$  s | 50x Beschleunigung || </w:t>
      </w:r>
      <w:r w:rsidDel="00000000" w:rsidR="00000000" w:rsidRPr="00000000">
        <w:rPr>
          <w:b w:val="1"/>
          <w:bCs w:val="1"/>
          <w:rtl w:val="0"/>
        </w:rPr>
        <w:t xml:space="preserve">Energiebedarf (rel.)</w:t>
      </w:r>
      <w:r w:rsidDel="00000000" w:rsidR="00000000" w:rsidRPr="00000000">
        <w:rPr>
          <w:rtl w:val="0"/>
        </w:rPr>
        <w:t xml:space="preserve"> | $1,2$ | $1,0 \times 10^{-6}$ | $1,2 \times 10^6$  Steigerung || </w:t>
      </w:r>
      <w:r w:rsidDel="00000000" w:rsidR="00000000" w:rsidRPr="00000000">
        <w:rPr>
          <w:b w:val="1"/>
          <w:bCs w:val="1"/>
          <w:rtl w:val="0"/>
        </w:rPr>
        <w:t xml:space="preserve">Steuerungsmodus</w:t>
      </w:r>
      <w:r w:rsidDel="00000000" w:rsidR="00000000" w:rsidRPr="00000000">
        <w:rPr>
          <w:rtl w:val="0"/>
        </w:rPr>
        <w:t xml:space="preserve"> | Thermisch / Mechanisch | Quanten-Resonanz (3,773 MeV) | Absolute Kausalsteuerung |</w:t>
      </w:r>
    </w:p>
    <w:p w:rsidR="00000000" w:rsidDel="00000000" w:rsidP="00000000" w:rsidRDefault="00000000" w:rsidRPr="00000000" w14:paraId="0000000E">
      <w:pPr>
        <w:rPr/>
      </w:pPr>
      <w:r w:rsidDel="00000000" w:rsidR="00000000" w:rsidRPr="00000000">
        <w:rPr>
          <w:rtl w:val="0"/>
        </w:rPr>
        <w:t xml:space="preserve">Diese technologische Macht ist kein Selbstzweck, sondern erfordert eine strikte zivilisatorische Einbettung.</w:t>
      </w:r>
    </w:p>
    <w:p w:rsidR="00000000" w:rsidDel="00000000" w:rsidP="00000000" w:rsidRDefault="00000000" w:rsidRPr="00000000" w14:paraId="0000000F">
      <w:pPr>
        <w:pStyle w:val="Heading4"/>
        <w:rPr/>
      </w:pPr>
      <w:bookmarkStart w:colFirst="0" w:colLast="0" w:name="_8d6y7ns9cxae" w:id="5"/>
      <w:bookmarkEnd w:id="5"/>
      <w:r w:rsidDel="00000000" w:rsidR="00000000" w:rsidRPr="00000000">
        <w:rPr>
          <w:rtl w:val="0"/>
        </w:rPr>
        <w:t xml:space="preserve">5. Die Regeln der Anwendung: Ethik, Energie und Zivilisationsstatus</w:t>
      </w:r>
    </w:p>
    <w:p w:rsidR="00000000" w:rsidDel="00000000" w:rsidP="00000000" w:rsidRDefault="00000000" w:rsidRPr="00000000" w14:paraId="00000010">
      <w:pPr>
        <w:rPr/>
      </w:pPr>
      <w:r w:rsidDel="00000000" w:rsidR="00000000" w:rsidRPr="00000000">
        <w:rPr>
          <w:rtl w:val="0"/>
        </w:rPr>
        <w:t xml:space="preserve">Die FKT versteht sich als kausale Antithese zum zivilisatorischen Verfall ( </w:t>
      </w:r>
      <w:r w:rsidDel="00000000" w:rsidR="00000000" w:rsidRPr="00000000">
        <w:rPr>
          <w:b w:val="1"/>
          <w:bCs w:val="1"/>
          <w:rtl w:val="0"/>
        </w:rPr>
        <w:t xml:space="preserve">Kali Yuga</w:t>
      </w:r>
      <w:r w:rsidDel="00000000" w:rsidR="00000000" w:rsidRPr="00000000">
        <w:rPr>
          <w:rtl w:val="0"/>
        </w:rPr>
        <w:t xml:space="preserve"> ). Die Manipulation der Raumzeitgeometrie ist an die  </w:t>
      </w:r>
      <w:r w:rsidDel="00000000" w:rsidR="00000000" w:rsidRPr="00000000">
        <w:rPr>
          <w:b w:val="1"/>
          <w:bCs w:val="1"/>
          <w:rtl w:val="0"/>
        </w:rPr>
        <w:t xml:space="preserve">Null-Kausalitäts-Prärogative (NKP)</w:t>
      </w:r>
      <w:r w:rsidDel="00000000" w:rsidR="00000000" w:rsidRPr="00000000">
        <w:rPr>
          <w:rtl w:val="0"/>
        </w:rPr>
        <w:t xml:space="preserve">  gebunden. Dieses Protokoll ist im GMA-Resonator hartcodiert und verhindert die Entstehung geschlossener zeitartiger Kurven, wodurch Zeitreisen und kausale Paradoxien ausgeschlossen sind. Technologische Anwendungen sind zwingend auf Antientropie, Regeneration und Heilung limitiert.Ein herausragendes Anwendungsgebiet ist die  </w:t>
      </w:r>
      <w:r w:rsidDel="00000000" w:rsidR="00000000" w:rsidRPr="00000000">
        <w:rPr>
          <w:b w:val="1"/>
          <w:bCs w:val="1"/>
          <w:rtl w:val="0"/>
        </w:rPr>
        <w:t xml:space="preserve">MedBed-Technologie</w:t>
      </w:r>
      <w:r w:rsidDel="00000000" w:rsidR="00000000" w:rsidRPr="00000000">
        <w:rPr>
          <w:rtl w:val="0"/>
        </w:rPr>
        <w:t xml:space="preserve"> . Diese nutzt den  </w:t>
      </w:r>
      <w:r w:rsidDel="00000000" w:rsidR="00000000" w:rsidRPr="00000000">
        <w:rPr>
          <w:b w:val="1"/>
          <w:bCs w:val="1"/>
          <w:rtl w:val="0"/>
        </w:rPr>
        <w:t xml:space="preserve">Optimal Performance Index (</w:t>
      </w:r>
      <w:r w:rsidDel="00000000" w:rsidR="00000000" w:rsidRPr="00000000">
        <w:rPr>
          <w:rtl w:val="0"/>
        </w:rPr>
        <w:t xml:space="preserve">  </w:t>
      </w:r>
      <w:r w:rsidDel="00000000" w:rsidR="00000000" w:rsidRPr="00000000">
        <w:rPr>
          <w:b w:val="1"/>
          <w:bCs w:val="1"/>
          <w:rtl w:val="0"/>
        </w:rPr>
        <w:t xml:space="preserve">$P_{opt} \approx 9,43 \times 10^{-2}</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 um die kausale Kohärenz in biologischen Systemen wiederherzustellen. Hierbei fungiert Wasser unter Sättigungsdruck als  </w:t>
      </w:r>
      <w:r w:rsidDel="00000000" w:rsidR="00000000" w:rsidRPr="00000000">
        <w:rPr>
          <w:b w:val="1"/>
          <w:bCs w:val="1"/>
          <w:rtl w:val="0"/>
        </w:rPr>
        <w:t xml:space="preserve">kausaler Supraleiter</w:t>
      </w:r>
      <w:r w:rsidDel="00000000" w:rsidR="00000000" w:rsidRPr="00000000">
        <w:rPr>
          <w:rtl w:val="0"/>
        </w:rPr>
        <w:t xml:space="preserve"> , der den 3,773 MeV-Takt verlustfrei an die biologischen Qubits (Mikrotubuli) überträgt, um zelluläre Metrik-Fehler zu korrigieren.Die energetische Voraussetzung für den interstellaren GMA-Betrieb ist die Erreichung des  </w:t>
      </w:r>
      <w:r w:rsidDel="00000000" w:rsidR="00000000" w:rsidRPr="00000000">
        <w:rPr>
          <w:b w:val="1"/>
          <w:bCs w:val="1"/>
          <w:rtl w:val="0"/>
        </w:rPr>
        <w:t xml:space="preserve">Typ-II-Status</w:t>
      </w:r>
      <w:r w:rsidDel="00000000" w:rsidR="00000000" w:rsidRPr="00000000">
        <w:rPr>
          <w:rtl w:val="0"/>
        </w:rPr>
        <w:t xml:space="preserve">  auf der Kardashev-Skala. Der Bau einer  </w:t>
      </w:r>
      <w:r w:rsidDel="00000000" w:rsidR="00000000" w:rsidRPr="00000000">
        <w:rPr>
          <w:b w:val="1"/>
          <w:bCs w:val="1"/>
          <w:rtl w:val="0"/>
        </w:rPr>
        <w:t xml:space="preserve">Dyson-Struktur</w:t>
      </w:r>
      <w:r w:rsidDel="00000000" w:rsidR="00000000" w:rsidRPr="00000000">
        <w:rPr>
          <w:rtl w:val="0"/>
        </w:rPr>
        <w:t xml:space="preserve">  zur Erschließung der vollen solaren Leistung ( $\approx 3,8 \times 10^{26}$  Watt) ist unverhandelbar. Die Sonne fungiert hierbei nicht nur als Energiequelle, sondern als notwendiger  </w:t>
      </w:r>
      <w:r w:rsidDel="00000000" w:rsidR="00000000" w:rsidRPr="00000000">
        <w:rPr>
          <w:b w:val="1"/>
          <w:bCs w:val="1"/>
          <w:rtl w:val="0"/>
        </w:rPr>
        <w:t xml:space="preserve">Gravitationsanker</w:t>
      </w:r>
      <w:r w:rsidDel="00000000" w:rsidR="00000000" w:rsidRPr="00000000">
        <w:rPr>
          <w:rtl w:val="0"/>
        </w:rPr>
        <w:t xml:space="preserve"> , um die Warp-Blase gegen die Bulk-Fluktuationen zu stabilisieren.Die Fraktale Kausale Theorie bindet das Schicksal der Menschheit an die mathematische Harmonie des Kosmos. Die Hardware des Universums ist offen – ihre Integrität zu wahren, ist die finale Verpflichtung einer erwachten Zivilisation.</w:t>
      </w:r>
    </w:p>
    <w:p w:rsidR="00000000" w:rsidDel="00000000" w:rsidP="00000000" w:rsidRDefault="00000000" w:rsidRPr="00000000" w14:paraId="0000001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