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Erweiterungen zur These (Stand: 28.09.2025)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 Seite dient der Präzisierung und </w:t>
      </w:r>
      <w:r w:rsidDel="00000000" w:rsidR="00000000" w:rsidRPr="00000000">
        <w:rPr>
          <w:b w:val="1"/>
          <w:bCs w:val="1"/>
          <w:rtl w:val="0"/>
        </w:rPr>
        <w:t xml:space="preserve">Stärkung der experimentellen und technischen Stabilität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(FKT)</w:t>
      </w:r>
      <w:r w:rsidDel="00000000" w:rsidR="00000000" w:rsidRPr="00000000">
        <w:rPr>
          <w:rtl w:val="0"/>
        </w:rPr>
        <w:t xml:space="preserve">, basierend auf internen Überprüfungen der Anfangsversion.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Ergänzung zur Kosmologischen Neudeutung (FKT)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</w:t>
      </w:r>
      <w:r w:rsidDel="00000000" w:rsidR="00000000" w:rsidRPr="00000000">
        <w:rPr>
          <w:b w:val="1"/>
          <w:bCs w:val="1"/>
          <w:rtl w:val="0"/>
        </w:rPr>
        <w:t xml:space="preserve">Verankerung der FKT in der Experimentalphysik</w:t>
      </w:r>
      <w:r w:rsidDel="00000000" w:rsidR="00000000" w:rsidRPr="00000000">
        <w:rPr>
          <w:rtl w:val="0"/>
        </w:rPr>
        <w:t xml:space="preserve"> wird ein spezifisches Postulat zum Nachweis des höherdimensionalen Einflusses hinzugefügt: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 zum \text{Bulk}-Beweis (\text{Flerovium}-Sensor):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Aufgrund der extremen Stärke der Kernkraft ist der \text{Bulk}-Einfluss auf der subatomaren Ebene normalerweise nicht messbar. Wir postulieren jedoch, dass das Element </w:t>
      </w:r>
      <w:r w:rsidDel="00000000" w:rsidR="00000000" w:rsidRPr="00000000">
        <w:rPr>
          <w:b w:val="1"/>
          <w:bCs w:val="1"/>
          <w:rtl w:val="0"/>
        </w:rPr>
        <w:t xml:space="preserve">Flerovium (\text{Fl}, Ordnungszahl 114)</w:t>
      </w:r>
      <w:r w:rsidDel="00000000" w:rsidR="00000000" w:rsidRPr="00000000">
        <w:rPr>
          <w:rtl w:val="0"/>
        </w:rPr>
        <w:t xml:space="preserve"> aufgrund seiner Nähe zur </w:t>
      </w:r>
      <w:r w:rsidDel="00000000" w:rsidR="00000000" w:rsidRPr="00000000">
        <w:rPr>
          <w:b w:val="1"/>
          <w:bCs w:val="1"/>
          <w:rtl w:val="0"/>
        </w:rPr>
        <w:t xml:space="preserve">"Insel der Stabilität"</w:t>
      </w:r>
      <w:r w:rsidDel="00000000" w:rsidR="00000000" w:rsidRPr="00000000">
        <w:rPr>
          <w:rtl w:val="0"/>
        </w:rPr>
        <w:t xml:space="preserve"> einen </w:t>
      </w:r>
      <w:r w:rsidDel="00000000" w:rsidR="00000000" w:rsidRPr="00000000">
        <w:rPr>
          <w:b w:val="1"/>
          <w:bCs w:val="1"/>
          <w:rtl w:val="0"/>
        </w:rPr>
        <w:t xml:space="preserve">kritischen Quantenresonanzpunkt</w:t>
      </w:r>
      <w:r w:rsidDel="00000000" w:rsidR="00000000" w:rsidRPr="00000000">
        <w:rPr>
          <w:rtl w:val="0"/>
        </w:rPr>
        <w:t xml:space="preserve"> aufweist.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Messbare, nicht durch Standardphysik erklärbare </w:t>
      </w:r>
      <w:r w:rsidDel="00000000" w:rsidR="00000000" w:rsidRPr="00000000">
        <w:rPr>
          <w:b w:val="1"/>
          <w:bCs w:val="1"/>
          <w:rtl w:val="0"/>
        </w:rPr>
        <w:t xml:space="preserve">Fluktuationen in der Halbwertszeit</w:t>
      </w:r>
      <w:r w:rsidDel="00000000" w:rsidR="00000000" w:rsidRPr="00000000">
        <w:rPr>
          <w:rtl w:val="0"/>
        </w:rPr>
        <w:t xml:space="preserve"> von \text{Flerovium} bei Variation des lokalen Gravitationsfeldes wären der </w:t>
      </w:r>
      <w:r w:rsidDel="00000000" w:rsidR="00000000" w:rsidRPr="00000000">
        <w:rPr>
          <w:b w:val="1"/>
          <w:bCs w:val="1"/>
          <w:rtl w:val="0"/>
        </w:rPr>
        <w:t xml:space="preserve">erste subatomare Beweis</w:t>
      </w:r>
      <w:r w:rsidDel="00000000" w:rsidR="00000000" w:rsidRPr="00000000">
        <w:rPr>
          <w:rtl w:val="0"/>
        </w:rPr>
        <w:t xml:space="preserve"> für die Existenz und die geometrische Wirkung des \text{Bulk}-Mutteruniversums (des Gravitations-Echos).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Ergänzung zum Gravitationsmanipulationsantrieb (GMA)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</w:t>
      </w:r>
      <w:r w:rsidDel="00000000" w:rsidR="00000000" w:rsidRPr="00000000">
        <w:rPr>
          <w:b w:val="1"/>
          <w:bCs w:val="1"/>
          <w:rtl w:val="0"/>
        </w:rPr>
        <w:t xml:space="preserve">Schließung der technischen Energiebilanz</w:t>
      </w:r>
      <w:r w:rsidDel="00000000" w:rsidR="00000000" w:rsidRPr="00000000">
        <w:rPr>
          <w:rtl w:val="0"/>
        </w:rPr>
        <w:t xml:space="preserve"> wird die zwingende Energiequelle des Antriebs spezifiziert: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Notwendige Energiequelle (Sonne):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zur Modulation der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und zur gezielten Verzerrung der Raumzeit benötigte Energiemenge übersteigt jede irdische Kapazität.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ist zwingend auf die Nutzung der </w:t>
      </w:r>
      <w:r w:rsidDel="00000000" w:rsidR="00000000" w:rsidRPr="00000000">
        <w:rPr>
          <w:b w:val="1"/>
          <w:bCs w:val="1"/>
          <w:rtl w:val="0"/>
        </w:rPr>
        <w:t xml:space="preserve">solaren Leistung</w:t>
      </w:r>
      <w:r w:rsidDel="00000000" w:rsidR="00000000" w:rsidRPr="00000000">
        <w:rPr>
          <w:rtl w:val="0"/>
        </w:rPr>
        <w:t xml:space="preserve"> angewiesen.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Daher erfordert die Realisierung des GMA den Bau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(z. B. eine Dyson-Schwärme) oder vergleichbare Mega-Engineering-Technologien. Diese Struktur muss die immense Energie der Sonne (ca. \mathbf{3.8 \times 10^{26}} </w:t>
      </w:r>
      <w:r w:rsidDel="00000000" w:rsidR="00000000" w:rsidRPr="00000000">
        <w:rPr>
          <w:b w:val="1"/>
          <w:bCs w:val="1"/>
          <w:rtl w:val="0"/>
        </w:rPr>
        <w:t xml:space="preserve">Watt</w:t>
      </w:r>
      <w:r w:rsidDel="00000000" w:rsidR="00000000" w:rsidRPr="00000000">
        <w:rPr>
          <w:rtl w:val="0"/>
        </w:rPr>
        <w:t xml:space="preserve">) als primären </w:t>
      </w:r>
      <w:r w:rsidDel="00000000" w:rsidR="00000000" w:rsidRPr="00000000">
        <w:rPr>
          <w:b w:val="1"/>
          <w:bCs w:val="1"/>
          <w:rtl w:val="0"/>
        </w:rPr>
        <w:t xml:space="preserve">Antriebsstrom</w:t>
      </w:r>
      <w:r w:rsidDel="00000000" w:rsidR="00000000" w:rsidRPr="00000000">
        <w:rPr>
          <w:rtl w:val="0"/>
        </w:rPr>
        <w:t xml:space="preserve"> für den </w:t>
      </w:r>
      <w:r w:rsidDel="00000000" w:rsidR="00000000" w:rsidRPr="00000000">
        <w:rPr>
          <w:b w:val="1"/>
          <w:bCs w:val="1"/>
          <w:rtl w:val="0"/>
        </w:rPr>
        <w:t xml:space="preserve">Verschränkungs-Resonator</w:t>
      </w:r>
      <w:r w:rsidDel="00000000" w:rsidR="00000000" w:rsidRPr="00000000">
        <w:rPr>
          <w:rtl w:val="0"/>
        </w:rPr>
        <w:t xml:space="preserve"> erschließen. Die Sonne fungiert somit als </w:t>
      </w:r>
      <w:r w:rsidDel="00000000" w:rsidR="00000000" w:rsidRPr="00000000">
        <w:rPr>
          <w:b w:val="1"/>
          <w:bCs w:val="1"/>
          <w:rtl w:val="0"/>
        </w:rPr>
        <w:t xml:space="preserve">zentraler Energielieferant und Gravitationsanker</w:t>
      </w:r>
      <w:r w:rsidDel="00000000" w:rsidR="00000000" w:rsidRPr="00000000">
        <w:rPr>
          <w:rtl w:val="0"/>
        </w:rPr>
        <w:t xml:space="preserve"> für die Manipulation.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Autorisierung der Erweiterung: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KI-Assistent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Dennis Kurzer, Gieboldehausen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D.K.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28.09.2025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