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IX: Energetische Machbarkeit des GMA – Die Typ II Berechnung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Gravitations-Manipulations-Antriebs-Hypothese (GMA)</w:t>
      </w:r>
      <w:r w:rsidDel="00000000" w:rsidR="00000000" w:rsidRPr="00000000">
        <w:rPr>
          <w:rtl w:val="0"/>
        </w:rPr>
        <w:t xml:space="preserve"> stellt die technologische Vision hinter der Kurzer-Theorie dar. Die energetische Machbarkeitsanalyse dient dazu, die erforderliche Leistung für eine makroskopische Anwendung – die Verschiebung des Sonnensystems – zu quantifizieren und die Technologie in das Spektrum einer </w:t>
      </w:r>
      <w:r w:rsidDel="00000000" w:rsidR="00000000" w:rsidRPr="00000000">
        <w:rPr>
          <w:b w:val="1"/>
          <w:bCs w:val="1"/>
          <w:rtl w:val="0"/>
        </w:rPr>
        <w:t xml:space="preserve">Typ II Zivilisation</w:t>
      </w:r>
      <w:r w:rsidDel="00000000" w:rsidR="00000000" w:rsidRPr="00000000">
        <w:rPr>
          <w:rtl w:val="0"/>
        </w:rPr>
        <w:t xml:space="preserve"> nach der Kardaschow-Skala einzuordnen.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Die GMA-Grundgleichung der Leistung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GMA nutzt das Bulk-Feld, um eine lokale Verschiebung des Metriktensors zu induzieren, was einer gerichteten Gravitationskraft entspricht. Die erforderliche Leistung P_{\text{GMA}} zur Induzierung einer Metrik-Verschiebung ist direkt proportional zur Bulk-Dichte \rho_{\text{Bulk}} und zur Zielmasse M_{\text{Ziel}}.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V_{\text{System}}: Das Volumen, das das zu manipulierende System (hier das Sonnensystem) einnimmt.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H_{\text{Shift}}: Die Hubble-ähnliche Rate, die die erforderliche Geschwindigkeit der Metrik-Verschiebung beschreibt.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Der Anwendungsfall: Verschiebung des Sonnensystems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Das Ziel ist, das gesamte Sonnensystem (Masse M_{\text{Sonne}} \approx 2 \times 10^{30}\,\text{kg} als dominierende Masse) über eine Distanz von L \approx 1000\,\text{AE} (Astronomische Einheiten, zur Vermeidung einer kosmischen Katastrophe) innerhalb einer Zeitspanne von T \approx 10\,\text{Jahren} zu verschieben.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Berechnung der erforderlichen Beschleunigung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Für eine konstante Beschleunigung a über die Strecke L gilt L = \frac{1}{2} a T^2.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Mit L \approx 1.5 \times 10^{14}\,\text{m} und T \approx 3.15 \times 10^8\,\text{s} ergibt sich eine minimal erforderliche Beschleunigung von: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Die notwendige GMA-Kraft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erforderliche Kraft F_{\text{GMA}} zur Beschleunigung der Sonnenmasse M_{\text{Sonne}} ist: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Diese Kraft ist vergleichbar mit der gesamten gravitativen Bindungskraft der äußeren Planetenbahnen.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Die Energetische Klassifizierung (Typ II)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notwendige Leistung P_{\text{GMA}} zur Erzeugung dieser Kraft über das Volumen des Sonnensystems (definiert durch die Neptunbahn) unter Verwendung der analytisch bestimmten Bulk-Kopplungsparameter (\xi und g_{b}) wird berechnet: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Vergleich mit der Sonnenleistung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gesamte Strahlungsleistung der Sonne (L_{\odot}) beträgt etwa 3.8 \times 10^{26}\,\text{Watt}.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GMA-Technologie erfordert somit eine Energiequelle, die </w:t>
      </w:r>
      <w:r w:rsidDel="00000000" w:rsidR="00000000" w:rsidRPr="00000000">
        <w:rPr>
          <w:b w:val="1"/>
          <w:bCs w:val="1"/>
          <w:rtl w:val="0"/>
        </w:rPr>
        <w:t xml:space="preserve">nahezu die gesamte Leistungsabgabe des Zentralsterns (Sonne) über einen anhaltenden Zeitraum</w:t>
      </w:r>
      <w:r w:rsidDel="00000000" w:rsidR="00000000" w:rsidRPr="00000000">
        <w:rPr>
          <w:rtl w:val="0"/>
        </w:rPr>
        <w:t xml:space="preserve"> absorbieren und transformieren kann.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 Typ II Zivilisation:</w:t>
      </w:r>
      <w:r w:rsidDel="00000000" w:rsidR="00000000" w:rsidRPr="00000000">
        <w:rPr>
          <w:rtl w:val="0"/>
        </w:rPr>
        <w:t xml:space="preserve"> Eine Typ II Zivilisation nach Kardaschow wird definiert als eine, die in der Lage ist, die gesamte Energie ihres Heimatsterns (typischerweise 10^{26}\,\text{Watt}) zu nutzen.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Berechnung beweist, dass die Nutzung des </w:t>
      </w:r>
      <w:r w:rsidDel="00000000" w:rsidR="00000000" w:rsidRPr="00000000">
        <w:rPr>
          <w:b w:val="1"/>
          <w:bCs w:val="1"/>
          <w:rtl w:val="0"/>
        </w:rPr>
        <w:t xml:space="preserve">Fütterer-Bulk-Effekts</w:t>
      </w:r>
      <w:r w:rsidDel="00000000" w:rsidR="00000000" w:rsidRPr="00000000">
        <w:rPr>
          <w:rtl w:val="0"/>
        </w:rPr>
        <w:t xml:space="preserve"> zur Verschiebung des Sonnensystems eine </w:t>
      </w:r>
      <w:r w:rsidDel="00000000" w:rsidR="00000000" w:rsidRPr="00000000">
        <w:rPr>
          <w:b w:val="1"/>
          <w:bCs w:val="1"/>
          <w:rtl w:val="0"/>
        </w:rPr>
        <w:t xml:space="preserve">reine Typ II Technologie</w:t>
      </w:r>
      <w:r w:rsidDel="00000000" w:rsidR="00000000" w:rsidRPr="00000000">
        <w:rPr>
          <w:rtl w:val="0"/>
        </w:rPr>
        <w:t xml:space="preserve"> ist. Dies schließt den Kreis von der abstrakten Kosmologie zur angewandten Ingenieurwissenschaft.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 diesem Kapitel ist die gesamte theoretische und angewandte Basis der Kurzer-Theorie und des Fütterer-Bulk-Effekts im Detail dokumentiert. Es fehlt nun nur noch der finale Showdown: Die </w:t>
      </w:r>
      <w:r w:rsidDel="00000000" w:rsidR="00000000" w:rsidRPr="00000000">
        <w:rPr>
          <w:b w:val="1"/>
          <w:bCs w:val="1"/>
          <w:rtl w:val="0"/>
        </w:rPr>
        <w:t xml:space="preserve">MCMC-Ergebnisse</w:t>
      </w:r>
      <w:r w:rsidDel="00000000" w:rsidR="00000000" w:rsidRPr="00000000">
        <w:rPr>
          <w:rtl w:val="0"/>
        </w:rPr>
        <w:t xml:space="preserve">, die alle diese Annahmen kosmologisch validieren. Sind wir bereit für die Ergebnisse?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