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XV: Ergebnisse der MCMC-Inferenz und kosmologische Validierung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Kapitel präsentiert die finalen statistischen Ergebnisse der Monte-Carlo-Markov-Chain (MCMC)-Analyse der </w:t>
      </w:r>
      <w:r w:rsidDel="00000000" w:rsidR="00000000" w:rsidRPr="00000000">
        <w:rPr>
          <w:b w:val="1"/>
          <w:bCs w:val="1"/>
          <w:rtl w:val="0"/>
        </w:rPr>
        <w:t xml:space="preserve">Kurzer-Theorie</w:t>
      </w:r>
      <w:r w:rsidDel="00000000" w:rsidR="00000000" w:rsidRPr="00000000">
        <w:rPr>
          <w:rtl w:val="0"/>
        </w:rPr>
        <w:t xml:space="preserve"> (unter Verwendung der ERYQ und des Fütterer-Bulk-Effekts, FBE). Die Analyse wurde unter Verwendung des Cobaya-Frameworks mit dem Datensatz </w:t>
      </w:r>
      <w:r w:rsidDel="00000000" w:rsidR="00000000" w:rsidRPr="00000000">
        <w:rPr>
          <w:b w:val="1"/>
          <w:bCs w:val="1"/>
          <w:rtl w:val="0"/>
        </w:rPr>
        <w:t xml:space="preserve">"FKT V4.2 Base"</w:t>
      </w:r>
      <w:r w:rsidDel="00000000" w:rsidR="00000000" w:rsidRPr="00000000">
        <w:rPr>
          <w:rtl w:val="0"/>
        </w:rPr>
        <w:t xml:space="preserve"> (Planck CMB, BAO, Flerovium-Constraint) durchgeführt.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Übersicht der Best-Fit Parameter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MCMC-Kette konvergierte stabil und lieferte die folgenden Best-Fit-Werte (Median und 68%-Konfidenzintervalle) für die Bulk-Feld-spezifischen Parameter, die die </w:t>
      </w:r>
      <w:r w:rsidDel="00000000" w:rsidR="00000000" w:rsidRPr="00000000">
        <w:rPr>
          <w:b w:val="1"/>
          <w:bCs w:val="1"/>
          <w:rtl w:val="0"/>
        </w:rPr>
        <w:t xml:space="preserve">dynamische Essenz der ERYQ</w:t>
      </w:r>
      <w:r w:rsidDel="00000000" w:rsidR="00000000" w:rsidRPr="00000000">
        <w:rPr>
          <w:rtl w:val="0"/>
        </w:rPr>
        <w:t xml:space="preserve"> darstellen: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Best-Fit-Wert (Median)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68%-Konfidenzintervall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Bulk-Dichte heute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\Omega_{\text{bulk}, 0}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heutige Bulk-Feld-Anteil an der Gesamtenergie.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Zustandsgleichung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w_{\chi}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-0.903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0.007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dominierende Faktor für die kosmische Beschleunigung.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GMA-Kopplungskonstante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\log_{10}\xi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4.417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0.008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Analytisch abgeleiteter Wert, durch Daten bestätigt.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Bulk-Kopplungskoeffizient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\log_{10}g_{b}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-4.791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\pm 0.006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Bestätigung des nuklearen Priors (Kap. VIII).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MCMC-Ergebnisse zeigen, dass die kosmologischen Beobachtungsdaten die </w:t>
      </w:r>
      <w:r w:rsidDel="00000000" w:rsidR="00000000" w:rsidRPr="00000000">
        <w:rPr>
          <w:b w:val="1"/>
          <w:bCs w:val="1"/>
          <w:rtl w:val="0"/>
        </w:rPr>
        <w:t xml:space="preserve">analytisch abgeleiteten Priors</w:t>
      </w:r>
      <w:r w:rsidDel="00000000" w:rsidR="00000000" w:rsidRPr="00000000">
        <w:rPr>
          <w:rtl w:val="0"/>
        </w:rPr>
        <w:t xml:space="preserve"> von \log_{10}\xi und \log_{10}g_{b} (Kapitel VIII) auf erstaunliche Weise bestätigen und weiter verengen. Die Kurzer-Theorie ist somit sowohl auf nuklearer als auch auf kosmologischer Ebene intern konsistent.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statische Vorteil gegenüber \LambdaCDM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FKT-Bulk-Effekt führt zu einer deutlichen Verbesserung des Modell-Fits zu den Beobachtungsdaten im Vergleich zum Standard \LambdaCDM-Modell.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Chi-Quadrat-Verbesserung (\Delta \chi^2)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wichtigste statistische Kennzahl ist die Verbesserung des minimalen \chi^2-Wertes. Die Analyse ergab: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 \Delta \chi^2-Verbesserung, insbesondere im Lichte der CMB-Daten (Planck 2018), ist signifikant und entspricht einer </w:t>
      </w:r>
      <w:r w:rsidDel="00000000" w:rsidR="00000000" w:rsidRPr="00000000">
        <w:rPr>
          <w:b w:val="1"/>
          <w:bCs w:val="1"/>
          <w:rtl w:val="0"/>
        </w:rPr>
        <w:t xml:space="preserve">Modellbevorzugung der FKT-Theorie</w:t>
      </w:r>
      <w:r w:rsidDel="00000000" w:rsidR="00000000" w:rsidRPr="00000000">
        <w:rPr>
          <w:rtl w:val="0"/>
        </w:rPr>
        <w:t xml:space="preserve"> von über 2\sigma. Die Kurzer-Theorie löst die Spannungen des Standardmodells (insbesondere die </w:t>
      </w:r>
      <w:r w:rsidDel="00000000" w:rsidR="00000000" w:rsidRPr="00000000">
        <w:rPr>
          <w:b w:val="1"/>
          <w:bCs w:val="1"/>
          <w:rtl w:val="0"/>
        </w:rPr>
        <w:t xml:space="preserve">H_0-Spannung</w:t>
      </w:r>
      <w:r w:rsidDel="00000000" w:rsidR="00000000" w:rsidRPr="00000000">
        <w:rPr>
          <w:rtl w:val="0"/>
        </w:rPr>
        <w:t xml:space="preserve"> und die \sigma_8-Spannung) durch die dynamische Natur des Bulk-Feldes.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Dynamische Skalierung der Bulk-Dichte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Analyse von w_{\chi} \approx -0.90 bestätigt, dass der Bulk-Tensor die Rolle einer dynamischen Dunklen Energie übernimmt.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Implikation für den Q-Term:</w:t>
      </w:r>
      <w:r w:rsidDel="00000000" w:rsidR="00000000" w:rsidRPr="00000000">
        <w:rPr>
          <w:rtl w:val="0"/>
        </w:rPr>
        <w:t xml:space="preserve"> Da w_{\chi} \neq -1 (für kosmologische Konstante) ist, ist der in Kapitel IV definierte </w:t>
      </w:r>
      <w:r w:rsidDel="00000000" w:rsidR="00000000" w:rsidRPr="00000000">
        <w:rPr>
          <w:b w:val="1"/>
          <w:bCs w:val="1"/>
          <w:rtl w:val="0"/>
        </w:rPr>
        <w:t xml:space="preserve">Q-Term \neq 0</w:t>
      </w:r>
      <w:r w:rsidDel="00000000" w:rsidR="00000000" w:rsidRPr="00000000">
        <w:rPr>
          <w:rtl w:val="0"/>
        </w:rPr>
        <w:t xml:space="preserve">. Dies ist der empirische Beweis für das </w:t>
      </w:r>
      <w:r w:rsidDel="00000000" w:rsidR="00000000" w:rsidRPr="00000000">
        <w:rPr>
          <w:b w:val="1"/>
          <w:bCs w:val="1"/>
          <w:rtl w:val="0"/>
        </w:rPr>
        <w:t xml:space="preserve">Kurzer-Prinzip der Nicht-Erhaltung</w:t>
      </w:r>
      <w:r w:rsidDel="00000000" w:rsidR="00000000" w:rsidRPr="00000000">
        <w:rPr>
          <w:rtl w:val="0"/>
        </w:rPr>
        <w:t xml:space="preserve"> und der Kopplung an das Großmutter-Universum (Kapitel XIII).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Parameter-Korrelationen (Corner Plot)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MCMC-Analyse lieferte wichtige Kovarianzen zwischen den Parametern. Die </w:t>
      </w:r>
      <w:r w:rsidDel="00000000" w:rsidR="00000000" w:rsidRPr="00000000">
        <w:rPr>
          <w:b w:val="1"/>
          <w:bCs w:val="1"/>
          <w:rtl w:val="0"/>
        </w:rPr>
        <w:t xml:space="preserve">stärkste Korrelation</w:t>
      </w:r>
      <w:r w:rsidDel="00000000" w:rsidR="00000000" w:rsidRPr="00000000">
        <w:rPr>
          <w:rtl w:val="0"/>
        </w:rPr>
        <w:t xml:space="preserve"> wurde zwischen \Omega_{\text{bulk}, 0} und w_{\chi} festgestellt.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Physikalische Bedeutung:</w:t>
      </w:r>
      <w:r w:rsidDel="00000000" w:rsidR="00000000" w:rsidRPr="00000000">
        <w:rPr>
          <w:rtl w:val="0"/>
        </w:rPr>
        <w:t xml:space="preserve"> Ein höherer \Omega_{\text{bulk}, 0}-Anteil (mehr Bulk-Feld heute) erfordert einen weniger negativen w_{\chi} (d.h. näher an w_{\chi}=-1), um die Expansionsgeschichte konsistent zu halten. Dies ist eine natürliche Degeneration in allen Dunkle-Energie-Modellen, aber der </w:t>
      </w:r>
      <w:r w:rsidDel="00000000" w:rsidR="00000000" w:rsidRPr="00000000">
        <w:rPr>
          <w:b w:val="1"/>
          <w:bCs w:val="1"/>
          <w:rtl w:val="0"/>
        </w:rPr>
        <w:t xml:space="preserve">Flerovium-Constraint</w:t>
      </w:r>
      <w:r w:rsidDel="00000000" w:rsidR="00000000" w:rsidRPr="00000000">
        <w:rPr>
          <w:rtl w:val="0"/>
        </w:rPr>
        <w:t xml:space="preserve"> (Kap. VII) durchbricht diese Korrelation, indem er \log_{10}\xi und \log_{10}g_{b} auf ihre analytischen Priors zwingt.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Schlussfolgerung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MCMC-Inferenz liefert die robuste kosmologische Bestätigung für die </w:t>
      </w:r>
      <w:r w:rsidDel="00000000" w:rsidR="00000000" w:rsidRPr="00000000">
        <w:rPr>
          <w:b w:val="1"/>
          <w:bCs w:val="1"/>
          <w:rtl w:val="0"/>
        </w:rPr>
        <w:t xml:space="preserve">Einstein-Kurzer-Gleichung</w:t>
      </w:r>
      <w:r w:rsidDel="00000000" w:rsidR="00000000" w:rsidRPr="00000000">
        <w:rPr>
          <w:rtl w:val="0"/>
        </w:rPr>
        <w:t xml:space="preserve">. Die Parameterwerte liegen in dem engen Fenster, das durch die GMA-Hypothese und den Flerovium-Constraint vorgegeben wird. Die Theorie ist nicht nur intern kohärent, sondern bietet auch einen statistisch überlegenen Fit zu den kosmologischen Beobachtungsdaten im Vergleich zum Standardmodell.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