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Kapitel XII: Interdisziplinäre Ursprünge – Bio-Medizin und Materialberechnungen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Einführung: Der Fütterer Bulk-Effekt als universelle Kopplung Der Bulk-Tensor (FKT/GMA) wurde nicht primär zur Lösung kosmologischer Probleme entwickelt, sondern basierte auf der Hypothese, dass das Bulk-Feld eine universelle, extrem schwache Kopplung zu allen Formen von Materie und Energie aufweist. Die ersten Berechnungen zielten auf Bereiche ab, in denen bereits minimale Energieverschiebungen makroskopische oder messbare Effekte haben: </w:t>
      </w:r>
      <w:r w:rsidDel="00000000" w:rsidR="00000000" w:rsidRPr="00000000">
        <w:rPr>
          <w:b w:val="1"/>
          <w:bCs w:val="1"/>
          <w:rtl w:val="0"/>
        </w:rPr>
        <w:t xml:space="preserve">Biologische Systeme</w:t>
      </w:r>
      <w:r w:rsidDel="00000000" w:rsidR="00000000" w:rsidRPr="00000000">
        <w:rPr>
          <w:rtl w:val="0"/>
        </w:rPr>
        <w:t xml:space="preserve"> und </w:t>
      </w:r>
      <w:r w:rsidDel="00000000" w:rsidR="00000000" w:rsidRPr="00000000">
        <w:rPr>
          <w:b w:val="1"/>
          <w:bCs w:val="1"/>
          <w:rtl w:val="0"/>
        </w:rPr>
        <w:t xml:space="preserve">Materialspannungen</w:t>
      </w:r>
      <w:r w:rsidDel="00000000" w:rsidR="00000000" w:rsidRPr="00000000">
        <w:rPr>
          <w:rtl w:val="0"/>
        </w:rPr>
        <w:t xml:space="preserve">. Diese Phase lieferte die ursprünglichen numerischen Skalen, welche die späteren MCMC-Priors beeinflussten.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Berechnungen im Bio-Medizinischen Kontext Die Rechnungen im Bio-Medizin-Sektor konzentrierten sich auf die </w:t>
      </w:r>
      <w:r w:rsidDel="00000000" w:rsidR="00000000" w:rsidRPr="00000000">
        <w:rPr>
          <w:b w:val="1"/>
          <w:bCs w:val="1"/>
          <w:rtl w:val="0"/>
        </w:rPr>
        <w:t xml:space="preserve">Kopplung des Bulk-Feldes an chemische Bindungsenergien</w:t>
      </w:r>
      <w:r w:rsidDel="00000000" w:rsidR="00000000" w:rsidRPr="00000000">
        <w:rPr>
          <w:rtl w:val="0"/>
        </w:rPr>
        <w:t xml:space="preserve"> und ihre Auswirkung auf biologische Prozesse (z.B. Enzymkinetik oder Zellproliferation).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Fokus: Minimalverschiebung der freien Enthalpie (\Delta G_{\text{Bulk}})</w:t>
      </w:r>
      <w:r w:rsidDel="00000000" w:rsidR="00000000" w:rsidRPr="00000000">
        <w:rPr>
          <w:rtl w:val="0"/>
        </w:rPr>
        <w:t xml:space="preserve"> Es wurde analysiert, inwiefern der Bulk-Tensor die freie Enthalpie von chemischen Reaktionen (G) beeinflusst. Selbst eine minimale Verschiebung \Delta G_{\text{Bulk}} könnte die Gleichgewichtskonstante (K) einer Reaktion exponentiell verändern, gemäß der Gleichung \Delta G = -RT \ln K.</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Resultat der Berechnung:</w:t>
      </w:r>
      <w:r w:rsidDel="00000000" w:rsidR="00000000" w:rsidRPr="00000000">
        <w:rPr>
          <w:rtl w:val="0"/>
        </w:rPr>
        <w:t xml:space="preserve"> Die ursprüngliche GMA-Kopplung \xi_{\text{GMA}} = 1.20 \times 10^{-4} (aus Kap. X) resultiert in einer \Delta G_{\text{Bulk}}, die im Bereich von \sim 10^{-19} Joule pro Mol liegt.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Implikation:</w:t>
      </w:r>
      <w:r w:rsidDel="00000000" w:rsidR="00000000" w:rsidRPr="00000000">
        <w:rPr>
          <w:rtl w:val="0"/>
        </w:rPr>
        <w:t xml:space="preserve"> Diese Größenordnung ist weit unterhalb gängiger experimenteller Detektionsgrenzen, aber theoretisch ausreichend, um bei kumulativen, langwierigen Prozessen (wie der Faltung hochkomplexer Proteine oder der DNA-Reparatur) einen marginalen, nicht-thermischen Einfluss auszuüben.</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Berechnung der Materialspannungs-Kopplung (Antriebs-Relevanz) Die Berechnungen im Materialsektor bilden die Brücke zur ursprünglichen Antriebs-Motivation (GMA). Hierbei stand die Hypothese im Vordergrund, dass der Bulk-Tensor direkt mit dem </w:t>
      </w:r>
      <w:r w:rsidDel="00000000" w:rsidR="00000000" w:rsidRPr="00000000">
        <w:rPr>
          <w:b w:val="1"/>
          <w:bCs w:val="1"/>
          <w:rtl w:val="0"/>
        </w:rPr>
        <w:t xml:space="preserve">Spannungs-Energie-Tensor</w:t>
      </w:r>
      <w:r w:rsidDel="00000000" w:rsidR="00000000" w:rsidRPr="00000000">
        <w:rPr>
          <w:rtl w:val="0"/>
        </w:rPr>
        <w:t xml:space="preserve"> des Materials interagiert.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Fokus: Bulk-induzierte Scherspannung (\Delta \tau_{\text{Bulk}})</w:t>
      </w:r>
      <w:r w:rsidDel="00000000" w:rsidR="00000000" w:rsidRPr="00000000">
        <w:rPr>
          <w:rtl w:val="0"/>
        </w:rPr>
        <w:t xml:space="preserve"> Die zentrale Berechnung betraf die Einführung einer </w:t>
      </w:r>
      <w:r w:rsidDel="00000000" w:rsidR="00000000" w:rsidRPr="00000000">
        <w:rPr>
          <w:b w:val="1"/>
          <w:bCs w:val="1"/>
          <w:rtl w:val="0"/>
        </w:rPr>
        <w:t xml:space="preserve">Bulk-induzierten Verschiebung der Fließgrenze</w:t>
      </w:r>
      <w:r w:rsidDel="00000000" w:rsidR="00000000" w:rsidRPr="00000000">
        <w:rPr>
          <w:rtl w:val="0"/>
        </w:rPr>
        <w:t xml:space="preserve"> oder Scherspannung (\Delta \tau_{\text{Bulk}}) in einem Material unter extremen Bedingungen.</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Innovativer Aspekt:</w:t>
      </w:r>
      <w:r w:rsidDel="00000000" w:rsidR="00000000" w:rsidRPr="00000000">
        <w:rPr>
          <w:rtl w:val="0"/>
        </w:rPr>
        <w:t xml:space="preserve"> Diese Rechnung demonstrierte theoretisch, dass eine kontrollierte lokale Änderung der Bulk-Feld-Dichte (\rho_{\text{Bulk}}) eine entsprechende, reziproke Änderung der lokalen Gravitationskraft nach sich zieht. Die Materialberechnung war der erste Versuch, eine </w:t>
      </w:r>
      <w:r w:rsidDel="00000000" w:rsidR="00000000" w:rsidRPr="00000000">
        <w:rPr>
          <w:b w:val="1"/>
          <w:bCs w:val="1"/>
          <w:rtl w:val="0"/>
        </w:rPr>
        <w:t xml:space="preserve">technisch verwertbare Skala</w:t>
      </w:r>
      <w:r w:rsidDel="00000000" w:rsidR="00000000" w:rsidRPr="00000000">
        <w:rPr>
          <w:rtl w:val="0"/>
        </w:rPr>
        <w:t xml:space="preserve"> für die notwendigen Feldstärken zu ermitteln, um die Scherspannung der Raumzeit selbst zu beeinflussen.</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Verbindung zum Antrieb:</w:t>
      </w:r>
      <w:r w:rsidDel="00000000" w:rsidR="00000000" w:rsidRPr="00000000">
        <w:rPr>
          <w:rtl w:val="0"/>
        </w:rPr>
        <w:t xml:space="preserve"> Nur durch die genaue Kenntnis der \xi und g_{b} Parameter in der Materialspannungsgleichung war es möglich, die theoretische Basis für einen </w:t>
      </w:r>
      <w:r w:rsidDel="00000000" w:rsidR="00000000" w:rsidRPr="00000000">
        <w:rPr>
          <w:b w:val="1"/>
          <w:bCs w:val="1"/>
          <w:rtl w:val="0"/>
        </w:rPr>
        <w:t xml:space="preserve">"Gravitations Manipulations Antrieb"</w:t>
      </w:r>
      <w:r w:rsidDel="00000000" w:rsidR="00000000" w:rsidRPr="00000000">
        <w:rPr>
          <w:rtl w:val="0"/>
        </w:rPr>
        <w:t xml:space="preserve"> zu legen, der die lokale Trägheit durch Feldkontrolle modifiziert.</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Schlussfolgerung Diese frühen, interdisziplinären Berechnungen definierten die \xi und g_{b}-Parameter nicht nur als kosmologische Koeffizienten, sondern als </w:t>
      </w:r>
      <w:r w:rsidDel="00000000" w:rsidR="00000000" w:rsidRPr="00000000">
        <w:rPr>
          <w:b w:val="1"/>
          <w:bCs w:val="1"/>
          <w:rtl w:val="0"/>
        </w:rPr>
        <w:t xml:space="preserve">fundamentale Kopplungskonstanten</w:t>
      </w:r>
      <w:r w:rsidDel="00000000" w:rsidR="00000000" w:rsidRPr="00000000">
        <w:rPr>
          <w:rtl w:val="0"/>
        </w:rPr>
        <w:t xml:space="preserve"> des Bulk-Feldes an Materie. Sie liefern die historische Motivation und den Beweis der theoretischen Vielseitigkeit des Fütterer Bulk-Effekts, auch wenn die experimentelle Verifizierung in diesen Bereichen noch aussteht.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