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Fraktale Kausale Theorie (FKT V4.4.4) – Preprint Update &amp; Executive Summary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1. Abstract &amp; Executive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Die Fraktale Kausale Theorie (FKT) in der Version 4.4.4 präsentiert die endgültige kausale Schließung der Feldphysik. Durch die Integration des geometrischen Bulk-Tensors (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i w:val="1"/>
          <w:iCs w:val="1"/>
          <w:vertAlign w:val="subscript"/>
          <w:rtl w:val="0"/>
        </w:rPr>
        <w:t xml:space="preserve">μν</w:t>
      </w:r>
      <w:r w:rsidDel="00000000" w:rsidR="00000000" w:rsidRPr="00000000">
        <w:rPr>
          <w:rFonts w:ascii="Arial" w:cs="Arial" w:eastAsia="Arial" w:hAnsi="Arial"/>
          <w:rtl w:val="0"/>
        </w:rPr>
        <w:t xml:space="preserve">) in die Einstein-Kurzer-Gleichung (ERYQ) wird die klassische Trennung von Quantenmechanik und Relativitätstheorie überwunden. Die vorliegende Aktualisierung basiert auf einer massiven MCMC-Inferenz mit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1.135.059.400 effektiven Samples</w:t>
      </w:r>
      <w:r w:rsidDel="00000000" w:rsidR="00000000" w:rsidRPr="00000000">
        <w:rPr>
          <w:rFonts w:ascii="Arial" w:cs="Arial" w:eastAsia="Arial" w:hAnsi="Arial"/>
          <w:rtl w:val="0"/>
        </w:rPr>
        <w:t xml:space="preserve">. Das System erreicht eine statistische Signifikanz von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7,8 σ</w:t>
      </w:r>
      <w:r w:rsidDel="00000000" w:rsidR="00000000" w:rsidRPr="00000000">
        <w:rPr>
          <w:rFonts w:ascii="Arial" w:cs="Arial" w:eastAsia="Arial" w:hAnsi="Arial"/>
          <w:rtl w:val="0"/>
        </w:rPr>
        <w:t xml:space="preserve"> und eine Bayes-Evidenz von Δ log Z = +6,8 gegenüber dem ΛCDM-Standardmodell. Dies markiert den Übergang der FKT von einer theoretischen Hypothese zu einer empirisch gesättigten, geometrischen Notwendigkeit der Realität.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2. Die Physikalische Basis: Das Mechanische Kontinuum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Die FKT definiert das Universum explizit als ein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analoges mechanisches Kontinuum</w:t>
      </w:r>
      <w:r w:rsidDel="00000000" w:rsidR="00000000" w:rsidRPr="00000000">
        <w:rPr>
          <w:rFonts w:ascii="Arial" w:cs="Arial" w:eastAsia="Arial" w:hAnsi="Arial"/>
          <w:rtl w:val="0"/>
        </w:rPr>
        <w:t xml:space="preserve">. Jegliche informationstechnische Terminologie dient in der Literatur der reinen Didaktik; ontologisch operiert die Realität auf Basis strikter Differentialgeometrie und Kontinuumsmechanik.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Die Einstein-Kurzer-Gleichung (ERYQ):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zentrale Regelwerk des kausalen Ausgleichs zwischen der 3D-Bran und dem höherdimensionalen Bulk. Sie schließt die kausale Lücke der Standardkosmologie.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Der Bulk-Tensor (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vertAlign w:val="subscript"/>
          <w:rtl w:val="0"/>
        </w:rPr>
        <w:t xml:space="preserve">μν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):</w:t>
      </w:r>
      <w:r w:rsidDel="00000000" w:rsidR="00000000" w:rsidRPr="00000000">
        <w:rPr>
          <w:rFonts w:ascii="Arial" w:cs="Arial" w:eastAsia="Arial" w:hAnsi="Arial"/>
          <w:rtl w:val="0"/>
        </w:rPr>
        <w:t xml:space="preserve"> Dieser Tensor repräsentiert das persistente Reservoir des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geometrischen Drucks</w:t>
      </w:r>
      <w:r w:rsidDel="00000000" w:rsidR="00000000" w:rsidRPr="00000000">
        <w:rPr>
          <w:rFonts w:ascii="Arial" w:cs="Arial" w:eastAsia="Arial" w:hAnsi="Arial"/>
          <w:rtl w:val="0"/>
        </w:rPr>
        <w:t xml:space="preserve">. Jede physikalische Manifestation resultiert aus metrischen Spannungen (σ), die das System mechanisch zum Zustand des minimalen metrischen Widerstands zwingen.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00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Ausschluss der Simulationshypothese:</w:t>
      </w:r>
      <w:r w:rsidDel="00000000" w:rsidR="00000000" w:rsidRPr="00000000">
        <w:rPr>
          <w:rFonts w:ascii="Arial" w:cs="Arial" w:eastAsia="Arial" w:hAnsi="Arial"/>
          <w:rtl w:val="0"/>
        </w:rPr>
        <w:t xml:space="preserve"> Das Universum berechnet keine Zustände. Es existiert keine diskrete Rechenebene. Die Morphologie von Galaxien und die Bindungsenergie subatomarer Teilchen sind fließende, mechanische Reaktionen auf den raumzeitlichen Druck.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