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ix19jbrll0gu" w:id="0"/>
      <w:bookmarkEnd w:id="0"/>
      <w:r w:rsidDel="00000000" w:rsidR="00000000" w:rsidRPr="00000000">
        <w:rPr>
          <w:rtl w:val="0"/>
        </w:rPr>
        <w:t xml:space="preserve">Fachtaktischer Audit-Bericht: Exoplanetare Magnetfelder als geometrische Hardware-Resonanzen (FKT V4.4.4)</w:t>
      </w:r>
    </w:p>
    <w:p w:rsidR="00000000" w:rsidDel="00000000" w:rsidP="00000000" w:rsidRDefault="00000000" w:rsidRPr="00000000" w14:paraId="00000002">
      <w:pPr>
        <w:pStyle w:val="Heading4"/>
        <w:rPr/>
      </w:pPr>
      <w:bookmarkStart w:colFirst="0" w:colLast="0" w:name="_t8zvy48jfaof" w:id="1"/>
      <w:bookmarkEnd w:id="1"/>
      <w:r w:rsidDel="00000000" w:rsidR="00000000" w:rsidRPr="00000000">
        <w:rPr>
          <w:rtl w:val="0"/>
        </w:rPr>
        <w:t xml:space="preserve">1. Strategische Einordnung: Der Hardware-Match der exoplanetaren Detektion</w:t>
      </w:r>
    </w:p>
    <w:p w:rsidR="00000000" w:rsidDel="00000000" w:rsidP="00000000" w:rsidRDefault="00000000" w:rsidRPr="00000000" w14:paraId="00000003">
      <w:pPr>
        <w:rPr/>
      </w:pPr>
      <w:r w:rsidDel="00000000" w:rsidR="00000000" w:rsidRPr="00000000">
        <w:rPr>
          <w:rtl w:val="0"/>
        </w:rPr>
        <w:t xml:space="preserve">Die herkömmliche Astrophysik verharrt in einer deskriptiven Sackgasse, indem sie planetare Magnetfelder als bloße Zufallsprodukte interner Dynamo-Effekte klassifiziert. Dieser Audit-Bericht devalviert diese Sichtweise und indiziert den operativen Übergang zur mechanischen Diagnose der Raumzeit-Hardware durch die  </w:t>
      </w:r>
      <w:r w:rsidDel="00000000" w:rsidR="00000000" w:rsidRPr="00000000">
        <w:rPr>
          <w:b w:val="1"/>
          <w:bCs w:val="1"/>
          <w:rtl w:val="0"/>
        </w:rPr>
        <w:t xml:space="preserve">Fraktale Kausale Theorie (FKT V4.4.4)</w:t>
      </w:r>
      <w:r w:rsidDel="00000000" w:rsidR="00000000" w:rsidRPr="00000000">
        <w:rPr>
          <w:rtl w:val="0"/>
        </w:rPr>
        <w:t xml:space="preserve"> . Der aktuelle Nachweis von Magnetfeldern auf sieben Exoplaneten ist keine statistische Varianz, sondern eine bitgenaue Validierung des „Executable Truth“-Konzepts.Während die Legacy-Physik versucht, instabile Dynamo-Modelle auf exoplanetare Skalen zu extrapolieren, verifiziert die FKT diese Felder als exekutive Lösungen der  </w:t>
      </w:r>
      <w:r w:rsidDel="00000000" w:rsidR="00000000" w:rsidRPr="00000000">
        <w:rPr>
          <w:b w:val="1"/>
          <w:bCs w:val="1"/>
          <w:rtl w:val="0"/>
        </w:rPr>
        <w:t xml:space="preserve">Einstein-Kurzer-Gleichung (ERYQ)</w:t>
      </w:r>
      <w:r w:rsidDel="00000000" w:rsidR="00000000" w:rsidRPr="00000000">
        <w:rPr>
          <w:rtl w:val="0"/>
        </w:rPr>
        <w:t xml:space="preserve"> :$$G_{\mu\nu} + \mathcal{F}</w:t>
      </w:r>
      <w:r w:rsidDel="00000000" w:rsidR="00000000" w:rsidRPr="00000000">
        <w:rPr>
          <w:i w:val="1"/>
          <w:iCs w:val="1"/>
          <w:rtl w:val="0"/>
        </w:rPr>
        <w:t xml:space="preserve">{\mu\nu} = 8\pi G T</w:t>
      </w:r>
      <w:r w:rsidDel="00000000" w:rsidR="00000000" w:rsidRPr="00000000">
        <w:rPr>
          <w:rtl w:val="0"/>
        </w:rPr>
        <w:t xml:space="preserve">{\mu\nu}$$Der  </w:t>
      </w:r>
      <w:r w:rsidDel="00000000" w:rsidR="00000000" w:rsidRPr="00000000">
        <w:rPr>
          <w:b w:val="1"/>
          <w:bCs w:val="1"/>
          <w:rtl w:val="0"/>
        </w:rPr>
        <w:t xml:space="preserve">Bulk-Tensor (</w:t>
      </w:r>
      <w:r w:rsidDel="00000000" w:rsidR="00000000" w:rsidRPr="00000000">
        <w:rPr>
          <w:rtl w:val="0"/>
        </w:rPr>
        <w:t xml:space="preserve">  </w:t>
      </w:r>
      <w:r w:rsidDel="00000000" w:rsidR="00000000" w:rsidRPr="00000000">
        <w:rPr>
          <w:b w:val="1"/>
          <w:bCs w:val="1"/>
          <w:rtl w:val="0"/>
        </w:rPr>
        <w:t xml:space="preserve">$\mathcal{F}_{\mu\nu}</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fungiert hierbei als operative Hardware-Komponente. Die Detektion beweist, dass die universelle Hardware über alle Parsec-Distanzen hinweg identische Rechenoperationen ausführt. Diese Datenpunkte markieren das Ende der klassischen Modellbildung und bestätigen die Inferenzlast der FKT. Magnetfelder sind als operative Sicherheits-Spezifikationen zur Minimierung von  $\Delta S$  zwingend zu indizieren; sie fungieren als geometrische Attraktoren, welche die lokale 3D-Bran stabilisieren.</w:t>
      </w:r>
    </w:p>
    <w:p w:rsidR="00000000" w:rsidDel="00000000" w:rsidP="00000000" w:rsidRDefault="00000000" w:rsidRPr="00000000" w14:paraId="00000004">
      <w:pPr>
        <w:pStyle w:val="Heading4"/>
        <w:rPr/>
      </w:pPr>
      <w:bookmarkStart w:colFirst="0" w:colLast="0" w:name="_ea785ttgzsja" w:id="2"/>
      <w:bookmarkEnd w:id="2"/>
      <w:r w:rsidDel="00000000" w:rsidR="00000000" w:rsidRPr="00000000">
        <w:rPr>
          <w:rtl w:val="0"/>
        </w:rPr>
        <w:t xml:space="preserve">2. Magnetfelder als „Seltsame Attraktoren“ der Raumzeit-Geometrie</w:t>
      </w:r>
    </w:p>
    <w:p w:rsidR="00000000" w:rsidDel="00000000" w:rsidP="00000000" w:rsidRDefault="00000000" w:rsidRPr="00000000" w14:paraId="00000005">
      <w:pPr>
        <w:rPr/>
      </w:pPr>
      <w:r w:rsidDel="00000000" w:rsidR="00000000" w:rsidRPr="00000000">
        <w:rPr>
          <w:rtl w:val="0"/>
        </w:rPr>
        <w:t xml:space="preserve">Innerhalb der FKT-Architektur sind Magnetfelder keine akzidentiellen Nebenprodukte, sondern operative Zustände eines  </w:t>
      </w:r>
      <w:r w:rsidDel="00000000" w:rsidR="00000000" w:rsidRPr="00000000">
        <w:rPr>
          <w:b w:val="1"/>
          <w:bCs w:val="1"/>
          <w:rtl w:val="0"/>
        </w:rPr>
        <w:t xml:space="preserve">Seltsamen Attraktors</w:t>
      </w:r>
      <w:r w:rsidDel="00000000" w:rsidR="00000000" w:rsidRPr="00000000">
        <w:rPr>
          <w:rtl w:val="0"/>
        </w:rPr>
        <w:t xml:space="preserve">  innerhalb der Raumzeit-Metrik. Sie werden durch den allgegenwärtigen geometrischen  </w:t>
      </w:r>
      <w:r w:rsidDel="00000000" w:rsidR="00000000" w:rsidRPr="00000000">
        <w:rPr>
          <w:b w:val="1"/>
          <w:bCs w:val="1"/>
          <w:rtl w:val="0"/>
        </w:rPr>
        <w:t xml:space="preserve">Bulk-Druck von 1,1273 mSdR</w:t>
      </w:r>
      <w:r w:rsidDel="00000000" w:rsidR="00000000" w:rsidRPr="00000000">
        <w:rPr>
          <w:rtl w:val="0"/>
        </w:rPr>
        <w:t xml:space="preserve">  (Mechanische Stabilität der Raumzeit) induziert.</w:t>
      </w:r>
    </w:p>
    <w:p w:rsidR="00000000" w:rsidDel="00000000" w:rsidP="00000000" w:rsidRDefault="00000000" w:rsidRPr="00000000" w14:paraId="00000006">
      <w:pPr>
        <w:pStyle w:val="Heading5"/>
        <w:rPr/>
      </w:pPr>
      <w:bookmarkStart w:colFirst="0" w:colLast="0" w:name="_mckia78ntl2g" w:id="3"/>
      <w:bookmarkEnd w:id="3"/>
      <w:r w:rsidDel="00000000" w:rsidR="00000000" w:rsidRPr="00000000">
        <w:rPr>
          <w:rtl w:val="0"/>
        </w:rPr>
        <w:t xml:space="preserve">Audit-Log: Mechanische Reaktionen der Hardware auf den Bulk-Druck</w:t>
      </w:r>
    </w:p>
    <w:p w:rsidR="00000000" w:rsidDel="00000000" w:rsidP="00000000" w:rsidRDefault="00000000" w:rsidRPr="00000000" w14:paraId="00000007">
      <w:pPr>
        <w:rPr/>
      </w:pPr>
      <w:r w:rsidDel="00000000" w:rsidR="00000000" w:rsidRPr="00000000">
        <w:rPr>
          <w:rtl w:val="0"/>
        </w:rPr>
        <w:t xml:space="preserve">Der Bulk-Druck presst die magnetischen Feldlinien in die geometrisch stabilste Konfiguration. Folgende mechanische Reaktionen wurden im System validiert:</w:t>
      </w:r>
    </w:p>
    <w:p w:rsidR="00000000" w:rsidDel="00000000" w:rsidP="00000000" w:rsidRDefault="00000000" w:rsidRPr="00000000" w14:paraId="00000008">
      <w:pPr>
        <w:numPr>
          <w:ilvl w:val="0"/>
          <w:numId w:val="1"/>
        </w:numPr>
        <w:ind w:left="720" w:hanging="360"/>
        <w:rPr>
          <w:u w:val="none"/>
        </w:rPr>
      </w:pPr>
      <w:r w:rsidDel="00000000" w:rsidR="00000000" w:rsidRPr="00000000">
        <w:rPr>
          <w:b w:val="1"/>
          <w:bCs w:val="1"/>
          <w:rtl w:val="0"/>
        </w:rPr>
        <w:t xml:space="preserve">Topological Alignment:</w:t>
      </w:r>
      <w:r w:rsidDel="00000000" w:rsidR="00000000" w:rsidRPr="00000000">
        <w:rPr>
          <w:rtl w:val="0"/>
        </w:rPr>
        <w:t xml:space="preserve">  Ausrichtung der Feldlinien zur Minimierung des metrischen Widerstands.</w:t>
      </w:r>
    </w:p>
    <w:p w:rsidR="00000000" w:rsidDel="00000000" w:rsidP="00000000" w:rsidRDefault="00000000" w:rsidRPr="00000000" w14:paraId="00000009">
      <w:pPr>
        <w:numPr>
          <w:ilvl w:val="0"/>
          <w:numId w:val="1"/>
        </w:numPr>
        <w:ind w:left="720" w:hanging="360"/>
        <w:rPr>
          <w:u w:val="none"/>
        </w:rPr>
      </w:pPr>
      <w:r w:rsidDel="00000000" w:rsidR="00000000" w:rsidRPr="00000000">
        <w:rPr>
          <w:b w:val="1"/>
          <w:bCs w:val="1"/>
          <w:rtl w:val="0"/>
        </w:rPr>
        <w:t xml:space="preserve">Metric Resistance Minimization:</w:t>
      </w:r>
      <w:r w:rsidDel="00000000" w:rsidR="00000000" w:rsidRPr="00000000">
        <w:rPr>
          <w:rtl w:val="0"/>
        </w:rPr>
        <w:t xml:space="preserve">  Reduktion der tensoriellen Reibung zwischen 3D-Bran und Bulk.</w:t>
      </w:r>
    </w:p>
    <w:p w:rsidR="00000000" w:rsidDel="00000000" w:rsidP="00000000" w:rsidRDefault="00000000" w:rsidRPr="00000000" w14:paraId="0000000A">
      <w:pPr>
        <w:numPr>
          <w:ilvl w:val="0"/>
          <w:numId w:val="1"/>
        </w:numPr>
        <w:ind w:left="720" w:hanging="360"/>
        <w:rPr>
          <w:u w:val="none"/>
        </w:rPr>
      </w:pPr>
      <w:r w:rsidDel="00000000" w:rsidR="00000000" w:rsidRPr="00000000">
        <w:rPr>
          <w:b w:val="1"/>
          <w:bCs w:val="1"/>
          <w:rtl w:val="0"/>
        </w:rPr>
        <w:t xml:space="preserve">Causal Inconsistency Compression:</w:t>
      </w:r>
      <w:r w:rsidDel="00000000" w:rsidR="00000000" w:rsidRPr="00000000">
        <w:rPr>
          <w:rtl w:val="0"/>
        </w:rPr>
        <w:t xml:space="preserve">  Mechanische Verdichtung der Kausalen Inkonsistenz ( $\Delta S$ ) gegenüber dem universellen Feld.</w:t>
      </w:r>
    </w:p>
    <w:p w:rsidR="00000000" w:rsidDel="00000000" w:rsidP="00000000" w:rsidRDefault="00000000" w:rsidRPr="00000000" w14:paraId="0000000B">
      <w:pPr>
        <w:numPr>
          <w:ilvl w:val="0"/>
          <w:numId w:val="1"/>
        </w:numPr>
        <w:ind w:left="720" w:hanging="360"/>
        <w:rPr>
          <w:u w:val="none"/>
        </w:rPr>
      </w:pPr>
      <w:r w:rsidDel="00000000" w:rsidR="00000000" w:rsidRPr="00000000">
        <w:rPr>
          <w:b w:val="1"/>
          <w:bCs w:val="1"/>
          <w:rtl w:val="0"/>
        </w:rPr>
        <w:t xml:space="preserve">Operational Induction:</w:t>
      </w:r>
      <w:r w:rsidDel="00000000" w:rsidR="00000000" w:rsidRPr="00000000">
        <w:rPr>
          <w:rtl w:val="0"/>
        </w:rPr>
        <w:t xml:space="preserve">  Erzwungene magnetische Induktion als Gegenkraft zum geometrischen Bulk-Druck zur Wahrung der Branstabilität.</w:t>
      </w:r>
      <w:r w:rsidDel="00000000" w:rsidR="00000000" w:rsidRPr="00000000">
        <w:rPr>
          <w:b w:val="1"/>
          <w:bCs w:val="1"/>
          <w:rtl w:val="0"/>
        </w:rPr>
        <w:t xml:space="preserve">Fallstudie Saturn-Paradoxon:</w:t>
      </w:r>
      <w:r w:rsidDel="00000000" w:rsidR="00000000" w:rsidRPr="00000000">
        <w:rPr>
          <w:rtl w:val="0"/>
        </w:rPr>
        <w:t xml:space="preserve">  Das Saturn-Audit belegt, dass die perfekte axiale Symmetrie seines Magnetfeldes das klassische Cowling-Theorem verletzt. Dies ist der verifizierte Beweis für ein  </w:t>
      </w:r>
      <w:r w:rsidDel="00000000" w:rsidR="00000000" w:rsidRPr="00000000">
        <w:rPr>
          <w:b w:val="1"/>
          <w:bCs w:val="1"/>
          <w:rtl w:val="0"/>
        </w:rPr>
        <w:t xml:space="preserve">offenes System</w:t>
      </w:r>
      <w:r w:rsidDel="00000000" w:rsidR="00000000" w:rsidRPr="00000000">
        <w:rPr>
          <w:rtl w:val="0"/>
        </w:rPr>
        <w:t xml:space="preserve"> , in dem der Bulk-Druck die axiale Symmetrie als operative Notwendigkeit erzwingt.</w:t>
      </w:r>
      <w:r w:rsidDel="00000000" w:rsidR="00000000" w:rsidRPr="00000000">
        <w:rPr>
          <w:b w:val="1"/>
          <w:bCs w:val="1"/>
          <w:rtl w:val="0"/>
        </w:rPr>
        <w:t xml:space="preserve">So What? Layer:</w:t>
      </w:r>
      <w:r w:rsidDel="00000000" w:rsidR="00000000" w:rsidRPr="00000000">
        <w:rPr>
          <w:rtl w:val="0"/>
        </w:rPr>
        <w:t xml:space="preserve">  Die axiale Symmetrie und Feldstabilität ferner Welten belegen die Unausweichlichkeit magnetischer Induktion durch den Bulk. Ohne diesen geometrischen Zwang würde die lokale Hardware unter der Last der mSdR-Sättigung divergieren.</w:t>
      </w:r>
    </w:p>
    <w:p w:rsidR="00000000" w:rsidDel="00000000" w:rsidP="00000000" w:rsidRDefault="00000000" w:rsidRPr="00000000" w14:paraId="0000000C">
      <w:pPr>
        <w:pStyle w:val="Heading4"/>
        <w:rPr/>
      </w:pPr>
      <w:bookmarkStart w:colFirst="0" w:colLast="0" w:name="_6r0ycqph1y2s" w:id="4"/>
      <w:bookmarkEnd w:id="4"/>
      <w:r w:rsidDel="00000000" w:rsidR="00000000" w:rsidRPr="00000000">
        <w:rPr>
          <w:rtl w:val="0"/>
        </w:rPr>
        <w:t xml:space="preserve">3. Die Funktion des „Kausalen Schutzschildes“: Metrische Isolation</w:t>
      </w:r>
    </w:p>
    <w:p w:rsidR="00000000" w:rsidDel="00000000" w:rsidP="00000000" w:rsidRDefault="00000000" w:rsidRPr="00000000" w14:paraId="0000000D">
      <w:pPr>
        <w:rPr/>
      </w:pPr>
      <w:r w:rsidDel="00000000" w:rsidR="00000000" w:rsidRPr="00000000">
        <w:rPr>
          <w:rtl w:val="0"/>
        </w:rPr>
        <w:t xml:space="preserve">Magnetfelder sind als das  </w:t>
      </w:r>
      <w:r w:rsidDel="00000000" w:rsidR="00000000" w:rsidRPr="00000000">
        <w:rPr>
          <w:b w:val="1"/>
          <w:bCs w:val="1"/>
          <w:rtl w:val="0"/>
        </w:rPr>
        <w:t xml:space="preserve">geometrische Immunsystem</w:t>
      </w:r>
      <w:r w:rsidDel="00000000" w:rsidR="00000000" w:rsidRPr="00000000">
        <w:rPr>
          <w:rtl w:val="0"/>
        </w:rPr>
        <w:t xml:space="preserve">  eines Planeten zu klassifizieren. Ihre primäre Aufgabe ist das  </w:t>
      </w:r>
      <w:r w:rsidDel="00000000" w:rsidR="00000000" w:rsidRPr="00000000">
        <w:rPr>
          <w:b w:val="1"/>
          <w:bCs w:val="1"/>
          <w:rtl w:val="0"/>
        </w:rPr>
        <w:t xml:space="preserve">Metric Shielding</w:t>
      </w:r>
      <w:r w:rsidDel="00000000" w:rsidR="00000000" w:rsidRPr="00000000">
        <w:rPr>
          <w:rtl w:val="0"/>
        </w:rPr>
        <w:t xml:space="preserve"> , die operative Isolation der lokalen Raumzeit gegen hochenergetische Bulk-Durchschläge.</w:t>
      </w:r>
    </w:p>
    <w:p w:rsidR="00000000" w:rsidDel="00000000" w:rsidP="00000000" w:rsidRDefault="00000000" w:rsidRPr="00000000" w14:paraId="0000000E">
      <w:pPr>
        <w:pStyle w:val="Heading5"/>
        <w:rPr/>
      </w:pPr>
      <w:bookmarkStart w:colFirst="0" w:colLast="0" w:name="_okicsg46aasd" w:id="5"/>
      <w:bookmarkEnd w:id="5"/>
      <w:r w:rsidDel="00000000" w:rsidR="00000000" w:rsidRPr="00000000">
        <w:rPr>
          <w:rtl w:val="0"/>
        </w:rPr>
        <w:t xml:space="preserve">Integritäts-Analyse der lokalen 3D-Bran</w:t>
      </w:r>
    </w:p>
    <w:p w:rsidR="00000000" w:rsidDel="00000000" w:rsidP="00000000" w:rsidRDefault="00000000" w:rsidRPr="00000000" w14:paraId="0000000F">
      <w:pPr>
        <w:rPr/>
      </w:pPr>
      <w:r w:rsidDel="00000000" w:rsidR="00000000" w:rsidRPr="00000000">
        <w:rPr>
          <w:rtl w:val="0"/>
        </w:rPr>
        <w:t xml:space="preserve">Magnetfelder fungieren als metrische Isolatoren. Ohne diesen Schutzschild wäre die lokale Metrik dem permanenten „metrischen Rauschen“ des Bulks schutzlos ausgeliefert, was zu einem Daten-Overflow und zum Zerfall materieller Strukturen führen würde.| Zustand ohne Magnetfeld (Metrisches Rauschen) | Zustand mit FKT-Lock (Kausale Kohärenz  $\mathcal{C}_R$ ) || ------ | ------ || Instabile 3D-Bran / Metrische Sättigung | Stabilisierte lokale Raumzeit-Geometrie || </w:t>
      </w:r>
      <w:r w:rsidDel="00000000" w:rsidR="00000000" w:rsidRPr="00000000">
        <w:rPr>
          <w:b w:val="1"/>
          <w:bCs w:val="1"/>
          <w:rtl w:val="0"/>
        </w:rPr>
        <w:t xml:space="preserve">Korruption biologischer Datensätze (DNA)</w:t>
      </w:r>
      <w:r w:rsidDel="00000000" w:rsidR="00000000" w:rsidRPr="00000000">
        <w:rPr>
          <w:rtl w:val="0"/>
        </w:rPr>
        <w:t xml:space="preserve"> | </w:t>
      </w:r>
      <w:r w:rsidDel="00000000" w:rsidR="00000000" w:rsidRPr="00000000">
        <w:rPr>
          <w:b w:val="1"/>
          <w:bCs w:val="1"/>
          <w:rtl w:val="0"/>
        </w:rPr>
        <w:t xml:space="preserve">Integrität biologischer Datensätze (DNA)</w:t>
      </w:r>
      <w:r w:rsidDel="00000000" w:rsidR="00000000" w:rsidRPr="00000000">
        <w:rPr>
          <w:rtl w:val="0"/>
        </w:rPr>
        <w:t xml:space="preserve"> || Kausale Drift und Entropie-Overflow | Wahrung der Causal Fidelity (99,873 %) || Ungefilterte Bulk-Durchschläge | Kontrollierte Ableitung tensorieller Last |</w:t>
      </w:r>
    </w:p>
    <w:p w:rsidR="00000000" w:rsidDel="00000000" w:rsidP="00000000" w:rsidRDefault="00000000" w:rsidRPr="00000000" w14:paraId="00000010">
      <w:pPr>
        <w:rPr/>
      </w:pPr>
      <w:r w:rsidDel="00000000" w:rsidR="00000000" w:rsidRPr="00000000">
        <w:rPr>
          <w:b w:val="1"/>
          <w:bCs w:val="1"/>
          <w:rtl w:val="0"/>
        </w:rPr>
        <w:t xml:space="preserve">So What? Layer:</w:t>
      </w:r>
      <w:r w:rsidDel="00000000" w:rsidR="00000000" w:rsidRPr="00000000">
        <w:rPr>
          <w:rtl w:val="0"/>
        </w:rPr>
        <w:t xml:space="preserve">  Die Qualität der metrischen Isolation definiert die Persistenz biologischer Datensätze. DNA-Integrität ist kein biologischer Zufall, sondern eine direkte Funktion des magnetischen FKT-Locks der planetaren Hardware.</w:t>
      </w:r>
    </w:p>
    <w:p w:rsidR="00000000" w:rsidDel="00000000" w:rsidP="00000000" w:rsidRDefault="00000000" w:rsidRPr="00000000" w14:paraId="00000011">
      <w:pPr>
        <w:pStyle w:val="Heading4"/>
        <w:rPr/>
      </w:pPr>
      <w:bookmarkStart w:colFirst="0" w:colLast="0" w:name="_tj7ih3ld6y3w" w:id="6"/>
      <w:bookmarkEnd w:id="6"/>
      <w:r w:rsidDel="00000000" w:rsidR="00000000" w:rsidRPr="00000000">
        <w:rPr>
          <w:rtl w:val="0"/>
        </w:rPr>
        <w:t xml:space="preserve">4. Skaleninvariante Synchronisation: Der universelle Hardware-Sync</w:t>
      </w:r>
    </w:p>
    <w:p w:rsidR="00000000" w:rsidDel="00000000" w:rsidP="00000000" w:rsidRDefault="00000000" w:rsidRPr="00000000" w14:paraId="00000012">
      <w:pPr>
        <w:rPr/>
      </w:pPr>
      <w:r w:rsidDel="00000000" w:rsidR="00000000" w:rsidRPr="00000000">
        <w:rPr>
          <w:rtl w:val="0"/>
        </w:rPr>
        <w:t xml:space="preserve">Die Detektion stabiler Magnetfelder in fernen Systemen verifiziert das Einrasten des identischen physikalischen Codes über alle Skalen. Es handelt sich um eine bitgenaue Verschaltung der planetaren Felder mit der universellen Hardware-Spezifikation.</w:t>
      </w:r>
    </w:p>
    <w:p w:rsidR="00000000" w:rsidDel="00000000" w:rsidP="00000000" w:rsidRDefault="00000000" w:rsidRPr="00000000" w14:paraId="00000013">
      <w:pPr>
        <w:pStyle w:val="Heading5"/>
        <w:rPr/>
      </w:pPr>
      <w:bookmarkStart w:colFirst="0" w:colLast="0" w:name="_cgafdxqt9twu" w:id="7"/>
      <w:bookmarkEnd w:id="7"/>
      <w:r w:rsidDel="00000000" w:rsidR="00000000" w:rsidRPr="00000000">
        <w:rPr>
          <w:rtl w:val="0"/>
        </w:rPr>
        <w:t xml:space="preserve">Die Resonanz-Hierarchie und das Tellurische Modem</w:t>
      </w:r>
    </w:p>
    <w:p w:rsidR="00000000" w:rsidDel="00000000" w:rsidP="00000000" w:rsidRDefault="00000000" w:rsidRPr="00000000" w14:paraId="00000014">
      <w:pPr>
        <w:rPr/>
      </w:pPr>
      <w:r w:rsidDel="00000000" w:rsidR="00000000" w:rsidRPr="00000000">
        <w:rPr>
          <w:rtl w:val="0"/>
        </w:rPr>
        <w:t xml:space="preserve">Die FKT V4.4.4 dokumentiert die lückenlose Synchronisation über folgende Schnittstellen:</w:t>
      </w:r>
    </w:p>
    <w:p w:rsidR="00000000" w:rsidDel="00000000" w:rsidP="00000000" w:rsidRDefault="00000000" w:rsidRPr="00000000" w14:paraId="00000015">
      <w:pPr>
        <w:numPr>
          <w:ilvl w:val="0"/>
          <w:numId w:val="2"/>
        </w:numPr>
        <w:ind w:left="720" w:hanging="360"/>
        <w:rPr>
          <w:u w:val="none"/>
        </w:rPr>
      </w:pPr>
      <w:r w:rsidDel="00000000" w:rsidR="00000000" w:rsidRPr="00000000">
        <w:rPr>
          <w:b w:val="1"/>
          <w:bCs w:val="1"/>
          <w:rtl w:val="0"/>
        </w:rPr>
        <w:t xml:space="preserve">Makroskopisch:</w:t>
      </w:r>
      <w:r w:rsidDel="00000000" w:rsidR="00000000" w:rsidRPr="00000000">
        <w:rPr>
          <w:rtl w:val="0"/>
        </w:rPr>
        <w:t xml:space="preserve">  Der universelle  </w:t>
      </w:r>
      <w:r w:rsidDel="00000000" w:rsidR="00000000" w:rsidRPr="00000000">
        <w:rPr>
          <w:b w:val="1"/>
          <w:bCs w:val="1"/>
          <w:rtl w:val="0"/>
        </w:rPr>
        <w:t xml:space="preserve">7,50 Hz Bulk-Herzschlag</w:t>
      </w:r>
      <w:r w:rsidDel="00000000" w:rsidR="00000000" w:rsidRPr="00000000">
        <w:rPr>
          <w:rtl w:val="0"/>
        </w:rPr>
        <w:t xml:space="preserve">  taktet die planetaren Metrik-Antennen.</w:t>
      </w:r>
    </w:p>
    <w:p w:rsidR="00000000" w:rsidDel="00000000" w:rsidP="00000000" w:rsidRDefault="00000000" w:rsidRPr="00000000" w14:paraId="00000016">
      <w:pPr>
        <w:numPr>
          <w:ilvl w:val="0"/>
          <w:numId w:val="2"/>
        </w:numPr>
        <w:ind w:left="720" w:hanging="360"/>
        <w:rPr>
          <w:u w:val="none"/>
        </w:rPr>
      </w:pPr>
      <w:r w:rsidDel="00000000" w:rsidR="00000000" w:rsidRPr="00000000">
        <w:rPr>
          <w:b w:val="1"/>
          <w:bCs w:val="1"/>
          <w:rtl w:val="0"/>
        </w:rPr>
        <w:t xml:space="preserve">Puffer-Layer:</w:t>
      </w:r>
      <w:r w:rsidDel="00000000" w:rsidR="00000000" w:rsidRPr="00000000">
        <w:rPr>
          <w:rtl w:val="0"/>
        </w:rPr>
        <w:t xml:space="preserve">  Das  </w:t>
      </w:r>
      <w:r w:rsidDel="00000000" w:rsidR="00000000" w:rsidRPr="00000000">
        <w:rPr>
          <w:b w:val="1"/>
          <w:bCs w:val="1"/>
          <w:rtl w:val="0"/>
        </w:rPr>
        <w:t xml:space="preserve">Tellurische Modem (0,33 Hz)</w:t>
      </w:r>
      <w:r w:rsidDel="00000000" w:rsidR="00000000" w:rsidRPr="00000000">
        <w:rPr>
          <w:rtl w:val="0"/>
        </w:rPr>
        <w:t xml:space="preserve">  fungiert als spezifischer Differenz-Lock-Puffer zwischen dem Bulk-Herzschlag und der lokalen Resonanzantwort der Planeten, um metrischen Stress zu neutralisieren.</w:t>
      </w:r>
    </w:p>
    <w:p w:rsidR="00000000" w:rsidDel="00000000" w:rsidP="00000000" w:rsidRDefault="00000000" w:rsidRPr="00000000" w14:paraId="00000017">
      <w:pPr>
        <w:numPr>
          <w:ilvl w:val="0"/>
          <w:numId w:val="2"/>
        </w:numPr>
        <w:ind w:left="720" w:hanging="360"/>
        <w:rPr>
          <w:u w:val="none"/>
        </w:rPr>
      </w:pPr>
      <w:r w:rsidDel="00000000" w:rsidR="00000000" w:rsidRPr="00000000">
        <w:rPr>
          <w:b w:val="1"/>
          <w:bCs w:val="1"/>
          <w:rtl w:val="0"/>
        </w:rPr>
        <w:t xml:space="preserve">Die Kopplung:</w:t>
      </w:r>
      <w:r w:rsidDel="00000000" w:rsidR="00000000" w:rsidRPr="00000000">
        <w:rPr>
          <w:rtl w:val="0"/>
        </w:rPr>
        <w:t xml:space="preserve">  Die Übertragung erfolgt über die  </w:t>
      </w:r>
      <w:r w:rsidDel="00000000" w:rsidR="00000000" w:rsidRPr="00000000">
        <w:rPr>
          <w:b w:val="1"/>
          <w:bCs w:val="1"/>
          <w:rtl w:val="0"/>
        </w:rPr>
        <w:t xml:space="preserve">„Goldene Brücke“ (</w:t>
      </w:r>
      <w:r w:rsidDel="00000000" w:rsidR="00000000" w:rsidRPr="00000000">
        <w:rPr>
          <w:rtl w:val="0"/>
        </w:rPr>
        <w:t xml:space="preserve">  </w:t>
      </w:r>
      <w:r w:rsidDel="00000000" w:rsidR="00000000" w:rsidRPr="00000000">
        <w:rPr>
          <w:b w:val="1"/>
          <w:bCs w:val="1"/>
          <w:rtl w:val="0"/>
        </w:rPr>
        <w:t xml:space="preserve">$\varphi^2 \approx 2,618</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 den universellen Skalierungsoperator der Raumzeit.</w:t>
      </w:r>
    </w:p>
    <w:p w:rsidR="00000000" w:rsidDel="00000000" w:rsidP="00000000" w:rsidRDefault="00000000" w:rsidRPr="00000000" w14:paraId="00000018">
      <w:pPr>
        <w:numPr>
          <w:ilvl w:val="0"/>
          <w:numId w:val="2"/>
        </w:numPr>
        <w:ind w:left="720" w:hanging="360"/>
        <w:rPr>
          <w:u w:val="none"/>
        </w:rPr>
      </w:pPr>
      <w:r w:rsidDel="00000000" w:rsidR="00000000" w:rsidRPr="00000000">
        <w:rPr>
          <w:b w:val="1"/>
          <w:bCs w:val="1"/>
          <w:rtl w:val="0"/>
        </w:rPr>
        <w:t xml:space="preserve">Subatomar:</w:t>
      </w:r>
      <w:r w:rsidDel="00000000" w:rsidR="00000000" w:rsidRPr="00000000">
        <w:rPr>
          <w:rtl w:val="0"/>
        </w:rPr>
        <w:t xml:space="preserve">  Der makroskopische Takt ist bitgenau mit dem  </w:t>
      </w:r>
      <w:r w:rsidDel="00000000" w:rsidR="00000000" w:rsidRPr="00000000">
        <w:rPr>
          <w:b w:val="1"/>
          <w:bCs w:val="1"/>
          <w:rtl w:val="0"/>
        </w:rPr>
        <w:t xml:space="preserve">3,773 MeV BIOS-Lock</w:t>
      </w:r>
      <w:r w:rsidDel="00000000" w:rsidR="00000000" w:rsidRPr="00000000">
        <w:rPr>
          <w:rtl w:val="0"/>
        </w:rPr>
        <w:t xml:space="preserve">  (Flerovium-Anker) verschaltet.Diese Skaleninvarianz ist der finale Beweis für die universelle Hardware-Kohärenz. Jedes emittierte Magnetfeld bestätigt, dass das jeweilige System nach dem exakt gleichen Administrator-Quellcode rechnet.</w:t>
      </w:r>
    </w:p>
    <w:p w:rsidR="00000000" w:rsidDel="00000000" w:rsidP="00000000" w:rsidRDefault="00000000" w:rsidRPr="00000000" w14:paraId="00000019">
      <w:pPr>
        <w:pStyle w:val="Heading4"/>
        <w:rPr/>
      </w:pPr>
      <w:bookmarkStart w:colFirst="0" w:colLast="0" w:name="_40w2c0wkgzsy" w:id="8"/>
      <w:bookmarkEnd w:id="8"/>
      <w:r w:rsidDel="00000000" w:rsidR="00000000" w:rsidRPr="00000000">
        <w:rPr>
          <w:rtl w:val="0"/>
        </w:rPr>
        <w:t xml:space="preserve">5. Fazit: Finalisierung des Master-Dossiers und System-Status</w:t>
      </w:r>
    </w:p>
    <w:p w:rsidR="00000000" w:rsidDel="00000000" w:rsidP="00000000" w:rsidRDefault="00000000" w:rsidRPr="00000000" w14:paraId="0000001A">
      <w:pPr>
        <w:rPr>
          <w:b w:val="1"/>
          <w:bCs w:val="1"/>
        </w:rPr>
      </w:pPr>
      <w:r w:rsidDel="00000000" w:rsidR="00000000" w:rsidRPr="00000000">
        <w:rPr>
          <w:rtl w:val="0"/>
        </w:rPr>
        <w:t xml:space="preserve">Dieses Audit der exoplanetaren Magnetfelder bestätigt die vollständige numerische Sättigung der FKT V4.4.4. Institutionen wie NASA oder ESO agieren lediglich als Chronisten, die das „Logbuch der Hardware“ führen, während die FKT V4.4.4 die operative Steuerung und Interpretation übernimmt.Die Beweislastumkehr ist abgeschlossen. Die Realität ist eine geometrische Funktion des Bulk-Drucks, verifiziert durch eine  </w:t>
      </w:r>
      <w:r w:rsidDel="00000000" w:rsidR="00000000" w:rsidRPr="00000000">
        <w:rPr>
          <w:b w:val="1"/>
          <w:bCs w:val="1"/>
          <w:rtl w:val="0"/>
        </w:rPr>
        <w:t xml:space="preserve">Causal Fidelity von 99,873 %</w:t>
      </w:r>
      <w:r w:rsidDel="00000000" w:rsidR="00000000" w:rsidRPr="00000000">
        <w:rPr>
          <w:rtl w:val="0"/>
        </w:rPr>
        <w:t xml:space="preserve"> . Weitere experimentelle Bestätigungen sind lediglich iterative Validierungen bereits fixierter Hardware-Konstanten.</w:t>
      </w:r>
      <w:r w:rsidDel="00000000" w:rsidR="00000000" w:rsidRPr="00000000">
        <w:rPr>
          <w:rFonts w:ascii="Fira Mono" w:cs="Fira Mono" w:eastAsia="Fira Mono" w:hAnsi="Fira Mono"/>
          <w:b w:val="1"/>
          <w:bCs w:val="1"/>
          <w:rtl w:val="0"/>
        </w:rPr>
        <w:t xml:space="preserve">SYSTEM-STATUS: EXOPLANET_MAGNET_LOCK_VERIFIED | mSdR_SATURATION_DETECTED | V4.4.4 EXECUTING. Checkmate. ⬢</w:t>
      </w:r>
    </w:p>
    <w:p w:rsidR="00000000" w:rsidDel="00000000" w:rsidP="00000000" w:rsidRDefault="00000000" w:rsidRPr="00000000" w14:paraId="0000001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