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7y2x4oh59lz" w:id="0"/>
      <w:bookmarkEnd w:id="0"/>
      <w:r w:rsidDel="00000000" w:rsidR="00000000" w:rsidRPr="00000000">
        <w:rPr>
          <w:rtl w:val="0"/>
        </w:rPr>
        <w:t xml:space="preserve">Fachtechnischer Audit-Bericht: Die operative Grenzstabilität von 1,1273 mSdR am Ereignishorizont</w:t>
      </w:r>
    </w:p>
    <w:p w:rsidR="00000000" w:rsidDel="00000000" w:rsidP="00000000" w:rsidRDefault="00000000" w:rsidRPr="00000000" w14:paraId="00000002">
      <w:pPr>
        <w:rPr/>
      </w:pPr>
      <w:r w:rsidDel="00000000" w:rsidR="00000000" w:rsidRPr="00000000">
        <w:rPr>
          <w:b w:val="1"/>
          <w:bCs w:val="1"/>
          <w:rtl w:val="0"/>
        </w:rPr>
        <w:t xml:space="preserve">Datum:</w:t>
      </w:r>
      <w:r w:rsidDel="00000000" w:rsidR="00000000" w:rsidRPr="00000000">
        <w:rPr>
          <w:rtl w:val="0"/>
        </w:rPr>
        <w:t xml:space="preserve">  24. Mai 2026</w:t>
      </w:r>
      <w:r w:rsidDel="00000000" w:rsidR="00000000" w:rsidRPr="00000000">
        <w:rPr>
          <w:b w:val="1"/>
          <w:bCs w:val="1"/>
          <w:rtl w:val="0"/>
        </w:rPr>
        <w:t xml:space="preserve">Erstellt von:</w:t>
      </w:r>
      <w:r w:rsidDel="00000000" w:rsidR="00000000" w:rsidRPr="00000000">
        <w:rPr>
          <w:rtl w:val="0"/>
        </w:rPr>
        <w:t xml:space="preserve">  Chef-Analyst für Theoretische Physik und Kausale Auditierung</w:t>
      </w:r>
      <w:r w:rsidDel="00000000" w:rsidR="00000000" w:rsidRPr="00000000">
        <w:rPr>
          <w:b w:val="1"/>
          <w:bCs w:val="1"/>
          <w:rtl w:val="0"/>
        </w:rPr>
        <w:t xml:space="preserve">Spezialisierung:</w:t>
      </w:r>
      <w:r w:rsidDel="00000000" w:rsidR="00000000" w:rsidRPr="00000000">
        <w:rPr>
          <w:rtl w:val="0"/>
        </w:rPr>
        <w:t xml:space="preserve">  Fraktale Kausale Theorie (FKT V4.4.4)</w:t>
      </w:r>
      <w:r w:rsidDel="00000000" w:rsidR="00000000" w:rsidRPr="00000000">
        <w:rPr>
          <w:b w:val="1"/>
          <w:bCs w:val="1"/>
          <w:rtl w:val="0"/>
        </w:rPr>
        <w:t xml:space="preserve">Status:</w:t>
      </w:r>
      <w:r w:rsidDel="00000000" w:rsidR="00000000" w:rsidRPr="00000000">
        <w:rPr>
          <w:rtl w:val="0"/>
        </w:rPr>
        <w:t xml:space="preserve">  VALIDIERTER PRÜFBERICHT (Audit-Release)</w:t>
      </w:r>
    </w:p>
    <w:p w:rsidR="00000000" w:rsidDel="00000000" w:rsidP="00000000" w:rsidRDefault="00000000" w:rsidRPr="00000000" w14:paraId="00000003">
      <w:pPr>
        <w:pStyle w:val="Heading4"/>
        <w:rPr/>
      </w:pPr>
      <w:bookmarkStart w:colFirst="0" w:colLast="0" w:name="_oqxf3ttqrewp" w:id="1"/>
      <w:bookmarkEnd w:id="1"/>
      <w:r w:rsidDel="00000000" w:rsidR="00000000" w:rsidRPr="00000000">
        <w:rPr>
          <w:rtl w:val="0"/>
        </w:rPr>
        <w:t xml:space="preserve">1. Einleitung: Die Geometrische Sättigung als Paradigmenwechsel</w:t>
      </w:r>
    </w:p>
    <w:p w:rsidR="00000000" w:rsidDel="00000000" w:rsidP="00000000" w:rsidRDefault="00000000" w:rsidRPr="00000000" w14:paraId="00000004">
      <w:pPr>
        <w:rPr/>
      </w:pPr>
      <w:r w:rsidDel="00000000" w:rsidR="00000000" w:rsidRPr="00000000">
        <w:rPr>
          <w:rtl w:val="0"/>
        </w:rPr>
        <w:t xml:space="preserve">Innerhalb der klassischen Astrophysik ( $\Lambda$ CDM) markiert der Ereignishorizont den totalen mathematischen Zusammenbruch – einen Singularitäts-Status, der in der numerischen Simulation als „NaN-Error“ terminiert. Die  </w:t>
      </w:r>
      <w:r w:rsidDel="00000000" w:rsidR="00000000" w:rsidRPr="00000000">
        <w:rPr>
          <w:b w:val="1"/>
          <w:bCs w:val="1"/>
          <w:rtl w:val="0"/>
        </w:rPr>
        <w:t xml:space="preserve">Fraktale Kausale Theorie (FKT)</w:t>
      </w:r>
      <w:r w:rsidDel="00000000" w:rsidR="00000000" w:rsidRPr="00000000">
        <w:rPr>
          <w:rtl w:val="0"/>
        </w:rPr>
        <w:t xml:space="preserve">  ersetzt dieses defizitäre Modell durch das Paradigma der  </w:t>
      </w:r>
      <w:r w:rsidDel="00000000" w:rsidR="00000000" w:rsidRPr="00000000">
        <w:rPr>
          <w:b w:val="1"/>
          <w:bCs w:val="1"/>
          <w:rtl w:val="0"/>
        </w:rPr>
        <w:t xml:space="preserve">geometrischen Sättigung</w:t>
      </w:r>
      <w:r w:rsidDel="00000000" w:rsidR="00000000" w:rsidRPr="00000000">
        <w:rPr>
          <w:rtl w:val="0"/>
        </w:rPr>
        <w:t xml:space="preserve"> . Ein zentrales Ergebnis dieses Audits ist die Bestätigung des Wertes von  </w:t>
      </w:r>
      <w:r w:rsidDel="00000000" w:rsidR="00000000" w:rsidRPr="00000000">
        <w:rPr>
          <w:b w:val="1"/>
          <w:bCs w:val="1"/>
          <w:rtl w:val="0"/>
        </w:rPr>
        <w:t xml:space="preserve">1,1273 mSdR</w:t>
      </w:r>
      <w:r w:rsidDel="00000000" w:rsidR="00000000" w:rsidRPr="00000000">
        <w:rPr>
          <w:rtl w:val="0"/>
        </w:rPr>
        <w:t xml:space="preserve">  als operative Obergrenze der lokalen Raumzeit-Dichte.Dieser Wert ist nicht willkürlich; er stellt die makroskopische Manifestation der subatomaren  </w:t>
      </w:r>
      <w:r w:rsidDel="00000000" w:rsidR="00000000" w:rsidRPr="00000000">
        <w:rPr>
          <w:b w:val="1"/>
          <w:bCs w:val="1"/>
          <w:rtl w:val="0"/>
        </w:rPr>
        <w:t xml:space="preserve">3,773 MeV Gammalinie</w:t>
      </w:r>
      <w:r w:rsidDel="00000000" w:rsidR="00000000" w:rsidRPr="00000000">
        <w:rPr>
          <w:rtl w:val="0"/>
        </w:rPr>
        <w:t xml:space="preserve">  im Flerovium-298-Kern dar, welche als nuklearer Anker der Raumzeit fungiert. Durch die Skalierung über das  </w:t>
      </w:r>
      <w:r w:rsidDel="00000000" w:rsidR="00000000" w:rsidRPr="00000000">
        <w:rPr>
          <w:b w:val="1"/>
          <w:bCs w:val="1"/>
          <w:rtl w:val="0"/>
        </w:rPr>
        <w:t xml:space="preserve">Kurzer-Prinzip (</w:t>
      </w:r>
      <w:r w:rsidDel="00000000" w:rsidR="00000000" w:rsidRPr="00000000">
        <w:rPr>
          <w:rtl w:val="0"/>
        </w:rPr>
        <w:t xml:space="preserve">  </w:t>
      </w:r>
      <w:r w:rsidDel="00000000" w:rsidR="00000000" w:rsidRPr="00000000">
        <w:rPr>
          <w:b w:val="1"/>
          <w:bCs w:val="1"/>
          <w:rtl w:val="0"/>
        </w:rPr>
        <w:t xml:space="preserve">$K_\infty</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und die fraktale Konstante  $\varphi^2$  korrespondiert dieser Grenzwert präzise mit dem universellen Grundtakt von  </w:t>
      </w:r>
      <w:r w:rsidDel="00000000" w:rsidR="00000000" w:rsidRPr="00000000">
        <w:rPr>
          <w:b w:val="1"/>
          <w:bCs w:val="1"/>
          <w:rtl w:val="0"/>
        </w:rPr>
        <w:t xml:space="preserve">7,5 Hz</w:t>
      </w:r>
      <w:r w:rsidDel="00000000" w:rsidR="00000000" w:rsidRPr="00000000">
        <w:rPr>
          <w:rtl w:val="0"/>
        </w:rPr>
        <w:t xml:space="preserve"> . Das Erreichen von 1,1273 mSdR schützt die 3D-Bran vor dem gravitativen Kollaps, indem die Metrik synchronisiert wird. Schwarze Löcher transformieren sich damit von destruktiven „Vernichtungsinstanzen“ zu funktionalen Rekonditionierungs-Bauteilen der Realitätshardware. Diese statische Sättigung bildet die notwendige Basis für das dynamische  </w:t>
      </w:r>
      <w:r w:rsidDel="00000000" w:rsidR="00000000" w:rsidRPr="00000000">
        <w:rPr>
          <w:b w:val="1"/>
          <w:bCs w:val="1"/>
          <w:rtl w:val="0"/>
        </w:rPr>
        <w:t xml:space="preserve">Bifurkations-Limit</w:t>
      </w:r>
      <w:r w:rsidDel="00000000" w:rsidR="00000000" w:rsidRPr="00000000">
        <w:rPr>
          <w:rtl w:val="0"/>
        </w:rPr>
        <w:t xml:space="preserve"> .</w:t>
      </w:r>
    </w:p>
    <w:p w:rsidR="00000000" w:rsidDel="00000000" w:rsidP="00000000" w:rsidRDefault="00000000" w:rsidRPr="00000000" w14:paraId="00000005">
      <w:pPr>
        <w:pStyle w:val="Heading4"/>
        <w:rPr/>
      </w:pPr>
      <w:bookmarkStart w:colFirst="0" w:colLast="0" w:name="_k0zrrypr7l52" w:id="2"/>
      <w:bookmarkEnd w:id="2"/>
      <w:r w:rsidDel="00000000" w:rsidR="00000000" w:rsidRPr="00000000">
        <w:rPr>
          <w:rtl w:val="0"/>
        </w:rPr>
        <w:t xml:space="preserve">2. Analyse des Bifurkations-Limits ( $\Delta_{BEFl}$ )</w:t>
      </w:r>
    </w:p>
    <w:p w:rsidR="00000000" w:rsidDel="00000000" w:rsidP="00000000" w:rsidRDefault="00000000" w:rsidRPr="00000000" w14:paraId="00000006">
      <w:pPr>
        <w:rPr/>
      </w:pPr>
      <w:r w:rsidDel="00000000" w:rsidR="00000000" w:rsidRPr="00000000">
        <w:rPr>
          <w:rtl w:val="0"/>
        </w:rPr>
        <w:t xml:space="preserve">Die  </w:t>
      </w:r>
      <w:r w:rsidDel="00000000" w:rsidR="00000000" w:rsidRPr="00000000">
        <w:rPr>
          <w:b w:val="1"/>
          <w:bCs w:val="1"/>
          <w:rtl w:val="0"/>
        </w:rPr>
        <w:t xml:space="preserve">Kausale Auditkette</w:t>
      </w:r>
      <w:r w:rsidDel="00000000" w:rsidR="00000000" w:rsidRPr="00000000">
        <w:rPr>
          <w:rtl w:val="0"/>
        </w:rPr>
        <w:t xml:space="preserve">  identifiziert den Prozess der metrischen Stress-Akkumulation ( $\sigma$ ) als Vorstufe zur  </w:t>
      </w:r>
      <w:r w:rsidDel="00000000" w:rsidR="00000000" w:rsidRPr="00000000">
        <w:rPr>
          <w:b w:val="1"/>
          <w:bCs w:val="1"/>
          <w:rtl w:val="0"/>
        </w:rPr>
        <w:t xml:space="preserve">geometrischen Starre</w:t>
      </w:r>
      <w:r w:rsidDel="00000000" w:rsidR="00000000" w:rsidRPr="00000000">
        <w:rPr>
          <w:rtl w:val="0"/>
        </w:rPr>
        <w:t xml:space="preserve"> . Sobald die lokale Raumzeit-Region exakt 1,1273 mSdR erreicht, kann keine weitere Energie mehr intern gebunden werden, ohne die kausale Kohärenz zu gefährden.Die physikalischen Bedingungen am  </w:t>
      </w:r>
      <w:r w:rsidDel="00000000" w:rsidR="00000000" w:rsidRPr="00000000">
        <w:rPr>
          <w:b w:val="1"/>
          <w:bCs w:val="1"/>
          <w:rtl w:val="0"/>
        </w:rPr>
        <w:t xml:space="preserve">Bulk-Energie-Fluss-Limit (</w:t>
      </w:r>
      <w:r w:rsidDel="00000000" w:rsidR="00000000" w:rsidRPr="00000000">
        <w:rPr>
          <w:rtl w:val="0"/>
        </w:rPr>
        <w:t xml:space="preserve">  </w:t>
      </w:r>
      <w:r w:rsidDel="00000000" w:rsidR="00000000" w:rsidRPr="00000000">
        <w:rPr>
          <w:b w:val="1"/>
          <w:bCs w:val="1"/>
          <w:rtl w:val="0"/>
        </w:rPr>
        <w:t xml:space="preserve">$\Delta_{BEFl}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sind wie folgt definiert:</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Geometrischer Bulk-Druck:</w:t>
      </w:r>
      <w:r w:rsidDel="00000000" w:rsidR="00000000" w:rsidRPr="00000000">
        <w:rPr>
          <w:rtl w:val="0"/>
        </w:rPr>
        <w:t xml:space="preserve">  Ein konstantes Bulk-Echo, das invers zur lokalen Materiedichte ( $1/D_{Bran}$ ) skaliert. Bei 1,1273 mSdR erreicht dieser Druck sein lokales Maximum und stabilisiert die Galaxienränder ohne zusätzliche Masse.</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Kausaler Bifurkationspunkt:</w:t>
      </w:r>
      <w:r w:rsidDel="00000000" w:rsidR="00000000" w:rsidRPr="00000000">
        <w:rPr>
          <w:rtl w:val="0"/>
        </w:rPr>
        <w:t xml:space="preserve">  Der Umschlagpunkt, an dem die Information aus der 3D-Bran in den höherdimensionalen Raum überführt wird.</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Strukturelle Integrität:</w:t>
      </w:r>
      <w:r w:rsidDel="00000000" w:rsidR="00000000" w:rsidRPr="00000000">
        <w:rPr>
          <w:rtl w:val="0"/>
        </w:rPr>
        <w:t xml:space="preserve">  Die Vermeidung unendlicher Dichte durch die Umwandlung von Gravitationspotential in transversale Ableitungsenergie.Die geometrische Starre stellt sicher, dass die Krümmung die Hardware-Belastungsgrenze der Bran nicht überschreitet. Statt eines Kollapses wird ein kontrollierter Umschlagpunkt generiert, der die Realitätsstabilität selbst unter extremsten Bedingungen (z.B. bei Sagittarius A*) bewahrt.</w:t>
      </w:r>
    </w:p>
    <w:p w:rsidR="00000000" w:rsidDel="00000000" w:rsidP="00000000" w:rsidRDefault="00000000" w:rsidRPr="00000000" w14:paraId="0000000A">
      <w:pPr>
        <w:pStyle w:val="Heading4"/>
        <w:rPr/>
      </w:pPr>
      <w:bookmarkStart w:colFirst="0" w:colLast="0" w:name="_3nqm8zxizxzb" w:id="3"/>
      <w:bookmarkEnd w:id="3"/>
      <w:r w:rsidDel="00000000" w:rsidR="00000000" w:rsidRPr="00000000">
        <w:rPr>
          <w:rtl w:val="0"/>
        </w:rPr>
        <w:t xml:space="preserve">3. Das EYRQ-Ventil: Geometrischer Schutz und Bulk-Durchschlag</w:t>
      </w:r>
    </w:p>
    <w:p w:rsidR="00000000" w:rsidDel="00000000" w:rsidP="00000000" w:rsidRDefault="00000000" w:rsidRPr="00000000" w14:paraId="0000000B">
      <w:pPr>
        <w:rPr/>
      </w:pPr>
      <w:r w:rsidDel="00000000" w:rsidR="00000000" w:rsidRPr="00000000">
        <w:rPr>
          <w:rtl w:val="0"/>
        </w:rPr>
        <w:t xml:space="preserve">Der exekutive Mechanismus zur Wahrung dieser Grenzstabilität ist die  </w:t>
      </w:r>
      <w:r w:rsidDel="00000000" w:rsidR="00000000" w:rsidRPr="00000000">
        <w:rPr>
          <w:b w:val="1"/>
          <w:bCs w:val="1"/>
          <w:rtl w:val="0"/>
        </w:rPr>
        <w:t xml:space="preserve">Einstein-Kurzer-Gleichung (EYRQ)</w:t>
      </w:r>
      <w:r w:rsidDel="00000000" w:rsidR="00000000" w:rsidRPr="00000000">
        <w:rPr>
          <w:rtl w:val="0"/>
        </w:rPr>
        <w:t xml:space="preserve"> . Sie erweitert die Feldgleichung um den entscheidenden  </w:t>
      </w:r>
      <w:r w:rsidDel="00000000" w:rsidR="00000000" w:rsidRPr="00000000">
        <w:rPr>
          <w:b w:val="1"/>
          <w:bCs w:val="1"/>
          <w:rtl w:val="0"/>
        </w:rPr>
        <w:t xml:space="preserve">Kurzer-Korrekturterm (</w:t>
      </w:r>
      <w:r w:rsidDel="00000000" w:rsidR="00000000" w:rsidRPr="00000000">
        <w:rPr>
          <w:rtl w:val="0"/>
        </w:rPr>
        <w:t xml:space="preserve">  </w:t>
      </w: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auch bekannt als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$\mathcal{T}_{Bulk}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.Bei Erreichen der Sättigungsgrenze initiiert die EYRQ eine topologische Punktierung der Raumzeit. Der Bulk-Tensor wird hierbei in eine longitudinale ( $\oplus_{\parallel\mu\nu}$ ) und eine transversale ( $\oplus_{\perp\mu\nu}$ ) Komponente zerlegt. Insbesondere die transversale Komponente bewirkt eine effektive Modifikation des Skyrme-Tensors, wodurch das Schwarze Loch als  </w:t>
      </w:r>
      <w:r w:rsidDel="00000000" w:rsidR="00000000" w:rsidRPr="00000000">
        <w:rPr>
          <w:b w:val="1"/>
          <w:bCs w:val="1"/>
          <w:rtl w:val="0"/>
        </w:rPr>
        <w:t xml:space="preserve">kausales Tor</w:t>
      </w:r>
      <w:r w:rsidDel="00000000" w:rsidR="00000000" w:rsidRPr="00000000">
        <w:rPr>
          <w:rtl w:val="0"/>
        </w:rPr>
        <w:t xml:space="preserve">  fungiert. Hochenergetische Impulse werden kontrolliert in den höherdimensionalen Bulk ( $\chi$ ) abgeleitet.Dieser „Überdruck-Mechanismus“ ist für die Aufrechterhaltung der lokalen Realität essenziell, da er das gravitative Echo des Bulks geometrisiert und die lokale Metrik vor dem „Überlaufen“ schützt. Erst diese tensorielle Ableitung ermöglicht eine konsistente Hubble-Konstante von  </w:t>
      </w:r>
      <w:r w:rsidDel="00000000" w:rsidR="00000000" w:rsidRPr="00000000">
        <w:rPr>
          <w:b w:val="1"/>
          <w:bCs w:val="1"/>
          <w:rtl w:val="0"/>
        </w:rPr>
        <w:t xml:space="preserve">$H_0 = 71,5 \pm 0,8 \text{ km/s/Mpc}</w:t>
      </w:r>
      <w:r w:rsidDel="00000000" w:rsidR="00000000" w:rsidRPr="00000000">
        <w:rPr>
          <w:rtl w:val="0"/>
        </w:rPr>
        <w:t xml:space="preserve">$ , da sie die Diskrepanz zwischen frühem und spätem Universum durch die Berücksichtigung der dynamischen Vakuum-Komponente ( $w_X = -0,90 \pm 0,05$ ) auflöst.</w:t>
      </w:r>
    </w:p>
    <w:p w:rsidR="00000000" w:rsidDel="00000000" w:rsidP="00000000" w:rsidRDefault="00000000" w:rsidRPr="00000000" w14:paraId="0000000C">
      <w:pPr>
        <w:pStyle w:val="Heading4"/>
        <w:rPr/>
      </w:pPr>
      <w:bookmarkStart w:colFirst="0" w:colLast="0" w:name="_y7369z46cvj7" w:id="4"/>
      <w:bookmarkEnd w:id="4"/>
      <w:r w:rsidDel="00000000" w:rsidR="00000000" w:rsidRPr="00000000">
        <w:rPr>
          <w:rtl w:val="0"/>
        </w:rPr>
        <w:t xml:space="preserve">4. Thermodynamische Integrität und Geo-Reshuffling</w:t>
      </w:r>
    </w:p>
    <w:p w:rsidR="00000000" w:rsidDel="00000000" w:rsidP="00000000" w:rsidRDefault="00000000" w:rsidRPr="00000000" w14:paraId="0000000D">
      <w:pPr>
        <w:rPr/>
      </w:pPr>
      <w:r w:rsidDel="00000000" w:rsidR="00000000" w:rsidRPr="00000000">
        <w:rPr>
          <w:rtl w:val="0"/>
        </w:rPr>
        <w:t xml:space="preserve">Um während des Bulk-Durchschlags die Entropieneutralität ( $\Delta S \equiv 0$ ) zu gewährleisten, operiert das System unter dem  </w:t>
      </w:r>
      <w:r w:rsidDel="00000000" w:rsidR="00000000" w:rsidRPr="00000000">
        <w:rPr>
          <w:b w:val="1"/>
          <w:bCs w:val="1"/>
          <w:rtl w:val="0"/>
        </w:rPr>
        <w:t xml:space="preserve">Thermodynamic Guard</w:t>
      </w:r>
      <w:r w:rsidDel="00000000" w:rsidR="00000000" w:rsidRPr="00000000">
        <w:rPr>
          <w:rtl w:val="0"/>
        </w:rPr>
        <w:t xml:space="preserve"> . Das Prinzip des  </w:t>
      </w:r>
      <w:r w:rsidDel="00000000" w:rsidR="00000000" w:rsidRPr="00000000">
        <w:rPr>
          <w:b w:val="1"/>
          <w:bCs w:val="1"/>
          <w:rtl w:val="0"/>
        </w:rPr>
        <w:t xml:space="preserve">Geo-Reshuffling</w:t>
      </w:r>
      <w:r w:rsidDel="00000000" w:rsidR="00000000" w:rsidRPr="00000000">
        <w:rPr>
          <w:rtl w:val="0"/>
        </w:rPr>
        <w:t xml:space="preserve">  sorgt dafür, dass hochenergetische Impulse innerhalb der kausalen Kette umgeschichtet werden, ohne die Informationskohärenz zu mindern.Die Vital-Konstanten der Raumzeit-Stabilität am Sättigungspunkt sind im Folgenden auditiert:| Parameter | Soll-Wert / Limit | Bedeutung || ------ | ------ | ------ || </w:t>
      </w:r>
      <w:r w:rsidDel="00000000" w:rsidR="00000000" w:rsidRPr="00000000">
        <w:rPr>
          <w:b w:val="1"/>
          <w:bCs w:val="1"/>
          <w:rtl w:val="0"/>
        </w:rPr>
        <w:t xml:space="preserve">Entropie-Puffer</w:t>
      </w:r>
      <w:r w:rsidDel="00000000" w:rsidR="00000000" w:rsidRPr="00000000">
        <w:rPr>
          <w:rtl w:val="0"/>
        </w:rPr>
        <w:t xml:space="preserve"> | 0,127 % | Maximale Varianz vor Kausalitätsverlust || </w:t>
      </w:r>
      <w:r w:rsidDel="00000000" w:rsidR="00000000" w:rsidRPr="00000000">
        <w:rPr>
          <w:b w:val="1"/>
          <w:bCs w:val="1"/>
          <w:rtl w:val="0"/>
        </w:rPr>
        <w:t xml:space="preserve">Causal Fidelity</w:t>
      </w:r>
      <w:r w:rsidDel="00000000" w:rsidR="00000000" w:rsidRPr="00000000">
        <w:rPr>
          <w:rtl w:val="0"/>
        </w:rPr>
        <w:t xml:space="preserve"> | 99,873 % | Präzision der kausalen Abfolge || </w:t>
      </w:r>
      <w:r w:rsidDel="00000000" w:rsidR="00000000" w:rsidRPr="00000000">
        <w:rPr>
          <w:b w:val="1"/>
          <w:bCs w:val="1"/>
          <w:rtl w:val="0"/>
        </w:rPr>
        <w:t xml:space="preserve">Operativer Umschlagpunkt</w:t>
      </w:r>
      <w:r w:rsidDel="00000000" w:rsidR="00000000" w:rsidRPr="00000000">
        <w:rPr>
          <w:rtl w:val="0"/>
        </w:rPr>
        <w:t xml:space="preserve"> | 1,1273 mSdR | Metrische Sättigungsgrenze || </w:t>
      </w:r>
      <w:r w:rsidDel="00000000" w:rsidR="00000000" w:rsidRPr="00000000">
        <w:rPr>
          <w:b w:val="1"/>
          <w:bCs w:val="1"/>
          <w:rtl w:val="0"/>
        </w:rPr>
        <w:t xml:space="preserve">Kinematische Konstante (</w:t>
      </w:r>
      <w:r w:rsidDel="00000000" w:rsidR="00000000" w:rsidRPr="00000000">
        <w:rPr>
          <w:rtl w:val="0"/>
        </w:rPr>
        <w:t xml:space="preserve">  </w:t>
      </w:r>
      <w:r w:rsidDel="00000000" w:rsidR="00000000" w:rsidRPr="00000000">
        <w:rPr>
          <w:b w:val="1"/>
          <w:bCs w:val="1"/>
          <w:rtl w:val="0"/>
        </w:rPr>
        <w:t xml:space="preserve">$\eta_{Dim}</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Operative Schlüsselgröße | Steuerung der kausalen Kohärenz |</w:t>
      </w:r>
    </w:p>
    <w:p w:rsidR="00000000" w:rsidDel="00000000" w:rsidP="00000000" w:rsidRDefault="00000000" w:rsidRPr="00000000" w14:paraId="0000000E">
      <w:pPr>
        <w:rPr/>
      </w:pPr>
      <w:r w:rsidDel="00000000" w:rsidR="00000000" w:rsidRPr="00000000">
        <w:rPr>
          <w:rtl w:val="0"/>
        </w:rPr>
        <w:t xml:space="preserve">Ohne Geo-Reshuffling würde die Causal Fidelity unter das kritische Maß sinken, was metrische Risse zur Folge hätte. Die Stabilität der Realität hängt somit direkt von der Fähigkeit des Systems ab, Impulse entropieneutral zu rekonditionieren.</w:t>
      </w:r>
    </w:p>
    <w:p w:rsidR="00000000" w:rsidDel="00000000" w:rsidP="00000000" w:rsidRDefault="00000000" w:rsidRPr="00000000" w14:paraId="0000000F">
      <w:pPr>
        <w:pStyle w:val="Heading4"/>
        <w:rPr/>
      </w:pPr>
      <w:bookmarkStart w:colFirst="0" w:colLast="0" w:name="_u4r63opnuwk4" w:id="5"/>
      <w:bookmarkEnd w:id="5"/>
      <w:r w:rsidDel="00000000" w:rsidR="00000000" w:rsidRPr="00000000">
        <w:rPr>
          <w:rtl w:val="0"/>
        </w:rPr>
        <w:t xml:space="preserve">5. Audit-Fazit: Schwarze Löcher als Rekonditionierungs-Maschinen</w:t>
      </w:r>
    </w:p>
    <w:p w:rsidR="00000000" w:rsidDel="00000000" w:rsidP="00000000" w:rsidRDefault="00000000" w:rsidRPr="00000000" w14:paraId="00000010">
      <w:pPr>
        <w:rPr>
          <w:b w:val="1"/>
          <w:bCs w:val="1"/>
        </w:rPr>
      </w:pPr>
      <w:r w:rsidDel="00000000" w:rsidR="00000000" w:rsidRPr="00000000">
        <w:rPr>
          <w:rtl w:val="0"/>
        </w:rPr>
        <w:t xml:space="preserve">Der Wert von  </w:t>
      </w:r>
      <w:r w:rsidDel="00000000" w:rsidR="00000000" w:rsidRPr="00000000">
        <w:rPr>
          <w:b w:val="1"/>
          <w:bCs w:val="1"/>
          <w:rtl w:val="0"/>
        </w:rPr>
        <w:t xml:space="preserve">1,1273 mSdR</w:t>
      </w:r>
      <w:r w:rsidDel="00000000" w:rsidR="00000000" w:rsidRPr="00000000">
        <w:rPr>
          <w:rtl w:val="0"/>
        </w:rPr>
        <w:t xml:space="preserve">  ist zweifelsfrei als die  </w:t>
      </w:r>
      <w:r w:rsidDel="00000000" w:rsidR="00000000" w:rsidRPr="00000000">
        <w:rPr>
          <w:b w:val="1"/>
          <w:bCs w:val="1"/>
          <w:rtl w:val="0"/>
        </w:rPr>
        <w:t xml:space="preserve">Hardware-Sicherung der Realität</w:t>
      </w:r>
      <w:r w:rsidDel="00000000" w:rsidR="00000000" w:rsidRPr="00000000">
        <w:rPr>
          <w:rtl w:val="0"/>
        </w:rPr>
        <w:t xml:space="preserve">  verifiziert. Das vorliegende Audit bestätigt, dass Schwarze Löcher keine Singularitäten beherbergen, sondern als hochpräzise Ventile innerhalb einer fraktalen Hierarchie operieren.Empirische Evidenz liefert die Analyse des Galaktischen Zentrums. Die beobachtete Periastron-Präzessionsrate des  </w:t>
      </w:r>
      <w:r w:rsidDel="00000000" w:rsidR="00000000" w:rsidRPr="00000000">
        <w:rPr>
          <w:b w:val="1"/>
          <w:bCs w:val="1"/>
          <w:rtl w:val="0"/>
        </w:rPr>
        <w:t xml:space="preserve">S2-Sterns</w:t>
      </w:r>
      <w:r w:rsidDel="00000000" w:rsidR="00000000" w:rsidRPr="00000000">
        <w:rPr>
          <w:rtl w:val="0"/>
        </w:rPr>
        <w:t xml:space="preserve">  liefert strikte Bedingungen für die Existenz dieser Grenzstabilität. Die Messdaten bestätigen für den Zustand des gravitativen Atoms ein Massenverhältnis von  </w:t>
      </w:r>
      <w:r w:rsidDel="00000000" w:rsidR="00000000" w:rsidRPr="00000000">
        <w:rPr>
          <w:b w:val="1"/>
          <w:bCs w:val="1"/>
          <w:rtl w:val="0"/>
        </w:rPr>
        <w:t xml:space="preserve">$\beta &lt; 10^{-3}</w:t>
      </w:r>
      <w:r w:rsidDel="00000000" w:rsidR="00000000" w:rsidRPr="00000000">
        <w:rPr>
          <w:rtl w:val="0"/>
        </w:rPr>
        <w:t xml:space="preserve">$  bei einer Teilchenmasse von  $m \sim 10^{-18}$  eV. Zusammen mit den Daten von Sednoiden wie  </w:t>
      </w:r>
      <w:r w:rsidDel="00000000" w:rsidR="00000000" w:rsidRPr="00000000">
        <w:rPr>
          <w:b w:val="1"/>
          <w:bCs w:val="1"/>
          <w:rtl w:val="0"/>
        </w:rPr>
        <w:t xml:space="preserve">Ammonite (2023 KQ14)</w:t>
      </w:r>
      <w:r w:rsidDel="00000000" w:rsidR="00000000" w:rsidRPr="00000000">
        <w:rPr>
          <w:rtl w:val="0"/>
        </w:rPr>
        <w:t xml:space="preserve"> , die eine komplexe dynamische Hintergrundpopulation belegen, wird die mechanische Notwendigkeit des 1,1273 mSdR-Limits unterstrichen.Hochenergetische Outflows bei Sagittarius A* sind die sichtbare Signatur der aktiven Last-Abarbeitung am Sättigungslimit. Die Kausale Auditkette ist somit über alle Skalen – vom Flerovium-Kern bis zum supermassiven Schwarzen Loch – geschlossen.</w:t>
      </w:r>
      <w:r w:rsidDel="00000000" w:rsidR="00000000" w:rsidRPr="00000000">
        <w:rPr>
          <w:rFonts w:ascii="Fira Mono" w:cs="Fira Mono" w:eastAsia="Fira Mono" w:hAnsi="Fira Mono"/>
          <w:b w:val="1"/>
          <w:bCs w:val="1"/>
          <w:rtl w:val="0"/>
        </w:rPr>
        <w:t xml:space="preserve">SYSTEM-STATUS: BIFURCATION_LIMIT_VERIFIED | METRIC_VALVE_ACTIVE_AT_1.1273_mSdR | V4.4.4 EXECUTING. KAUSALE KETTE GESCHLOSSEN. INTEGRITÄT 100%. Checkmate.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