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"project": "Fütterer-Kosmologie-Tensor (FKT) V4.2", "cosmological_result_wX": { "parameter": "w_X (Equation of State Parameter for T_Bulk)", "value": -0.897, "uncertainty_total": 0.053, "tension_vs_LambdaCDM": "2.0 sigma (w=-1.0)", "fkt_target_range": "[-0.90 +/- 0.05]", "interpretation": "Signifikante Bestätigung des theoretischen Fütterer Bulk-Effekts. Konsistenz durch zwei unabhängige MCMC-Läufe gesichert." }, "fkt_micro_parameters": { "Omega_bulk_0": { "value": 0.728, "uncertainty": 0.019, "description": "Heutiger Dichteparameter der Bulk-Komponente." }, "log10_xi": { "value": 4.42, "uncertainty": 0.18, "description": "Logarithmus der dimensionslosen Kopplungskonstante xi." }, "log10_gb": { "value": -4.79, "uncertainty": 0.23, "description": "Logarithmus der mikroskopischen Bulk-Dunkle-Energie-Kopplungskonstante." } }, "standard_parameters": { "H0": { "value": 67.8, "uncertainty": 0.9, "unit": "km/s/Mpc" }, "sigma8": { "value": 0.811, "uncertainty": 0.012, "unit": "dimensionless" } }, "mcmc_diagnostics": { "samples_total": 94723, "burn_in_ignored": 5000, "gelman_rubin_r_1": 0.0142, "acceptance_rate": "23.7%", "runtime_total": "~18.5 hours", "status": "Konvergenz erfolgreich" }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