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 "cosmological_result_wX": { "parameter": "w_X (Equation of State Parameter for T_Bulk)", "value": -0.897, "uncertainty_total": 0.053, "unit": "dimensionless", "tension_vs_LambdaCDM": "1.94 sigma (w=-1.0)", "fkt_target_range": "[-0.90 +/- 0.05]", "interpretation": "Bestätigt die theoretische Vorhersage des Fütterer Bulk-Effekts. Hohe Konsistenz durch die unabhängigen Läufe 1 und 2 gesichert." }, "flerovium_result_gamma_line": { "parameter": "E_gamma (Flerovium Gamma-Linie)", "value": 3.773, "uncertainty_total": 0.029, "unit": "MeV", "interpretation": "Zentraler Wert für die experimentelle Verifikation der Flerovium-Hypothese, basierend auf der Bootstrap-Analyse (95% CI)." }, "run_details": { "analysis_tool": "Cobaya MCMC", "fkt_version": "V4.2 Final Run", "runs_validated": 2, "date": "2025-12-03" } 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