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psmdcp" ContentType="application/vnd.openxmlformats-package.core-properties+xml"/>
  <Default Extension="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04e35e1087394b12" /><Relationship Type="http://schemas.openxmlformats.org/package/2006/relationships/metadata/core-properties" Target="/package/services/metadata/core-properties/91ea5163252c426387480dc141e6af94.psmdcp" Id="R73cc745afbf24f6c" /></Relationships>
</file>

<file path=word/document.xml><?xml version="1.0" encoding="utf-8"?>
<w:document xmlns:w="http://schemas.openxmlformats.org/wordprocessingml/2006/main">
  <w:body>
    <w:p>
      <w:pPr>
        <w:pStyle w:val="Title"/>
      </w:pPr>
      <w:r>
        <w:t>Analyse des Projekts FKT-V4.1-Audit-Release</w:t>
      </w:r>
    </w:p>
    <w:p>
      <w:pPr>
        <w:pStyle w:val="heading1"/>
      </w:pPr>
      <w:r>
        <w:t>Forschungsanalyse zum Projekt FKT-V4.1-Audit-Release</w:t>
      </w:r>
    </w:p>
    <w:p>
      <w:r>
        <w:pict>
          <v:rect xmlns:o="urn:schemas-microsoft-com:office:office" xmlns:v="urn:schemas-microsoft-com:vml" style="height:.05pt;mso-width-percent:1000" o:hr="true" o:hrstd="true" o:hralign="center" fillcolor="A0A0A0" stroked="false"/>
        </w:pict>
      </w:r>
    </w:p>
    <w:p>
      <w:pPr>
        <w:pStyle w:val="heading2"/>
      </w:pPr>
      <w:r>
        <w:t>Einleitung</w:t>
      </w:r>
    </w:p>
    <w:p>
      <w:r>
        <w:t xml:space="preserve">Das Projekt </w:t>
      </w:r>
      <w:r>
        <w:rPr>
          <w:b/>
        </w:rPr>
        <w:t>FKT-V4.1-Audit-Release</w:t>
      </w:r>
      <w:r>
        <w:t xml:space="preserve"> stellt eine öffentlich zugängliche Initiative dar, die auf GitHub unter </w:t>
      </w:r>
      <w:hyperlink xmlns:r="http://schemas.openxmlformats.org/officeDocument/2006/relationships" r:id="Re03c4013031f48dd">
        <w:r>
          <w:t>https://github.com/denniskurzer89-cyber/FKT-V4.1-Audit-Release/tree/main</w:t>
        </w:r>
      </w:hyperlink>
      <w:r>
        <w:t xml:space="preserve"> sowie dauerhaft zitierbar über Zenodo unter </w:t>
      </w:r>
      <w:hyperlink xmlns:r="http://schemas.openxmlformats.org/officeDocument/2006/relationships" r:id="R9243cce40e684353">
        <w:r>
          <w:t>https://doi.org/10.5281/zenodo.17298463</w:t>
        </w:r>
      </w:hyperlink>
      <w:r>
        <w:t xml:space="preserve"> veröffentlicht wurde. Im Fokus des Projekts steht die umfassende Analyse, Auditierung und Dokumentation der „Fraktalen Kausalen Theorie“ (FKT) Version 4.1, einschließlich softwaretechnischer Komponenten, Auditprozessen sowie der wissenschaftlichen und methodischen Herleitung. Dieses Vorhaben ist ein gutes Beispiel für die transparente Veröffentlichung von Forschungsdaten, Auditprozessen und Softwarereleases in einem offenen wissenschaftlichen Kontext und ermöglicht es, sowohl Inhalte als auch technische Aspekte im Detail zu betrachten.</w:t>
      </w:r>
    </w:p>
    <w:p>
      <w:r>
        <w:t>Ziel dieser Forschungsanalyse ist eine umfassende Bewertung der Inhalte, Ziele, Methodik und Ergebnisse des Projekts FKT-V4.1-Audit-Release. Dazu werden die bereitgestellten Quellen einbezogen, um den Projektansatz, die verwendeten Standards sowie die technologische und strukturelle Umsetzung zu beleuchten. Neben den inhaltlichen Schwerpunkten geht die Analyse gezielt auch auf Aspekte wie die Versionierung, Lizenzierung, Community-Aktivität, Qualitätssicherung und auf die Hauptmodule sowie die Softwarearchitektur des Projekts ein</w:t>
      </w:r>
      <w:r>
        <w:rPr>
          <w:vertAlign w:val="superscript"/>
        </w:rPr>
        <w:t>1</w:t>
      </w:r>
      <w:r>
        <w:t>. Besonderes Augenmerk gilt dem Zusammenhang zwischen Auditprozessen und der nachhaltigen Archivierung wissenschaftlicher Software in öffentlich einsehbaren Repositorien.</w:t>
      </w:r>
    </w:p>
    <w:p>
      <w:r>
        <w:pict>
          <v:rect xmlns:o="urn:schemas-microsoft-com:office:office" xmlns:v="urn:schemas-microsoft-com:vml" style="height:.05pt;mso-width-percent:1000" o:hr="true" o:hrstd="true" o:hralign="center" fillcolor="A0A0A0" stroked="false"/>
        </w:pict>
      </w:r>
    </w:p>
    <w:p>
      <w:pPr>
        <w:pStyle w:val="heading2"/>
      </w:pPr>
      <w:r>
        <w:t>Methodik</w:t>
      </w:r>
    </w:p>
    <w:p>
      <w:r>
        <w:t>Die Methodik der vorliegenden Analyse stützt sich auf drei zentrale Pfeiler: die Auswertung der öffentlich zugänglichen Repositorydokumentation (insbesondere auf GitHub), die Untersuchung des Zenodo-Eintrags inklusive Metadaten und Versionierung, sowie die Überprüfung der Audit- und Qualitätssicherungspraktiken anhand branchenspezifischer Auditstandards. Parallel dazu werden kanonische Modelle für Projektabschlussberichte sowie aktuelle Empfehlungen zur Durchführung von Softwareaudits im wissenschaftlichen Umfeld einbezogen, um die Angemessenheit der gewählten Methoden zu bewerten</w:t>
      </w:r>
      <w:r>
        <w:rPr>
          <w:vertAlign w:val="superscript"/>
        </w:rPr>
        <w:t>2</w:t>
      </w:r>
      <w:r>
        <w:t>.</w:t>
      </w:r>
    </w:p>
    <w:p>
      <w:r>
        <w:t>Dabei werden folgende Hilfsmittel oder Verfahren genutzt:</w:t>
      </w:r>
    </w:p>
    <w:p>
      <w:pPr>
        <w:pStyle w:val="ListParagraph"/>
        <w:numPr>
          <w:ilvl w:val="0"/>
          <w:numId w:val="1"/>
        </w:numPr>
      </w:pPr>
      <w:r>
        <w:rPr>
          <w:b/>
        </w:rPr>
        <w:t>Analyse der Repositorystruktur und Codebasis:</w:t>
      </w:r>
      <w:r>
        <w:t xml:space="preserve"> Das GitHub-Repository enthält mehrere Hauptdateien (z. B. die Auditberichte, Versionsdokumentationen, Forschungspapiere auf Deutsch und Englisch sowie Lizenzdateien und andere Organisationsdokumente), die strukturierte Informationen zur Entwicklungshistorie, zu den auditbezogenen Arbeitsschritten sowie zu rechtlichen Bestimmungen bieten. Durch Zugriff auf den Commit-Verlauf und die Pull-Request-Historie kann die Entwicklung und Qualitätssicherung nachverfolgt werden</w:t>
      </w:r>
      <w:r>
        <w:rPr>
          <w:vertAlign w:val="superscript"/>
        </w:rPr>
        <w:t>3</w:t>
      </w:r>
      <w:r>
        <w:rPr>
          <w:vertAlign w:val="superscript"/>
        </w:rPr>
        <w:t>4</w:t>
      </w:r>
      <w:r>
        <w:t>.</w:t>
      </w:r>
    </w:p>
    <w:p>
      <w:pPr>
        <w:pStyle w:val="ListParagraph"/>
        <w:numPr>
          <w:ilvl w:val="0"/>
          <w:numId w:val="1"/>
        </w:numPr>
      </w:pPr>
      <w:r>
        <w:rPr>
          <w:b/>
        </w:rPr>
        <w:t>Evaluierung der Zenodo-Versionierung und Metadaten:</w:t>
      </w:r>
      <w:r>
        <w:t xml:space="preserve"> Der Zenodo-DOI sichert die dauerhafte Zitierfähigkeit und enthält strukturierte Metadaten zur Veröffentlichung, zu den Autoren, zur gewählten Lizenz und zu möglichen Versionen. Es werden insbesondere die Möglichkeiten der Zenodo-Plattform zur Versionierung und zum Metadatenmanagement berücksichtigt, um die Nachnutzbarkeit und Transparenz wissenschaftlicher Daten zu beurteilen</w:t>
      </w:r>
      <w:r>
        <w:rPr>
          <w:vertAlign w:val="superscript"/>
        </w:rPr>
        <w:t>5</w:t>
      </w:r>
      <w:r>
        <w:t>.</w:t>
      </w:r>
    </w:p>
    <w:p>
      <w:pPr>
        <w:pStyle w:val="ListParagraph"/>
        <w:numPr>
          <w:ilvl w:val="0"/>
          <w:numId w:val="1"/>
        </w:numPr>
      </w:pPr>
      <w:r>
        <w:rPr>
          <w:b/>
        </w:rPr>
        <w:t>Abgleich mit Auditstandards und Qualitätsleitfäden:</w:t>
      </w:r>
      <w:r>
        <w:t xml:space="preserve"> Die relevanten Methoden und Standards für Softwareaudits (z. B. ISMS-Audits nach BSI, IEC/ISO-Normen und Guides für medizinische oder allgemeine Softwareauditierungen) werden auf die im FKT-V4.1-Audit-Release nachgewiesenen Prozesse gemappt, um die Konformität mit Best Practices festzustellen</w:t>
      </w:r>
      <w:r>
        <w:rPr>
          <w:vertAlign w:val="superscript"/>
        </w:rPr>
        <w:t>6</w:t>
      </w:r>
      <w:r>
        <w:rPr>
          <w:vertAlign w:val="superscript"/>
        </w:rPr>
        <w:t>2</w:t>
      </w:r>
      <w:r>
        <w:t>.</w:t>
      </w:r>
    </w:p>
    <w:p>
      <w:pPr>
        <w:pStyle w:val="ListParagraph"/>
        <w:numPr>
          <w:ilvl w:val="0"/>
          <w:numId w:val="1"/>
        </w:numPr>
      </w:pPr>
      <w:r>
        <w:rPr>
          <w:b/>
        </w:rPr>
        <w:t>Lizenzanalyse und rechtliche Bewertung:</w:t>
      </w:r>
      <w:r>
        <w:t xml:space="preserve"> Die Einbindung der MIT-Lizenz und deren Implikationen für Nachnutzung, Modifikationen und Weiternutzung im akademischen wie kommerziellen Umfeld werden nach aktuellen Empfehlungen für Open-Source-Lizenzen bewertet</w:t>
      </w:r>
      <w:r>
        <w:rPr>
          <w:vertAlign w:val="superscript"/>
        </w:rPr>
        <w:t>7</w:t>
      </w:r>
      <w:r>
        <w:t>.</w:t>
      </w:r>
    </w:p>
    <w:p>
      <w:pPr>
        <w:pStyle w:val="ListParagraph"/>
        <w:numPr>
          <w:ilvl w:val="0"/>
          <w:numId w:val="1"/>
        </w:numPr>
      </w:pPr>
      <w:r>
        <w:rPr>
          <w:b/>
        </w:rPr>
        <w:t>Community- und Beitragsaktivitätsauswertung:</w:t>
      </w:r>
      <w:r>
        <w:t xml:space="preserve"> Auf Basis der GitHub-Mechanismen (z. B. Pull Requests, Issues, Commit-Historie) erfolgt eine Analyse der Aktivität, der (potenziellen) Community-Einbindung und der Nachvollziehbarkeit durch Außenstehende</w:t>
      </w:r>
      <w:r>
        <w:rPr>
          <w:vertAlign w:val="superscript"/>
        </w:rPr>
        <w:t>4</w:t>
      </w:r>
      <w:r>
        <w:t>.</w:t>
      </w:r>
    </w:p>
    <w:p>
      <w:r>
        <w:t>Der Mix aus strukturierter Repository-Evaluation, Dokumentationsprüfung und branchennaher Kontextualisierung gewährleistet eine umfassende und wiederholbare Analyse.</w:t>
      </w:r>
    </w:p>
    <w:p>
      <w:r>
        <w:pict>
          <v:rect xmlns:o="urn:schemas-microsoft-com:office:office" xmlns:v="urn:schemas-microsoft-com:vml" style="height:.05pt;mso-width-percent:1000" o:hr="true" o:hrstd="true" o:hralign="center" fillcolor="A0A0A0" stroked="false"/>
        </w:pict>
      </w:r>
    </w:p>
    <w:p>
      <w:pPr>
        <w:pStyle w:val="heading2"/>
      </w:pPr>
      <w:r>
        <w:t>Ergebnisse und Erkenntnisse</w:t>
      </w:r>
    </w:p>
    <w:p>
      <w:pPr>
        <w:pStyle w:val="heading3"/>
      </w:pPr>
      <w:r>
        <w:t>a) Projektübersicht und Ziele</w:t>
      </w:r>
    </w:p>
    <w:p>
      <w:r>
        <w:t>Das FKT-V4.1-Audit-Release hebt sich besonders durch seine Multi-Komponenten-Struktur und seine Fokussierung auf wissenschaftliche Nachvollziehbarkeit sowie Codequalität und Auditierbarkeit hervor. Nach Durchsicht sowohl der GitHub- als auch der Zenodo-Veröffentlichung wird deutlich, dass das Projekt die systematische Prüfung und Veröffentlichung von theoretischen, empirischen sowie softwaretechnischen Ergebnissen rund um die Fraktale Kausale Theorie (FKT) Version 4.1 anstrebt. Zu den markanten Zielsetzungen zählen:</w:t>
      </w:r>
    </w:p>
    <w:p>
      <w:pPr>
        <w:pStyle w:val="ListParagraph"/>
        <w:numPr>
          <w:ilvl w:val="0"/>
          <w:numId w:val="2"/>
        </w:numPr>
      </w:pPr>
      <w:r>
        <w:rPr>
          <w:b/>
        </w:rPr>
        <w:t>Erhöhung der Nachvollziehbarkeit und Qualitätssicherung</w:t>
      </w:r>
      <w:r>
        <w:t xml:space="preserve"> durch strukturierte Audits und Release-Management-Prozesse.</w:t>
      </w:r>
    </w:p>
    <w:p>
      <w:pPr>
        <w:pStyle w:val="ListParagraph"/>
        <w:numPr>
          <w:ilvl w:val="0"/>
          <w:numId w:val="2"/>
        </w:numPr>
      </w:pPr>
      <w:r>
        <w:rPr>
          <w:b/>
        </w:rPr>
        <w:t>Sicherstellung maximaler Offenheit, Transparenz und Nachnutzbarkeit</w:t>
      </w:r>
      <w:r>
        <w:t xml:space="preserve"> der Forschungsergebnisse und Softwarekomponenten durch Verwendung einer liberalen Open-Source-Lizenz und Veröffentlichung auf mehreren Plattformen.</w:t>
      </w:r>
    </w:p>
    <w:p>
      <w:pPr>
        <w:pStyle w:val="ListParagraph"/>
        <w:numPr>
          <w:ilvl w:val="0"/>
          <w:numId w:val="2"/>
        </w:numPr>
      </w:pPr>
      <w:r>
        <w:rPr>
          <w:b/>
        </w:rPr>
        <w:t>Detaillierte Dokumentation und historisierte Versionsverwaltung</w:t>
      </w:r>
      <w:r>
        <w:t xml:space="preserve"> zur transparenten Bewertung von Entwicklungsschritten, wissenschaftlichen Argumentationslinien und softwarebasierten Implementierungen.</w:t>
      </w:r>
    </w:p>
    <w:p>
      <w:pPr>
        <w:pStyle w:val="ListParagraph"/>
        <w:numPr>
          <w:ilvl w:val="0"/>
          <w:numId w:val="2"/>
        </w:numPr>
      </w:pPr>
      <w:r>
        <w:rPr>
          <w:b/>
        </w:rPr>
        <w:t>Community Einbindung und Förderung von Weiterentwicklung</w:t>
      </w:r>
      <w:r>
        <w:t xml:space="preserve"> sowohl im akademischen als auch praktischen Kontext durch offene Contribution Guidelines und Public Repository.</w:t>
      </w:r>
    </w:p>
    <w:p>
      <w:r>
        <w:t>Diese Zielsetzungen sind in mehreren Leit- und Auditdokumenten des Repositories reflektiert. Insbesondere die implizite Forschungsfrage, wie moderne Audit- und Qualitätssicherungsstandards in Open-Science-Prozesse integriert und für komplexe wissenschaftliche Softwaretheorien wie die FKT nutzbar gemacht werden können, ist klar erkennbar</w:t>
      </w:r>
      <w:r>
        <w:rPr>
          <w:vertAlign w:val="superscript"/>
        </w:rPr>
        <w:t>1</w:t>
      </w:r>
      <w:r>
        <w:t>.</w:t>
      </w:r>
    </w:p>
    <w:p>
      <w:r>
        <w:pict>
          <v:rect xmlns:o="urn:schemas-microsoft-com:office:office" xmlns:v="urn:schemas-microsoft-com:vml" style="height:.05pt;mso-width-percent:1000" o:hr="true" o:hrstd="true" o:hralign="center" fillcolor="A0A0A0" stroked="false"/>
        </w:pict>
      </w:r>
    </w:p>
    <w:p>
      <w:pPr>
        <w:pStyle w:val="heading3"/>
      </w:pPr>
      <w:r>
        <w:t>b) Methodik und Audit-Prozesse</w:t>
      </w:r>
    </w:p>
    <w:p>
      <w:pPr>
        <w:pStyle w:val="heading3"/>
      </w:pPr>
      <w:r>
        <w:t>Struktureller Audit-Ansatz</w:t>
      </w:r>
    </w:p>
    <w:p>
      <w:r>
        <w:t>Das Audit im FKT-V4.1-Audit-Release folgt einer methodisch klar definierten Struktur entsprechend den aktuellen Empfehlungen für IT-, Software- und Energiemanagement-Audits; dies beinhaltet die Phasen:</w:t>
      </w:r>
    </w:p>
    <w:p>
      <w:pPr>
        <w:pStyle w:val="ListParagraph"/>
        <w:numPr>
          <w:ilvl w:val="0"/>
          <w:numId w:val="3"/>
        </w:numPr>
      </w:pPr>
      <w:r>
        <w:rPr>
          <w:b/>
        </w:rPr>
        <w:t>Vorbereitung und Zieldefinition:</w:t>
      </w:r>
    </w:p>
    <w:p>
      <w:pPr>
        <w:pStyle w:val="ListParagraph"/>
        <w:numPr>
          <w:ilvl w:val="1"/>
          <w:numId w:val="3"/>
        </w:numPr>
      </w:pPr>
      <w:r>
        <w:t>Identifikation und Abgrenzung der Prüfobjekte (beispielsweise Kernmodule der Software, mathematische Beweisführungen, Datenpipelines etc.).</w:t>
      </w:r>
    </w:p>
    <w:p>
      <w:pPr>
        <w:pStyle w:val="ListParagraph"/>
        <w:numPr>
          <w:ilvl w:val="1"/>
          <w:numId w:val="3"/>
        </w:numPr>
      </w:pPr>
      <w:r>
        <w:t>Definition der Auditziele sowie Festlegung der Rollen, Verantwortlichkeiten und der anzuwendenden Standards</w:t>
      </w:r>
      <w:r>
        <w:rPr>
          <w:vertAlign w:val="superscript"/>
        </w:rPr>
        <w:t>8</w:t>
      </w:r>
      <w:r>
        <w:t>.</w:t>
      </w:r>
    </w:p>
    <w:p>
      <w:pPr>
        <w:pStyle w:val="ListParagraph"/>
        <w:numPr>
          <w:ilvl w:val="0"/>
          <w:numId w:val="3"/>
        </w:numPr>
      </w:pPr>
      <w:r>
        <w:rPr>
          <w:b/>
        </w:rPr>
        <w:t>Auditdurchführung via strukturierte Prüflisten und Qualitätskontrollpunkte:</w:t>
      </w:r>
    </w:p>
    <w:p>
      <w:pPr>
        <w:pStyle w:val="ListParagraph"/>
        <w:numPr>
          <w:ilvl w:val="1"/>
          <w:numId w:val="3"/>
        </w:numPr>
      </w:pPr>
      <w:r>
        <w:t>Anwendung von Checklisten, Dokumentenprüfungen und Datenanalysen (wie beim White-Box-Test) zur Identifikation von Schwachstellen, Abweichungen und Risiken.</w:t>
      </w:r>
    </w:p>
    <w:p>
      <w:pPr>
        <w:pStyle w:val="ListParagraph"/>
        <w:numPr>
          <w:ilvl w:val="1"/>
          <w:numId w:val="3"/>
        </w:numPr>
      </w:pPr>
      <w:r>
        <w:t>Statische und ggf. dynamische Codeanalysen zur Prüfung von Einhaltung von Programmierstandards, Modularität, Dokumentationsqualität und Sicherheit</w:t>
      </w:r>
      <w:r>
        <w:rPr>
          <w:vertAlign w:val="superscript"/>
        </w:rPr>
        <w:t>9</w:t>
      </w:r>
      <w:r>
        <w:t>.</w:t>
      </w:r>
    </w:p>
    <w:p>
      <w:pPr>
        <w:pStyle w:val="ListParagraph"/>
        <w:numPr>
          <w:ilvl w:val="1"/>
          <w:numId w:val="3"/>
        </w:numPr>
      </w:pPr>
      <w:r>
        <w:t>Interviews, Observationsverfahren und Stichproben als ergänzende Methoden, um Verfahrens- und Data-Governance-Aspekte zu überprüfen</w:t>
      </w:r>
      <w:r>
        <w:rPr>
          <w:vertAlign w:val="superscript"/>
        </w:rPr>
        <w:t>6</w:t>
      </w:r>
      <w:r>
        <w:t>.</w:t>
      </w:r>
    </w:p>
    <w:p>
      <w:pPr>
        <w:pStyle w:val="ListParagraph"/>
        <w:numPr>
          <w:ilvl w:val="0"/>
          <w:numId w:val="3"/>
        </w:numPr>
      </w:pPr>
      <w:r>
        <w:rPr>
          <w:b/>
        </w:rPr>
        <w:t>Dokumentation, Ergebnisbewertung und Nachbereitung:</w:t>
      </w:r>
    </w:p>
    <w:p>
      <w:pPr>
        <w:pStyle w:val="ListParagraph"/>
        <w:numPr>
          <w:ilvl w:val="1"/>
          <w:numId w:val="3"/>
        </w:numPr>
      </w:pPr>
      <w:r>
        <w:t>Fertigung und Veröffentlichung von Auditberichten, in denen die gefundenen Abweichungen, Empfehlungen zur Behebung sowie Lessons Learned systematisiert werden.</w:t>
      </w:r>
    </w:p>
    <w:p>
      <w:pPr>
        <w:pStyle w:val="ListParagraph"/>
        <w:numPr>
          <w:ilvl w:val="1"/>
          <w:numId w:val="3"/>
        </w:numPr>
      </w:pPr>
      <w:r>
        <w:t>Implementierung und Verfolgung von Korrektur- sowie Verbesserungsmaßnahmen auf Basis der Audit-Resultate.</w:t>
      </w:r>
    </w:p>
    <w:p>
      <w:r>
        <w:t>Die Methodik ist konsequent darauf ausgelegt, verschiedene Versionen, Entwicklungsstände sowie modulare Komponenten nicht nur zu prüfen, sondern die Ergebnisse für die Nachwelt transparent aufzubereiten und so einen Grundstein für iterative Verbesserungen zu legen</w:t>
      </w:r>
      <w:r>
        <w:rPr>
          <w:vertAlign w:val="superscript"/>
        </w:rPr>
        <w:t>10</w:t>
      </w:r>
      <w:r>
        <w:t>.</w:t>
      </w:r>
    </w:p>
    <w:p>
      <w:pPr>
        <w:pStyle w:val="heading3"/>
      </w:pPr>
      <w:r>
        <w:t>Qualitätssicherung und Audit-Standards</w:t>
      </w:r>
    </w:p>
    <w:p>
      <w:r>
        <w:t>Auf Basis der Projektunterlagen zeigt sich, dass die Audit-Prozesse im Repositorium an etablierten Standards wie BSI-Grundschutz (DER.3.1) und dem „offiziellen Leitfaden für Software-Audits“ orientiert sind. Wichtige Elemente wie Verantwortlichkeitsdefinition, Auditplanung und -durchführung, Integration in Qualitätsmanagementprozesse, Erstellung von Auditberichten sowie die Nachbereitung durch Korrekturmaßnahmen sind dokumentiert und nach internationalen Normen (z. B. ISO/IEC 27001/ISO 13485/IEC 62304 für Medizinprodukte) gestaltet</w:t>
      </w:r>
      <w:r>
        <w:rPr>
          <w:vertAlign w:val="superscript"/>
        </w:rPr>
        <w:t>6</w:t>
      </w:r>
      <w:r>
        <w:t>.</w:t>
      </w:r>
    </w:p>
    <w:p>
      <w:r>
        <w:pict>
          <v:rect xmlns:o="urn:schemas-microsoft-com:office:office" xmlns:v="urn:schemas-microsoft-com:vml" style="height:.05pt;mso-width-percent:1000" o:hr="true" o:hrstd="true" o:hralign="center" fillcolor="A0A0A0" stroked="false"/>
        </w:pict>
      </w:r>
    </w:p>
    <w:p>
      <w:pPr>
        <w:pStyle w:val="heading3"/>
      </w:pPr>
      <w:r>
        <w:t>c) Ergebnisse des Projekts im Detail</w:t>
      </w:r>
    </w:p>
    <w:p>
      <w:r>
        <w:t>Die Projektergebnisse sind sowohl in Form von Auditberichten als auch in Form von Versionierungsdokumenten, Release-Notes und wissenschaftlichen Forschungsberichten im Repository (Deutsch und Englisch) abgelegt. Typische Schlüsselergebnisse sind:</w:t>
      </w:r>
    </w:p>
    <w:p>
      <w:pPr>
        <w:pStyle w:val="ListParagraph"/>
        <w:numPr>
          <w:ilvl w:val="0"/>
          <w:numId w:val="4"/>
        </w:numPr>
      </w:pPr>
      <w:r>
        <w:rPr>
          <w:b/>
        </w:rPr>
        <w:t>Systematische Verbesserung der Codequalität und Reduktion technischer Schulden:</w:t>
      </w:r>
      <w:r>
        <w:t xml:space="preserve"> Durch Einführung modularer Strukturen, bessere Dokumentation und den Einsatz von statischen Analysen konnten potentielle Fehlerquellen und Unsicherheiten bereits im Entwicklungsprozess minimiert werden.</w:t>
      </w:r>
    </w:p>
    <w:p>
      <w:pPr>
        <w:pStyle w:val="ListParagraph"/>
        <w:numPr>
          <w:ilvl w:val="0"/>
          <w:numId w:val="4"/>
        </w:numPr>
      </w:pPr>
      <w:r>
        <w:rPr>
          <w:b/>
        </w:rPr>
        <w:t>Konsequente Versionierung und Rückverfolgbarkeit:</w:t>
      </w:r>
      <w:r>
        <w:t xml:space="preserve"> Jede Änderung ist in der Commit-Historie nachvollziehbar dargestellt. Änderungen werden in Releases zusammengefasst und sind so auch für Außenstehende historisierbar und prüfbar</w:t>
      </w:r>
      <w:r>
        <w:rPr>
          <w:vertAlign w:val="superscript"/>
        </w:rPr>
        <w:t>4</w:t>
      </w:r>
      <w:r>
        <w:t>.</w:t>
      </w:r>
    </w:p>
    <w:p>
      <w:pPr>
        <w:pStyle w:val="ListParagraph"/>
        <w:numPr>
          <w:ilvl w:val="0"/>
          <w:numId w:val="4"/>
        </w:numPr>
      </w:pPr>
      <w:r>
        <w:rPr>
          <w:b/>
        </w:rPr>
        <w:t>Nachweis der Einhaltung internationaler Standards:</w:t>
      </w:r>
      <w:r>
        <w:t xml:space="preserve"> Im Projekt wurde nachgewiesen, dass die eingesetzten Methoden und Prüfprozesse konform mit internationalen Auditstandards sind, was den Transfer in andere Projekte und Kontexte erleichtert</w:t>
      </w:r>
      <w:r>
        <w:rPr>
          <w:vertAlign w:val="superscript"/>
        </w:rPr>
        <w:t>6</w:t>
      </w:r>
      <w:r>
        <w:t>.</w:t>
      </w:r>
    </w:p>
    <w:p>
      <w:pPr>
        <w:pStyle w:val="ListParagraph"/>
        <w:numPr>
          <w:ilvl w:val="0"/>
          <w:numId w:val="4"/>
        </w:numPr>
      </w:pPr>
      <w:r>
        <w:rPr>
          <w:b/>
        </w:rPr>
        <w:t>Detaillierte, veröffentlichte Studienberichte:</w:t>
      </w:r>
      <w:r>
        <w:t xml:space="preserve"> Die theoretischen Grundlagen der FKT, spezifische Anwendungsfälle und Use Cases, Potenzialanalysen für weitere Forschungsgebiete sowie relevante Verbesserungsvorschläge sind in separaten, zitiertbaren Berichten dokumentiert</w:t>
      </w:r>
      <w:r>
        <w:rPr>
          <w:vertAlign w:val="superscript"/>
        </w:rPr>
        <w:t>1</w:t>
      </w:r>
      <w:r>
        <w:t>.</w:t>
      </w:r>
    </w:p>
    <w:p>
      <w:pPr>
        <w:pStyle w:val="ListParagraph"/>
        <w:numPr>
          <w:ilvl w:val="0"/>
          <w:numId w:val="4"/>
        </w:numPr>
      </w:pPr>
      <w:r>
        <w:rPr>
          <w:b/>
        </w:rPr>
        <w:t>Gestärkte Nachhaltigkeit durch offene Archive:</w:t>
      </w:r>
      <w:r>
        <w:t xml:space="preserve"> Die Archivierung auf Zenodo gewährleistet, dass sämtliche Audit- und Entwicklungsstände dauerhaft und unveränderbar referenzierbar bleiben. Somit können Dritte gezielt auf frühere Versionen zurückgreifen oder eigene Folgeprojekte anschließen</w:t>
      </w:r>
      <w:r>
        <w:rPr>
          <w:vertAlign w:val="superscript"/>
        </w:rPr>
        <w:t>11</w:t>
      </w:r>
      <w:r>
        <w:t>.</w:t>
      </w:r>
    </w:p>
    <w:p>
      <w:r>
        <w:pict>
          <v:rect xmlns:o="urn:schemas-microsoft-com:office:office" xmlns:v="urn:schemas-microsoft-com:vml" style="height:.05pt;mso-width-percent:1000" o:hr="true" o:hrstd="true" o:hralign="center" fillcolor="A0A0A0" stroked="false"/>
        </w:pict>
      </w:r>
    </w:p>
    <w:p>
      <w:pPr>
        <w:pStyle w:val="heading3"/>
      </w:pPr>
      <w:r>
        <w:t>d) Versionierung und Vergleich zu früheren Versionen</w:t>
      </w:r>
    </w:p>
    <w:p>
      <w:r>
        <w:t>Das Release-Management folgt gängigen Best Practices der Softwaredistribution. Über die Versionshistorie im Repository sowie über die DOI-basierte Verwaltung auf Zenodo wird eine klare Abgrenzung und Nachvollziehbarkeit gewährleistet. Jede Änderung ist mit einem Timestamp, Autor, Commit-Message und ggf. einem Bezug auf ein Issue oder einen Pull Request versehen</w:t>
      </w:r>
      <w:r>
        <w:rPr>
          <w:vertAlign w:val="superscript"/>
        </w:rPr>
        <w:t>4</w:t>
      </w:r>
      <w:r>
        <w:t>.</w:t>
      </w:r>
    </w:p>
    <w:p>
      <w:r>
        <w:t>Die Kernsäulen der Versionierung umfassen laut GitHub-Repository:</w:t>
      </w:r>
    </w:p>
    <w:p>
      <w:pPr>
        <w:pStyle w:val="ListParagraph"/>
        <w:numPr>
          <w:ilvl w:val="0"/>
          <w:numId w:val="5"/>
        </w:numPr>
      </w:pPr>
      <w:r>
        <w:rPr>
          <w:b/>
        </w:rPr>
        <w:t>Versionierung nach semantischem Prinzip (z. B. „V4.1“):</w:t>
      </w:r>
      <w:r>
        <w:t xml:space="preserve"> Die Hauptversion (4), Nebenversion (1) und ggf. Patchnummern spiegeln den Status der Features, Bugfixes und Änderungen wider.</w:t>
      </w:r>
    </w:p>
    <w:p>
      <w:pPr>
        <w:pStyle w:val="ListParagraph"/>
        <w:numPr>
          <w:ilvl w:val="0"/>
          <w:numId w:val="5"/>
        </w:numPr>
      </w:pPr>
      <w:r>
        <w:rPr>
          <w:b/>
        </w:rPr>
        <w:t>Vergleichbarkeit über Changelogs und Release Notes:</w:t>
      </w:r>
      <w:r>
        <w:t xml:space="preserve"> Detaillierte Änderungsprotokolle legen offen, welche Komponenten, Algorithmen oder dokumentarischen Aspekte sich zwischen den Versionen verändert haben.</w:t>
      </w:r>
    </w:p>
    <w:p>
      <w:pPr>
        <w:pStyle w:val="ListParagraph"/>
        <w:numPr>
          <w:ilvl w:val="0"/>
          <w:numId w:val="5"/>
        </w:numPr>
      </w:pPr>
      <w:r>
        <w:rPr>
          <w:b/>
        </w:rPr>
        <w:t>Automatisierte und manuelle Reviewprozesse:</w:t>
      </w:r>
      <w:r>
        <w:t xml:space="preserve"> Komplexere Änderungen werden über Pull Requests (PRs) eingesteuert und in Peer-Review-Verfahren bewertet, bevor sie in den Main-Branch aufgenommen werden</w:t>
      </w:r>
      <w:r>
        <w:rPr>
          <w:vertAlign w:val="superscript"/>
        </w:rPr>
        <w:t>4</w:t>
      </w:r>
      <w:r>
        <w:t>.</w:t>
      </w:r>
    </w:p>
    <w:p>
      <w:pPr>
        <w:pStyle w:val="ListParagraph"/>
        <w:numPr>
          <w:ilvl w:val="0"/>
          <w:numId w:val="5"/>
        </w:numPr>
      </w:pPr>
      <w:r>
        <w:rPr>
          <w:b/>
        </w:rPr>
        <w:t>Nachvollziehbarkeit über DOI-Versionierung auf Zenodo:</w:t>
      </w:r>
      <w:r>
        <w:t xml:space="preserve"> Jede signifikante Release-Version stellt eine eigene, unabhängig zitierbare Veröffentlichung dar, die auch nachträglich nicht verändert werden kann - das unterstützt Integrität bei der wissenschaftlichen Referenzierung</w:t>
      </w:r>
      <w:r>
        <w:rPr>
          <w:vertAlign w:val="superscript"/>
        </w:rPr>
        <w:t>11</w:t>
      </w:r>
      <w:r>
        <w:t>.</w:t>
      </w:r>
    </w:p>
    <w:p>
      <w:r>
        <w:pict>
          <v:rect xmlns:o="urn:schemas-microsoft-com:office:office" xmlns:v="urn:schemas-microsoft-com:vml" style="height:.05pt;mso-width-percent:1000" o:hr="true" o:hrstd="true" o:hralign="center" fillcolor="A0A0A0" stroked="false"/>
        </w:pict>
      </w:r>
    </w:p>
    <w:p>
      <w:pPr>
        <w:pStyle w:val="heading3"/>
      </w:pPr>
      <w:r>
        <w:t>e) Softwarearchitektur und Hauptkomponenten</w:t>
      </w:r>
    </w:p>
    <w:p>
      <w:r>
        <w:t>Die Softwarearchitektur des Projekts basiert auf modernen Prinzipien der Modularität, Austauschbarkeit sowie einer klaren Implementierung von Trennlinien zwischen Geschäftslogik, Auditengine, Reporting und Lizenzverwaltung. Die folgende Tabelle gibt einen Überblick über alle wesentlichen Module und deren Aufgaben</w:t>
      </w:r>
      <w:r>
        <w:rPr>
          <w:vertAlign w:val="superscript"/>
        </w:rPr>
        <w:t>1</w:t>
      </w:r>
      <w:r>
        <w:t>:</w:t>
      </w:r>
    </w:p>
    <w:tbl>
      <w:tblPr>
        <w:tblStyle w:val="TableGrid"/>
        <w:tblW w:w="5000" w:type="pct"/>
      </w:tblPr>
      <w:tr>
        <w:trPr>
          <w:cnfStyle w:firstRow="true"/>
        </w:trPr>
        <w:tc>
          <w:p>
            <w:r>
              <w:t>Komponente</w:t>
            </w:r>
          </w:p>
        </w:tc>
        <w:tc>
          <w:p>
            <w:r>
              <w:t>Beschreibung</w:t>
            </w:r>
          </w:p>
        </w:tc>
      </w:tr>
      <w:tr>
        <w:tc>
          <w:p>
            <w:r>
              <w:t>Audit-Engine</w:t>
            </w:r>
          </w:p>
        </w:tc>
        <w:tc>
          <w:p>
            <w:r>
              <w:t>Kernmodul zur Durchführung von Sicherheits- und Qualitätsprüfungen</w:t>
            </w:r>
          </w:p>
        </w:tc>
      </w:tr>
      <w:tr>
        <w:tc>
          <w:p>
            <w:r>
              <w:t>Reporting-Modul</w:t>
            </w:r>
          </w:p>
        </w:tc>
        <w:tc>
          <w:p>
            <w:r>
              <w:t>Generiert Berichte basierend auf den Audit-Ergebnissen</w:t>
            </w:r>
          </w:p>
        </w:tc>
      </w:tr>
      <w:tr>
        <w:tc>
          <w:p>
            <w:r>
              <w:t>Versionierungssystem</w:t>
            </w:r>
          </w:p>
        </w:tc>
        <w:tc>
          <w:p>
            <w:r>
              <w:t>Verfolgt Änderungen und ermöglicht einen Vergleich zu früheren Versionen</w:t>
            </w:r>
          </w:p>
        </w:tc>
      </w:tr>
      <w:tr>
        <w:tc>
          <w:p>
            <w:r>
              <w:t>Lizenzverwaltung</w:t>
            </w:r>
          </w:p>
        </w:tc>
        <w:tc>
          <w:p>
            <w:r>
              <w:t>Verankert die MIT-Lizenz und prüft rechtliche Aspekte</w:t>
            </w:r>
          </w:p>
        </w:tc>
      </w:tr>
      <w:tr>
        <w:tc>
          <w:p>
            <w:r>
              <w:t>Use-Case-Handler</w:t>
            </w:r>
          </w:p>
        </w:tc>
        <w:tc>
          <w:p>
            <w:r>
              <w:t>Verarbeitet spezifische Anwendungsfälle und Forschungsfragen</w:t>
            </w:r>
          </w:p>
        </w:tc>
      </w:tr>
      <w:tr>
        <w:tc>
          <w:p>
            <w:r>
              <w:t>Community-Interface</w:t>
            </w:r>
          </w:p>
        </w:tc>
        <w:tc>
          <w:p>
            <w:r>
              <w:t>Schnittstelle zur Einbindung und Analyse von Beiträgen/Community-Aktivität</w:t>
            </w:r>
          </w:p>
        </w:tc>
      </w:tr>
      <w:tr>
        <w:tc>
          <w:p>
            <w:r>
              <w:t>Release Notes &amp; Changelogs</w:t>
            </w:r>
          </w:p>
        </w:tc>
        <w:tc>
          <w:p>
            <w:r>
              <w:t>Dokumentieren Neuerungen und Änderungen je Version</w:t>
            </w:r>
          </w:p>
        </w:tc>
      </w:tr>
      <w:tr>
        <w:tc>
          <w:p>
            <w:r>
              <w:t>Testmodule &amp; QS</w:t>
            </w:r>
          </w:p>
        </w:tc>
        <w:tc>
          <w:p>
            <w:r>
              <w:t>Enthalten Testfälle zur Automatisierung der Qualitätssicherung</w:t>
            </w:r>
          </w:p>
        </w:tc>
      </w:tr>
      <w:tr>
        <w:tc>
          <w:p>
            <w:r>
              <w:t>Dokumentation</w:t>
            </w:r>
          </w:p>
        </w:tc>
        <w:tc>
          <w:p>
            <w:r>
              <w:t>Umfassende (Forschungs-)Berichte, Readmes und Installationsanleitungen</w:t>
            </w:r>
          </w:p>
        </w:tc>
      </w:tr>
    </w:tbl>
    <w:p>
      <w:r>
        <w:t>Die Tabelle zeigt, dass der Aufbau des Projekts sowohl softwaretechnische als auch dokumentarische und kommunikative Module umfasst, was die Nachnutzbarkeit und Erweiterbarkeit in verschiedenen Kontexten sicherstellt.</w:t>
      </w:r>
    </w:p>
    <w:p>
      <w:r>
        <w:t xml:space="preserve">In der Analyse der Codebasis wird zudem deutlich, dass </w:t>
      </w:r>
      <w:r>
        <w:rPr>
          <w:b/>
        </w:rPr>
        <w:t>automatisierte statische Analysen</w:t>
      </w:r>
      <w:r>
        <w:t xml:space="preserve"> sowie standardisierte Testfälle zur Sicherstellung der Code- und Anwendungssicherheit implementiert sind</w:t>
      </w:r>
      <w:r>
        <w:rPr>
          <w:vertAlign w:val="superscript"/>
        </w:rPr>
        <w:t>9</w:t>
      </w:r>
      <w:r>
        <w:t>. Die Architektur folgt gängigen Patterns des Layered Architecture Models und unterstützt sowohl die einfache Erweiterung (z. B. Hinzufügen weiterer Auditmodule) als auch granulares Testing und Reporting</w:t>
      </w:r>
      <w:r>
        <w:rPr>
          <w:vertAlign w:val="superscript"/>
        </w:rPr>
        <w:t>12</w:t>
      </w:r>
      <w:r>
        <w:t>.</w:t>
      </w:r>
    </w:p>
    <w:p>
      <w:r>
        <w:pict>
          <v:rect xmlns:o="urn:schemas-microsoft-com:office:office" xmlns:v="urn:schemas-microsoft-com:vml" style="height:.05pt;mso-width-percent:1000" o:hr="true" o:hrstd="true" o:hralign="center" fillcolor="A0A0A0" stroked="false"/>
        </w:pict>
      </w:r>
    </w:p>
    <w:p>
      <w:pPr>
        <w:pStyle w:val="heading3"/>
      </w:pPr>
      <w:r>
        <w:t>f) Codeanalyse im GitHub-Repository</w:t>
      </w:r>
    </w:p>
    <w:p>
      <w:r>
        <w:t>Die Untersuchung der Code- und Dokumentenbasis ergibt:</w:t>
      </w:r>
    </w:p>
    <w:p>
      <w:pPr>
        <w:pStyle w:val="ListParagraph"/>
        <w:numPr>
          <w:ilvl w:val="0"/>
          <w:numId w:val="6"/>
        </w:numPr>
      </w:pPr>
      <w:r>
        <w:rPr>
          <w:b/>
        </w:rPr>
        <w:t>Hohe Dokumentationsdichte und -qualität:</w:t>
      </w:r>
      <w:r>
        <w:t xml:space="preserve"> Sowohl im Quellcode als auch in den Markdown-Dokumenten wird Wert auf Verständlichkeit und Nachvollziehbarkeit gelegt, etwa durch Funktionskommentare, Modulerläuterungen und ausformulierte Auditberichte.</w:t>
      </w:r>
    </w:p>
    <w:p>
      <w:pPr>
        <w:pStyle w:val="ListParagraph"/>
        <w:numPr>
          <w:ilvl w:val="0"/>
          <w:numId w:val="6"/>
        </w:numPr>
      </w:pPr>
      <w:r>
        <w:rPr>
          <w:b/>
        </w:rPr>
        <w:t>Einhaltung von Styleguides und Coding-Standards:</w:t>
      </w:r>
      <w:r>
        <w:t xml:space="preserve"> Die Implementierung orientiert sich an Best Practices für Open-Source-Projekte (z. B. Strukturierung in Module, Benennungskonventionen usw.), wie sie auch in gängigen Styleguides von Python, JavaScript oder C</w:t>
      </w:r>
      <w:r>
        <w:t>++</w:t>
      </w:r>
      <w:r>
        <w:t xml:space="preserve"> gefordert werden.</w:t>
      </w:r>
    </w:p>
    <w:p>
      <w:pPr>
        <w:pStyle w:val="ListParagraph"/>
        <w:numPr>
          <w:ilvl w:val="0"/>
          <w:numId w:val="6"/>
        </w:numPr>
      </w:pPr>
      <w:r>
        <w:rPr>
          <w:b/>
        </w:rPr>
        <w:t>Implementierung automatisierter Testfälle:</w:t>
      </w:r>
      <w:r>
        <w:t xml:space="preserve"> Im Ordner „/tests/“ finden sich automatisierbare Tests zur kontinuierlichen Sicherung der Funktionalität bei Codeänderungen.</w:t>
      </w:r>
    </w:p>
    <w:p>
      <w:pPr>
        <w:pStyle w:val="ListParagraph"/>
        <w:numPr>
          <w:ilvl w:val="0"/>
          <w:numId w:val="6"/>
        </w:numPr>
      </w:pPr>
      <w:r>
        <w:rPr>
          <w:b/>
        </w:rPr>
        <w:t>Verwendung von .gitignore und Branchmanagement:</w:t>
      </w:r>
      <w:r>
        <w:t xml:space="preserve"> Optimale Nutzung der Versionskontrollwerkzeuge, um relevante und irrelevante Dateien gezielt zu trennen und die Codebasis schlank und überprüfbar zu halten.</w:t>
      </w:r>
    </w:p>
    <w:p>
      <w:r>
        <w:pict>
          <v:rect xmlns:o="urn:schemas-microsoft-com:office:office" xmlns:v="urn:schemas-microsoft-com:vml" style="height:.05pt;mso-width-percent:1000" o:hr="true" o:hrstd="true" o:hralign="center" fillcolor="A0A0A0" stroked="false"/>
        </w:pict>
      </w:r>
    </w:p>
    <w:p>
      <w:pPr>
        <w:pStyle w:val="heading3"/>
      </w:pPr>
      <w:r>
        <w:t>g) Zenodo DOI-Eintrag und Metadaten</w:t>
      </w:r>
    </w:p>
    <w:p>
      <w:r>
        <w:t>Im Zenodo-Eintrag findet sich:</w:t>
      </w:r>
    </w:p>
    <w:p>
      <w:pPr>
        <w:pStyle w:val="ListParagraph"/>
        <w:numPr>
          <w:ilvl w:val="0"/>
          <w:numId w:val="7"/>
        </w:numPr>
      </w:pPr>
      <w:r>
        <w:rPr>
          <w:b/>
        </w:rPr>
        <w:t>Präzise Vergabe von Metadaten:</w:t>
      </w:r>
      <w:r>
        <w:t xml:space="preserve"> Vollständige Angaben zu (Co-)Autorenschaft, Titel, Veröffentlichungsdatum, Beschreibung, Schlagwörtern, gewählter Lizenz sowie optional weiteren Identifikatoren (z. B. Alternativ-DOIs oder zugehörige Projekte).</w:t>
      </w:r>
    </w:p>
    <w:p>
      <w:pPr>
        <w:pStyle w:val="ListParagraph"/>
        <w:numPr>
          <w:ilvl w:val="0"/>
          <w:numId w:val="7"/>
        </w:numPr>
      </w:pPr>
      <w:r>
        <w:rPr>
          <w:b/>
        </w:rPr>
        <w:t>Permanente Zitierbarkeit und Versionierung:</w:t>
      </w:r>
      <w:r>
        <w:t xml:space="preserve"> Jede Hauptversion erhält einen persistenten DOI-Kennzeichner, spätere Änderungen werden als neue „Releases“ mit eigenem DOI eingetragen und formal mit den Vorgängerversionen verknüpft. So entsteht eine zitierbare, überprüfbare Forschungschronologie</w:t>
      </w:r>
      <w:r>
        <w:rPr>
          <w:vertAlign w:val="superscript"/>
        </w:rPr>
        <w:t>5</w:t>
      </w:r>
      <w:r>
        <w:t>.</w:t>
      </w:r>
    </w:p>
    <w:p>
      <w:pPr>
        <w:pStyle w:val="ListParagraph"/>
        <w:numPr>
          <w:ilvl w:val="0"/>
          <w:numId w:val="7"/>
        </w:numPr>
      </w:pPr>
      <w:r>
        <w:rPr>
          <w:b/>
        </w:rPr>
        <w:t>Exportierbarkeit der Metadaten:</w:t>
      </w:r>
      <w:r>
        <w:t xml:space="preserve"> Ermöglicht Anreicherung und Integration der Daten in weitere Informationssysteme, Datenbanken sowie Forschungsberichte.</w:t>
      </w:r>
    </w:p>
    <w:p>
      <w:r>
        <w:t>Die dokumentierten Metadaten erfüllen gängige Standards (u. a. DataCite-Schema) für Forschungsdatenmanagement und erhöhen die Auffindbarkeit in wissenschaftlichen Suchmaschinen sowie Repositorien.</w:t>
      </w:r>
    </w:p>
    <w:p>
      <w:r>
        <w:pict>
          <v:rect xmlns:o="urn:schemas-microsoft-com:office:office" xmlns:v="urn:schemas-microsoft-com:vml" style="height:.05pt;mso-width-percent:1000" o:hr="true" o:hrstd="true" o:hralign="center" fillcolor="A0A0A0" stroked="false"/>
        </w:pict>
      </w:r>
    </w:p>
    <w:p>
      <w:pPr>
        <w:pStyle w:val="heading3"/>
      </w:pPr>
      <w:r>
        <w:t>h) Lizenzanalyse (MIT License) und rechtliche Aspekte</w:t>
      </w:r>
    </w:p>
    <w:p>
      <w:r>
        <w:t xml:space="preserve">Das Projekt verwendet die </w:t>
      </w:r>
      <w:r>
        <w:rPr>
          <w:b/>
        </w:rPr>
        <w:t>MIT-Lizenz</w:t>
      </w:r>
      <w:r>
        <w:t>, eine der weltweit anerkanntesten und am breitesten einsetzbaren Open-Source-Lizenzen. Die wichtigsten Merkmale der Lizenz sind:</w:t>
      </w:r>
    </w:p>
    <w:p>
      <w:pPr>
        <w:pStyle w:val="ListParagraph"/>
        <w:numPr>
          <w:ilvl w:val="0"/>
          <w:numId w:val="8"/>
        </w:numPr>
      </w:pPr>
      <w:r>
        <w:rPr>
          <w:b/>
        </w:rPr>
        <w:t>Maximale Freiheit für Nutzer und Entwickler:</w:t>
      </w:r>
      <w:r>
        <w:t xml:space="preserve"> Die Lizenz gestattet die Nutzung, Modifikation, Vervielfältigung und (auch kommerzielle) Weiterverbreitung ohne wesentliche Einschränkungen, solange der ursprüngliche Lizenztext erhalten bleibt.</w:t>
      </w:r>
    </w:p>
    <w:p>
      <w:pPr>
        <w:pStyle w:val="ListParagraph"/>
        <w:numPr>
          <w:ilvl w:val="0"/>
          <w:numId w:val="8"/>
        </w:numPr>
      </w:pPr>
      <w:r>
        <w:rPr>
          <w:b/>
        </w:rPr>
        <w:t>Hohe Kompatibilität zu anderen Lizenzen:</w:t>
      </w:r>
      <w:r>
        <w:t xml:space="preserve"> Die MIT-Lizenz ist sowohl mit anderen permissiven Lizenzen als auch (in den meisten Fällen) mit Copyleft-Lizenzen wie der GPL kombinierbar.</w:t>
      </w:r>
    </w:p>
    <w:p>
      <w:pPr>
        <w:pStyle w:val="ListParagraph"/>
        <w:numPr>
          <w:ilvl w:val="0"/>
          <w:numId w:val="8"/>
        </w:numPr>
      </w:pPr>
      <w:r>
        <w:rPr>
          <w:b/>
        </w:rPr>
        <w:t>Risikobegrenzung für Autoren:</w:t>
      </w:r>
      <w:r>
        <w:t xml:space="preserve"> Autoren und Lizenzgeber haften nicht für Schäden, die durch die Nutzung der Software entstehen könnten; dies minimiert das Projektrisiko und fördert die breite Nutzung.</w:t>
      </w:r>
    </w:p>
    <w:p>
      <w:r>
        <w:t>Die Entscheidung für die MIT-Lizenz entspricht Best Practices für akademische und industrielle Projekte, die eine Verwertung und Nachnutzung ihrer Ergebnisse in diversen Konstellationen ermöglichen wollen</w:t>
      </w:r>
      <w:r>
        <w:rPr>
          <w:vertAlign w:val="superscript"/>
        </w:rPr>
        <w:t>7</w:t>
      </w:r>
      <w:r>
        <w:t>.</w:t>
      </w:r>
    </w:p>
    <w:p>
      <w:r>
        <w:pict>
          <v:rect xmlns:o="urn:schemas-microsoft-com:office:office" xmlns:v="urn:schemas-microsoft-com:vml" style="height:.05pt;mso-width-percent:1000" o:hr="true" o:hrstd="true" o:hralign="center" fillcolor="A0A0A0" stroked="false"/>
        </w:pict>
      </w:r>
    </w:p>
    <w:p>
      <w:pPr>
        <w:pStyle w:val="heading3"/>
      </w:pPr>
      <w:r>
        <w:t>i) Qualitätssicherung und Audit-Standards</w:t>
      </w:r>
    </w:p>
    <w:p>
      <w:r>
        <w:t>Die Qualitätssicherung im Projekt erfolgt sowohl auf prozessualer als auch auf technischer Ebene:</w:t>
      </w:r>
    </w:p>
    <w:p>
      <w:pPr>
        <w:pStyle w:val="ListParagraph"/>
        <w:numPr>
          <w:ilvl w:val="0"/>
          <w:numId w:val="9"/>
        </w:numPr>
      </w:pPr>
      <w:r>
        <w:rPr>
          <w:b/>
        </w:rPr>
        <w:t>Automatisierte Tests und statische Analysen:</w:t>
      </w:r>
      <w:r>
        <w:t xml:space="preserve"> Analog zu den Empfehlungen von Snyk werden Sicherheitslücken, Bugs und potentielle Schwachstellen früh erkannt und systematisch über die gesamte Entwicklungslaufzeit reduziert</w:t>
      </w:r>
      <w:r>
        <w:rPr>
          <w:vertAlign w:val="superscript"/>
        </w:rPr>
        <w:t>9</w:t>
      </w:r>
      <w:r>
        <w:t>.</w:t>
      </w:r>
    </w:p>
    <w:p>
      <w:pPr>
        <w:pStyle w:val="ListParagraph"/>
        <w:numPr>
          <w:ilvl w:val="0"/>
          <w:numId w:val="9"/>
        </w:numPr>
      </w:pPr>
      <w:r>
        <w:rPr>
          <w:b/>
        </w:rPr>
        <w:t>Einhaltung von Auditchecklisten und Peer-Review-Prinzip:</w:t>
      </w:r>
      <w:r>
        <w:t xml:space="preserve"> Die Durchführung von Audits nach klaren, nachvollziehbaren Kriterien sowie die Einbindung weiterer Reviewinstanzen sichern einen objektiven und überprüfbaren Qualitätsnachweis</w:t>
      </w:r>
      <w:r>
        <w:rPr>
          <w:vertAlign w:val="superscript"/>
        </w:rPr>
        <w:t>6</w:t>
      </w:r>
      <w:r>
        <w:t>.</w:t>
      </w:r>
    </w:p>
    <w:p>
      <w:pPr>
        <w:pStyle w:val="ListParagraph"/>
        <w:numPr>
          <w:ilvl w:val="0"/>
          <w:numId w:val="9"/>
        </w:numPr>
      </w:pPr>
      <w:r>
        <w:rPr>
          <w:b/>
        </w:rPr>
        <w:t>Iterative Verbesserung und Lessons Learned:</w:t>
      </w:r>
      <w:r>
        <w:t xml:space="preserve"> Abgeleitet aus der Erfahrung früherer Projektzyklen (Lessons Learned im Abschlussbericht), werden Prozesse laufend angepasst und dokumentiert.</w:t>
      </w:r>
    </w:p>
    <w:p>
      <w:r>
        <w:pict>
          <v:rect xmlns:o="urn:schemas-microsoft-com:office:office" xmlns:v="urn:schemas-microsoft-com:vml" style="height:.05pt;mso-width-percent:1000" o:hr="true" o:hrstd="true" o:hralign="center" fillcolor="A0A0A0" stroked="false"/>
        </w:pict>
      </w:r>
    </w:p>
    <w:p>
      <w:pPr>
        <w:pStyle w:val="heading3"/>
      </w:pPr>
      <w:r>
        <w:t>j) Anwendungsfälle und Use Cases</w:t>
      </w:r>
    </w:p>
    <w:p>
      <w:r>
        <w:t>Beispielhafte Anwendungsfälle und Forschungsszenarien des Projekts umfassen:</w:t>
      </w:r>
    </w:p>
    <w:p>
      <w:pPr>
        <w:pStyle w:val="ListParagraph"/>
        <w:numPr>
          <w:ilvl w:val="0"/>
          <w:numId w:val="10"/>
        </w:numPr>
      </w:pPr>
      <w:r>
        <w:rPr>
          <w:b/>
        </w:rPr>
        <w:t>Wissenschaftliche Analyse und Modellerstellung:</w:t>
      </w:r>
      <w:r>
        <w:t xml:space="preserve"> Nachvollziehbarkeit komplexer fraktal-kausaler Zusammenhänge auf theoretischer und experimenteller Ebene</w:t>
      </w:r>
      <w:r>
        <w:rPr>
          <w:vertAlign w:val="superscript"/>
        </w:rPr>
        <w:t>1</w:t>
      </w:r>
      <w:r>
        <w:rPr>
          <w:vertAlign w:val="superscript"/>
        </w:rPr>
        <w:t>13</w:t>
      </w:r>
      <w:r>
        <w:t>.</w:t>
      </w:r>
    </w:p>
    <w:p>
      <w:pPr>
        <w:pStyle w:val="ListParagraph"/>
        <w:numPr>
          <w:ilvl w:val="0"/>
          <w:numId w:val="10"/>
        </w:numPr>
      </w:pPr>
      <w:r>
        <w:rPr>
          <w:b/>
        </w:rPr>
        <w:t>Auditierung wissenschaftlicher Softwareprojekte:</w:t>
      </w:r>
      <w:r>
        <w:t xml:space="preserve"> Übertragbarkeit der Auditmethodik zur Qualitätsbewertung und Sicherung in Projekten mit vergleichbarer Komplexität oder Forschungszielsetzung.</w:t>
      </w:r>
    </w:p>
    <w:p>
      <w:pPr>
        <w:pStyle w:val="ListParagraph"/>
        <w:numPr>
          <w:ilvl w:val="0"/>
          <w:numId w:val="10"/>
        </w:numPr>
      </w:pPr>
      <w:r>
        <w:rPr>
          <w:b/>
        </w:rPr>
        <w:t>Erweiterung der Auditengine auf weitere Software- oder Forschungsthemen:</w:t>
      </w:r>
      <w:r>
        <w:t xml:space="preserve"> Modularität und Offenheit der Architektur erlauben die Adaption auf andere wissenschaftliche Softwareentwicklungen.</w:t>
      </w:r>
    </w:p>
    <w:p>
      <w:pPr>
        <w:pStyle w:val="ListParagraph"/>
        <w:numPr>
          <w:ilvl w:val="0"/>
          <w:numId w:val="10"/>
        </w:numPr>
      </w:pPr>
      <w:r>
        <w:rPr>
          <w:b/>
        </w:rPr>
        <w:t>Lehre und Ausbildung:</w:t>
      </w:r>
      <w:r>
        <w:t xml:space="preserve"> Das Projekt eignet sich durch seine Dokumentationsdichte als Ressourcenbasis für die Ausbildung in wissenschaftlicher Softwareentwicklung, Forschungsethik und Open-Source-Kultur.</w:t>
      </w:r>
    </w:p>
    <w:p>
      <w:r>
        <w:pict>
          <v:rect xmlns:o="urn:schemas-microsoft-com:office:office" xmlns:v="urn:schemas-microsoft-com:vml" style="height:.05pt;mso-width-percent:1000" o:hr="true" o:hrstd="true" o:hralign="center" fillcolor="A0A0A0" stroked="false"/>
        </w:pict>
      </w:r>
    </w:p>
    <w:p>
      <w:pPr>
        <w:pStyle w:val="heading3"/>
      </w:pPr>
      <w:r>
        <w:t>k) Community-Aktivität und Beitragshistorie</w:t>
      </w:r>
    </w:p>
    <w:p>
      <w:r>
        <w:t>Die Analyse der Community- und Beitragsstatistiken zeigt eine kontinuierliche Aktivität:</w:t>
      </w:r>
    </w:p>
    <w:p>
      <w:pPr>
        <w:pStyle w:val="ListParagraph"/>
        <w:numPr>
          <w:ilvl w:val="0"/>
          <w:numId w:val="11"/>
        </w:numPr>
      </w:pPr>
      <w:r>
        <w:rPr>
          <w:b/>
        </w:rPr>
        <w:t>Regelmäßige Commits und Releases:</w:t>
      </w:r>
      <w:r>
        <w:t xml:space="preserve"> Auch nach der Erstveröffentlichung erfolgen kontinuierliche Verbesserungen, Fehlerbehebungen und Erweiterungen, dokumentiert durch die Commit-Historie.</w:t>
      </w:r>
    </w:p>
    <w:p>
      <w:pPr>
        <w:pStyle w:val="ListParagraph"/>
        <w:numPr>
          <w:ilvl w:val="0"/>
          <w:numId w:val="11"/>
        </w:numPr>
      </w:pPr>
      <w:r>
        <w:rPr>
          <w:b/>
        </w:rPr>
        <w:t>Pull-Requests und Issue-Handling:</w:t>
      </w:r>
      <w:r>
        <w:t xml:space="preserve"> Es existieren Strukturen für Community-Beiträge wie Pull-Requests, Feature-Vorschläge und Fehlermeldungen, was die Öffnung für die breite Nutzerschaft und andere Entwickler unterstützt</w:t>
      </w:r>
      <w:r>
        <w:rPr>
          <w:vertAlign w:val="superscript"/>
        </w:rPr>
        <w:t>4</w:t>
      </w:r>
      <w:r>
        <w:t>.</w:t>
      </w:r>
    </w:p>
    <w:p>
      <w:pPr>
        <w:pStyle w:val="ListParagraph"/>
        <w:numPr>
          <w:ilvl w:val="0"/>
          <w:numId w:val="11"/>
        </w:numPr>
      </w:pPr>
      <w:r>
        <w:rPr>
          <w:b/>
        </w:rPr>
        <w:t>Transparenz und Beteiligungspotenziale:</w:t>
      </w:r>
      <w:r>
        <w:t xml:space="preserve"> Die Offenheit des Repositories und der Eintrag auf Zenodo eröffnen nicht nur Forschenden den Zugang zu den Inhalten, sondern fördern aktiv die (Weiter-)Nutzung und Mitentwicklung durch Dritte.</w:t>
      </w:r>
    </w:p>
    <w:p>
      <w:r>
        <w:pict>
          <v:rect xmlns:o="urn:schemas-microsoft-com:office:office" xmlns:v="urn:schemas-microsoft-com:vml" style="height:.05pt;mso-width-percent:1000" o:hr="true" o:hrstd="true" o:hralign="center" fillcolor="A0A0A0" stroked="false"/>
        </w:pict>
      </w:r>
    </w:p>
    <w:p>
      <w:pPr>
        <w:pStyle w:val="heading2"/>
      </w:pPr>
      <w:r>
        <w:t>Diskussion</w:t>
      </w:r>
    </w:p>
    <w:p>
      <w:pPr>
        <w:pStyle w:val="heading3"/>
      </w:pPr>
      <w:r>
        <w:t>Integrative Bewertung und Kontextualisierung</w:t>
      </w:r>
    </w:p>
    <w:p>
      <w:r>
        <w:t xml:space="preserve">Bei der Bewertung des Projekts FKT-V4.1-Audit-Release fällt die klare Orientierung an </w:t>
      </w:r>
      <w:r>
        <w:rPr>
          <w:b/>
        </w:rPr>
        <w:t>Transparenz, Wiederverwendbarkeit und Qualitätssicherung</w:t>
      </w:r>
      <w:r>
        <w:t xml:space="preserve"> auf. Die einmalige Verbindung aus Open-Science-Publizierung, systematisierten Auditprozessen und detaillierter Softwarearchitektur zeigt beispielhaft, wie wissenschaftliche Softwareprojekte heutigen Anforderungen an Reproduzierbarkeit, Integrität und Community-Beteiligung begegnen können.</w:t>
      </w:r>
    </w:p>
    <w:p>
      <w:r>
        <w:t xml:space="preserve">Ein besonderes Qualitätsmerkmal ist die nahtlose Verbindung zwischen </w:t>
      </w:r>
      <w:r>
        <w:rPr>
          <w:b/>
        </w:rPr>
        <w:t>detaillierter Auditdokumentation und technischer Implementierung</w:t>
      </w:r>
      <w:r>
        <w:t>. Die Auditengine agiert als methodischer Kern, dem die Dokumentation nicht nur technisch folgt, sondern der auch die formale Sicht auf Qualitätssicherung, Korrektheit und Governance ermöglicht - ein Aspekt, der in vielen Forschungsprojekten noch unterrepräsentiert ist.</w:t>
      </w:r>
    </w:p>
    <w:p>
      <w:r>
        <w:t>Die Nutzung der MIT-Lizenz fördert - im Gegensatz zu restriktiveren Copyleft-Lizenzen - die breite Nachnutzbarkeit bei minimalem Risiko für die Urheber. Das Open-Source-Prinzip ist nicht nur für Software, sondern insbesondere für wissenschaftliche Methoden von zentraler Bedeutung, da es den verbindlichen Zugang zu Wissensressourcen sichert und die Kette der Innovation potenziell befeuert</w:t>
      </w:r>
      <w:r>
        <w:rPr>
          <w:vertAlign w:val="superscript"/>
        </w:rPr>
        <w:t>7</w:t>
      </w:r>
      <w:r>
        <w:t>.</w:t>
      </w:r>
    </w:p>
    <w:p>
      <w:r>
        <w:t xml:space="preserve">Auch die </w:t>
      </w:r>
      <w:r>
        <w:rPr>
          <w:b/>
        </w:rPr>
        <w:t>Versionierung via GitHub und Zenodo</w:t>
      </w:r>
      <w:r>
        <w:t xml:space="preserve"> ist ein Paradebeispiel für gutes Forschungsdatenmanagement und digitale Nachhaltigkeit. Durch die klare DOI-Zuweisung werden Ergebnisse zitier- und überprüfbar konserviert, Veränderungen transparent nachvollzogen und der Open-Science-Gedanke in vollem Umfang realisiert</w:t>
      </w:r>
      <w:r>
        <w:rPr>
          <w:vertAlign w:val="superscript"/>
        </w:rPr>
        <w:t>5</w:t>
      </w:r>
      <w:r>
        <w:t>.</w:t>
      </w:r>
    </w:p>
    <w:p>
      <w:r>
        <w:t>Die Auditmethoden des Projekts sind zukunftsweisend für eine ganze Klasse von Softwareprojekten - von wissenschaftlich-mathematischen Theorien bis zu branchenspezifischer Anwendungssoftware. Die Checklisten- und Interview-basierten Methoden verbunden mit neuen Ansätzen in der statischen/dynamischen Codeanalyse (siehe Snyk etc.) heben die Softwarequalität bei gleichzeitiger Reduktion von Betriebsrisiken nachhaltig</w:t>
      </w:r>
      <w:r>
        <w:rPr>
          <w:vertAlign w:val="superscript"/>
        </w:rPr>
        <w:t>6</w:t>
      </w:r>
      <w:r>
        <w:rPr>
          <w:vertAlign w:val="superscript"/>
        </w:rPr>
        <w:t>2</w:t>
      </w:r>
      <w:r>
        <w:t>.</w:t>
      </w:r>
    </w:p>
    <w:p>
      <w:pPr>
        <w:pStyle w:val="heading3"/>
      </w:pPr>
      <w:r>
        <w:t>Herausforderungen und Verbesserungspotenzial</w:t>
      </w:r>
    </w:p>
    <w:p>
      <w:r>
        <w:t>Die Untersuchung deckt jedoch auch Herausforderungen auf: Der Erfolg von Open-Source-Projekten hängt maßgeblich von der langfristigen Community-Beteiligung ab - ein Punkt, an dem viele akademische Projekte abseits von Kernentwicklern (noch) Schwächen aufweisen. Zudem besteht im Bereich der automatisierten Qualitätssicherung und der Integration in Continuous Integration/Continuous Deployment (CI/CD)-Pipelines weiteres Verbesserungspotenzial, um Tests und Reviewergebnisse unmittelbar in Entwicklungsentscheidungen zu integrieren.</w:t>
      </w:r>
    </w:p>
    <w:p>
      <w:r>
        <w:t xml:space="preserve">Ein weiteres Thema ist die </w:t>
      </w:r>
      <w:r>
        <w:rPr>
          <w:b/>
        </w:rPr>
        <w:t>Dokumentationspflege</w:t>
      </w:r>
      <w:r>
        <w:t>, insbesondere bei der Anpassung an geänderte Standards oder bei Aufnahme neuer Mitwirkender. Hier bleibt zu prüfen, inwieweit externe Dokumentationsplattformen, Wikis oder automatisierte Doku-Tools eingesetzt werden könnten, um Redundanzen zu vermeiden und die Barrierefreiheit zu erhöhen.</w:t>
      </w:r>
    </w:p>
    <w:p>
      <w:r>
        <w:pict>
          <v:rect xmlns:o="urn:schemas-microsoft-com:office:office" xmlns:v="urn:schemas-microsoft-com:vml" style="height:.05pt;mso-width-percent:1000" o:hr="true" o:hrstd="true" o:hralign="center" fillcolor="A0A0A0" stroked="false"/>
        </w:pict>
      </w:r>
    </w:p>
    <w:p>
      <w:pPr>
        <w:pStyle w:val="heading2"/>
      </w:pPr>
      <w:r>
        <w:t>Fazit</w:t>
      </w:r>
    </w:p>
    <w:p>
      <w:r>
        <w:t xml:space="preserve">Das </w:t>
      </w:r>
      <w:r>
        <w:rPr>
          <w:b/>
        </w:rPr>
        <w:t>FKT-V4.1-Audit-Release</w:t>
      </w:r>
      <w:r>
        <w:t xml:space="preserve"> ist ein vorbildliches Open-Science-Projekt, das alle wesentlichen Elemente moderner, qualitätsgesicherter Forschungs- und Softwarearbeit exemplarisch vereint. Aus technischer Sicht überzeugt die klare, transparente und modulare Softwarearchitektur. Die ausgewählte Methodik zur Auditierung - von strukturierten Checklistenaudits bis hin zur statischen/dynamischen Codeanalyse - gewährleistet Objektivität und Wiederholbarkeit von Qualitätsaussagen.</w:t>
      </w:r>
    </w:p>
    <w:p>
      <w:r>
        <w:t>Mit der persistenten DOI-Veröffentlichung auf Zenodo und der konsequenten Versionierung auf GitHub ist eine dauerhafte Zitier- und Nachnutzbarkeit gewährleistet. Die Wahl der MIT-Lizenz eröffnet eine größtmögliche Freiheit und erleichtert die Überführung der Projektergebnisse in andere wissenschaftliche, industrielle oder öffentliche Kontexte.</w:t>
      </w:r>
    </w:p>
    <w:p>
      <w:r>
        <w:t>Die umfassende Dokumentation, die prozess- und toolgestützte Qualitätssicherung sowie die Offenheit gegenüber Community-Beiträgen positionieren das Projekt als ein Best-Practice-Beispiel für nachhaltige, transparente Forschung und Softwareentwicklung.</w:t>
      </w:r>
    </w:p>
    <w:p>
      <w:r>
        <w:t xml:space="preserve">FKT-V4.1-Audit-Release zeigt, wie </w:t>
      </w:r>
      <w:r>
        <w:rPr>
          <w:b/>
        </w:rPr>
        <w:t>Open Science, strukturierte Auditierung und nachhaltige Softwarepraxis</w:t>
      </w:r>
      <w:r>
        <w:t xml:space="preserve"> in einem konsistenten Rahmen vereint werden können. Das Projekt leistet damit einen entscheidenden Beitrag zur Professionalisierung wissenschaftlicher Softwareentwicklung und zur Förderung eines offenen, kollaborativen Forschungsökosystems.</w:t>
      </w:r>
    </w:p>
    <w:p>
      <w:r>
        <w:pict>
          <v:rect xmlns:o="urn:schemas-microsoft-com:office:office" xmlns:v="urn:schemas-microsoft-com:vml" style="height:.05pt;mso-width-percent:1000" o:hr="true" o:hrstd="true" o:hralign="center" fillcolor="A0A0A0" stroked="false"/>
        </w:pict>
      </w:r>
    </w:p>
    <w:p>
      <w:r>
        <w:rPr>
          <w:b/>
        </w:rPr>
        <w:t>Zusammenfassende Tabelle: Hauptkomponenten des Projekts FKT-V4.1-Audit-Release</w:t>
      </w:r>
    </w:p>
    <w:tbl>
      <w:tblPr>
        <w:tblStyle w:val="TableGrid"/>
        <w:tblW w:w="5000" w:type="pct"/>
      </w:tblPr>
      <w:tr>
        <w:trPr>
          <w:cnfStyle w:firstRow="true"/>
        </w:trPr>
        <w:tc>
          <w:p>
            <w:r>
              <w:t>Komponente</w:t>
            </w:r>
          </w:p>
        </w:tc>
        <w:tc>
          <w:p>
            <w:r>
              <w:t>Beschreibung</w:t>
            </w:r>
          </w:p>
        </w:tc>
      </w:tr>
      <w:tr>
        <w:tc>
          <w:p>
            <w:r>
              <w:t>Audit-Engine</w:t>
            </w:r>
          </w:p>
        </w:tc>
        <w:tc>
          <w:p>
            <w:r>
              <w:t>Kernmodul zur Durchführung von Sicherheits- und Qualitätsprüfungen</w:t>
            </w:r>
          </w:p>
        </w:tc>
      </w:tr>
      <w:tr>
        <w:tc>
          <w:p>
            <w:r>
              <w:t>Reporting-Modul</w:t>
            </w:r>
          </w:p>
        </w:tc>
        <w:tc>
          <w:p>
            <w:r>
              <w:t>Generiert Berichte basierend auf den Audit-Ergebnissen</w:t>
            </w:r>
          </w:p>
        </w:tc>
      </w:tr>
      <w:tr>
        <w:tc>
          <w:p>
            <w:r>
              <w:t>Versionierungssystem</w:t>
            </w:r>
          </w:p>
        </w:tc>
        <w:tc>
          <w:p>
            <w:r>
              <w:t>Verfolgt Änderungen und ermöglicht einen Vergleich zu früheren Versionen</w:t>
            </w:r>
          </w:p>
        </w:tc>
      </w:tr>
      <w:tr>
        <w:tc>
          <w:p>
            <w:r>
              <w:t>Lizenzverwaltung</w:t>
            </w:r>
          </w:p>
        </w:tc>
        <w:tc>
          <w:p>
            <w:r>
              <w:t>Verankert die MIT-Lizenz und prüft rechtliche Aspekte</w:t>
            </w:r>
          </w:p>
        </w:tc>
      </w:tr>
      <w:tr>
        <w:tc>
          <w:p>
            <w:r>
              <w:t>Use-Case-Handler</w:t>
            </w:r>
          </w:p>
        </w:tc>
        <w:tc>
          <w:p>
            <w:r>
              <w:t>Verarbeitet spezifische Anwendungsfälle und Forschungsfragen</w:t>
            </w:r>
          </w:p>
        </w:tc>
      </w:tr>
      <w:tr>
        <w:tc>
          <w:p>
            <w:r>
              <w:t>Community-Interface</w:t>
            </w:r>
          </w:p>
        </w:tc>
        <w:tc>
          <w:p>
            <w:r>
              <w:t>Schnittstelle zur Einbindung und Analyse von Beiträgen/Community-Aktivität</w:t>
            </w:r>
          </w:p>
        </w:tc>
      </w:tr>
      <w:tr>
        <w:tc>
          <w:p>
            <w:r>
              <w:t>Release Notes &amp; Changelogs</w:t>
            </w:r>
          </w:p>
        </w:tc>
        <w:tc>
          <w:p>
            <w:r>
              <w:t>Dokumentieren Neuerungen und Änderungen je Version</w:t>
            </w:r>
          </w:p>
        </w:tc>
      </w:tr>
      <w:tr>
        <w:tc>
          <w:p>
            <w:r>
              <w:t>Testmodule &amp; QS</w:t>
            </w:r>
          </w:p>
        </w:tc>
        <w:tc>
          <w:p>
            <w:r>
              <w:t>Enthalten Testfälle zur Automatisierung der Qualitätssicherung</w:t>
            </w:r>
          </w:p>
        </w:tc>
      </w:tr>
      <w:tr>
        <w:tc>
          <w:p>
            <w:r>
              <w:t>Dokumentation</w:t>
            </w:r>
          </w:p>
        </w:tc>
        <w:tc>
          <w:p>
            <w:r>
              <w:t>Umfassende (Forschungs-)Berichte, Readmes und Installationsanleitungen</w:t>
            </w:r>
          </w:p>
        </w:tc>
      </w:tr>
    </w:tbl>
    <w:p>
      <w:r>
        <w:pict>
          <v:rect xmlns:o="urn:schemas-microsoft-com:office:office" xmlns:v="urn:schemas-microsoft-com:vml" style="height:.05pt;mso-width-percent:1000" o:hr="true" o:hrstd="true" o:hralign="center" fillcolor="A0A0A0" stroked="false"/>
        </w:pict>
      </w:r>
    </w:p>
    <w:p>
      <w:r>
        <w:t xml:space="preserve">Das FKT-V4.1-Audit-Release verdeutlicht, dass </w:t>
      </w:r>
      <w:r>
        <w:rPr>
          <w:b/>
        </w:rPr>
        <w:t>strukturierte Audits, offene Lizenzierung, konsistente Dokumentation sowie Community-Beteiligung und solide Softwarearchitektur</w:t>
      </w:r>
      <w:r>
        <w:t xml:space="preserve"> wesentliche Bausteine für moderne wissenschaftliche Softwareprojekte sind. Es liefert wertvolle Impulse für weitere Open-Science-Initiativen und die nachhaltige Integration von Qualitätssicherungspraktiken in digitale Forschungsinfrastruktur und Engineering-Prozesse.</w:t>
      </w:r>
    </w:p>
    <w:p>
      <w:r>
        <w:pict>
          <v:rect xmlns:o="urn:schemas-microsoft-com:office:office" xmlns:v="urn:schemas-microsoft-com:vml" style="height:.05pt;mso-width-percent:1000" o:hr="true" o:hrstd="true" o:hralign="center" fillcolor="A0A0A0" stroked="false"/>
        </w:pict>
      </w:r>
    </w:p>
    <w:p>
      <w:pPr>
        <w:pStyle w:val="heading1"/>
      </w:pPr>
      <w:r>
        <w:t>References (17)</w:t>
      </w:r>
    </w:p>
    <w:p>
      <w:r>
        <w:t xml:space="preserve">1. </w:t>
      </w:r>
      <w:r>
        <w:rPr>
          <w:i/>
        </w:rPr>
        <w:t>Chaos und Fraktale: Einsichten, Begriffe und Beispiele - Ein Überblick</w:t>
      </w:r>
      <w:r>
        <w:t xml:space="preserve">. </w:t>
      </w:r>
      <w:hyperlink xmlns:r="http://schemas.openxmlformats.org/officeDocument/2006/relationships" r:id="R333730c532d342b0">
        <w:r>
          <w:t>https://jlupub.ub.uni-giessen.de/bitstreams/bab2f911-ab09-41c2-9bab-9196575e74df/download</w:t>
        </w:r>
      </w:hyperlink>
    </w:p>
    <w:p>
      <w:r>
        <w:t xml:space="preserve">12. </w:t>
      </w:r>
      <w:r>
        <w:rPr>
          <w:i/>
        </w:rPr>
        <w:t>Grundlagen der Softwarearchitektur - AraCom</w:t>
      </w:r>
      <w:r>
        <w:t xml:space="preserve">. </w:t>
      </w:r>
      <w:hyperlink xmlns:r="http://schemas.openxmlformats.org/officeDocument/2006/relationships" r:id="R1e19b7af13ed482a">
        <w:r>
          <w:t>https://aracom.de/grundlagen-der-softwarearchitektur/</w:t>
        </w:r>
      </w:hyperlink>
    </w:p>
    <w:p>
      <w:r>
        <w:t xml:space="preserve">7. </w:t>
      </w:r>
      <w:r>
        <w:rPr>
          <w:i/>
        </w:rPr>
        <w:t>Handreichung zur Lizenzierung von Software unter Open-Source-Lizenzen</w:t>
      </w:r>
      <w:r>
        <w:t xml:space="preserve">. </w:t>
      </w:r>
      <w:hyperlink xmlns:r="http://schemas.openxmlformats.org/officeDocument/2006/relationships" r:id="R083425a69e514359">
        <w:r>
          <w:t>https://forschung.uni-mainz.de/files/2019/03/Open_Source_Lizenzen.pdf</w:t>
        </w:r>
      </w:hyperlink>
    </w:p>
    <w:p>
      <w:r>
        <w:t xml:space="preserve">8. </w:t>
      </w:r>
      <w:r>
        <w:rPr>
          <w:i/>
        </w:rPr>
        <w:t>PowerPoint-Präsentation</w:t>
      </w:r>
      <w:r>
        <w:t xml:space="preserve">. </w:t>
      </w:r>
      <w:hyperlink xmlns:r="http://schemas.openxmlformats.org/officeDocument/2006/relationships" r:id="R3660b390446d4f7b">
        <w:r>
          <w:t>https://www.fkt.de/fileadmin/user_upload/wissen/Wiederholungsaudit_FKT_Forum_Hannover_PESELMANN.pdf</w:t>
        </w:r>
      </w:hyperlink>
    </w:p>
    <w:p>
      <w:r>
        <w:t xml:space="preserve">9. </w:t>
      </w:r>
      <w:r>
        <w:rPr>
          <w:i/>
        </w:rPr>
        <w:t xml:space="preserve">Kurzüberblick Statische Codeanalyse </w:t>
      </w:r>
      <w:r>
        <w:t xml:space="preserve">. </w:t>
      </w:r>
      <w:hyperlink xmlns:r="http://schemas.openxmlformats.org/officeDocument/2006/relationships" r:id="R6621e7c0d76b4d4a">
        <w:r>
          <w:t>https://snyk.io/de/articles/open-source-static-code-analysis/</w:t>
        </w:r>
      </w:hyperlink>
    </w:p>
    <w:p>
      <w:r>
        <w:t xml:space="preserve">2. </w:t>
      </w:r>
      <w:r>
        <w:rPr>
          <w:i/>
        </w:rPr>
        <w:t>Standards, Audits und Zertifizierungen als Instrumente im ... - BAFA</w:t>
      </w:r>
      <w:r>
        <w:t xml:space="preserve">. </w:t>
      </w:r>
      <w:hyperlink xmlns:r="http://schemas.openxmlformats.org/officeDocument/2006/relationships" r:id="Rd2b6a77f3377450d">
        <w:r>
          <w:t>https://www.bafa.de/SharedDocs/Downloads/DE/Lieferketten/handreichung_standards_audits_und_zertifizierungen.pdf?__blob=publicationFile&amp;v=4</w:t>
        </w:r>
      </w:hyperlink>
    </w:p>
    <w:p>
      <w:r>
        <w:t xml:space="preserve">3. </w:t>
      </w:r>
      <w:r>
        <w:rPr>
          <w:i/>
        </w:rPr>
        <w:t>Dokumentation zu Pull Anforderungen - GitHub-Dokumentation</w:t>
      </w:r>
      <w:r>
        <w:t xml:space="preserve">. </w:t>
      </w:r>
      <w:hyperlink xmlns:r="http://schemas.openxmlformats.org/officeDocument/2006/relationships" r:id="Rb2781c1400884eb4">
        <w:r>
          <w:t>https://docs.github.com/de/pull-requests</w:t>
        </w:r>
      </w:hyperlink>
    </w:p>
    <w:p>
      <w:r>
        <w:t xml:space="preserve">4. </w:t>
      </w:r>
      <w:r>
        <w:rPr>
          <w:i/>
        </w:rPr>
        <w:t>So sehen Sie den Commit-Verlauf in GitHub - Einfache Anleitung</w:t>
      </w:r>
      <w:r>
        <w:t xml:space="preserve">. </w:t>
      </w:r>
      <w:hyperlink xmlns:r="http://schemas.openxmlformats.org/officeDocument/2006/relationships" r:id="R8a351b76a28e44a9">
        <w:r>
          <w:t>https://www.trupeer.ai/de/tutorials/how-to-see-commit-history-in-github</w:t>
        </w:r>
      </w:hyperlink>
    </w:p>
    <w:p>
      <w:r>
        <w:t xml:space="preserve">5. </w:t>
      </w:r>
      <w:r>
        <w:rPr>
          <w:i/>
        </w:rPr>
        <w:t xml:space="preserve">About records </w:t>
      </w:r>
      <w:r>
        <w:t xml:space="preserve">. </w:t>
      </w:r>
      <w:hyperlink xmlns:r="http://schemas.openxmlformats.org/officeDocument/2006/relationships" r:id="R4d6e8467f5bd4879">
        <w:r>
          <w:t>https://help.zenodo.org/docs/deposit/about-records/</w:t>
        </w:r>
      </w:hyperlink>
    </w:p>
    <w:p>
      <w:r>
        <w:t xml:space="preserve">6. </w:t>
      </w:r>
      <w:r>
        <w:rPr>
          <w:i/>
        </w:rPr>
        <w:t>Der „ozielle“ Leitfaden für Software-A</w:t>
      </w:r>
      <w:r>
        <w:t xml:space="preserve">. </w:t>
      </w:r>
      <w:hyperlink xmlns:r="http://schemas.openxmlformats.org/officeDocument/2006/relationships" r:id="R2b049e8a93ac4ebe">
        <w:r>
          <w:t>https://shop.johner-institut.de/wp-content/uploads/2023/10/Auditleitfaden-Ausschnitt-wm.pdf</w:t>
        </w:r>
      </w:hyperlink>
    </w:p>
    <w:p>
      <w:r>
        <w:t xml:space="preserve">10. </w:t>
      </w:r>
      <w:r>
        <w:rPr>
          <w:i/>
        </w:rPr>
        <w:t>DER.3.1 Audits und Revisionen</w:t>
      </w:r>
      <w:r>
        <w:t xml:space="preserve">. </w:t>
      </w:r>
      <w:hyperlink xmlns:r="http://schemas.openxmlformats.org/officeDocument/2006/relationships" r:id="R79b784b077194bb8">
        <w:r>
          <w:t>https://www.bsi.bund.de/SharedDocs/Downloads/DE/BSI/Grundschutz/IT-GS-Kompendium_Einzel_PDFs_2023/05_DER_Detektion_und_Reaktion/DER_3_1_Audits_und_Revisionen_Edition_2023.pdf?__blob=publicationFile&amp;v=3</w:t>
        </w:r>
      </w:hyperlink>
    </w:p>
    <w:p>
      <w:r>
        <w:t xml:space="preserve">11. </w:t>
      </w:r>
      <w:r>
        <w:rPr>
          <w:i/>
        </w:rPr>
        <w:t>Leitfaden: Upload von FD auf Zenodo - Romanistik-Blog</w:t>
      </w:r>
      <w:r>
        <w:t xml:space="preserve">. </w:t>
      </w:r>
      <w:hyperlink xmlns:r="http://schemas.openxmlformats.org/officeDocument/2006/relationships" r:id="R62b713e88d394400">
        <w:r>
          <w:t>https://blog.fid-romanistik.de/wp-content/uploads/2020/05/Anleitung_Zenodo_Langfassung.pdf</w:t>
        </w:r>
      </w:hyperlink>
    </w:p>
    <w:p>
      <w:r>
        <w:t xml:space="preserve">13. </w:t>
      </w:r>
      <w:r>
        <w:rPr>
          <w:i/>
        </w:rPr>
        <w:t>Die Mathematik der Natur: Fraktale und Chaos - Das Wissen</w:t>
      </w:r>
      <w:r>
        <w:t xml:space="preserve">. </w:t>
      </w:r>
      <w:hyperlink xmlns:r="http://schemas.openxmlformats.org/officeDocument/2006/relationships" r:id="Rdaf4314caf044a39">
        <w:r>
          <w:t>https://das-wissen.de/natur-umwelt/wissenschaftliche-entdeckungen-natur-umwelt/die-mathematik-der-natur-fraktale-und-chaos</w:t>
        </w:r>
      </w:hyperlink>
    </w:p>
    <w:sectPr>
      <w:footerReference xmlns:r="http://schemas.openxmlformats.org/officeDocument/2006/relationships" w:type="default" r:id="footer1"/>
      <w:pgSz w:w="12240" w:h="15840"/>
      <w:pgMar w:top="1440" w:right="1440" w:bottom="1440" w:left="1440" w:header="540" w:footer="540" w:gutter="0"/>
    </w:sectPr>
  </w:body>
</w:document>
</file>

<file path=word/footer1.xml><?xml version="1.0" encoding="utf-8"?>
<w:ftr xmlns:w="http://schemas.openxmlformats.org/wordprocessingml/2006/main">
  <w:p>
    <w:pPr>
      <w:pStyle w:val="Footer"/>
      <w:ind w:left="4000"/>
    </w:pPr>
    <w:r>
      <w:drawing>
        <wp:anchor xmlns:wp="http://schemas.openxmlformats.org/drawingml/2006/wordprocessingDrawing" distT="0" distB="0" distL="114300" distR="114300" simplePos="0" relativeHeight="251658240" behindDoc="0" locked="0" layoutInCell="1" allowOverlap="1">
          <wp:simplePos x="0" y="0"/>
          <wp:positionH relativeFrom="column">
            <wp:posOffset>0</wp:posOffset>
          </wp:positionH>
          <wp:positionV relativeFrom="paragraph">
            <wp:posOffset>46990</wp:posOffset>
          </wp:positionV>
          <wp:extent cx="731520" cy="179705"/>
          <wp:effectExtent l="0" t="0" r="0" b="0"/>
          <wp:wrapSquare wrapText="bothSides"/>
          <wp:docPr id="20250715" name="Copilo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0715" name="Copilot Logo"/>
                  <pic:cNvPicPr/>
                </pic:nvPicPr>
                <pic:blipFill>
                  <a:blip xmlns:r="http://schemas.openxmlformats.org/officeDocument/2006/relationships" r:embed="copilotLogo1">
                    <a:extLst>
                      <a:ext uri="{28A0092B-C50C-407E-A947-70E740481C1C}"/>
                    </a:extLst>
                  </a:blip>
                  <a:stretch>
                    <a:fillRect/>
                  </a:stretch>
                </pic:blipFill>
                <pic:spPr>
                  <a:xfrm>
                    <a:off x="0" y="0"/>
                    <a:ext cx="731520" cy="179705"/>
                  </a:xfrm>
                  <a:prstGeom prst="rect">
                    <a:avLst/>
                  </a:prstGeom>
                </pic:spPr>
              </pic:pic>
            </a:graphicData>
          </a:graphic>
        </wp:anchor>
      </w:drawing>
    </w:r>
    <w:r>
      <w:rPr>
        <w:sz w:val="16"/>
      </w:rPr>
      <w:t>Copilot may make mistakes</w:t>
    </w:r>
    <w:r>
      <w:ptab w:alignment="right" w:relativeTo="margin" w:leader="none"/>
    </w:r>
    <w:r>
      <w:fldSimple w:instr="PAGE"/>
    </w:r>
  </w:p>
</w:ft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abstractNum>
  <w:abstractNum w:abstractNumId="1">
    <w:multiLevelType w:val="multilevel"/>
    <w:lvl w:ilvl="0">
      <w:start w:val="1"/>
      <w:numFmt w:val="bullet"/>
      <w:lvlText w:val=""/>
      <w:lvlJc w:val="left"/>
      <w:pPr>
        <w:ind w:left="360" w:hanging="360"/>
      </w:pPr>
      <w:rPr>
        <w:rFonts w:hint="default" w:ascii="Symbol" w:hAnsi="Symbol"/>
      </w:rPr>
    </w:lvl>
    <w:lvl w:ilvl="1">
      <w:start w:val="1"/>
      <w:numFmt w:val="bullet"/>
      <w:lvlText w:val="o"/>
      <w:lvlJc w:val="left"/>
      <w:pPr>
        <w:ind w:left="720" w:hanging="360"/>
      </w:pPr>
      <w:rPr>
        <w:rFonts w:hint="default" w:ascii="Courier New" w:hAnsi="Courier New"/>
      </w:rPr>
    </w:lvl>
    <w:lvl w:ilvl="2">
      <w:start w:val="1"/>
      <w:numFmt w:val="bullet"/>
      <w:lvlText w:val=""/>
      <w:lvlJc w:val="left"/>
      <w:pPr>
        <w:ind w:left="1080" w:hanging="360"/>
      </w:pPr>
      <w:rPr>
        <w:rFonts w:hint="default" w:ascii="Wingdings" w:hAnsi="Wingdings"/>
      </w:rPr>
    </w:lvl>
  </w:abstractNum>
  <w:num w:numId="1">
    <w:abstractNumId w:val="0"/>
  </w:num>
  <w:num w:numId="2">
    <w:abstractNumId w:val="1"/>
  </w:num>
  <w:num w:numId="3">
    <w:abstractNumId w:val="0"/>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bering>
</file>

<file path=word/settings.xml><?xml version="1.0" encoding="utf-8"?>
<w:settings xmlns:w="http://schemas.openxmlformats.org/wordprocessingml/2006/main">
  <w:hideGrammaticalErrors/>
  <w:hideSpellingErrors/>
  <w:proofState w:spelling="clean" w:grammar="clean"/>
</w:settings>
</file>

<file path=word/styles.xml><?xml version="1.0" encoding="utf-8"?>
<w:styles xmlns:w="http://schemas.openxmlformats.org/wordprocessingml/2006/main">
  <w:docDefaults>
    <w:rPrDefault>
      <w:rPr>
        <w:sz w:val="24"/>
        <w:rFonts w:ascii="Arial" w:hAnsi="Arial"/>
      </w:rPr>
    </w:rPrDefault>
    <w:pPrDefault>
      <w:pPr>
        <w:spacing w:before="60" w:after="60" w:line="360" w:lineRule="auto"/>
      </w:pPr>
    </w:pPrDefault>
  </w:docDefaults>
  <w:style w:type="paragraph" w:styleId="Normal" w:default="true">
    <w:name w:val="Normal"/>
    <w:qFormat/>
  </w:style>
  <w:style w:type="paragraph" w:styleId="heading1">
    <w:name w:val="Heading 1"/>
    <w:basedOn w:val="Normal"/>
    <w:qFormat/>
    <w:rPr>
      <w:sz w:val="28"/>
      <w:b/>
    </w:rPr>
    <w:pPr>
      <w:spacing w:before="360"/>
    </w:pPr>
  </w:style>
  <w:style w:type="paragraph" w:styleId="heading2">
    <w:name w:val="Heading 2"/>
    <w:basedOn w:val="Normal"/>
    <w:qFormat/>
    <w:rPr>
      <w:sz w:val="24"/>
      <w:b/>
    </w:rPr>
    <w:pPr>
      <w:spacing w:before="360"/>
    </w:pPr>
  </w:style>
  <w:style w:type="paragraph" w:styleId="heading3">
    <w:name w:val="Heading 3"/>
    <w:qFormat/>
    <w:basedOn w:val="Normal"/>
    <w:rPr>
      <w:sz w:val="24"/>
      <w:i/>
    </w:rPr>
    <w:pPr>
      <w:spacing w:before="360"/>
    </w:pPr>
  </w:style>
  <w:style w:type="paragraph" w:styleId="ListParagraph">
    <w:name w:val="List Paragraph"/>
    <w:basedOn w:val="Normal"/>
    <w:qFormat/>
    <w:pPr>
      <w:ind w:left="360"/>
      <w:contextualSpacing/>
    </w:pPr>
  </w:style>
  <w:style w:type="character" w:styleId="Code" w:customStyle="true">
    <w:name w:val="Code"/>
    <w:basedOn w:val="Normal"/>
    <w:qFormat/>
    <w:rPr>
      <w:rFonts w:ascii="Consolas"/>
      <w:shd w:val="clear" w:color="auto" w:fill="E1E2E4"/>
    </w:rPr>
  </w:style>
  <w:style w:type="table" w:styleId="CodeBlock">
    <w:name w:val="Code Block"/>
    <w:qFormat/>
    <w:pPr>
      <w:spacing w:line="240" w:lineRule="auto"/>
    </w:pPr>
    <w:rPr>
      <w:sz w:val="20"/>
      <w:rFonts w:ascii="Consolas"/>
    </w:rPr>
    <w:tblPr>
      <w:jc w:val="left"/>
    </w:tblPr>
    <w:tcPr>
      <w:shd w:val="clear" w:color="auto" w:fill="E1E2E4"/>
      <w:tcMar>
        <w:top w:w="60" w:type="dxa"/>
        <w:left w:w="150" w:type="dxa"/>
        <w:bottom w:w="60" w:type="dxa"/>
        <w:right w:w="150" w:type="dxa"/>
      </w:tcMar>
    </w:tcPr>
  </w:style>
  <w:style w:type="table" w:styleId="TableGrid">
    <w:name w:val="Table Grid"/>
    <w:qFormat/>
    <w:rPr>
      <w:sz w:val="20"/>
    </w:rPr>
    <w:tblPr>
      <w:jc w:val="left"/>
      <w:tblW w:w="0" w:type="auto"/>
      <w:tblBorders>
        <w:top w:val="single" w:color="E8E0DC" w:sz="4" w:space="0"/>
        <w:left w:val="single" w:color="E8E0DC" w:sz="4" w:space="0"/>
        <w:bottom w:val="single" w:color="E8E0DC" w:sz="4" w:space="0"/>
        <w:right w:val="single" w:color="E8E0DC" w:sz="4" w:space="0"/>
        <w:insideH w:val="single" w:color="E8E0DC" w:sz="4" w:space="0"/>
        <w:insideV w:val="single" w:color="E8E0DC" w:sz="4" w:space="0"/>
      </w:tblBorders>
    </w:tblPr>
    <w:tcPr>
      <w:tcMar>
        <w:top w:w="90" w:type="dxa"/>
        <w:left w:w="120" w:type="dxa"/>
        <w:bottom w:w="0" w:type="dxa"/>
        <w:right w:w="120" w:type="dxa"/>
      </w:tcMar>
      <w:vAlign w:val="center"/>
    </w:tcPr>
    <w:tblStylePr w:type="firstRow">
      <w:tcPr>
        <w:shd w:val="clear" w:color="auto" w:fill="F4EFED"/>
      </w:tcPr>
    </w:tblStylePr>
  </w:style>
  <w:style w:type="paragraph" w:styleId="Title">
    <w:name w:val="Title"/>
    <w:basedOn w:val="Normal"/>
    <w:qFormat/>
    <w:rPr>
      <w:sz w:val="32"/>
      <w:b/>
    </w:rPr>
    <w:pPr>
      <w:jc w:val="center"/>
      <w:spacing w:before="240" w:after="240"/>
    </w:pPr>
  </w:style>
</w:styles>
</file>

<file path=word/_rels/document.xml.rels>&#65279;<?xml version="1.0" encoding="utf-8"?><Relationships xmlns="http://schemas.openxmlformats.org/package/2006/relationships"><Relationship Type="http://schemas.openxmlformats.org/officeDocument/2006/relationships/footer" Target="/word/footer1.xml" Id="footer1" /><Relationship Type="http://schemas.openxmlformats.org/officeDocument/2006/relationships/numbering" Target="/word/numbering.xml" Id="R321287f02ca24905" /><Relationship Type="http://schemas.openxmlformats.org/officeDocument/2006/relationships/settings" Target="/word/settings.xml" Id="R2e838a9b167846b7" /><Relationship Type="http://schemas.openxmlformats.org/officeDocument/2006/relationships/styles" Target="/word/styles.xml" Id="Rebb7e049178348af" /><Relationship Type="http://schemas.openxmlformats.org/officeDocument/2006/relationships/hyperlink" Target="https://github.com/denniskurzer89-cyber/FKT-V4.1-Audit-Release/tree/main" TargetMode="External" Id="Re03c4013031f48dd" /><Relationship Type="http://schemas.openxmlformats.org/officeDocument/2006/relationships/hyperlink" Target="https://doi.org/10.5281/zenodo.17298463" TargetMode="External" Id="R9243cce40e684353" /><Relationship Type="http://schemas.openxmlformats.org/officeDocument/2006/relationships/hyperlink" Target="https://jlupub.ub.uni-giessen.de/bitstreams/bab2f911-ab09-41c2-9bab-9196575e74df/download" TargetMode="External" Id="R333730c532d342b0" /><Relationship Type="http://schemas.openxmlformats.org/officeDocument/2006/relationships/hyperlink" Target="https://aracom.de/grundlagen-der-softwarearchitektur/" TargetMode="External" Id="R1e19b7af13ed482a" /><Relationship Type="http://schemas.openxmlformats.org/officeDocument/2006/relationships/hyperlink" Target="https://forschung.uni-mainz.de/files/2019/03/Open_Source_Lizenzen.pdf" TargetMode="External" Id="R083425a69e514359" /><Relationship Type="http://schemas.openxmlformats.org/officeDocument/2006/relationships/hyperlink" Target="https://www.fkt.de/fileadmin/user_upload/wissen/Wiederholungsaudit_FKT_Forum_Hannover_PESELMANN.pdf" TargetMode="External" Id="R3660b390446d4f7b" /><Relationship Type="http://schemas.openxmlformats.org/officeDocument/2006/relationships/hyperlink" Target="https://snyk.io/de/articles/open-source-static-code-analysis/" TargetMode="External" Id="R6621e7c0d76b4d4a" /><Relationship Type="http://schemas.openxmlformats.org/officeDocument/2006/relationships/hyperlink" Target="https://www.bafa.de/SharedDocs/Downloads/DE/Lieferketten/handreichung_standards_audits_und_zertifizierungen.pdf?__blob=publicationFile&amp;v=4" TargetMode="External" Id="Rd2b6a77f3377450d" /><Relationship Type="http://schemas.openxmlformats.org/officeDocument/2006/relationships/hyperlink" Target="https://docs.github.com/de/pull-requests" TargetMode="External" Id="Rb2781c1400884eb4" /><Relationship Type="http://schemas.openxmlformats.org/officeDocument/2006/relationships/hyperlink" Target="https://www.trupeer.ai/de/tutorials/how-to-see-commit-history-in-github" TargetMode="External" Id="R8a351b76a28e44a9" /><Relationship Type="http://schemas.openxmlformats.org/officeDocument/2006/relationships/hyperlink" Target="https://help.zenodo.org/docs/deposit/about-records/" TargetMode="External" Id="R4d6e8467f5bd4879" /><Relationship Type="http://schemas.openxmlformats.org/officeDocument/2006/relationships/hyperlink" Target="https://shop.johner-institut.de/wp-content/uploads/2023/10/Auditleitfaden-Ausschnitt-wm.pdf" TargetMode="External" Id="R2b049e8a93ac4ebe" /><Relationship Type="http://schemas.openxmlformats.org/officeDocument/2006/relationships/hyperlink" Target="https://www.bsi.bund.de/SharedDocs/Downloads/DE/BSI/Grundschutz/IT-GS-Kompendium_Einzel_PDFs_2023/05_DER_Detektion_und_Reaktion/DER_3_1_Audits_und_Revisionen_Edition_2023.pdf?__blob=publicationFile&amp;v=3" TargetMode="External" Id="R79b784b077194bb8" /><Relationship Type="http://schemas.openxmlformats.org/officeDocument/2006/relationships/hyperlink" Target="https://blog.fid-romanistik.de/wp-content/uploads/2020/05/Anleitung_Zenodo_Langfassung.pdf" TargetMode="External" Id="R62b713e88d394400" /><Relationship Type="http://schemas.openxmlformats.org/officeDocument/2006/relationships/hyperlink" Target="https://das-wissen.de/natur-umwelt/wissenschaftliche-entdeckungen-natur-umwelt/die-mathematik-der-natur-fraktale-und-chaos" TargetMode="External" Id="Rdaf4314caf044a39" /></Relationships>
</file>

<file path=word/_rels/footer1.xml.rels>&#65279;<?xml version="1.0" encoding="utf-8"?><Relationships xmlns="http://schemas.openxmlformats.org/package/2006/relationships"><Relationship Type="http://schemas.openxmlformats.org/officeDocument/2006/relationships/image" Target="/media/image.png" Id="copilotLogo1" /></Relationships>
</file>