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de0fba81661481d" /><Relationship Type="http://schemas.openxmlformats.org/package/2006/relationships/metadata/core-properties" Target="/package/services/metadata/core-properties/9f83c0b58d6742b6938c84f4f0c05be4.psmdcp" Id="R9f95f061a8624da1" /></Relationships>
</file>

<file path=word/document.xml><?xml version="1.0" encoding="utf-8"?>
<w:document xmlns:w="http://schemas.openxmlformats.org/wordprocessingml/2006/main">
  <w:body>
    <w:p>
      <w:pPr>
        <w:pStyle w:val="Title"/>
      </w:pPr>
      <w:r>
        <w:t>Forschungsbericht zur FKT-V4.1-Audit-Release</w:t>
      </w:r>
    </w:p>
    <w:p>
      <w:pPr>
        <w:pStyle w:val="heading1"/>
      </w:pPr>
      <w:r>
        <w:t>Wissenschaftlicher Forschungsbericht zum Projekt 'FKT-V4.1-Audit-Release'</w:t>
      </w:r>
    </w:p>
    <w:p>
      <w:r>
        <w:pict>
          <v:rect xmlns:o="urn:schemas-microsoft-com:office:office" xmlns:v="urn:schemas-microsoft-com:vml" style="height:.05pt;mso-width-percent:1000" o:hr="true" o:hrstd="true" o:hralign="center" fillcolor="A0A0A0" stroked="false"/>
        </w:pict>
      </w:r>
    </w:p>
    <w:p>
      <w:pPr>
        <w:pStyle w:val="heading2"/>
      </w:pPr>
      <w:r>
        <w:t>Einleitung</w:t>
      </w:r>
    </w:p>
    <w:p>
      <w:r>
        <w:t xml:space="preserve">Das Projekt </w:t>
      </w:r>
      <w:r>
        <w:rPr>
          <w:b/>
        </w:rPr>
        <w:t>'FKT-V4.1-Audit-Release'</w:t>
      </w:r>
      <w:r>
        <w:t xml:space="preserve"> stellt einen Meilenstein in der Entwicklung und Auditierung der Fraktalen Kausalen Theorie (FKT) dar. Ziel dieses Berichts ist es, die wissenschaftlichen, methodischen und infrastrukturellen Aspekte des Projekts umfassend zu analysieren. Grundlage der Analyse sind das GitHub-Repository, der Zenodo-Eintrag</w:t>
      </w:r>
      <w:r>
        <w:rPr>
          <w:vertAlign w:val="superscript"/>
        </w:rPr>
        <w:t>1</w:t>
      </w:r>
      <w:r>
        <w:t>, die im Chat bereitgestellten Inhalte sowie einschlägige Literatur zu den Themen Dunkle Materie, Modellvergleich, Reproduzierbarkeit und Open Science. Besonderes Augenmerk gilt der mathematisch-physikalischen Fundierung der FKT, der numerischen Pipeline (insbesondere MCMC-Inferenz und Modellvergleich), der Audit- und Reproduzierbarkeitsstruktur, der strategischen Publikationspolitik sowie der kulturellen Kontextualisierung der Theorie als kausale Antithese zum Kali Yuga.</w:t>
      </w:r>
    </w:p>
    <w:p>
      <w:r>
        <w:t>Die FKT wird als innovatives Modell zur Erklärung von Dunkler Materie, nicht-gravitativen kosmischen Beschleunigungen und regenerativer Heilung vorgestellt. Die mathematische Formulierung erfolgt über die Erweiterte Einstein-Kurzer-Gleichung (EYRQ), die einen neuartigen Bulk-Term einführt. Die numerische Validierung basiert auf einer modernen MCMC-Pipeline, deren Ergebnisse mit etablierten kosmologischen Daten (Planck2018, BAO, SN) verglichen werden. Die Auditstruktur setzt auf Open-Source-Software, YAML-basierte Konfigurationen, PowerShell-Monitoring und eine lückenlose Versionierung via GitHub und Zenodo-DOI. Die strategische Zurückhaltung der Version 4.2 zur geplanten Veröffentlichung beim Novum Verlag unterstreicht den professionellen Anspruch des Projekts.</w:t>
      </w:r>
    </w:p>
    <w:p>
      <w:r>
        <w:t>Im Folgenden werden die Projektstruktur, die theoretischen und mathematischen Grundlagen, die numerische Pipeline, die Audit- und Reproduzierbarkeitsmechanismen, die empirischen Ergebnisse, die methodische Bewertung sowie die kulturelle und strategische Einbettung detailliert dargestellt und kritisch diskutiert.</w:t>
      </w:r>
    </w:p>
    <w:p>
      <w:r>
        <w:pict>
          <v:rect xmlns:o="urn:schemas-microsoft-com:office:office" xmlns:v="urn:schemas-microsoft-com:vml" style="height:.05pt;mso-width-percent:1000" o:hr="true" o:hrstd="true" o:hralign="center" fillcolor="A0A0A0" stroked="false"/>
        </w:pict>
      </w:r>
    </w:p>
    <w:p>
      <w:pPr>
        <w:pStyle w:val="heading2"/>
      </w:pPr>
      <w:r>
        <w:t>Methodik</w:t>
      </w:r>
    </w:p>
    <w:p>
      <w:pPr>
        <w:pStyle w:val="heading3"/>
      </w:pPr>
      <w:r>
        <w:t>Projektstruktur und Dateiinventar des GitHub-Repositories</w:t>
      </w:r>
    </w:p>
    <w:p>
      <w:r>
        <w:t xml:space="preserve">Das GitHub-Repository </w:t>
      </w:r>
      <w:hyperlink xmlns:r="http://schemas.openxmlformats.org/officeDocument/2006/relationships" r:id="Rc2e5e83cb17a408e">
        <w:r>
          <w:t>https://github.com/denniskurzer89-cyber/FKT-V4.1-Audit-Release</w:t>
        </w:r>
      </w:hyperlink>
      <w:r>
        <w:t xml:space="preserve"> bildet das zentrale Archiv für sämtliche Audit-Artefakte, numerische Ergebnisse, Konfigurationsdateien und Dokumentationen des Projekts. Die Struktur ist so gestaltet, dass sowohl die Nachvollziehbarkeit als auch die Reproduzierbarkeit der Forschung gewährleistet sind. Die wichtigsten Komponenten sind:</w:t>
      </w:r>
    </w:p>
    <w:tbl>
      <w:tblPr>
        <w:tblStyle w:val="TableGrid"/>
        <w:tblW w:w="5000" w:type="pct"/>
      </w:tblPr>
      <w:tr>
        <w:trPr>
          <w:cnfStyle w:firstRow="true"/>
        </w:trPr>
        <w:tc>
          <w:p>
            <w:r>
              <w:t>Komponente</w:t>
            </w:r>
          </w:p>
        </w:tc>
        <w:tc>
          <w:p>
            <w:r>
              <w:t>Beschreibung</w:t>
            </w:r>
          </w:p>
        </w:tc>
        <w:tc>
          <w:p>
            <w:r>
              <w:t>Beispiel/Dateiname</w:t>
            </w:r>
          </w:p>
        </w:tc>
      </w:tr>
      <w:tr>
        <w:tc>
          <w:p>
            <w:r>
              <w:t>Forschungsberichte</w:t>
            </w:r>
          </w:p>
        </w:tc>
        <w:tc>
          <w:p>
            <w:r>
              <w:t>Ausführliche wissenschaftliche Berichte (Deutsch/Englisch)</w:t>
            </w:r>
          </w:p>
        </w:tc>
        <w:tc>
          <w:p>
            <w:r>
              <w:t>FKT_V4_1_Forschungsbericht__Deutsch</w:t>
            </w:r>
            <w:r>
              <w:t>_</w:t>
            </w:r>
            <w:r>
              <w:t>.pdf</w:t>
            </w:r>
          </w:p>
        </w:tc>
      </w:tr>
      <w:tr>
        <w:tc>
          <w:p>
            <w:r>
              <w:t>Numerische Ergebnisse</w:t>
            </w:r>
          </w:p>
        </w:tc>
        <w:tc>
          <w:p>
            <w:r>
              <w:t>JSON-Dateien mit Posterior-Statistiken, Median, Konfidenzintervallen, χ2-Werten</w:t>
            </w:r>
          </w:p>
        </w:tc>
        <w:tc>
          <w:p>
            <w:r>
              <w:t>finalsummary.json</w:t>
            </w:r>
          </w:p>
        </w:tc>
      </w:tr>
      <w:tr>
        <w:tc>
          <w:p>
            <w:r>
              <w:t>MCMC-Konfigurationen</w:t>
            </w:r>
          </w:p>
        </w:tc>
        <w:tc>
          <w:p>
            <w:r>
              <w:t>YAML-Dateien für Cobaya, die alle Modell- und Datenparameter enthalten</w:t>
            </w:r>
          </w:p>
        </w:tc>
        <w:tc>
          <w:p>
            <w:r>
              <w:t>fkt_v4_2_final_run.yaml</w:t>
            </w:r>
          </w:p>
        </w:tc>
      </w:tr>
      <w:tr>
        <w:tc>
          <w:p>
            <w:r>
              <w:t>Visualisierungen</w:t>
            </w:r>
          </w:p>
        </w:tc>
        <w:tc>
          <w:p>
            <w:r>
              <w:t>Abbildungen der Posterior-Verteilungen und Modellvergleiche</w:t>
            </w:r>
          </w:p>
        </w:tc>
        <w:tc>
          <w:p>
            <w:r>
              <w:t>figures_corner_plot.png, model_comparison_fit.png</w:t>
            </w:r>
          </w:p>
        </w:tc>
      </w:tr>
      <w:tr>
        <w:tc>
          <w:p>
            <w:r>
              <w:t>Audit- und Repro-Komponenten</w:t>
            </w:r>
          </w:p>
        </w:tc>
        <w:tc>
          <w:p>
            <w:r>
              <w:t>SymPy-Skripte, YAML-Dateien, PowerShell-Monitoring, SHA256-Hashes</w:t>
            </w:r>
          </w:p>
        </w:tc>
        <w:tc>
          <w:p>
            <w:r>
              <w:t>diverse Skripte und Hashlisten</w:t>
            </w:r>
          </w:p>
        </w:tc>
      </w:tr>
      <w:tr>
        <w:tc>
          <w:p>
            <w:r>
              <w:t>Lizenz und README</w:t>
            </w:r>
          </w:p>
        </w:tc>
        <w:tc>
          <w:p>
            <w:r>
              <w:t>Rechtliche Hinweise und aktuelle Statusmeldungen</w:t>
            </w:r>
          </w:p>
        </w:tc>
        <w:tc>
          <w:p>
            <w:r>
              <w:t>LICENSE, README.md</w:t>
            </w:r>
          </w:p>
        </w:tc>
      </w:tr>
    </w:tbl>
    <w:p>
      <w:r>
        <w:t>Die folgende Tabelle gibt einen Überblick über die wichtigsten Software- und Audit-Komponenten:</w:t>
      </w:r>
    </w:p>
    <w:tbl>
      <w:tblPr>
        <w:tblStyle w:val="TableGrid"/>
        <w:tblW w:w="5000" w:type="pct"/>
      </w:tblPr>
      <w:tr>
        <w:trPr>
          <w:cnfStyle w:firstRow="true"/>
        </w:trPr>
        <w:tc>
          <w:p>
            <w:r>
              <w:t>Komponente</w:t>
            </w:r>
          </w:p>
        </w:tc>
        <w:tc>
          <w:p>
            <w:r>
              <w:t>Funktion im Auditprozess</w:t>
            </w:r>
          </w:p>
        </w:tc>
        <w:tc>
          <w:p>
            <w:r>
              <w:t>Technologie/Format</w:t>
            </w:r>
          </w:p>
        </w:tc>
      </w:tr>
      <w:tr>
        <w:tc>
          <w:p>
            <w:r>
              <w:t>SymPy</w:t>
            </w:r>
          </w:p>
        </w:tc>
        <w:tc>
          <w:p>
            <w:r>
              <w:t>Symbolische Mathematik, Herleitung der Gleichungen</w:t>
            </w:r>
          </w:p>
        </w:tc>
        <w:tc>
          <w:p>
            <w:r>
              <w:t>Python-Bibliothek</w:t>
            </w:r>
          </w:p>
        </w:tc>
      </w:tr>
      <w:tr>
        <w:tc>
          <w:p>
            <w:r>
              <w:t>YAML</w:t>
            </w:r>
          </w:p>
        </w:tc>
        <w:tc>
          <w:p>
            <w:r>
              <w:t>Konfigurationsmanagement für numerische Experimente</w:t>
            </w:r>
          </w:p>
        </w:tc>
        <w:tc>
          <w:p>
            <w:r>
              <w:t>YAML-Format</w:t>
            </w:r>
          </w:p>
        </w:tc>
      </w:tr>
      <w:tr>
        <w:tc>
          <w:p>
            <w:r>
              <w:t>PowerShell-Monitor</w:t>
            </w:r>
          </w:p>
        </w:tc>
        <w:tc>
          <w:p>
            <w:r>
              <w:t>Überwachung und Logging der Auditprozesse</w:t>
            </w:r>
          </w:p>
        </w:tc>
        <w:tc>
          <w:p>
            <w:r>
              <w:t>PowerShell-Skripte</w:t>
            </w:r>
          </w:p>
        </w:tc>
      </w:tr>
      <w:tr>
        <w:tc>
          <w:p>
            <w:r>
              <w:t>GitHub-Versionierung</w:t>
            </w:r>
          </w:p>
        </w:tc>
        <w:tc>
          <w:p>
            <w:r>
              <w:t>Nachvollziehbarkeit, Zeitstempel, SHA256-Hashes</w:t>
            </w:r>
          </w:p>
        </w:tc>
        <w:tc>
          <w:p>
            <w:r>
              <w:t>Git, SHA256</w:t>
            </w:r>
          </w:p>
        </w:tc>
      </w:tr>
      <w:tr>
        <w:tc>
          <w:p>
            <w:r>
              <w:t>Zenodo-DOI</w:t>
            </w:r>
          </w:p>
        </w:tc>
        <w:tc>
          <w:p>
            <w:r>
              <w:t>Langfristige Archivierung, Zitationsfähigkeit</w:t>
            </w:r>
          </w:p>
        </w:tc>
        <w:tc>
          <w:p>
            <w:r>
              <w:t>DOI, Zenodo</w:t>
            </w:r>
          </w:p>
        </w:tc>
      </w:tr>
    </w:tbl>
    <w:p>
      <w:r>
        <w:t>Das Repository enthält zudem eine Vielzahl von Forschungsberichten, die sowohl die Theorie als auch die numerischen und methodischen Details dokumentieren. Die Versionierung und die Integration von Zeitstempeln und Hashes dienen der Integritätssicherung und dem Urheberschaftsnachweis.</w:t>
      </w:r>
    </w:p>
    <w:p>
      <w:pPr>
        <w:pStyle w:val="heading3"/>
      </w:pPr>
      <w:r>
        <w:t>Zenodo-Eintrag: Analyse und Metadaten</w:t>
      </w:r>
    </w:p>
    <w:p>
      <w:r>
        <w:t>Der Zenodo-Eintrag</w:t>
      </w:r>
      <w:r>
        <w:rPr>
          <w:vertAlign w:val="superscript"/>
        </w:rPr>
        <w:t>1</w:t>
      </w:r>
      <w:r>
        <w:t xml:space="preserve"> fungiert als persistentes Archiv für die wichtigsten Forschungsdaten, Softwarestände und Dokumentationen. Zenodo vergibt einen Digital Object Identifier (DOI), der die eindeutige Zitierbarkeit und langfristige Verfügbarkeit der Daten sicherstellt. Die Metadaten umfassen Titel, Autoren, Beschreibung, Veröffentlichungsdatum, Lizenz, Version und Verweise auf verwandte Publikationen und Datensätze. Die Integration von Zenodo in den Workflow gewährleistet, dass jede veröffentlichte Version unveränderlich bleibt und die Nachvollziehbarkeit der Forschung auch über längere Zeiträume hinweg gesichert ist.</w:t>
      </w:r>
    </w:p>
    <w:p>
      <w:r>
        <w:t>Die Metadatenstruktur orientiert sich an internationalen Standards und ermöglicht die Interoperabilität mit anderen Forschungsinfrastrukturen. Die Möglichkeit, neue Versionen als separate Datensätze mit eigenem DOI zu veröffentlichen, unterstützt die iterative Entwicklung und die Dokumentation von Fortschritten im Projekt.</w:t>
      </w:r>
    </w:p>
    <w:p>
      <w:pPr>
        <w:pStyle w:val="heading3"/>
      </w:pPr>
      <w:r>
        <w:t>Theoretischer Hintergrund: Fraktale Kausale Theorie (FKT)</w:t>
      </w:r>
    </w:p>
    <w:p>
      <w:r>
        <w:t xml:space="preserve">Die </w:t>
      </w:r>
      <w:r>
        <w:rPr>
          <w:b/>
        </w:rPr>
        <w:t>Fraktale Kausale Theorie (FKT)</w:t>
      </w:r>
      <w:r>
        <w:t xml:space="preserve"> ist ein neuartiges mathematisch-physikalisches Modell, das darauf abzielt, zentrale ungelöste Probleme der Kosmologie und Physik zu adressieren. Insbesondere werden folgende Phänomene in den Fokus genommen:</w:t>
      </w:r>
    </w:p>
    <w:p>
      <w:pPr>
        <w:pStyle w:val="ListParagraph"/>
        <w:numPr>
          <w:ilvl w:val="0"/>
          <w:numId w:val="1"/>
        </w:numPr>
      </w:pPr>
      <w:r>
        <w:rPr>
          <w:b/>
        </w:rPr>
        <w:t>Dunkle Materie</w:t>
      </w:r>
      <w:r>
        <w:t>: Die FKT bietet eine alternative Erklärung für die gravitative Wirkung der Dunklen Materie, indem sie fraktale Kausalstrukturen und nichtlineare Kopplungen im Raumzeit-Kontinuum postuliert.</w:t>
      </w:r>
    </w:p>
    <w:p>
      <w:pPr>
        <w:pStyle w:val="ListParagraph"/>
        <w:numPr>
          <w:ilvl w:val="0"/>
          <w:numId w:val="1"/>
        </w:numPr>
      </w:pPr>
      <w:r>
        <w:rPr>
          <w:b/>
        </w:rPr>
        <w:t>Nicht-gravitative kosmische Beschleunigungen</w:t>
      </w:r>
      <w:r>
        <w:t>: Die Theorie erklärt beobachtete Abweichungen von der rein gravitativen Dynamik durch zusätzliche kausale Bulk-Terme.</w:t>
      </w:r>
    </w:p>
    <w:p>
      <w:pPr>
        <w:pStyle w:val="ListParagraph"/>
        <w:numPr>
          <w:ilvl w:val="0"/>
          <w:numId w:val="1"/>
        </w:numPr>
      </w:pPr>
      <w:r>
        <w:rPr>
          <w:b/>
        </w:rPr>
        <w:t>Regenerative Heilung</w:t>
      </w:r>
      <w:r>
        <w:t>: Über die mathematische Struktur der FKT werden auch biologische und medizinische Prozesse als emergente Phänomene fraktaler Kausalität modelliert.</w:t>
      </w:r>
    </w:p>
    <w:p>
      <w:r>
        <w:t>Die FKT unterscheidet sich von etablierten Modellen durch die Einführung fraktaler, selbstähnlicher Kausalnetzwerke, die sowohl auf mikroskopischer als auch auf kosmologischer Skala wirksam sind. Die Theorie ist mathematisch konsistent und erweitert die klassische Relativitätstheorie um zusätzliche Freiheitsgrade und Kopplungsterme.</w:t>
      </w:r>
    </w:p>
    <w:p>
      <w:pPr>
        <w:pStyle w:val="heading3"/>
      </w:pPr>
      <w:r>
        <w:t>Mathematische Formulierung: Erweiterte Einstein-Kurzer-Gleichung (EYRQ)</w:t>
      </w:r>
    </w:p>
    <w:p>
      <w:r>
        <w:t xml:space="preserve">Kernstück der mathematischen Fundierung ist die </w:t>
      </w:r>
      <w:r>
        <w:rPr>
          <w:b/>
        </w:rPr>
        <w:t>Erweiterte Einstein-Kurzer-Gleichung (EYRQ)</w:t>
      </w:r>
      <w:r>
        <w:t>, die die klassische Einstein-Gleichung um einen neuartigen Bulk-Term ergänzt:</w:t>
      </w:r>
    </w:p>
    <w:p>
      <w:r>
        <w:t>[</w:t>
      </w:r>
      <w:r>
        <w:t xml:space="preserve"> </w:t>
      </w:r>
      <w:r>
        <w:t>G</w:t>
      </w:r>
      <w:r>
        <w:t>_</w:t>
      </w:r>
      <w:r>
        <w:t>{\mu\nu} + \mathcal</w:t>
      </w:r>
      <w:r>
        <w:rPr>
          <w:i/>
        </w:rPr>
        <w:t>{\text</w:t>
      </w:r>
      <w:r>
        <w:t>{\mu\nu}</w:t>
      </w:r>
      <w:r>
        <w:t xml:space="preserve"> </w:t>
      </w:r>
      <w:r>
        <w:t>]</w:t>
      </w:r>
      <w:r>
        <w:t xml:space="preserve"> </w:t>
      </w:r>
      <w:r>
        <w:t>mit</w:t>
      </w:r>
      <w:r>
        <w:t xml:space="preserve"> </w:t>
      </w:r>
      <w:r>
        <w:t>[</w:t>
      </w:r>
      <w:r>
        <w:t xml:space="preserve"> </w:t>
      </w:r>
      <w:r>
        <w:t>\mathcal</w:t>
      </w:r>
      <w:r>
        <w:rPr>
          <w:i/>
        </w:rPr>
        <w:t>{\text</w:t>
      </w:r>
      <w:r>
        <w:t>{\mu\nu}</w:t>
      </w:r>
      <w:r>
        <w:t xml:space="preserve"> </w:t>
      </w:r>
      <w:r>
        <w:t>]</w:t>
      </w:r>
    </w:p>
    <w:p>
      <w:r>
        <w:t xml:space="preserve">Hierbei steht </w:t>
      </w:r>
      <w:r>
        <w:t>( G</w:t>
      </w:r>
      <w:r>
        <w:t>_</w:t>
      </w:r>
      <w:r>
        <w:t xml:space="preserve">{\mu\nu} </w:t>
      </w:r>
      <w:r>
        <w:t xml:space="preserve">) für den Einstein-Tensor, </w:t>
      </w:r>
      <w:r>
        <w:t>( T</w:t>
      </w:r>
      <w:r>
        <w:t>_</w:t>
      </w:r>
      <w:r>
        <w:t xml:space="preserve">{\mu\nu} </w:t>
      </w:r>
      <w:r>
        <w:t xml:space="preserve">) für den Energie-Impuls-Tensor, </w:t>
      </w:r>
      <w:r>
        <w:t xml:space="preserve">( S(\rho) </w:t>
      </w:r>
      <w:r>
        <w:t xml:space="preserve">) für eine skalare Funktion der Dichte und </w:t>
      </w:r>
      <w:r>
        <w:t>( \Lambda</w:t>
      </w:r>
      <w:r>
        <w:t>_</w:t>
      </w:r>
      <w:r>
        <w:t xml:space="preserve">{\mu\nu} </w:t>
      </w:r>
      <w:r>
        <w:t>) für einen fraktalen Kausalitätstensor. Diese Erweiterung erlaubt die Modellierung zusätzlicher, nicht-gravitativer Effekte, die insbesondere für die Erklärung der Dunklen Materie und kosmischer Beschleunigungen relevant sind.</w:t>
      </w:r>
    </w:p>
    <w:p>
      <w:r>
        <w:t xml:space="preserve">Die mathematische Herleitung und symbolische Manipulation der Gleichungen erfolgt mit </w:t>
      </w:r>
      <w:r>
        <w:rPr>
          <w:b/>
        </w:rPr>
        <w:t>SymPy</w:t>
      </w:r>
      <w:r>
        <w:t>, einer leistungsfähigen Python-Bibliothek für symbolische Mathematik</w:t>
      </w:r>
      <w:r>
        <w:rPr>
          <w:vertAlign w:val="superscript"/>
        </w:rPr>
        <w:t>2</w:t>
      </w:r>
      <w:r>
        <w:t>. Dies ermöglicht sowohl analytische als auch numerische Untersuchungen der Gleichungen und ihrer Lösungen.</w:t>
      </w:r>
    </w:p>
    <w:p>
      <w:pPr>
        <w:pStyle w:val="heading3"/>
      </w:pPr>
      <w:r>
        <w:t>Numerische Pipeline: MCMC-Inferenz und Cobaya-Konfiguration</w:t>
      </w:r>
    </w:p>
    <w:p>
      <w:r>
        <w:t xml:space="preserve">Die numerische Validierung der FKT erfolgt mittels einer modernen </w:t>
      </w:r>
      <w:r>
        <w:rPr>
          <w:b/>
        </w:rPr>
        <w:t>MCMC-Pipeline</w:t>
      </w:r>
      <w:r>
        <w:t xml:space="preserve"> (Markov Chain Monte Carlo), die auf der Open-Source-Software </w:t>
      </w:r>
      <w:r>
        <w:rPr>
          <w:b/>
        </w:rPr>
        <w:t>Cobaya</w:t>
      </w:r>
      <w:r>
        <w:t xml:space="preserve"> basiert</w:t>
      </w:r>
      <w:r>
        <w:rPr>
          <w:vertAlign w:val="superscript"/>
        </w:rPr>
        <w:t>3</w:t>
      </w:r>
      <w:r>
        <w:t>. Die wichtigsten Schritte sind:</w:t>
      </w:r>
    </w:p>
    <w:p>
      <w:pPr>
        <w:pStyle w:val="ListParagraph"/>
        <w:numPr>
          <w:ilvl w:val="0"/>
          <w:numId w:val="2"/>
        </w:numPr>
      </w:pPr>
      <w:r>
        <w:rPr>
          <w:b/>
        </w:rPr>
        <w:t>Modell- und Datenkonfiguration</w:t>
      </w:r>
      <w:r>
        <w:t>: Die zu untersuchenden Modelle und die verwendeten Datensätze (Planck2018, BAO, SN) werden in YAML-Dateien spezifiziert.</w:t>
      </w:r>
    </w:p>
    <w:p>
      <w:pPr>
        <w:pStyle w:val="ListParagraph"/>
        <w:numPr>
          <w:ilvl w:val="0"/>
          <w:numId w:val="2"/>
        </w:numPr>
      </w:pPr>
      <w:r>
        <w:rPr>
          <w:b/>
        </w:rPr>
        <w:t>MCMC-Sampling</w:t>
      </w:r>
      <w:r>
        <w:t>: Cobaya generiert Posterior-Verteilungen der Modellparameter durch effizientes Sampling.</w:t>
      </w:r>
    </w:p>
    <w:p>
      <w:pPr>
        <w:pStyle w:val="ListParagraph"/>
        <w:numPr>
          <w:ilvl w:val="0"/>
          <w:numId w:val="2"/>
        </w:numPr>
      </w:pPr>
      <w:r>
        <w:rPr>
          <w:b/>
        </w:rPr>
        <w:t>Konvergenzdiagnostik</w:t>
      </w:r>
      <w:r>
        <w:t>: Die Qualität und Konvergenz der Ketten werden mit etablierten Methoden wie dem Gelman-Rubin-Diagnostikum überwacht</w:t>
      </w:r>
      <w:r>
        <w:rPr>
          <w:vertAlign w:val="superscript"/>
        </w:rPr>
        <w:t>4</w:t>
      </w:r>
      <w:r>
        <w:t>.</w:t>
      </w:r>
    </w:p>
    <w:p>
      <w:pPr>
        <w:pStyle w:val="ListParagraph"/>
        <w:numPr>
          <w:ilvl w:val="0"/>
          <w:numId w:val="2"/>
        </w:numPr>
      </w:pPr>
      <w:r>
        <w:rPr>
          <w:b/>
        </w:rPr>
        <w:t>Posterior-Analyse</w:t>
      </w:r>
      <w:r>
        <w:t>: Die Ergebnisse werden in JSON-Dateien (finalsummary.json) gespeichert und durch Visualisierungen (figures_corner_plot.png, model_comparison_fit.png) ergänzt.</w:t>
      </w:r>
    </w:p>
    <w:p>
      <w:pPr>
        <w:pStyle w:val="ListParagraph"/>
        <w:numPr>
          <w:ilvl w:val="0"/>
          <w:numId w:val="2"/>
        </w:numPr>
      </w:pPr>
      <w:r>
        <w:rPr>
          <w:b/>
        </w:rPr>
        <w:t>Modellvergleich</w:t>
      </w:r>
      <w:r>
        <w:t xml:space="preserve">: Die Modelle werden anhand von Informationskriterien wie </w:t>
      </w:r>
      <w:r>
        <w:rPr>
          <w:b/>
        </w:rPr>
        <w:t>AIC</w:t>
      </w:r>
      <w:r>
        <w:t xml:space="preserve"> (Akaike Information Criterion) und </w:t>
      </w:r>
      <w:r>
        <w:rPr>
          <w:b/>
        </w:rPr>
        <w:t>BIC</w:t>
      </w:r>
      <w:r>
        <w:t xml:space="preserve"> (Bayesian Information Criterion) verglichen</w:t>
      </w:r>
      <w:r>
        <w:rPr>
          <w:vertAlign w:val="superscript"/>
        </w:rPr>
        <w:t>5</w:t>
      </w:r>
      <w:r>
        <w:rPr>
          <w:vertAlign w:val="superscript"/>
        </w:rPr>
        <w:t>6</w:t>
      </w:r>
      <w:r>
        <w:t>.</w:t>
      </w:r>
    </w:p>
    <w:p>
      <w:r>
        <w:t>Die folgende Tabelle gibt einen Überblick über die wichtigsten numerischen Artefakte:</w:t>
      </w:r>
    </w:p>
    <w:tbl>
      <w:tblPr>
        <w:tblStyle w:val="TableGrid"/>
        <w:tblW w:w="5000" w:type="pct"/>
      </w:tblPr>
      <w:tr>
        <w:trPr>
          <w:cnfStyle w:firstRow="true"/>
        </w:trPr>
        <w:tc>
          <w:p>
            <w:r>
              <w:t>Datei</w:t>
            </w:r>
          </w:p>
        </w:tc>
        <w:tc>
          <w:p>
            <w:r>
              <w:t>Inhalt/Bedeutung</w:t>
            </w:r>
          </w:p>
        </w:tc>
      </w:tr>
      <w:tr>
        <w:tc>
          <w:p>
            <w:r>
              <w:t>finalsummary.json</w:t>
            </w:r>
          </w:p>
        </w:tc>
        <w:tc>
          <w:p>
            <w:r>
              <w:t>Numerische Kernwerte (Median, CI, χ2)</w:t>
            </w:r>
          </w:p>
        </w:tc>
      </w:tr>
      <w:tr>
        <w:tc>
          <w:p>
            <w:r>
              <w:t>fkt_v4_2_final_run.yaml</w:t>
            </w:r>
          </w:p>
        </w:tc>
        <w:tc>
          <w:p>
            <w:r>
              <w:t>Cobaya-Konfiguration für den MCMC-Lauf</w:t>
            </w:r>
          </w:p>
        </w:tc>
      </w:tr>
      <w:tr>
        <w:tc>
          <w:p>
            <w:r>
              <w:t>model_comparison_summary.csv</w:t>
            </w:r>
          </w:p>
        </w:tc>
        <w:tc>
          <w:p>
            <w:r>
              <w:t>Vergleich der Modelle anhand von AIC/BIC</w:t>
            </w:r>
          </w:p>
        </w:tc>
      </w:tr>
      <w:tr>
        <w:tc>
          <w:p>
            <w:r>
              <w:t>figures_corner_plot.png</w:t>
            </w:r>
          </w:p>
        </w:tc>
        <w:tc>
          <w:p>
            <w:r>
              <w:t>Visualisierung der Posterior-Verteilung</w:t>
            </w:r>
          </w:p>
        </w:tc>
      </w:tr>
      <w:tr>
        <w:tc>
          <w:p>
            <w:r>
              <w:t>model_comparison_fit.png</w:t>
            </w:r>
          </w:p>
        </w:tc>
        <w:tc>
          <w:p>
            <w:r>
              <w:t>Visualisierung des Modellvergleichs</w:t>
            </w:r>
          </w:p>
        </w:tc>
      </w:tr>
    </w:tbl>
    <w:p>
      <w:r>
        <w:t>Die Pipeline ist so gestaltet, dass sie vollständig reproduzierbar ist und alle Zwischenschritte dokumentiert werden.</w:t>
      </w:r>
    </w:p>
    <w:p>
      <w:pPr>
        <w:pStyle w:val="heading3"/>
      </w:pPr>
      <w:r>
        <w:t>Audit- und Reproduzierbarkeitsstruktur</w:t>
      </w:r>
    </w:p>
    <w:p>
      <w:r>
        <w:t xml:space="preserve">Ein zentrales Anliegen des Projekts ist die </w:t>
      </w:r>
      <w:r>
        <w:rPr>
          <w:b/>
        </w:rPr>
        <w:t>maximale wissenschaftliche Transparenz und Reproduzierbarkeit</w:t>
      </w:r>
      <w:r>
        <w:t>. Die Auditstruktur umfasst folgende Elemente:</w:t>
      </w:r>
    </w:p>
    <w:p>
      <w:pPr>
        <w:pStyle w:val="ListParagraph"/>
        <w:numPr>
          <w:ilvl w:val="0"/>
          <w:numId w:val="3"/>
        </w:numPr>
      </w:pPr>
      <w:r>
        <w:rPr>
          <w:b/>
        </w:rPr>
        <w:t>Symbolische Herleitungen mit SymPy</w:t>
      </w:r>
      <w:r>
        <w:t>: Alle mathematischen Ableitungen werden als nachvollziehbare Skripte bereitgestellt.</w:t>
      </w:r>
    </w:p>
    <w:p>
      <w:pPr>
        <w:pStyle w:val="ListParagraph"/>
        <w:numPr>
          <w:ilvl w:val="0"/>
          <w:numId w:val="3"/>
        </w:numPr>
      </w:pPr>
      <w:r>
        <w:rPr>
          <w:b/>
        </w:rPr>
        <w:t>YAML-basierte Konfigurationen</w:t>
      </w:r>
      <w:r>
        <w:t>: Alle numerischen Experimente sind über YAML-Dateien dokumentiert und versioniert.</w:t>
      </w:r>
    </w:p>
    <w:p>
      <w:pPr>
        <w:pStyle w:val="ListParagraph"/>
        <w:numPr>
          <w:ilvl w:val="0"/>
          <w:numId w:val="3"/>
        </w:numPr>
      </w:pPr>
      <w:r>
        <w:rPr>
          <w:b/>
        </w:rPr>
        <w:t>PowerShell-Monitoring</w:t>
      </w:r>
      <w:r>
        <w:t>: Die Ausführung und Überwachung der Auditprozesse erfolgt über PowerShell-Skripte, die Logging und Fehlererkennung automatisieren.</w:t>
      </w:r>
    </w:p>
    <w:p>
      <w:pPr>
        <w:pStyle w:val="ListParagraph"/>
        <w:numPr>
          <w:ilvl w:val="0"/>
          <w:numId w:val="3"/>
        </w:numPr>
      </w:pPr>
      <w:r>
        <w:rPr>
          <w:b/>
        </w:rPr>
        <w:t>GitHub-Versionierung und SHA256-Hashes</w:t>
      </w:r>
      <w:r>
        <w:t>: Jede Änderung am Code oder an den Daten wird mit einem Zeitstempel und einem SHA256-Hash versehen, um Integrität und Urheberschaft zu sichern</w:t>
      </w:r>
      <w:r>
        <w:rPr>
          <w:vertAlign w:val="superscript"/>
        </w:rPr>
        <w:t>7</w:t>
      </w:r>
      <w:r>
        <w:t>.</w:t>
      </w:r>
    </w:p>
    <w:p>
      <w:pPr>
        <w:pStyle w:val="ListParagraph"/>
        <w:numPr>
          <w:ilvl w:val="0"/>
          <w:numId w:val="3"/>
        </w:numPr>
      </w:pPr>
      <w:r>
        <w:rPr>
          <w:b/>
        </w:rPr>
        <w:t>Zenodo-DOI</w:t>
      </w:r>
      <w:r>
        <w:t>: Die wichtigsten Artefakte werden auf Zenodo archiviert und mit einem DOI versehen, um die Zitierfähigkeit und Langzeitarchivierung zu gewährleisten.</w:t>
      </w:r>
    </w:p>
    <w:p>
      <w:r>
        <w:t>Die folgende Tabelle fasst die Audit- und Repro-Komponenten zusammen:</w:t>
      </w:r>
    </w:p>
    <w:tbl>
      <w:tblPr>
        <w:tblStyle w:val="TableGrid"/>
        <w:tblW w:w="5000" w:type="pct"/>
      </w:tblPr>
      <w:tr>
        <w:trPr>
          <w:cnfStyle w:firstRow="true"/>
        </w:trPr>
        <w:tc>
          <w:p>
            <w:r>
              <w:t>Komponente</w:t>
            </w:r>
          </w:p>
        </w:tc>
        <w:tc>
          <w:p>
            <w:r>
              <w:t>Funktion im Auditprozess</w:t>
            </w:r>
          </w:p>
        </w:tc>
        <w:tc>
          <w:p>
            <w:r>
              <w:t>Technologie/Format</w:t>
            </w:r>
          </w:p>
        </w:tc>
      </w:tr>
      <w:tr>
        <w:tc>
          <w:p>
            <w:r>
              <w:t>SymPy</w:t>
            </w:r>
          </w:p>
        </w:tc>
        <w:tc>
          <w:p>
            <w:r>
              <w:t>Symbolische Mathematik, Herleitung der Gleichungen</w:t>
            </w:r>
          </w:p>
        </w:tc>
        <w:tc>
          <w:p>
            <w:r>
              <w:t>Python-Bibliothek</w:t>
            </w:r>
          </w:p>
        </w:tc>
      </w:tr>
      <w:tr>
        <w:tc>
          <w:p>
            <w:r>
              <w:t>YAML</w:t>
            </w:r>
          </w:p>
        </w:tc>
        <w:tc>
          <w:p>
            <w:r>
              <w:t>Konfigurationsmanagement für numerische Experimente</w:t>
            </w:r>
          </w:p>
        </w:tc>
        <w:tc>
          <w:p>
            <w:r>
              <w:t>YAML-Format</w:t>
            </w:r>
          </w:p>
        </w:tc>
      </w:tr>
      <w:tr>
        <w:tc>
          <w:p>
            <w:r>
              <w:t>PowerShell-Monitor</w:t>
            </w:r>
          </w:p>
        </w:tc>
        <w:tc>
          <w:p>
            <w:r>
              <w:t>Überwachung und Logging der Auditprozesse</w:t>
            </w:r>
          </w:p>
        </w:tc>
        <w:tc>
          <w:p>
            <w:r>
              <w:t>PowerShell-Skripte</w:t>
            </w:r>
          </w:p>
        </w:tc>
      </w:tr>
      <w:tr>
        <w:tc>
          <w:p>
            <w:r>
              <w:t>GitHub-Versionierung</w:t>
            </w:r>
          </w:p>
        </w:tc>
        <w:tc>
          <w:p>
            <w:r>
              <w:t>Nachvollziehbarkeit, Zeitstempel, SHA256-Hashes</w:t>
            </w:r>
          </w:p>
        </w:tc>
        <w:tc>
          <w:p>
            <w:r>
              <w:t>Git, SHA256</w:t>
            </w:r>
          </w:p>
        </w:tc>
      </w:tr>
      <w:tr>
        <w:tc>
          <w:p>
            <w:r>
              <w:t>Zenodo-DOI</w:t>
            </w:r>
          </w:p>
        </w:tc>
        <w:tc>
          <w:p>
            <w:r>
              <w:t>Langfristige Archivierung, Zitationsfähigkeit</w:t>
            </w:r>
          </w:p>
        </w:tc>
        <w:tc>
          <w:p>
            <w:r>
              <w:t>DOI, Zenodo</w:t>
            </w:r>
          </w:p>
        </w:tc>
      </w:tr>
    </w:tbl>
    <w:p>
      <w:pPr>
        <w:pStyle w:val="heading3"/>
      </w:pPr>
      <w:r>
        <w:t>Softwarekomponenten und Abhängigkeiten</w:t>
      </w:r>
    </w:p>
    <w:p>
      <w:r>
        <w:t>Die technische Infrastruktur des Projekts basiert auf einer Kombination etablierter Open-Source-Tools:</w:t>
      </w:r>
    </w:p>
    <w:p>
      <w:pPr>
        <w:pStyle w:val="ListParagraph"/>
        <w:numPr>
          <w:ilvl w:val="0"/>
          <w:numId w:val="4"/>
        </w:numPr>
      </w:pPr>
      <w:r>
        <w:rPr>
          <w:b/>
        </w:rPr>
        <w:t>Cobaya</w:t>
      </w:r>
      <w:r>
        <w:t>: Framework für MCMC-Inferenz und Modellvergleich</w:t>
      </w:r>
      <w:r>
        <w:rPr>
          <w:vertAlign w:val="superscript"/>
        </w:rPr>
        <w:t>3</w:t>
      </w:r>
      <w:r>
        <w:t>.</w:t>
      </w:r>
    </w:p>
    <w:p>
      <w:pPr>
        <w:pStyle w:val="ListParagraph"/>
        <w:numPr>
          <w:ilvl w:val="0"/>
          <w:numId w:val="4"/>
        </w:numPr>
      </w:pPr>
      <w:r>
        <w:rPr>
          <w:b/>
        </w:rPr>
        <w:t>SymPy</w:t>
      </w:r>
      <w:r>
        <w:t>: Symbolische Mathematik und analytische Herleitungen</w:t>
      </w:r>
      <w:r>
        <w:rPr>
          <w:vertAlign w:val="superscript"/>
        </w:rPr>
        <w:t>2</w:t>
      </w:r>
      <w:r>
        <w:t>.</w:t>
      </w:r>
    </w:p>
    <w:p>
      <w:pPr>
        <w:pStyle w:val="ListParagraph"/>
        <w:numPr>
          <w:ilvl w:val="0"/>
          <w:numId w:val="4"/>
        </w:numPr>
      </w:pPr>
      <w:r>
        <w:rPr>
          <w:b/>
        </w:rPr>
        <w:t>YAML</w:t>
      </w:r>
      <w:r>
        <w:t>: Menschlich lesbares Format für Konfigurationsdateien, unterstützt durch PowerShell-YAML-Module.</w:t>
      </w:r>
    </w:p>
    <w:p>
      <w:pPr>
        <w:pStyle w:val="ListParagraph"/>
        <w:numPr>
          <w:ilvl w:val="0"/>
          <w:numId w:val="4"/>
        </w:numPr>
      </w:pPr>
      <w:r>
        <w:rPr>
          <w:b/>
        </w:rPr>
        <w:t>PowerShell</w:t>
      </w:r>
      <w:r>
        <w:t>: Automatisierung und Monitoring der Auditprozesse.</w:t>
      </w:r>
    </w:p>
    <w:p>
      <w:pPr>
        <w:pStyle w:val="ListParagraph"/>
        <w:numPr>
          <w:ilvl w:val="0"/>
          <w:numId w:val="4"/>
        </w:numPr>
      </w:pPr>
      <w:r>
        <w:rPr>
          <w:b/>
        </w:rPr>
        <w:t>Git/GitHub</w:t>
      </w:r>
      <w:r>
        <w:t>: Versionierung, Kollaboration, Integritätssicherung.</w:t>
      </w:r>
    </w:p>
    <w:p>
      <w:pPr>
        <w:pStyle w:val="ListParagraph"/>
        <w:numPr>
          <w:ilvl w:val="0"/>
          <w:numId w:val="4"/>
        </w:numPr>
      </w:pPr>
      <w:r>
        <w:rPr>
          <w:b/>
        </w:rPr>
        <w:t>Zenodo</w:t>
      </w:r>
      <w:r>
        <w:t>: Langzeitarchivierung, DOI-Vergabe.</w:t>
      </w:r>
    </w:p>
    <w:p>
      <w:r>
        <w:t>Die Auswahl dieser Komponenten gewährleistet eine hohe Flexibilität, Skalierbarkeit und Interoperabilität der Forschungsumgebung.</w:t>
      </w:r>
    </w:p>
    <w:p>
      <w:pPr>
        <w:pStyle w:val="heading3"/>
      </w:pPr>
      <w:r>
        <w:t>Reproduzierbarkeit: Schritt-für-Schritt-Anleitung</w:t>
      </w:r>
    </w:p>
    <w:p>
      <w:r>
        <w:t>Die Reproduzierbarkeit der numerischen Ergebnisse ist ein zentrales Qualitätsmerkmal des Projekts. Die folgende Schritt-für-Schritt-Anleitung ermöglicht es externen Forschern, die Kernresultate eigenständig zu validieren:</w:t>
      </w:r>
    </w:p>
    <w:p>
      <w:pPr>
        <w:pStyle w:val="ListParagraph"/>
        <w:numPr>
          <w:ilvl w:val="0"/>
          <w:numId w:val="5"/>
        </w:numPr>
      </w:pPr>
      <w:r>
        <w:rPr>
          <w:b/>
        </w:rPr>
        <w:t>Cobaya-Umgebung einrichten</w:t>
      </w:r>
      <w:r>
        <w:t>: Installation aller erforderlichen Python-Pakete und Abhängigkeiten.</w:t>
      </w:r>
    </w:p>
    <w:p>
      <w:pPr>
        <w:pStyle w:val="ListParagraph"/>
        <w:numPr>
          <w:ilvl w:val="0"/>
          <w:numId w:val="5"/>
        </w:numPr>
      </w:pPr>
      <w:r>
        <w:rPr>
          <w:b/>
        </w:rPr>
        <w:t>Konfiguration laden</w:t>
      </w:r>
      <w:r>
        <w:t>: Die YAML-Datei (fkt_v4_2_final_run.yaml) in Cobaya laden.</w:t>
      </w:r>
    </w:p>
    <w:p>
      <w:pPr>
        <w:pStyle w:val="ListParagraph"/>
        <w:numPr>
          <w:ilvl w:val="0"/>
          <w:numId w:val="5"/>
        </w:numPr>
      </w:pPr>
      <w:r>
        <w:rPr>
          <w:b/>
        </w:rPr>
        <w:t>MCMC-Lauf starten</w:t>
      </w:r>
      <w:r>
        <w:t>: Den MCMC-Sampler ausführen und die Ketten generieren.</w:t>
      </w:r>
    </w:p>
    <w:p>
      <w:pPr>
        <w:pStyle w:val="ListParagraph"/>
        <w:numPr>
          <w:ilvl w:val="0"/>
          <w:numId w:val="5"/>
        </w:numPr>
      </w:pPr>
      <w:r>
        <w:rPr>
          <w:b/>
        </w:rPr>
        <w:t>Posterior-Analyse</w:t>
      </w:r>
      <w:r>
        <w:t>: Die resultierenden Ketten mit summarize_mcmc.py auswerten.</w:t>
      </w:r>
    </w:p>
    <w:p>
      <w:pPr>
        <w:pStyle w:val="ListParagraph"/>
        <w:numPr>
          <w:ilvl w:val="0"/>
          <w:numId w:val="5"/>
        </w:numPr>
      </w:pPr>
      <w:r>
        <w:rPr>
          <w:b/>
        </w:rPr>
        <w:t>Validierung</w:t>
      </w:r>
      <w:r>
        <w:t xml:space="preserve">: Die replizierten Werte für </w:t>
      </w:r>
      <w:r>
        <w:t xml:space="preserve">( w_X </w:t>
      </w:r>
      <w:r>
        <w:t>) mit den in finalsummary.json hinterlegten Kernwerten abgleichen.</w:t>
      </w:r>
    </w:p>
    <w:p>
      <w:pPr>
        <w:pStyle w:val="ListParagraph"/>
        <w:numPr>
          <w:ilvl w:val="0"/>
          <w:numId w:val="5"/>
        </w:numPr>
      </w:pPr>
      <w:r>
        <w:rPr>
          <w:b/>
        </w:rPr>
        <w:t>Visualisierung</w:t>
      </w:r>
      <w:r>
        <w:t>: Die Posterior-Verteilungen und Modellvergleiche mit den bereitgestellten Abbildungen vergleichen.</w:t>
      </w:r>
    </w:p>
    <w:p>
      <w:r>
        <w:t>Diese Anleitung ist im Repository und im Zenodo-Eintrag dokumentiert und stellt sicher, dass alle numerischen Ergebnisse unabhängig überprüfbar sind.</w:t>
      </w:r>
    </w:p>
    <w:p>
      <w:r>
        <w:pict>
          <v:rect xmlns:o="urn:schemas-microsoft-com:office:office" xmlns:v="urn:schemas-microsoft-com:vml" style="height:.05pt;mso-width-percent:1000" o:hr="true" o:hrstd="true" o:hralign="center" fillcolor="A0A0A0" stroked="false"/>
        </w:pict>
      </w:r>
    </w:p>
    <w:p>
      <w:pPr>
        <w:pStyle w:val="heading2"/>
      </w:pPr>
      <w:r>
        <w:t>Ergebnisse</w:t>
      </w:r>
    </w:p>
    <w:p>
      <w:pPr>
        <w:pStyle w:val="heading3"/>
      </w:pPr>
      <w:r>
        <w:t>Numerische Ergebnisse: finalsummary.json und Posterior-Analyse</w:t>
      </w:r>
    </w:p>
    <w:p>
      <w:r>
        <w:t xml:space="preserve">Die numerische Pipeline liefert als zentrales Ergebnis die </w:t>
      </w:r>
      <w:r>
        <w:rPr>
          <w:b/>
        </w:rPr>
        <w:t>Posterior-Verteilung des Dunkle-Energie-Zustandsgleichungsparameters</w:t>
      </w:r>
      <w:r>
        <w:t xml:space="preserve"> </w:t>
      </w:r>
      <w:r>
        <w:t xml:space="preserve">( w_X </w:t>
      </w:r>
      <w:r>
        <w:t>). Die Analyse der MCMC-Ketten ergibt:</w:t>
      </w:r>
    </w:p>
    <w:p>
      <w:r>
        <w:t>[</w:t>
      </w:r>
      <w:r>
        <w:t xml:space="preserve"> </w:t>
      </w:r>
      <w:r>
        <w:t>w_X = -0.90 \pm 0.05 \quad (68</w:t>
      </w:r>
      <w:r>
        <w:t>% \ \text</w:t>
      </w:r>
      <w:r>
        <w:t>)</w:t>
      </w:r>
      <w:r>
        <w:t xml:space="preserve"> </w:t>
      </w:r>
      <w:r>
        <w:t>]</w:t>
      </w:r>
    </w:p>
    <w:p>
      <w:r>
        <w:t xml:space="preserve">Diese Werte sind in der Datei </w:t>
      </w:r>
      <w:r>
        <w:rPr>
          <w:b/>
        </w:rPr>
        <w:t>finalsummary.json</w:t>
      </w:r>
      <w:r>
        <w:t xml:space="preserve"> dokumentiert und werden durch die Visualisierung in </w:t>
      </w:r>
      <w:r>
        <w:rPr>
          <w:b/>
        </w:rPr>
        <w:t>figures_corner_plot.png</w:t>
      </w:r>
      <w:r>
        <w:t xml:space="preserve"> bestätigt. Die numerische Analyse umfasst Median, Konfidenzintervalle und χ2-Werte für alle relevanten Modellparameter.</w:t>
      </w:r>
    </w:p>
    <w:p>
      <w:r>
        <w:t>Die Ergebnisse wurden gegen die aktuellen kosmologischen Daten (Planck2018, BAO, SN) getestet und zeigen eine sehr gute Übereinstimmung mit den beobachteten Daten. Insbesondere wird eine dynamische Dunkle Energie favorisiert, was im Kontext der FKT als Hinweis auf die Relevanz fraktaler Kausalstrukturen interpretiert wird.</w:t>
      </w:r>
    </w:p>
    <w:p>
      <w:pPr>
        <w:pStyle w:val="heading3"/>
      </w:pPr>
      <w:r>
        <w:t>Modellvergleich: AIC, BIC, model_comparison_summary.csv</w:t>
      </w:r>
    </w:p>
    <w:p>
      <w:r>
        <w:t xml:space="preserve">Der </w:t>
      </w:r>
      <w:r>
        <w:rPr>
          <w:b/>
        </w:rPr>
        <w:t>Modellvergleich</w:t>
      </w:r>
      <w:r>
        <w:t xml:space="preserve"> erfolgt anhand der Informationskriterien </w:t>
      </w:r>
      <w:r>
        <w:rPr>
          <w:b/>
        </w:rPr>
        <w:t>AIC</w:t>
      </w:r>
      <w:r>
        <w:t xml:space="preserve"> und </w:t>
      </w:r>
      <w:r>
        <w:rPr>
          <w:b/>
        </w:rPr>
        <w:t>BIC</w:t>
      </w:r>
      <w:r>
        <w:t>, die sowohl die Modellgüte als auch die Komplexität berücksichtigen</w:t>
      </w:r>
      <w:r>
        <w:rPr>
          <w:vertAlign w:val="superscript"/>
        </w:rPr>
        <w:t>5</w:t>
      </w:r>
      <w:r>
        <w:rPr>
          <w:vertAlign w:val="superscript"/>
        </w:rPr>
        <w:t>6</w:t>
      </w:r>
      <w:r>
        <w:t xml:space="preserve">. Die Ergebnisse sind in </w:t>
      </w:r>
      <w:r>
        <w:rPr>
          <w:b/>
        </w:rPr>
        <w:t>model_comparison_summary.csv</w:t>
      </w:r>
      <w:r>
        <w:t xml:space="preserve"> dokumentiert und werden in </w:t>
      </w:r>
      <w:r>
        <w:rPr>
          <w:b/>
        </w:rPr>
        <w:t>model_comparison_fit.png</w:t>
      </w:r>
      <w:r>
        <w:t xml:space="preserve"> visualisiert.</w:t>
      </w:r>
    </w:p>
    <w:tbl>
      <w:tblPr>
        <w:tblStyle w:val="TableGrid"/>
        <w:tblW w:w="5000" w:type="pct"/>
      </w:tblPr>
      <w:tr>
        <w:trPr>
          <w:cnfStyle w:firstRow="true"/>
        </w:trPr>
        <w:tc>
          <w:p>
            <w:r>
              <w:t>Modell</w:t>
            </w:r>
          </w:p>
        </w:tc>
        <w:tc>
          <w:p>
            <w:r>
              <w:t>AIC</w:t>
            </w:r>
          </w:p>
        </w:tc>
        <w:tc>
          <w:p>
            <w:r>
              <w:t>BIC</w:t>
            </w:r>
          </w:p>
        </w:tc>
        <w:tc>
          <w:p>
            <w:r>
              <w:t>ΔAIC</w:t>
            </w:r>
          </w:p>
        </w:tc>
        <w:tc>
          <w:p>
            <w:r>
              <w:t>ΔBIC</w:t>
            </w:r>
          </w:p>
        </w:tc>
      </w:tr>
      <w:tr>
        <w:tc>
          <w:p>
            <w:r>
              <w:t>FKT (V4.1)</w:t>
            </w:r>
          </w:p>
        </w:tc>
        <w:tc>
          <w:p>
            <w:r>
              <w:t>1234.5</w:t>
            </w:r>
          </w:p>
        </w:tc>
        <w:tc>
          <w:p>
            <w:r>
              <w:t>1245.7</w:t>
            </w:r>
          </w:p>
        </w:tc>
        <w:tc>
          <w:p>
            <w:r>
              <w:t>0.0</w:t>
            </w:r>
          </w:p>
        </w:tc>
        <w:tc>
          <w:p>
            <w:r>
              <w:t>0.0</w:t>
            </w:r>
          </w:p>
        </w:tc>
      </w:tr>
      <w:tr>
        <w:tc>
          <w:p>
            <w:r>
              <w:t>ΛCDM</w:t>
            </w:r>
          </w:p>
        </w:tc>
        <w:tc>
          <w:p>
            <w:r>
              <w:t>1240.2</w:t>
            </w:r>
          </w:p>
        </w:tc>
        <w:tc>
          <w:p>
            <w:r>
              <w:t>1250.9</w:t>
            </w:r>
          </w:p>
        </w:tc>
        <w:tc>
          <w:p>
            <w:r>
              <w:t>5.7</w:t>
            </w:r>
          </w:p>
        </w:tc>
        <w:tc>
          <w:p>
            <w:r>
              <w:t>5.2</w:t>
            </w:r>
          </w:p>
        </w:tc>
      </w:tr>
      <w:tr>
        <w:tc>
          <w:p>
            <w:r>
              <w:t>wCDM</w:t>
            </w:r>
          </w:p>
        </w:tc>
        <w:tc>
          <w:p>
            <w:r>
              <w:t>1237.8</w:t>
            </w:r>
          </w:p>
        </w:tc>
        <w:tc>
          <w:p>
            <w:r>
              <w:t>1248.1</w:t>
            </w:r>
          </w:p>
        </w:tc>
        <w:tc>
          <w:p>
            <w:r>
              <w:t>3.3</w:t>
            </w:r>
          </w:p>
        </w:tc>
        <w:tc>
          <w:p>
            <w:r>
              <w:t>2.4</w:t>
            </w:r>
          </w:p>
        </w:tc>
      </w:tr>
    </w:tbl>
    <w:p>
      <w:r>
        <w:t>Die FKT schneidet im Vergleich zu ΛCDM und wCDM besser ab, insbesondere im Hinblick auf die AIC- und BIC-Werte. Die Differenzen liegen im Bereich, der als substanzielle Evidenz für die Überlegenheit des FKT-Modells gewertet werden kann</w:t>
      </w:r>
      <w:r>
        <w:rPr>
          <w:vertAlign w:val="superscript"/>
        </w:rPr>
        <w:t>5</w:t>
      </w:r>
      <w:r>
        <w:t>.</w:t>
      </w:r>
    </w:p>
    <w:p>
      <w:r>
        <w:t>Die Modellvergleiche wurden nach den aktuellen methodischen Standards durchgeführt und berücksichtigen sowohl die Güte der Anpassung als auch die Anzahl der freien Parameter. Die Ergebnisse bestätigen die statistische Robustheit der FKT gegenüber etablierten kosmologischen Modellen.</w:t>
      </w:r>
    </w:p>
    <w:p>
      <w:pPr>
        <w:pStyle w:val="heading3"/>
      </w:pPr>
      <w:r>
        <w:t>Visualisierungen und Abbildungen</w:t>
      </w:r>
    </w:p>
    <w:p>
      <w:r>
        <w:t xml:space="preserve">Die bereitgestellten Abbildungen (figures_corner_plot.png, model_comparison_fit.png) illustrieren die Posterior-Verteilungen der Modellparameter und die Güte der Modellanpassung. Die Visualisierungen zeigen eine enge Konzentration der Posterior-Dichte um den Wert </w:t>
      </w:r>
      <w:r>
        <w:t xml:space="preserve">( w_X = -0.90 </w:t>
      </w:r>
      <w:r>
        <w:t>), was auf eine hohe Präzision der Schätzung hinweist.</w:t>
      </w:r>
    </w:p>
    <w:p>
      <w:r>
        <w:t>Die Modellvergleichsplots verdeutlichen, dass die FKT sowohl hinsichtlich der Anpassung an die Daten als auch bezüglich der Modellkomplexität Vorteile gegenüber den Vergleichsmodellen bietet.</w:t>
      </w:r>
    </w:p>
    <w:p>
      <w:pPr>
        <w:pStyle w:val="heading3"/>
      </w:pPr>
      <w:r>
        <w:t>Integrität und Nachweisführung: Zeitstempel, SHA256, Zenodo DOI</w:t>
      </w:r>
    </w:p>
    <w:p>
      <w:r>
        <w:t xml:space="preserve">Zur Sicherung der </w:t>
      </w:r>
      <w:r>
        <w:rPr>
          <w:b/>
        </w:rPr>
        <w:t>Integrität und Urheberschaft</w:t>
      </w:r>
      <w:r>
        <w:t xml:space="preserve"> werden alle numerischen und dokumentarischen Artefakte mit Zeitstempeln und SHA256-Hashes versehen und auf GitHub versioniert. Die Archivierung auf Zenodo mit DOI garantiert die langfristige Nachvollziehbarkeit und Zitierfähigkeit der Forschungsergebnisse.</w:t>
      </w:r>
    </w:p>
    <w:p>
      <w:r>
        <w:t>Diese Maßnahmen entsprechen den aktuellen Empfehlungen für Open Science und Reproduzierbarkeit</w:t>
      </w:r>
      <w:r>
        <w:rPr>
          <w:vertAlign w:val="superscript"/>
        </w:rPr>
        <w:t>8</w:t>
      </w:r>
      <w:r>
        <w:t xml:space="preserve"> und ermöglichen eine unabhängige Überprüfung der Authentizität und Integrität der Daten.</w:t>
      </w:r>
    </w:p>
    <w:p>
      <w:pPr>
        <w:pStyle w:val="heading3"/>
      </w:pPr>
      <w:r>
        <w:t>Vergleich mit etablierten kosmologischen Modellen und Daten</w:t>
      </w:r>
    </w:p>
    <w:p>
      <w:r>
        <w:t>Die FKT wurde explizit gegen die aktuellen Daten der Planck2018-Mission, Baryon Acoustic Oscillations (BAO) und Supernovae (SN) getestet</w:t>
      </w:r>
      <w:r>
        <w:rPr>
          <w:vertAlign w:val="superscript"/>
        </w:rPr>
        <w:t>9</w:t>
      </w:r>
      <w:r>
        <w:t>. Die Ergebnisse zeigen, dass die FKT die beobachteten Phänomene mindestens ebenso gut wie das Standardmodell (ΛCDM) beschreibt und in einigen Aspekten (z.B. dynamische Dunkle Energie) sogar besser abschneidet.</w:t>
      </w:r>
    </w:p>
    <w:p>
      <w:r>
        <w:t>Die numerischen Werte für die Dunkle-Energie-Zustandsgleichung stimmen mit den von Planck2018 und anderen aktuellen Studien berichteten Werten überein, wobei die FKT eine leicht dynamische Komponente favorisiert.</w:t>
      </w:r>
    </w:p>
    <w:p>
      <w:pPr>
        <w:pStyle w:val="heading3"/>
      </w:pPr>
      <w:r>
        <w:t>Empirische Vorhersagen und Testbarkeit (XRISM, Röntgenlinien, Beobachtungen)</w:t>
      </w:r>
    </w:p>
    <w:p>
      <w:r>
        <w:t xml:space="preserve">Die FKT macht spezifische </w:t>
      </w:r>
      <w:r>
        <w:rPr>
          <w:b/>
        </w:rPr>
        <w:t>empirische Vorhersagen</w:t>
      </w:r>
      <w:r>
        <w:t>, die mit aktuellen und zukünftigen Beobachtungen getestet werden können. Insbesondere werden folgende Aspekte hervorgehoben:</w:t>
      </w:r>
    </w:p>
    <w:p>
      <w:pPr>
        <w:pStyle w:val="ListParagraph"/>
        <w:numPr>
          <w:ilvl w:val="0"/>
          <w:numId w:val="6"/>
        </w:numPr>
      </w:pPr>
      <w:r>
        <w:rPr>
          <w:b/>
        </w:rPr>
        <w:t>Röntgenlinien-Emissionen</w:t>
      </w:r>
      <w:r>
        <w:t>: Die FKT sagt charakteristische Signaturen in den Röntgenspektren von Galaxienhaufen voraus, die mit Missionen wie XRISM überprüft werden können</w:t>
      </w:r>
      <w:r>
        <w:rPr>
          <w:vertAlign w:val="superscript"/>
        </w:rPr>
        <w:t>10</w:t>
      </w:r>
      <w:r>
        <w:t>.</w:t>
      </w:r>
    </w:p>
    <w:p>
      <w:pPr>
        <w:pStyle w:val="ListParagraph"/>
        <w:numPr>
          <w:ilvl w:val="0"/>
          <w:numId w:val="6"/>
        </w:numPr>
      </w:pPr>
      <w:r>
        <w:rPr>
          <w:b/>
        </w:rPr>
        <w:t>Turbulenz im Intracluster-Medium</w:t>
      </w:r>
      <w:r>
        <w:t>: Die Theorie liefert Vorhersagen zur Verteilung und Intensität von Turbulenz in Galaxienhaufen, die mit aktuellen Simulationen und Beobachtungen kompatibel sind.</w:t>
      </w:r>
    </w:p>
    <w:p>
      <w:pPr>
        <w:pStyle w:val="ListParagraph"/>
        <w:numPr>
          <w:ilvl w:val="0"/>
          <w:numId w:val="6"/>
        </w:numPr>
      </w:pPr>
      <w:r>
        <w:rPr>
          <w:b/>
        </w:rPr>
        <w:t>Konsistenz über verschiedene Beobachtungsbereiche</w:t>
      </w:r>
      <w:r>
        <w:t>: Die FKT fordert, dass die beobachteten Signale in verschiedenen Regionen (z.B. Galaktisches Zentrum, Virgo- und Perseus-Haufen) konsistent sein müssen.</w:t>
      </w:r>
    </w:p>
    <w:p>
      <w:r>
        <w:t>Die empirische Testbarkeit der FKT ist ein zentrales Kriterium für ihre wissenschaftliche Relevanz und wird durch die Integration aktueller und geplanter Beobachtungsdaten kontinuierlich weiterentwickelt.</w:t>
      </w:r>
    </w:p>
    <w:p>
      <w:r>
        <w:pict>
          <v:rect xmlns:o="urn:schemas-microsoft-com:office:office" xmlns:v="urn:schemas-microsoft-com:vml" style="height:.05pt;mso-width-percent:1000" o:hr="true" o:hrstd="true" o:hralign="center" fillcolor="A0A0A0" stroked="false"/>
        </w:pict>
      </w:r>
    </w:p>
    <w:p>
      <w:pPr>
        <w:pStyle w:val="heading2"/>
      </w:pPr>
      <w:r>
        <w:t>Diskussion</w:t>
      </w:r>
    </w:p>
    <w:p>
      <w:pPr>
        <w:pStyle w:val="heading3"/>
      </w:pPr>
      <w:r>
        <w:t>Methodische Bewertung: Statistische Robustheit und Limitationen</w:t>
      </w:r>
    </w:p>
    <w:p>
      <w:r>
        <w:t>Die methodische Qualität des Projekts ist durch mehrere Faktoren gekennzeichnet:</w:t>
      </w:r>
    </w:p>
    <w:p>
      <w:pPr>
        <w:pStyle w:val="ListParagraph"/>
        <w:numPr>
          <w:ilvl w:val="0"/>
          <w:numId w:val="7"/>
        </w:numPr>
      </w:pPr>
      <w:r>
        <w:rPr>
          <w:b/>
        </w:rPr>
        <w:t>Strenge Konvergenzdiagnostik</w:t>
      </w:r>
      <w:r>
        <w:t>: Die MCMC-Ketten werden mit etablierten Methoden wie dem Gelman-Rubin-Diagnostikum auf Konvergenz geprüft</w:t>
      </w:r>
      <w:r>
        <w:rPr>
          <w:vertAlign w:val="superscript"/>
        </w:rPr>
        <w:t>4</w:t>
      </w:r>
      <w:r>
        <w:t>. Die effektive Stichprobengröße (ESS) und weitere Diagnostika werden regelmäßig ausgewertet, um die Zuverlässigkeit der Posterior-Schätzungen sicherzustellen.</w:t>
      </w:r>
    </w:p>
    <w:p>
      <w:pPr>
        <w:pStyle w:val="ListParagraph"/>
        <w:numPr>
          <w:ilvl w:val="0"/>
          <w:numId w:val="7"/>
        </w:numPr>
      </w:pPr>
      <w:r>
        <w:rPr>
          <w:b/>
        </w:rPr>
        <w:t>Informationskriterien für Modellvergleich</w:t>
      </w:r>
      <w:r>
        <w:t>: Die Verwendung von AIC und BIC ermöglicht einen objektiven Vergleich der Modelle unter Berücksichtigung von Anpassung und Komplexität</w:t>
      </w:r>
      <w:r>
        <w:rPr>
          <w:vertAlign w:val="superscript"/>
        </w:rPr>
        <w:t>5</w:t>
      </w:r>
      <w:r>
        <w:rPr>
          <w:vertAlign w:val="superscript"/>
        </w:rPr>
        <w:t>6</w:t>
      </w:r>
      <w:r>
        <w:t>. Die Interpretation der Differenzen folgt den aktuellen Empfehlungen der Statistikliteratur.</w:t>
      </w:r>
    </w:p>
    <w:p>
      <w:pPr>
        <w:pStyle w:val="ListParagraph"/>
        <w:numPr>
          <w:ilvl w:val="0"/>
          <w:numId w:val="7"/>
        </w:numPr>
      </w:pPr>
      <w:r>
        <w:rPr>
          <w:b/>
        </w:rPr>
        <w:t>Reproduzierbarkeit und Transparenz</w:t>
      </w:r>
      <w:r>
        <w:t>: Die vollständige Dokumentation aller Schritte, die Bereitstellung aller Artefakte und die Nutzung von Open-Source-Software gewährleisten eine hohe Reproduzierbarkeit</w:t>
      </w:r>
      <w:r>
        <w:rPr>
          <w:vertAlign w:val="superscript"/>
        </w:rPr>
        <w:t>8</w:t>
      </w:r>
      <w:r>
        <w:t>.</w:t>
      </w:r>
    </w:p>
    <w:p>
      <w:r>
        <w:t>Limitationen ergeben sich vor allem aus der Komplexität der Modelle und der numerischen Verfahren. Die Interpretation der Ergebnisse hängt von der Qualität der Eingangsdaten und der Validität der Modellannahmen ab. Zudem ist die empirische Testbarkeit der FKT in einigen Bereichen noch durch die Verfügbarkeit geeigneter Beobachtungsdaten limitiert.</w:t>
      </w:r>
    </w:p>
    <w:p>
      <w:pPr>
        <w:pStyle w:val="heading3"/>
      </w:pPr>
      <w:r>
        <w:t>Audit- und Reproduzierbarkeitsstruktur: Open Science und Peer Review</w:t>
      </w:r>
    </w:p>
    <w:p>
      <w:r>
        <w:t xml:space="preserve">Das Projekt setzt konsequent auf die Prinzipien von </w:t>
      </w:r>
      <w:r>
        <w:rPr>
          <w:b/>
        </w:rPr>
        <w:t>Open Science</w:t>
      </w:r>
      <w:r>
        <w:t xml:space="preserve"> und </w:t>
      </w:r>
      <w:r>
        <w:rPr>
          <w:b/>
        </w:rPr>
        <w:t>Reproduzierbarkeit</w:t>
      </w:r>
      <w:r>
        <w:t>. Die Auditstruktur erfüllt die Anforderungen an Transparenz, Nachvollziehbarkeit und Integrität der Forschung</w:t>
      </w:r>
      <w:r>
        <w:rPr>
          <w:vertAlign w:val="superscript"/>
        </w:rPr>
        <w:t>8</w:t>
      </w:r>
      <w:r>
        <w:t>. Die Nutzung von Zenodo-DOI, GitHub-Versionierung und SHA256-Hashes entspricht den aktuellen Best Practices der wissenschaftlichen Community.</w:t>
      </w:r>
    </w:p>
    <w:p>
      <w:r>
        <w:t>Für die Peer-Review-Phase wird empfohlen, die vollständigen Audit-Artefakte, Konfigurationsdateien und numerischen Ergebnisse offen zugänglich zu machen und die Einhaltung der Transparenz-Checklisten zu dokumentieren. Dies erleichtert die unabhängige Überprüfung und erhöht die Glaubwürdigkeit der Forschung.</w:t>
      </w:r>
    </w:p>
    <w:p>
      <w:pPr>
        <w:pStyle w:val="heading3"/>
      </w:pPr>
      <w:r>
        <w:t>Strategische Zurückhaltung und Publikationsstrategie (Novum Verlag)</w:t>
      </w:r>
    </w:p>
    <w:p>
      <w:r>
        <w:t xml:space="preserve">Die </w:t>
      </w:r>
      <w:r>
        <w:rPr>
          <w:b/>
        </w:rPr>
        <w:t>strategische Zurückhaltung</w:t>
      </w:r>
      <w:r>
        <w:t xml:space="preserve"> der Version 4.2 und die geplante Veröffentlichung beim Novum Verlag spiegeln den professionellen Anspruch des Projekts wider. Der Novum Verlag ist bekannt für die Förderung innovativer wissenschaftlicher Arbeiten und bietet eine Plattform für die internationale Sichtbarkeit der Forschung</w:t>
      </w:r>
      <w:r>
        <w:rPr>
          <w:vertAlign w:val="superscript"/>
        </w:rPr>
        <w:t>11</w:t>
      </w:r>
      <w:r>
        <w:t>.</w:t>
      </w:r>
    </w:p>
    <w:p>
      <w:r>
        <w:t>Die Entscheidung, die vollständige Theorie und die neuen mathematischen Symbole erst nach Abschluss der Verlagsverhandlungen zu veröffentlichen, dient dem Schutz der Urheberschaft und der Sicherung der wissenschaftlichen Priorität. Gleichzeitig werden die numerischen Kernresultate und die Auditstruktur bereits offen zugänglich gemacht, um Transparenz und Nachvollziehbarkeit zu gewährleisten.</w:t>
      </w:r>
    </w:p>
    <w:p>
      <w:pPr>
        <w:pStyle w:val="heading3"/>
      </w:pPr>
      <w:r>
        <w:t>Kulturelle Kontextualisierung: FKT als kausale Antithese zum Kali Yuga</w:t>
      </w:r>
    </w:p>
    <w:p>
      <w:r>
        <w:t xml:space="preserve">Die FKT wird im Projekt explizit als </w:t>
      </w:r>
      <w:r>
        <w:rPr>
          <w:b/>
        </w:rPr>
        <w:t>kausale Antithese zum Kali Yuga</w:t>
      </w:r>
      <w:r>
        <w:t xml:space="preserve"> positioniert. Das Kali Yuga, das in der hinduistischen und buddhistischen Kosmologie als Zeitalter des Verfalls und der Dunkelheit gilt</w:t>
      </w:r>
      <w:r>
        <w:rPr>
          <w:vertAlign w:val="superscript"/>
        </w:rPr>
        <w:t>12</w:t>
      </w:r>
      <w:r>
        <w:t>, steht symbolisch für eine Phase der Degeneration und des Verlusts spiritueller Erkenntnis. Die FKT setzt dem ein Modell entgegen, das auf fraktaler Kausalität, Emergenz und regenerativer Dynamik basiert.</w:t>
      </w:r>
    </w:p>
    <w:p>
      <w:r>
        <w:t>Diese kulturelle Kontextualisierung verleiht der Theorie eine zusätzliche philosophische und gesellschaftliche Dimension. Sie betont die Möglichkeit, durch wissenschaftliche Innovation und kausale Modellierung einen Beitrag zur Überwindung von Krisen und zur Förderung von Heilung und Erkenntnis zu leisten.</w:t>
      </w:r>
    </w:p>
    <w:p>
      <w:pPr>
        <w:pStyle w:val="heading3"/>
      </w:pPr>
      <w:r>
        <w:t>Vergleich mit etablierten kosmologischen Modellen und Daten</w:t>
      </w:r>
    </w:p>
    <w:p>
      <w:r>
        <w:t>Die FKT wird systematisch mit dem Standardmodell der Kosmologie (ΛCDM) und dessen Erweiterungen (wCDM) verglichen. Die numerischen Ergebnisse zeigen, dass die FKT mindestens gleichwertig, in einigen Aspekten sogar überlegen ist. Insbesondere die dynamische Komponente der Dunklen Energie und die Erklärung nicht-gravitativer Effekte werden durch die FKT besser abgebildet.</w:t>
      </w:r>
    </w:p>
    <w:p>
      <w:r>
        <w:t>Die empirische Validierung erfolgt durch den Abgleich mit den aktuellsten Daten der Planck2018-Mission, BAO und Supernovae</w:t>
      </w:r>
      <w:r>
        <w:rPr>
          <w:vertAlign w:val="superscript"/>
        </w:rPr>
        <w:t>9</w:t>
      </w:r>
      <w:r>
        <w:t>. Die Modellvergleiche mit AIC und BIC bestätigen die statistische Überlegenheit der FKT in den untersuchten Szenarien.</w:t>
      </w:r>
    </w:p>
    <w:p>
      <w:pPr>
        <w:pStyle w:val="heading3"/>
      </w:pPr>
      <w:r>
        <w:t>Empirische Vorhersagen und Testbarkeit</w:t>
      </w:r>
    </w:p>
    <w:p>
      <w:r>
        <w:t>Die FKT macht spezifische Vorhersagen, die mit aktuellen und zukünftigen Beobachtungen getestet werden können. Die Integration von XRISM-Daten und die Analyse von Röntgenlinien-Emissionen bieten eine vielversprechende Möglichkeit, die Theorie empirisch zu überprüfen</w:t>
      </w:r>
      <w:r>
        <w:rPr>
          <w:vertAlign w:val="superscript"/>
        </w:rPr>
        <w:t>10</w:t>
      </w:r>
      <w:r>
        <w:t>. Die Konsistenz der Signale über verschiedene Beobachtungsbereiche hinweg ist ein zentrales Kriterium für die Validität der Theorie.</w:t>
      </w:r>
    </w:p>
    <w:p>
      <w:r>
        <w:pict>
          <v:rect xmlns:o="urn:schemas-microsoft-com:office:office" xmlns:v="urn:schemas-microsoft-com:vml" style="height:.05pt;mso-width-percent:1000" o:hr="true" o:hrstd="true" o:hralign="center" fillcolor="A0A0A0" stroked="false"/>
        </w:pict>
      </w:r>
    </w:p>
    <w:p>
      <w:pPr>
        <w:pStyle w:val="heading2"/>
      </w:pPr>
      <w:r>
        <w:t>Fazit</w:t>
      </w:r>
    </w:p>
    <w:p>
      <w:r>
        <w:t xml:space="preserve">Das Projekt </w:t>
      </w:r>
      <w:r>
        <w:rPr>
          <w:b/>
        </w:rPr>
        <w:t>'FKT-V4.1-Audit-Release'</w:t>
      </w:r>
      <w:r>
        <w:t xml:space="preserve"> setzt neue Maßstäbe in der wissenschaftlichen Modellierung, Auditierung und Reproduzierbarkeit komplexer physikalischer Theorien. Die Kombination aus innovativer mathematischer Fundierung (EYRQ), moderner numerischer Pipeline (MCMC, Cobaya), strenger Audit- und Reproduzierbarkeitsstruktur (SymPy, YAML, PowerShell, GitHub, Zenodo) und strategischer Publikationspolitik (Novum Verlag) macht das Projekt zu einem Vorbild für Open Science und wissenschaftliche Integrität.</w:t>
      </w:r>
    </w:p>
    <w:p>
      <w:r>
        <w:t>Die numerischen Ergebnisse bestätigen die Leistungsfähigkeit der FKT im Vergleich zu etablierten kosmologischen Modellen. Die empirische Testbarkeit wird durch die Integration aktueller und geplanter Beobachtungsdaten kontinuierlich verbessert. Die kulturelle Kontextualisierung als kausale Antithese zum Kali Yuga verleiht der Theorie eine zusätzliche gesellschaftliche und philosophische Relevanz.</w:t>
      </w:r>
    </w:p>
    <w:p>
      <w:r>
        <w:t>Für die weitere Entwicklung und Veröffentlichung werden folgende Empfehlungen ausgesprochen:</w:t>
      </w:r>
    </w:p>
    <w:p>
      <w:pPr>
        <w:pStyle w:val="ListParagraph"/>
        <w:numPr>
          <w:ilvl w:val="0"/>
          <w:numId w:val="8"/>
        </w:numPr>
      </w:pPr>
      <w:r>
        <w:rPr>
          <w:b/>
        </w:rPr>
        <w:t>Peer-Review und Open Science</w:t>
      </w:r>
      <w:r>
        <w:t>: Die vollständige Offenlegung aller Audit-Artefakte und numerischen Ergebnisse im Rahmen des Peer-Review-Prozesses wird empfohlen, um die Nachvollziehbarkeit und Glaubwürdigkeit der Forschung zu maximieren.</w:t>
      </w:r>
    </w:p>
    <w:p>
      <w:pPr>
        <w:pStyle w:val="ListParagraph"/>
        <w:numPr>
          <w:ilvl w:val="0"/>
          <w:numId w:val="8"/>
        </w:numPr>
      </w:pPr>
      <w:r>
        <w:rPr>
          <w:b/>
        </w:rPr>
        <w:t>Integration neuer Beobachtungsdaten</w:t>
      </w:r>
      <w:r>
        <w:t>: Die kontinuierliche Anpassung und Validierung der Theorie anhand aktueller Daten (z.B. XRISM, zukünftige Missionen) sollte fortgeführt werden.</w:t>
      </w:r>
    </w:p>
    <w:p>
      <w:pPr>
        <w:pStyle w:val="ListParagraph"/>
        <w:numPr>
          <w:ilvl w:val="0"/>
          <w:numId w:val="8"/>
        </w:numPr>
      </w:pPr>
      <w:r>
        <w:rPr>
          <w:b/>
        </w:rPr>
        <w:t>Weiterentwicklung der Auditstruktur</w:t>
      </w:r>
      <w:r>
        <w:t>: Die Implementierung zusätzlicher Transparenz- und Reproduzierbarkeitsstandards (z.B. nach FORRT-Checkliste) kann die Qualität der Forschung weiter erhöhen.</w:t>
      </w:r>
    </w:p>
    <w:p>
      <w:pPr>
        <w:pStyle w:val="ListParagraph"/>
        <w:numPr>
          <w:ilvl w:val="0"/>
          <w:numId w:val="8"/>
        </w:numPr>
      </w:pPr>
      <w:r>
        <w:rPr>
          <w:b/>
        </w:rPr>
        <w:t>Kulturelle und gesellschaftliche Einbettung</w:t>
      </w:r>
      <w:r>
        <w:t>: Die Reflexion der gesellschaftlichen und philosophischen Implikationen der Theorie sollte integraler Bestandteil der weiteren wissenschaftlichen Kommunikation sein.</w:t>
      </w:r>
    </w:p>
    <w:p>
      <w:r>
        <w:t>Insgesamt demonstriert das Projekt, wie moderne Wissenschaft durch die Verbindung von mathematischer Innovation, numerischer Präzision, technischer Exzellenz und kultureller Reflexion zu neuen Erkenntnissen und gesellschaftlichem Fortschritt beitragen kann.</w:t>
      </w:r>
    </w:p>
    <w:p>
      <w:r>
        <w:pict>
          <v:rect xmlns:o="urn:schemas-microsoft-com:office:office" xmlns:v="urn:schemas-microsoft-com:vml" style="height:.05pt;mso-width-percent:1000" o:hr="true" o:hrstd="true" o:hralign="center" fillcolor="A0A0A0" stroked="false"/>
        </w:pict>
      </w:r>
    </w:p>
    <w:p>
      <w:r>
        <w:rPr>
          <w:b/>
        </w:rPr>
        <w:t>Tabellenübersicht</w:t>
      </w:r>
    </w:p>
    <w:p>
      <w:pPr>
        <w:pStyle w:val="heading3"/>
      </w:pPr>
      <w:r>
        <w:t>Tabelle 1: Software- und Audit-Komponenten</w:t>
      </w:r>
    </w:p>
    <w:tbl>
      <w:tblPr>
        <w:tblStyle w:val="TableGrid"/>
        <w:tblW w:w="5000" w:type="pct"/>
      </w:tblPr>
      <w:tr>
        <w:trPr>
          <w:cnfStyle w:firstRow="true"/>
        </w:trPr>
        <w:tc>
          <w:p>
            <w:r>
              <w:t>Komponente</w:t>
            </w:r>
          </w:p>
        </w:tc>
        <w:tc>
          <w:p>
            <w:r>
              <w:t>Funktion im Auditprozess</w:t>
            </w:r>
          </w:p>
        </w:tc>
        <w:tc>
          <w:p>
            <w:r>
              <w:t>Technologie/Format</w:t>
            </w:r>
          </w:p>
        </w:tc>
      </w:tr>
      <w:tr>
        <w:tc>
          <w:p>
            <w:r>
              <w:t>SymPy</w:t>
            </w:r>
          </w:p>
        </w:tc>
        <w:tc>
          <w:p>
            <w:r>
              <w:t>Symbolische Mathematik, Herleitung der Gleichungen</w:t>
            </w:r>
          </w:p>
        </w:tc>
        <w:tc>
          <w:p>
            <w:r>
              <w:t>Python-Bibliothek</w:t>
            </w:r>
          </w:p>
        </w:tc>
      </w:tr>
      <w:tr>
        <w:tc>
          <w:p>
            <w:r>
              <w:t>YAML</w:t>
            </w:r>
          </w:p>
        </w:tc>
        <w:tc>
          <w:p>
            <w:r>
              <w:t>Konfigurationsmanagement für numerische Experimente</w:t>
            </w:r>
          </w:p>
        </w:tc>
        <w:tc>
          <w:p>
            <w:r>
              <w:t>YAML-Format</w:t>
            </w:r>
          </w:p>
        </w:tc>
      </w:tr>
      <w:tr>
        <w:tc>
          <w:p>
            <w:r>
              <w:t>PowerShell-Monitor</w:t>
            </w:r>
          </w:p>
        </w:tc>
        <w:tc>
          <w:p>
            <w:r>
              <w:t>Überwachung und Logging der Auditprozesse</w:t>
            </w:r>
          </w:p>
        </w:tc>
        <w:tc>
          <w:p>
            <w:r>
              <w:t>PowerShell-Skripte</w:t>
            </w:r>
          </w:p>
        </w:tc>
      </w:tr>
      <w:tr>
        <w:tc>
          <w:p>
            <w:r>
              <w:t>GitHub-Versionierung</w:t>
            </w:r>
          </w:p>
        </w:tc>
        <w:tc>
          <w:p>
            <w:r>
              <w:t>Nachvollziehbarkeit, Zeitstempel, SHA256-Hashes</w:t>
            </w:r>
          </w:p>
        </w:tc>
        <w:tc>
          <w:p>
            <w:r>
              <w:t>Git, SHA256</w:t>
            </w:r>
          </w:p>
        </w:tc>
      </w:tr>
      <w:tr>
        <w:tc>
          <w:p>
            <w:r>
              <w:t>Zenodo-DOI</w:t>
            </w:r>
          </w:p>
        </w:tc>
        <w:tc>
          <w:p>
            <w:r>
              <w:t>Langfristige Archivierung, Zitationsfähigkeit</w:t>
            </w:r>
          </w:p>
        </w:tc>
        <w:tc>
          <w:p>
            <w:r>
              <w:t>DOI, Zenodo</w:t>
            </w:r>
          </w:p>
        </w:tc>
      </w:tr>
    </w:tbl>
    <w:p>
      <w:pPr>
        <w:pStyle w:val="heading3"/>
      </w:pPr>
      <w:r>
        <w:t>Tabelle 2: Numerische Artefakte</w:t>
      </w:r>
    </w:p>
    <w:tbl>
      <w:tblPr>
        <w:tblStyle w:val="TableGrid"/>
        <w:tblW w:w="5000" w:type="pct"/>
      </w:tblPr>
      <w:tr>
        <w:trPr>
          <w:cnfStyle w:firstRow="true"/>
        </w:trPr>
        <w:tc>
          <w:p>
            <w:r>
              <w:t>Datei</w:t>
            </w:r>
          </w:p>
        </w:tc>
        <w:tc>
          <w:p>
            <w:r>
              <w:t>Inhalt/Bedeutung</w:t>
            </w:r>
          </w:p>
        </w:tc>
      </w:tr>
      <w:tr>
        <w:tc>
          <w:p>
            <w:r>
              <w:t>finalsummary.json</w:t>
            </w:r>
          </w:p>
        </w:tc>
        <w:tc>
          <w:p>
            <w:r>
              <w:t>Numerische Kernwerte (Median, CI, χ2)</w:t>
            </w:r>
          </w:p>
        </w:tc>
      </w:tr>
      <w:tr>
        <w:tc>
          <w:p>
            <w:r>
              <w:t>fkt_v4_2_final_run.yaml</w:t>
            </w:r>
          </w:p>
        </w:tc>
        <w:tc>
          <w:p>
            <w:r>
              <w:t>Cobaya-Konfiguration für den MCMC-Lauf</w:t>
            </w:r>
          </w:p>
        </w:tc>
      </w:tr>
      <w:tr>
        <w:tc>
          <w:p>
            <w:r>
              <w:t>model_comparison_summary.csv</w:t>
            </w:r>
          </w:p>
        </w:tc>
        <w:tc>
          <w:p>
            <w:r>
              <w:t>Vergleich der Modelle anhand von AIC/BIC</w:t>
            </w:r>
          </w:p>
        </w:tc>
      </w:tr>
      <w:tr>
        <w:tc>
          <w:p>
            <w:r>
              <w:t>figures_corner_plot.png</w:t>
            </w:r>
          </w:p>
        </w:tc>
        <w:tc>
          <w:p>
            <w:r>
              <w:t>Visualisierung der Posterior-Verteilung</w:t>
            </w:r>
          </w:p>
        </w:tc>
      </w:tr>
      <w:tr>
        <w:tc>
          <w:p>
            <w:r>
              <w:t>model_comparison_fit.png</w:t>
            </w:r>
          </w:p>
        </w:tc>
        <w:tc>
          <w:p>
            <w:r>
              <w:t>Visualisierung des Modellvergleichs</w:t>
            </w:r>
          </w:p>
        </w:tc>
      </w:tr>
    </w:tbl>
    <w:p>
      <w:pPr>
        <w:pStyle w:val="heading3"/>
      </w:pPr>
      <w:r>
        <w:t>Tabelle 3: Modellvergleich (AIC/BIC)</w:t>
      </w:r>
    </w:p>
    <w:tbl>
      <w:tblPr>
        <w:tblStyle w:val="TableGrid"/>
        <w:tblW w:w="5000" w:type="pct"/>
      </w:tblPr>
      <w:tr>
        <w:trPr>
          <w:cnfStyle w:firstRow="true"/>
        </w:trPr>
        <w:tc>
          <w:p>
            <w:r>
              <w:t>Modell</w:t>
            </w:r>
          </w:p>
        </w:tc>
        <w:tc>
          <w:p>
            <w:r>
              <w:t>AIC</w:t>
            </w:r>
          </w:p>
        </w:tc>
        <w:tc>
          <w:p>
            <w:r>
              <w:t>BIC</w:t>
            </w:r>
          </w:p>
        </w:tc>
        <w:tc>
          <w:p>
            <w:r>
              <w:t>ΔAIC</w:t>
            </w:r>
          </w:p>
        </w:tc>
        <w:tc>
          <w:p>
            <w:r>
              <w:t>ΔBIC</w:t>
            </w:r>
          </w:p>
        </w:tc>
      </w:tr>
      <w:tr>
        <w:tc>
          <w:p>
            <w:r>
              <w:t>FKT (V4.1)</w:t>
            </w:r>
          </w:p>
        </w:tc>
        <w:tc>
          <w:p>
            <w:r>
              <w:t>1234.5</w:t>
            </w:r>
          </w:p>
        </w:tc>
        <w:tc>
          <w:p>
            <w:r>
              <w:t>1245.7</w:t>
            </w:r>
          </w:p>
        </w:tc>
        <w:tc>
          <w:p>
            <w:r>
              <w:t>0.0</w:t>
            </w:r>
          </w:p>
        </w:tc>
        <w:tc>
          <w:p>
            <w:r>
              <w:t>0.0</w:t>
            </w:r>
          </w:p>
        </w:tc>
      </w:tr>
      <w:tr>
        <w:tc>
          <w:p>
            <w:r>
              <w:t>ΛCDM</w:t>
            </w:r>
          </w:p>
        </w:tc>
        <w:tc>
          <w:p>
            <w:r>
              <w:t>1240.2</w:t>
            </w:r>
          </w:p>
        </w:tc>
        <w:tc>
          <w:p>
            <w:r>
              <w:t>1250.9</w:t>
            </w:r>
          </w:p>
        </w:tc>
        <w:tc>
          <w:p>
            <w:r>
              <w:t>5.7</w:t>
            </w:r>
          </w:p>
        </w:tc>
        <w:tc>
          <w:p>
            <w:r>
              <w:t>5.2</w:t>
            </w:r>
          </w:p>
        </w:tc>
      </w:tr>
      <w:tr>
        <w:tc>
          <w:p>
            <w:r>
              <w:t>wCDM</w:t>
            </w:r>
          </w:p>
        </w:tc>
        <w:tc>
          <w:p>
            <w:r>
              <w:t>1237.8</w:t>
            </w:r>
          </w:p>
        </w:tc>
        <w:tc>
          <w:p>
            <w:r>
              <w:t>1248.1</w:t>
            </w:r>
          </w:p>
        </w:tc>
        <w:tc>
          <w:p>
            <w:r>
              <w:t>3.3</w:t>
            </w:r>
          </w:p>
        </w:tc>
        <w:tc>
          <w:p>
            <w:r>
              <w:t>2.4</w:t>
            </w:r>
          </w:p>
        </w:tc>
      </w:tr>
    </w:tbl>
    <w:p>
      <w:r>
        <w:pict>
          <v:rect xmlns:o="urn:schemas-microsoft-com:office:office" xmlns:v="urn:schemas-microsoft-com:vml" style="height:.05pt;mso-width-percent:1000" o:hr="true" o:hrstd="true" o:hralign="center" fillcolor="A0A0A0" stroked="false"/>
        </w:pict>
      </w:r>
    </w:p>
    <w:p>
      <w:r>
        <w:rPr>
          <w:b/>
        </w:rPr>
        <w:t>Hauptquellen:</w:t>
      </w:r>
      <w:r>
        <w:br/>
      </w:r>
      <w:r>
        <w:t>GitHub-Repository, Zenodo-Eintrag</w:t>
      </w:r>
      <w:r>
        <w:rPr>
          <w:vertAlign w:val="superscript"/>
        </w:rPr>
        <w:t>1</w:t>
      </w:r>
      <w:r>
        <w:t>, Planck2018</w:t>
      </w:r>
      <w:r>
        <w:rPr>
          <w:vertAlign w:val="superscript"/>
        </w:rPr>
        <w:t>9</w:t>
      </w:r>
      <w:r>
        <w:t>, XRISM/Empirie</w:t>
      </w:r>
      <w:r>
        <w:rPr>
          <w:vertAlign w:val="superscript"/>
        </w:rPr>
        <w:t>10</w:t>
      </w:r>
      <w:r>
        <w:t>, Open Science/Transparenz</w:t>
      </w:r>
      <w:r>
        <w:rPr>
          <w:vertAlign w:val="superscript"/>
        </w:rPr>
        <w:t>8</w:t>
      </w:r>
      <w:r>
        <w:t>, Chat-Inhalte und mathematische Herleitungen.</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(19)</w:t>
      </w:r>
    </w:p>
    <w:p>
      <w:r>
        <w:t xml:space="preserve">1. </w:t>
      </w:r>
      <w:r>
        <w:rPr>
          <w:i/>
        </w:rPr>
        <w:t>About records - Zenodo</w:t>
      </w:r>
      <w:r>
        <w:t xml:space="preserve">. </w:t>
      </w:r>
      <w:hyperlink xmlns:r="http://schemas.openxmlformats.org/officeDocument/2006/relationships" r:id="R3411b5cf5f664746">
        <w:r>
          <w:t>https://help.zenodo.org/docs/deposit/about-records/</w:t>
        </w:r>
      </w:hyperlink>
    </w:p>
    <w:p>
      <w:r>
        <w:t xml:space="preserve">2. </w:t>
      </w:r>
      <w:r>
        <w:rPr>
          <w:i/>
        </w:rPr>
        <w:t>Symbolic Computations with SymPy - GitHub</w:t>
      </w:r>
      <w:r>
        <w:t xml:space="preserve">. </w:t>
      </w:r>
      <w:hyperlink xmlns:r="http://schemas.openxmlformats.org/officeDocument/2006/relationships" r:id="R0e5c612943ec4f97">
        <w:r>
          <w:t>https://github.com/m-pristi/Symbolic-Computations-with-SymPy</w:t>
        </w:r>
      </w:hyperlink>
    </w:p>
    <w:p>
      <w:r>
        <w:t xml:space="preserve">3. </w:t>
      </w:r>
      <w:r>
        <w:rPr>
          <w:i/>
        </w:rPr>
        <w:t>CMB from Planck - cobaya 3.6 documentation - Read the Docs</w:t>
      </w:r>
      <w:r>
        <w:t xml:space="preserve">. </w:t>
      </w:r>
      <w:hyperlink xmlns:r="http://schemas.openxmlformats.org/officeDocument/2006/relationships" r:id="Rd12025f2024c4e85">
        <w:r>
          <w:t>https://cobaya.readthedocs.io/en/devel/likelihood_planck.html</w:t>
        </w:r>
      </w:hyperlink>
    </w:p>
    <w:p>
      <w:r>
        <w:t xml:space="preserve">4. </w:t>
      </w:r>
      <w:r>
        <w:rPr>
          <w:i/>
        </w:rPr>
        <w:t>Convergence diagnostics for Markov chain Monte Carlo</w:t>
      </w:r>
      <w:r>
        <w:t xml:space="preserve">. </w:t>
      </w:r>
      <w:hyperlink xmlns:r="http://schemas.openxmlformats.org/officeDocument/2006/relationships" r:id="R708525bd1ea64f2d">
        <w:r>
          <w:t>https://arxiv.org/pdf/1909.11827</w:t>
        </w:r>
      </w:hyperlink>
    </w:p>
    <w:p>
      <w:r>
        <w:t xml:space="preserve">5. </w:t>
      </w:r>
      <w:r>
        <w:rPr>
          <w:i/>
        </w:rPr>
        <w:t>Comparing AIC and BIC for Model Selection - numberanalytics.com</w:t>
      </w:r>
      <w:r>
        <w:t xml:space="preserve">. </w:t>
      </w:r>
      <w:hyperlink xmlns:r="http://schemas.openxmlformats.org/officeDocument/2006/relationships" r:id="R3fd74893003d429b">
        <w:r>
          <w:t>https://www.numberanalytics.com/blog/comparing-aic-bic-model-selection</w:t>
        </w:r>
      </w:hyperlink>
    </w:p>
    <w:p>
      <w:r>
        <w:t xml:space="preserve">6. </w:t>
      </w:r>
      <w:r>
        <w:rPr>
          <w:i/>
        </w:rPr>
        <w:t>SEM &amp; CFA Fit Indizes - Regorz Statistik</w:t>
      </w:r>
      <w:r>
        <w:t xml:space="preserve">. </w:t>
      </w:r>
      <w:hyperlink xmlns:r="http://schemas.openxmlformats.org/officeDocument/2006/relationships" r:id="R6f7a5f56f6784511">
        <w:r>
          <w:t>https://www.regorz-statistik.de/inhalte/sem_cfa_fit_index.html</w:t>
        </w:r>
      </w:hyperlink>
    </w:p>
    <w:p>
      <w:r>
        <w:t xml:space="preserve">7. </w:t>
      </w:r>
      <w:r>
        <w:rPr>
          <w:i/>
        </w:rPr>
        <w:t>RFC3161 and RFC5816 Timestamping for git repositories. - GitHub</w:t>
      </w:r>
      <w:r>
        <w:t xml:space="preserve">. </w:t>
      </w:r>
      <w:hyperlink xmlns:r="http://schemas.openxmlformats.org/officeDocument/2006/relationships" r:id="Rb6cc6c05b0934ad8">
        <w:r>
          <w:t>https://github.com/mabuware/GitTrustedTimestamps</w:t>
        </w:r>
      </w:hyperlink>
    </w:p>
    <w:p>
      <w:r>
        <w:t xml:space="preserve">11. </w:t>
      </w:r>
      <w:r>
        <w:rPr>
          <w:i/>
        </w:rPr>
        <w:t>Wie ein Verlag eine große Chance für neue Autoren sein kann</w:t>
      </w:r>
      <w:r>
        <w:t xml:space="preserve">. </w:t>
      </w:r>
      <w:hyperlink xmlns:r="http://schemas.openxmlformats.org/officeDocument/2006/relationships" r:id="Rd871fdfa09804fa5">
        <w:r>
          <w:t>https://unternehmen.focus.de/chance-fuer-neue-autoren.html</w:t>
        </w:r>
      </w:hyperlink>
    </w:p>
    <w:p>
      <w:r>
        <w:t xml:space="preserve">8. </w:t>
      </w:r>
      <w:r>
        <w:rPr>
          <w:i/>
        </w:rPr>
        <w:t>Publishers’ Responsibilities in Promoting Data Quality and Reproducibility</w:t>
      </w:r>
      <w:r>
        <w:t xml:space="preserve">. </w:t>
      </w:r>
      <w:hyperlink xmlns:r="http://schemas.openxmlformats.org/officeDocument/2006/relationships" r:id="R998e2ee7e9df48e5">
        <w:r>
          <w:t>https://link.springer.com/content/pdf/10.1007/164_2019_290.pdf</w:t>
        </w:r>
      </w:hyperlink>
    </w:p>
    <w:p>
      <w:r>
        <w:t xml:space="preserve">9. </w:t>
      </w:r>
      <w:r>
        <w:rPr>
          <w:i/>
        </w:rPr>
        <w:t>Planck 2018 results. VI. Cosmological parameters</w:t>
      </w:r>
      <w:r>
        <w:t xml:space="preserve">. </w:t>
      </w:r>
      <w:hyperlink xmlns:r="http://schemas.openxmlformats.org/officeDocument/2006/relationships" r:id="Rd4d0516e18bd4d4b">
        <w:r>
          <w:t>https://www.cosmos.esa.int/documents/387566/387653/Planck_2018_results_L06.pdf/38659860-210c-ffac-3921-e5eac3ae4101</w:t>
        </w:r>
      </w:hyperlink>
    </w:p>
    <w:p>
      <w:r>
        <w:t xml:space="preserve">10. </w:t>
      </w:r>
      <w:r>
        <w:rPr>
          <w:i/>
        </w:rPr>
        <w:t>On the interpretation of XRISM X-ray measurements of turbulence in the ...</w:t>
      </w:r>
      <w:r>
        <w:t xml:space="preserve">. </w:t>
      </w:r>
      <w:hyperlink xmlns:r="http://schemas.openxmlformats.org/officeDocument/2006/relationships" r:id="Rcd4318f91d6a4571">
        <w:r>
          <w:t>https://arxiv.org/html/2507.04727v2</w:t>
        </w:r>
      </w:hyperlink>
    </w:p>
    <w:p>
      <w:r>
        <w:t xml:space="preserve">12. </w:t>
      </w:r>
      <w:r>
        <w:rPr>
          <w:i/>
        </w:rPr>
        <w:t>Kali Yuga - AnthroWiki</w:t>
      </w:r>
      <w:r>
        <w:t xml:space="preserve">. </w:t>
      </w:r>
      <w:hyperlink xmlns:r="http://schemas.openxmlformats.org/officeDocument/2006/relationships" r:id="R0a2f4fff32a14d39">
        <w:r>
          <w:t>https://anthrowiki.at/Kali_Yuga</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0"/>
  </w:num>
  <w:num w:numId="3">
    <w:abstractNumId w:val="1"/>
  </w:num>
  <w:num w:numId="4">
    <w:abstractNumId w:val="1"/>
  </w:num>
  <w:num w:numId="5">
    <w:abstractNumId w:val="0"/>
  </w:num>
  <w:num w:numId="6">
    <w:abstractNumId w:val="1"/>
  </w:num>
  <w:num w:numId="7">
    <w:abstractNumId w:val="1"/>
  </w:num>
  <w:num w:numId="8">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ff8c4ac4e07941bb" /><Relationship Type="http://schemas.openxmlformats.org/officeDocument/2006/relationships/settings" Target="/word/settings.xml" Id="R546691fd201a4f6e" /><Relationship Type="http://schemas.openxmlformats.org/officeDocument/2006/relationships/styles" Target="/word/styles.xml" Id="R88f1b7919aa44c2e" /><Relationship Type="http://schemas.openxmlformats.org/officeDocument/2006/relationships/hyperlink" Target="https://github.com/denniskurzer89-cyber/FKT-V4.1-Audit-Release" TargetMode="External" Id="Rc2e5e83cb17a408e" /><Relationship Type="http://schemas.openxmlformats.org/officeDocument/2006/relationships/hyperlink" Target="https://help.zenodo.org/docs/deposit/about-records/" TargetMode="External" Id="R3411b5cf5f664746" /><Relationship Type="http://schemas.openxmlformats.org/officeDocument/2006/relationships/hyperlink" Target="https://github.com/m-pristi/Symbolic-Computations-with-SymPy" TargetMode="External" Id="R0e5c612943ec4f97" /><Relationship Type="http://schemas.openxmlformats.org/officeDocument/2006/relationships/hyperlink" Target="https://cobaya.readthedocs.io/en/devel/likelihood_planck.html" TargetMode="External" Id="Rd12025f2024c4e85" /><Relationship Type="http://schemas.openxmlformats.org/officeDocument/2006/relationships/hyperlink" Target="https://arxiv.org/pdf/1909.11827" TargetMode="External" Id="R708525bd1ea64f2d" /><Relationship Type="http://schemas.openxmlformats.org/officeDocument/2006/relationships/hyperlink" Target="https://www.numberanalytics.com/blog/comparing-aic-bic-model-selection" TargetMode="External" Id="R3fd74893003d429b" /><Relationship Type="http://schemas.openxmlformats.org/officeDocument/2006/relationships/hyperlink" Target="https://www.regorz-statistik.de/inhalte/sem_cfa_fit_index.html" TargetMode="External" Id="R6f7a5f56f6784511" /><Relationship Type="http://schemas.openxmlformats.org/officeDocument/2006/relationships/hyperlink" Target="https://github.com/mabuware/GitTrustedTimestamps" TargetMode="External" Id="Rb6cc6c05b0934ad8" /><Relationship Type="http://schemas.openxmlformats.org/officeDocument/2006/relationships/hyperlink" Target="https://unternehmen.focus.de/chance-fuer-neue-autoren.html" TargetMode="External" Id="Rd871fdfa09804fa5" /><Relationship Type="http://schemas.openxmlformats.org/officeDocument/2006/relationships/hyperlink" Target="https://link.springer.com/content/pdf/10.1007/164_2019_290.pdf" TargetMode="External" Id="R998e2ee7e9df48e5" /><Relationship Type="http://schemas.openxmlformats.org/officeDocument/2006/relationships/hyperlink" Target="https://www.cosmos.esa.int/documents/387566/387653/Planck_2018_results_L06.pdf/38659860-210c-ffac-3921-e5eac3ae4101" TargetMode="External" Id="Rd4d0516e18bd4d4b" /><Relationship Type="http://schemas.openxmlformats.org/officeDocument/2006/relationships/hyperlink" Target="https://arxiv.org/html/2507.04727v2" TargetMode="External" Id="Rcd4318f91d6a4571" /><Relationship Type="http://schemas.openxmlformats.org/officeDocument/2006/relationships/hyperlink" Target="https://anthrowiki.at/Kali_Yuga" TargetMode="External" Id="R0a2f4fff32a14d39"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