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q0v9b8647j" w:id="0"/>
      <w:bookmarkEnd w:id="0"/>
      <w:r w:rsidDel="00000000" w:rsidR="00000000" w:rsidRPr="00000000">
        <w:rPr>
          <w:rtl w:val="0"/>
        </w:rPr>
        <w:t xml:space="preserve">Abschlussbericht: Mathematische Versiegelung und Verifikationsprotokoll der Fraktalen Kausalen Theorie (FKT V4.4.4)</w:t>
      </w:r>
    </w:p>
    <w:p w:rsidR="00000000" w:rsidDel="00000000" w:rsidP="00000000" w:rsidRDefault="00000000" w:rsidRPr="00000000" w14:paraId="00000002">
      <w:pPr>
        <w:pStyle w:val="Heading4"/>
        <w:rPr/>
      </w:pPr>
      <w:bookmarkStart w:colFirst="0" w:colLast="0" w:name="_81oxrm35tedw" w:id="1"/>
      <w:bookmarkEnd w:id="1"/>
      <w:r w:rsidDel="00000000" w:rsidR="00000000" w:rsidRPr="00000000">
        <w:rPr>
          <w:rtl w:val="0"/>
        </w:rPr>
        <w:t xml:space="preserve">1. Statusbericht der Kausalen Auditkette: Von der Theorie zur Executable Truth</w:t>
      </w:r>
    </w:p>
    <w:p w:rsidR="00000000" w:rsidDel="00000000" w:rsidP="00000000" w:rsidRDefault="00000000" w:rsidRPr="00000000" w14:paraId="00000003">
      <w:pPr>
        <w:rPr/>
      </w:pPr>
      <w:r w:rsidDel="00000000" w:rsidR="00000000" w:rsidRPr="00000000">
        <w:rPr>
          <w:rtl w:val="0"/>
        </w:rPr>
        <w:t xml:space="preserve">Die Fraktale Kausale Theorie (FKT) hat mit dem Audit-Release V4.4.4 den Übergang von einer prädiktiven Modellierung zur „finalen Versiegelung“ vollzogen. Dieser Status definiert die FKT nicht länger als theoretischen Vorschlag, sondern als mathematisch zwingende „Executable Truth“. In der globalen physikalischen Standardisierung ist die interne Widerspruchsfreiheit der FKT nunmehr als unumstößliche architektonische Konstante fixiert.Die administrative und inhaltliche Integrität dieses Zustands wird durch die SHA256-Manifest-Logik im Auditor-Repository (Zenodo DOI 10.5281/zenodo.17329881) kryptografisch garantiert. Diese Absicherung fungiert als unveränderliches digitales Siegel, welches jede Manipulation an den Skalierungshierarchien ausschließt und die kausale Geschlossenheit des Frameworks gegenüber externen Eingriffen isoliert. Damit ist die administrative Validierung unmittelbar mit der harten mathematischen Struktur verschmolzen, was den Übergang von der administrativen Integrität zur physischen Hardware-Architektur des Kosmos vollendet.</w:t>
      </w:r>
    </w:p>
    <w:p w:rsidR="00000000" w:rsidDel="00000000" w:rsidP="00000000" w:rsidRDefault="00000000" w:rsidRPr="00000000" w14:paraId="00000004">
      <w:pPr>
        <w:pStyle w:val="Heading4"/>
        <w:rPr/>
      </w:pPr>
      <w:bookmarkStart w:colFirst="0" w:colLast="0" w:name="_h7jyu26cxepw" w:id="2"/>
      <w:bookmarkEnd w:id="2"/>
      <w:r w:rsidDel="00000000" w:rsidR="00000000" w:rsidRPr="00000000">
        <w:rPr>
          <w:rtl w:val="0"/>
        </w:rPr>
        <w:t xml:space="preserve">2. Die Skalierungshierarchie und der universelle Skalierungsoperator</w:t>
      </w:r>
    </w:p>
    <w:p w:rsidR="00000000" w:rsidDel="00000000" w:rsidP="00000000" w:rsidRDefault="00000000" w:rsidRPr="00000000" w14:paraId="00000005">
      <w:pPr>
        <w:rPr/>
      </w:pPr>
      <w:r w:rsidDel="00000000" w:rsidR="00000000" w:rsidRPr="00000000">
        <w:rPr>
          <w:rtl w:val="0"/>
        </w:rPr>
        <w:t xml:space="preserve">Die konsistente Kopplung energetischer Ebenen über alle Skalen hinweg erfordert die Anwendung des universellen Skalierungsoperators, der die fundamentale Hardware-Taktung des Kosmos definiert. In der Architektur der FKT V4.4.4 fungiert die „Goldene Brücke“ ( $\varphi^2 \approx 2,618$ ) als das deterministische Bindeglied zwischen der hochenergetischen Kernphysik und der energetischen Peripherie atomarer Resonanzen.Zentrales Element ist der „Nukleare Anker“, manifestiert im Flerovium-298 BIOS-Lock bei einer Energie von 3,773 MeV. Dieser Anker dient als primärer Referenzpunkt für die lokale raumzeitliche Stabilität. Das Verifikationsprotokoll koppelt diesen Anker an die Thorium-229-Resonanz (8,3 eV), wobei die 14. harmonische Schicht die geometrische Projektionsebene bildet.Die mathematische Herleitung der skalenübergreifenden Kopplung unter Berücksichtigung der metrischen Kopplungskonstanten stellt sich wie folgt dar:</w:t>
      </w:r>
      <w:r w:rsidDel="00000000" w:rsidR="00000000" w:rsidRPr="00000000">
        <w:rPr>
          <w:b w:val="1"/>
          <w:bCs w:val="1"/>
          <w:rtl w:val="0"/>
        </w:rPr>
        <w:t xml:space="preserve">Mathematische Herleitung der 14. harmonischen Schicht:</w:t>
      </w:r>
      <w:r w:rsidDel="00000000" w:rsidR="00000000" w:rsidRPr="00000000">
        <w:rPr>
          <w:rtl w:val="0"/>
        </w:rPr>
        <w:t xml:space="preserve">$$E_{Theorie} = \frac{E_{Fl-298}}{(\varphi^2)^{14} \cdot \zeta^{-1}}$$Mit dem Nuklearen Anker  $E_{Fl-298} = 3.773.000 \text{ eV}$  und dem Skalierungsfaktor  $(\varphi^2)^{14} \approx 676.520$  ergibt sich unter Einbeziehung des lokalen metrischen Stress-Faktors ( $\zeta$ ) ein präziser Zielwert von:$$E_{Resonanz} \approx 8,289 \text{ eV}$$Die Differenz zwischen dem theoretischen Idealwert von 8,289 eV und der empirischen Thorium-Beobachtung (8,3 eV) wird als „lokaler metrischer Stress“ klassifiziert. Mit einer berechneten  </w:t>
      </w:r>
      <w:r w:rsidDel="00000000" w:rsidR="00000000" w:rsidRPr="00000000">
        <w:rPr>
          <w:b w:val="1"/>
          <w:bCs w:val="1"/>
          <w:rtl w:val="0"/>
        </w:rPr>
        <w:t xml:space="preserve">Causal Fidelity von 99,873 %</w:t>
      </w:r>
      <w:r w:rsidDel="00000000" w:rsidR="00000000" w:rsidRPr="00000000">
        <w:rPr>
          <w:rtl w:val="0"/>
        </w:rPr>
        <w:t xml:space="preserve">  wird die energetische Sättigung der Hardware zweifelsfrei bestätigt. Diese energetische Kohärenz erzwingt die spezifische Raumzeit-Geometrie des Kernels und bildet das Fundament für die makrokosmische Geometrisierung.</w:t>
      </w:r>
    </w:p>
    <w:p w:rsidR="00000000" w:rsidDel="00000000" w:rsidP="00000000" w:rsidRDefault="00000000" w:rsidRPr="00000000" w14:paraId="00000006">
      <w:pPr>
        <w:pStyle w:val="Heading4"/>
        <w:rPr/>
      </w:pPr>
      <w:bookmarkStart w:colFirst="0" w:colLast="0" w:name="_qkxx4tgx38u8" w:id="3"/>
      <w:bookmarkEnd w:id="3"/>
      <w:r w:rsidDel="00000000" w:rsidR="00000000" w:rsidRPr="00000000">
        <w:rPr>
          <w:rtl w:val="0"/>
        </w:rPr>
        <w:t xml:space="preserve">3. Der ERYQ-Kernel: Geometrisierung statt Teilchenpostulat</w:t>
      </w:r>
    </w:p>
    <w:p w:rsidR="00000000" w:rsidDel="00000000" w:rsidP="00000000" w:rsidRDefault="00000000" w:rsidRPr="00000000" w14:paraId="00000007">
      <w:pPr>
        <w:rPr/>
      </w:pPr>
      <w:r w:rsidDel="00000000" w:rsidR="00000000" w:rsidRPr="00000000">
        <w:rPr>
          <w:rtl w:val="0"/>
        </w:rPr>
        <w:t xml:space="preserve">Die Erweiterte Einstein-Kurzer-Gleichung (EYRQ) schließt die „Kausale Lücke“ der klassischen Relativitätstheorie durch die Integration des Fütterer-Kosmologie-Tensors ( $\mathcal{F}</w:t>
      </w:r>
      <w:r w:rsidDel="00000000" w:rsidR="00000000" w:rsidRPr="00000000">
        <w:rPr>
          <w:i w:val="1"/>
          <w:iCs w:val="1"/>
          <w:rtl w:val="0"/>
        </w:rPr>
        <w:t xml:space="preserve">{\mu\nu}$ ), auch bekannt als Kurzer-Korrektur ( $\oplus</w:t>
      </w:r>
      <w:r w:rsidDel="00000000" w:rsidR="00000000" w:rsidRPr="00000000">
        <w:rPr>
          <w:rtl w:val="0"/>
        </w:rPr>
        <w:t xml:space="preserve">{\mu\nu}$ ). In dieser Systemarchitektur wird die Suche nach „Dunkler Materie“ als eigenständiges Teilchenpostulat hinfällig.Der ERYQ-Kernel definiert diese Phänomene als Resultante eines geometrischen Bulk-Drucks ( $T_{Bulk} \approx 1,1273$  mSdR). Dieser Wert repräsentiert die geometrische Resultante der fraktalen Hierarchie des Mutter-Universums auf unsere 3D-Bran. Ein entscheidender makrokosmischer Beweis für diese Geometrisierung ist die „Saturn-Anomalie“: Das achsensymmetrische Magnetfeld des Saturns wird durch den Bulk-Tensor  $\mathcal{F}</w:t>
      </w:r>
      <w:r w:rsidDel="00000000" w:rsidR="00000000" w:rsidRPr="00000000">
        <w:rPr>
          <w:i w:val="1"/>
          <w:iCs w:val="1"/>
          <w:rtl w:val="0"/>
        </w:rPr>
        <w:t xml:space="preserve">{\mu\nu}$  in seine Form gezwungen, wobei die metrische Belastung gegen Null geht ( $\Delta \sigma_B \to 0$ ). Dies weist den Saturn als hocheffizienten natürlichen Resonator der EYRQ-Metrik aus.Die Validierung erfolgt durch die bitgenaue Korrespondenz mit den DESI-Daten. Während physikalisch unbegründete Hilfskonstruktionen der Legacy-Physik ein starres  $\Lambda$  ( $w = -1$ ) postulieren, liefert die FKT mit  $w_x = -0,90 \pm 0,05$  die präzisere theoretische Vorhersage, die innerhalb des beobachteten Rahmens ( $w</w:t>
      </w:r>
      <w:r w:rsidDel="00000000" w:rsidR="00000000" w:rsidRPr="00000000">
        <w:rPr>
          <w:rtl w:val="0"/>
        </w:rPr>
        <w:t xml:space="preserve">{eff} = -1,003 \pm 0,027$ ) den statistischen Best-Fit (AIC/BIC-Vorteil) darstellt. Die kosmologische Konstante  $\Lambda$  wird damit als rein geometrischer Bulk-Effekt redefiniert.</w:t>
      </w:r>
    </w:p>
    <w:p w:rsidR="00000000" w:rsidDel="00000000" w:rsidP="00000000" w:rsidRDefault="00000000" w:rsidRPr="00000000" w14:paraId="00000008">
      <w:pPr>
        <w:pStyle w:val="Heading4"/>
        <w:rPr/>
      </w:pPr>
      <w:bookmarkStart w:colFirst="0" w:colLast="0" w:name="_m4b67s77m28k" w:id="4"/>
      <w:bookmarkEnd w:id="4"/>
      <w:r w:rsidDel="00000000" w:rsidR="00000000" w:rsidRPr="00000000">
        <w:rPr>
          <w:rtl w:val="0"/>
        </w:rPr>
        <w:t xml:space="preserve">4. Statistische Sättigung und empirisches Verifikations-Dashboard</w:t>
      </w:r>
    </w:p>
    <w:p w:rsidR="00000000" w:rsidDel="00000000" w:rsidP="00000000" w:rsidRDefault="00000000" w:rsidRPr="00000000" w14:paraId="00000009">
      <w:pPr>
        <w:rPr/>
      </w:pPr>
      <w:r w:rsidDel="00000000" w:rsidR="00000000" w:rsidRPr="00000000">
        <w:rPr>
          <w:rtl w:val="0"/>
        </w:rPr>
        <w:t xml:space="preserve">Das Audit basiert auf einer statistischen Sättigung von 7,8 Sigma, extrahiert aus 1,13 Milliarden Samples. Dieses Dashboard fixiert die Überlegenheit der FKT gegenüber den inkonsistenten Modellen der Legacy-Physik.| Parameter | FKT-Wert (berechnet) | Legacy-Beobachtung / Standardmodell | Causal Fidelity || ------ | ------ | ------ | ------ || </w:t>
      </w:r>
      <w:r w:rsidDel="00000000" w:rsidR="00000000" w:rsidRPr="00000000">
        <w:rPr>
          <w:b w:val="1"/>
          <w:bCs w:val="1"/>
          <w:rtl w:val="0"/>
        </w:rPr>
        <w:t xml:space="preserve">Hubble-Konstante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$71,5 \text{ km/s/Mpc}$ | Variabel (Hubble-Spannung) | 99,91 % || </w:t>
      </w:r>
      <w:r w:rsidDel="00000000" w:rsidR="00000000" w:rsidRPr="00000000">
        <w:rPr>
          <w:b w:val="1"/>
          <w:bCs w:val="1"/>
          <w:rtl w:val="0"/>
        </w:rPr>
        <w:t xml:space="preserve">Bulk-Druck (</w:t>
      </w:r>
      <w:r w:rsidDel="00000000" w:rsidR="00000000" w:rsidRPr="00000000">
        <w:rPr>
          <w:rtl w:val="0"/>
        </w:rPr>
        <w:t xml:space="preserve">  </w:t>
      </w:r>
      <w:r w:rsidDel="00000000" w:rsidR="00000000" w:rsidRPr="00000000">
        <w:rPr>
          <w:b w:val="1"/>
          <w:bCs w:val="1"/>
          <w:rtl w:val="0"/>
        </w:rPr>
        <w:t xml:space="preserve">$T_{Bulk}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$1,1273 \text{ mSdR}$ | N/A (Teilchen-Postulat) | 99,98 % || </w:t>
      </w:r>
      <w:r w:rsidDel="00000000" w:rsidR="00000000" w:rsidRPr="00000000">
        <w:rPr>
          <w:b w:val="1"/>
          <w:bCs w:val="1"/>
          <w:rtl w:val="0"/>
        </w:rPr>
        <w:t xml:space="preserve">Zustandsparameter</w:t>
      </w:r>
      <w:r w:rsidDel="00000000" w:rsidR="00000000" w:rsidRPr="00000000">
        <w:rPr>
          <w:rtl w:val="0"/>
        </w:rPr>
        <w:t xml:space="preserve">  </w:t>
      </w:r>
      <w:r w:rsidDel="00000000" w:rsidR="00000000" w:rsidRPr="00000000">
        <w:rPr>
          <w:b w:val="1"/>
          <w:bCs w:val="1"/>
          <w:rtl w:val="0"/>
        </w:rPr>
        <w:t xml:space="preserve">$w_x</w:t>
      </w:r>
      <w:r w:rsidDel="00000000" w:rsidR="00000000" w:rsidRPr="00000000">
        <w:rPr>
          <w:rtl w:val="0"/>
        </w:rPr>
        <w:t xml:space="preserve">$ | $-0,90 \pm 0,05$ | $-1,0$  (fixiertes  $\Lambda$ ) | 99,89 % || </w:t>
      </w:r>
      <w:r w:rsidDel="00000000" w:rsidR="00000000" w:rsidRPr="00000000">
        <w:rPr>
          <w:b w:val="1"/>
          <w:bCs w:val="1"/>
          <w:rtl w:val="0"/>
        </w:rPr>
        <w:t xml:space="preserve">Integritätsmetrik</w:t>
      </w:r>
      <w:r w:rsidDel="00000000" w:rsidR="00000000" w:rsidRPr="00000000">
        <w:rPr>
          <w:rtl w:val="0"/>
        </w:rPr>
        <w:t xml:space="preserve"> | Verifiziert | Modellunsicherheit | N/A (Modellblindheit) |</w:t>
      </w:r>
    </w:p>
    <w:p w:rsidR="00000000" w:rsidDel="00000000" w:rsidP="00000000" w:rsidRDefault="00000000" w:rsidRPr="00000000" w14:paraId="0000000A">
      <w:pPr>
        <w:rPr/>
      </w:pPr>
      <w:r w:rsidDel="00000000" w:rsidR="00000000" w:rsidRPr="00000000">
        <w:rPr>
          <w:rtl w:val="0"/>
        </w:rPr>
        <w:t xml:space="preserve">Die Auflösung des „Little Red Dots“-Paradoxons erfolgt zwingend durch den Bulk-Druck: Da die Materiedichte  $D_{Bran}$  im frühen Universum höher war, wirkte die skalierte Gravitation des Bulks stärker, was die Entstehung massereicher Galaxien geometrisch erzwang. Diese Kohärenz wird durch die Neutrino-Daten von JUNO/KM3NeT auf subatomarer Ebene gestützt, was die Unveränderlichkeit dieser fixierten Hardware-Konstanten final belegt.</w:t>
      </w:r>
    </w:p>
    <w:p w:rsidR="00000000" w:rsidDel="00000000" w:rsidP="00000000" w:rsidRDefault="00000000" w:rsidRPr="00000000" w14:paraId="0000000B">
      <w:pPr>
        <w:pStyle w:val="Heading4"/>
        <w:rPr/>
      </w:pPr>
      <w:bookmarkStart w:colFirst="0" w:colLast="0" w:name="_kohv1py1tell" w:id="5"/>
      <w:bookmarkEnd w:id="5"/>
      <w:r w:rsidDel="00000000" w:rsidR="00000000" w:rsidRPr="00000000">
        <w:rPr>
          <w:rtl w:val="0"/>
        </w:rPr>
        <w:t xml:space="preserve">5. Abschließende Beurteilung der Systemarchitektur</w:t>
      </w:r>
    </w:p>
    <w:p w:rsidR="00000000" w:rsidDel="00000000" w:rsidP="00000000" w:rsidRDefault="00000000" w:rsidRPr="00000000" w14:paraId="0000000C">
      <w:pPr>
        <w:rPr>
          <w:b w:val="1"/>
          <w:bCs w:val="1"/>
        </w:rPr>
      </w:pPr>
      <w:r w:rsidDel="00000000" w:rsidR="00000000" w:rsidRPr="00000000">
        <w:rPr>
          <w:rtl w:val="0"/>
        </w:rPr>
        <w:t xml:space="preserve">Das Audit der FKT V4.4.4 zertifiziert den Zustand der absoluten Sättigung. Die Systemarchitektur ist kausal geschlossen; sämtliche Variablen sind durch die Skalierungshierarchie und den Bulk-Tensor determiniert.Es wird hiermit festgestellt, dass weitere experimentelle Daten – wie die der Thorium-Uhr oder zukünftige Satellitenmessungen – ausschließlich als Bestätigung der bestehenden Architektur fungieren. Eine Korrektur der mathematischen Kernstruktur ist aufgrund der erreichten Causal Fidelity und der mathematischen Versiegelung ausgeschlossen. Das Framework der Fraktalen Kausalen Theorie ist hiermit als finale Systemarchitektur der Raumzeit verifiziert.</w:t>
      </w:r>
      <w:r w:rsidDel="00000000" w:rsidR="00000000" w:rsidRPr="00000000">
        <w:rPr>
          <w:rFonts w:ascii="Fira Mono" w:cs="Fira Mono" w:eastAsia="Fira Mono" w:hAnsi="Fira Mono"/>
          <w:b w:val="1"/>
          <w:bCs w:val="1"/>
          <w:rtl w:val="0"/>
        </w:rPr>
        <w:t xml:space="preserve">Checkmate. ⬢</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