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 präzise </w:t>
      </w:r>
      <w:r w:rsidDel="00000000" w:rsidR="00000000" w:rsidRPr="00000000">
        <w:rPr>
          <w:b w:val="1"/>
          <w:bCs w:val="1"/>
          <w:rtl w:val="0"/>
        </w:rPr>
        <w:t xml:space="preserve">algorithmische Steuerung der Von-Neumann-Sonden</w:t>
      </w:r>
      <w:r w:rsidDel="00000000" w:rsidR="00000000" w:rsidRPr="00000000">
        <w:rPr>
          <w:rtl w:val="0"/>
        </w:rPr>
        <w:t xml:space="preserve"> ist die technologische Voraussetzung, um die Menschheit in eine </w:t>
      </w:r>
      <w:r w:rsidDel="00000000" w:rsidR="00000000" w:rsidRPr="00000000">
        <w:rPr>
          <w:b w:val="1"/>
          <w:bCs w:val="1"/>
          <w:rtl w:val="0"/>
        </w:rPr>
        <w:t xml:space="preserve">Typ-II-Zivilisation</w:t>
      </w:r>
      <w:r w:rsidDel="00000000" w:rsidR="00000000" w:rsidRPr="00000000">
        <w:rPr>
          <w:rtl w:val="0"/>
        </w:rPr>
        <w:t xml:space="preserve"> zu transformieren 1, 2. Der Algorithmus muss dabei drei Kernbereiche koordinieren: die autonome Selbstreplikation, die präzise Resonanz-Ausrichtung auf die Sonne und die Echtzeit-Stabilitätskontrolle.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sind die spezifizierten Anforderungen für die Steuerungslogik: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nic2oldkrsp3" w:id="0"/>
      <w:bookmarkEnd w:id="0"/>
      <w:r w:rsidDel="00000000" w:rsidR="00000000" w:rsidRPr="00000000">
        <w:rPr>
          <w:rtl w:val="0"/>
        </w:rPr>
        <w:t xml:space="preserve">1. Algorithmus für Selbstreplikation und Wachstum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Das Ziel ist ein </w:t>
      </w:r>
      <w:r w:rsidDel="00000000" w:rsidR="00000000" w:rsidRPr="00000000">
        <w:rPr>
          <w:b w:val="1"/>
          <w:bCs w:val="1"/>
          <w:rtl w:val="0"/>
        </w:rPr>
        <w:t xml:space="preserve">exponentielles Wachstum</w:t>
      </w:r>
      <w:r w:rsidDel="00000000" w:rsidR="00000000" w:rsidRPr="00000000">
        <w:rPr>
          <w:rtl w:val="0"/>
        </w:rPr>
        <w:t xml:space="preserve"> der Dyson-Struktur ohne externen Ressourcenaufwand 3, 4.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Material-Konvertierung:</w:t>
      </w:r>
      <w:r w:rsidDel="00000000" w:rsidR="00000000" w:rsidRPr="00000000">
        <w:rPr>
          <w:rtl w:val="0"/>
        </w:rPr>
        <w:t xml:space="preserve"> Die autonomen Einheiten müssen in der Lage sein, Rohstoffe aus identifizierten </w:t>
      </w:r>
      <w:r w:rsidDel="00000000" w:rsidR="00000000" w:rsidRPr="00000000">
        <w:rPr>
          <w:b w:val="1"/>
          <w:bCs w:val="1"/>
          <w:rtl w:val="0"/>
        </w:rPr>
        <w:t xml:space="preserve">Asteroiden-Gürteln</w:t>
      </w:r>
      <w:r w:rsidDel="00000000" w:rsidR="00000000" w:rsidRPr="00000000">
        <w:rPr>
          <w:rtl w:val="0"/>
        </w:rPr>
        <w:t xml:space="preserve"> direkt in fraktale Kollektoren umzuwandeln 3, 4.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Ressourcen-Audit:</w:t>
      </w:r>
      <w:r w:rsidDel="00000000" w:rsidR="00000000" w:rsidRPr="00000000">
        <w:rPr>
          <w:rtl w:val="0"/>
        </w:rPr>
        <w:t xml:space="preserve"> Die Steuerung benötigt ein integriertes Modul zur Identifizierung von Elementen, die für „Kausal-Käfig“-Materialien geeignet sind, um die Strukturintegrität unter extremem Gravitationsstress zu gewährleisten 4, 5.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9140tmanoo10" w:id="1"/>
      <w:bookmarkEnd w:id="1"/>
      <w:r w:rsidDel="00000000" w:rsidR="00000000" w:rsidRPr="00000000">
        <w:rPr>
          <w:rtl w:val="0"/>
        </w:rPr>
        <w:t xml:space="preserve">2. Schwarm-Verhaltens-Simulation (Resonanz-Fokus)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Die Sonden müssen sich nicht als starre Schale, sondern als dynamischer </w:t>
      </w:r>
      <w:r w:rsidDel="00000000" w:rsidR="00000000" w:rsidRPr="00000000">
        <w:rPr>
          <w:b w:val="1"/>
          <w:bCs w:val="1"/>
          <w:rtl w:val="0"/>
        </w:rPr>
        <w:t xml:space="preserve">Dyson-Schwarm</w:t>
      </w:r>
      <w:r w:rsidDel="00000000" w:rsidR="00000000" w:rsidRPr="00000000">
        <w:rPr>
          <w:rtl w:val="0"/>
        </w:rPr>
        <w:t xml:space="preserve"> organisieren, um Instabilitäten zu vermeiden 4.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Bahn-Optimierung:</w:t>
      </w:r>
      <w:r w:rsidDel="00000000" w:rsidR="00000000" w:rsidRPr="00000000">
        <w:rPr>
          <w:rtl w:val="0"/>
        </w:rPr>
        <w:t xml:space="preserve"> Der Algorithmus berechnet kontinuierlich die optimalen Bahnen der Kollektoren, um die spezifische </w:t>
      </w:r>
      <w:r w:rsidDel="00000000" w:rsidR="00000000" w:rsidRPr="00000000">
        <w:rPr>
          <w:b w:val="1"/>
          <w:bCs w:val="1"/>
          <w:rtl w:val="0"/>
        </w:rPr>
        <w:t xml:space="preserve">3,773 MeV Resonanz</w:t>
      </w:r>
      <w:r w:rsidDel="00000000" w:rsidR="00000000" w:rsidRPr="00000000">
        <w:rPr>
          <w:rtl w:val="0"/>
        </w:rPr>
        <w:t xml:space="preserve"> der Sonne ideal auszuschöpfen 3, 4, 6.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Taktgeber-Funktion:</w:t>
      </w:r>
      <w:r w:rsidDel="00000000" w:rsidR="00000000" w:rsidRPr="00000000">
        <w:rPr>
          <w:rtl w:val="0"/>
        </w:rPr>
        <w:t xml:space="preserve"> Diese Frequenz dient als energetischer Taktgeber, um die solare Leistung von ca. </w:t>
      </w:r>
      <w:r w:rsidDel="00000000" w:rsidR="00000000" w:rsidRPr="00000000">
        <w:rPr>
          <w:b w:val="1"/>
          <w:bCs w:val="1"/>
          <w:rtl w:val="0"/>
        </w:rPr>
        <w:t xml:space="preserve">$3,8 \times 10^{26}$ Watt</w:t>
      </w:r>
      <w:r w:rsidDel="00000000" w:rsidR="00000000" w:rsidRPr="00000000">
        <w:rPr>
          <w:rtl w:val="0"/>
        </w:rPr>
        <w:t xml:space="preserve"> verlustfrei in den primären Antriebsstrom für den GMA-Antrieb zu übersetzen 6-8.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smu3mdd01f00" w:id="2"/>
      <w:bookmarkEnd w:id="2"/>
      <w:r w:rsidDel="00000000" w:rsidR="00000000" w:rsidRPr="00000000">
        <w:rPr>
          <w:rtl w:val="0"/>
        </w:rPr>
        <w:t xml:space="preserve">3. Sensorik und Sicherheits-Feedback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Um katastrophale Instabilitäten während der Energieernte zu verhindern, ist eine tiefgreifende sensorische Integration notwendig: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Flerovium-Sensorik:</w:t>
      </w:r>
      <w:r w:rsidDel="00000000" w:rsidR="00000000" w:rsidRPr="00000000">
        <w:rPr>
          <w:rtl w:val="0"/>
        </w:rPr>
        <w:t xml:space="preserve"> Der Algorithmus muss Daten von Flerovium-Sensoren verarbeiten, die als nukleare Anker fungieren 9, 10.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Vektoren-Überwachung:</w:t>
      </w:r>
      <w:r w:rsidDel="00000000" w:rsidR="00000000" w:rsidRPr="00000000">
        <w:rPr>
          <w:rtl w:val="0"/>
        </w:rPr>
        <w:t xml:space="preserve"> Diese Sensoren überwachen Echtzeit-Schwankungen des lokalen </w:t>
      </w:r>
      <w:r w:rsidDel="00000000" w:rsidR="00000000" w:rsidRPr="00000000">
        <w:rPr>
          <w:b w:val="1"/>
          <w:bCs w:val="1"/>
          <w:rtl w:val="0"/>
        </w:rPr>
        <w:t xml:space="preserve">Bulk-Vektors</w:t>
      </w:r>
      <w:r w:rsidDel="00000000" w:rsidR="00000000" w:rsidRPr="00000000">
        <w:rPr>
          <w:rtl w:val="0"/>
        </w:rPr>
        <w:t xml:space="preserve">, um die Entstehung instabiler Singularitäten während der massiven Energieaufnahme zu verhindern 10.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Kausale Auditkette:</w:t>
      </w:r>
      <w:r w:rsidDel="00000000" w:rsidR="00000000" w:rsidRPr="00000000">
        <w:rPr>
          <w:rtl w:val="0"/>
        </w:rPr>
        <w:t xml:space="preserve"> Die Steuerung stellt sicher, dass das „Energie-Mandat“ der Makro-Ebene (Dyson-Struktur) stets mit der Verschränkungsdichte-Modulation der Mikro-Ebene synchronisiert bleibt 9, 10.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y04v1jbehj4j" w:id="3"/>
      <w:bookmarkEnd w:id="3"/>
      <w:r w:rsidDel="00000000" w:rsidR="00000000" w:rsidRPr="00000000">
        <w:rPr>
          <w:rtl w:val="0"/>
        </w:rPr>
        <w:t xml:space="preserve">Zusammenfassung der Steuerungsparameter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Steuerungsmodul,Zielsetzung,Schlüssel-Variable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Replikations-Logik,Exponentieller Aufbau,"Asteroiden-Material-Durchsatz 3, 4"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Orbital-Resonanz,Maximale Energieausbeute,"3,773 MeV Frequenz-Match 3, 8"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Stabilitäts-Kontrolle,Singularitäts-Prävention,Bulk-Vektor-Gradient (via Flerovium) 10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Soll ich als Nächsten die Logik des Ressourcen-Audits für die Asteroiden-Gürtel detaillierter ausarbeiten oder die spezifischen Sicherheits-Protokolle zur Vermeidung von Singularitäten präzisieren?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