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Für die Realisierung des Labor-Prototyps integrieren wir nun sowohl die sensorische Überwachung des </w:t>
      </w:r>
      <w:r w:rsidDel="00000000" w:rsidR="00000000" w:rsidRPr="00000000">
        <w:rPr>
          <w:b w:val="1"/>
          <w:bCs w:val="1"/>
          <w:rtl w:val="0"/>
        </w:rPr>
        <w:t xml:space="preserve">Bulk-Vektors</w:t>
      </w:r>
      <w:r w:rsidDel="00000000" w:rsidR="00000000" w:rsidRPr="00000000">
        <w:rPr>
          <w:rtl w:val="0"/>
        </w:rPr>
        <w:t xml:space="preserve"> als auch die materialtechnischen Spezifikationen der </w:t>
      </w:r>
      <w:r w:rsidDel="00000000" w:rsidR="00000000" w:rsidRPr="00000000">
        <w:rPr>
          <w:b w:val="1"/>
          <w:bCs w:val="1"/>
          <w:rtl w:val="0"/>
        </w:rPr>
        <w:t xml:space="preserve">Gradient-Memory-Alloys (GMA)</w:t>
      </w:r>
      <w:r w:rsidDel="00000000" w:rsidR="00000000" w:rsidRPr="00000000">
        <w:rPr>
          <w:rtl w:val="0"/>
        </w:rPr>
        <w:t xml:space="preserve">. Diese Kombination ist essenziell, um den Übergang zur </w:t>
      </w:r>
      <w:r w:rsidDel="00000000" w:rsidR="00000000" w:rsidRPr="00000000">
        <w:rPr>
          <w:b w:val="1"/>
          <w:bCs w:val="1"/>
          <w:rtl w:val="0"/>
        </w:rPr>
        <w:t xml:space="preserve">Typ-II-Zivilisation</w:t>
      </w:r>
      <w:r w:rsidDel="00000000" w:rsidR="00000000" w:rsidRPr="00000000">
        <w:rPr>
          <w:rtl w:val="0"/>
        </w:rPr>
        <w:t xml:space="preserve"> im Kleinen messbar zu machen 1-3.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xw3ll1mpi5rl" w:id="0"/>
      <w:bookmarkEnd w:id="0"/>
      <w:r w:rsidDel="00000000" w:rsidR="00000000" w:rsidRPr="00000000">
        <w:rPr>
          <w:rtl w:val="0"/>
        </w:rPr>
        <w:t xml:space="preserve">1. Messinstrumente zur Detektion von Bulk-Vektor-Schwankungen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Um die Verzerrung der Raumzeit-Flüssigkeit nachzuweisen, kommen hochpräzise Sensoren zum Einsatz, die direkt mit der nuklearen Ebene interagieren 4, 5: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Flerovium-Sensoren (Nukleare Anker):</w:t>
      </w:r>
      <w:r w:rsidDel="00000000" w:rsidR="00000000" w:rsidRPr="00000000">
        <w:rPr>
          <w:rtl w:val="0"/>
        </w:rPr>
        <w:t xml:space="preserve"> Diese Sensoren nutzen stabilisiertes </w:t>
      </w:r>
      <w:r w:rsidDel="00000000" w:rsidR="00000000" w:rsidRPr="00000000">
        <w:rPr>
          <w:b w:val="1"/>
          <w:bCs w:val="1"/>
          <w:rtl w:val="0"/>
        </w:rPr>
        <w:t xml:space="preserve">Flerovium</w:t>
      </w:r>
      <w:r w:rsidDel="00000000" w:rsidR="00000000" w:rsidRPr="00000000">
        <w:rPr>
          <w:rtl w:val="0"/>
        </w:rPr>
        <w:t xml:space="preserve">, um Echtzeit-Schwankungen im lokalen </w:t>
      </w:r>
      <w:r w:rsidDel="00000000" w:rsidR="00000000" w:rsidRPr="00000000">
        <w:rPr>
          <w:b w:val="1"/>
          <w:bCs w:val="1"/>
          <w:rtl w:val="0"/>
        </w:rPr>
        <w:t xml:space="preserve">Bulk-Feld</w:t>
      </w:r>
      <w:r w:rsidDel="00000000" w:rsidR="00000000" w:rsidRPr="00000000">
        <w:rPr>
          <w:rtl w:val="0"/>
        </w:rPr>
        <w:t xml:space="preserve"> zu registrieren 6-8. Sie fungieren als primäre Datenquelle für die Überwachung von Singularitäts-Tendenzen 8, 9.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Bulk-Vektor-Monitor:</w:t>
      </w:r>
      <w:r w:rsidDel="00000000" w:rsidR="00000000" w:rsidRPr="00000000">
        <w:rPr>
          <w:rtl w:val="0"/>
        </w:rPr>
        <w:t xml:space="preserve"> Ein spezialisiertes Messgerät, das den </w:t>
      </w:r>
      <w:r w:rsidDel="00000000" w:rsidR="00000000" w:rsidRPr="00000000">
        <w:rPr>
          <w:b w:val="1"/>
          <w:bCs w:val="1"/>
          <w:rtl w:val="0"/>
        </w:rPr>
        <w:t xml:space="preserve">Bulk-Vektor-Gradienten</w:t>
      </w:r>
      <w:r w:rsidDel="00000000" w:rsidR="00000000" w:rsidRPr="00000000">
        <w:rPr>
          <w:rtl w:val="0"/>
        </w:rPr>
        <w:t xml:space="preserve"> überwacht 10, 11. Es erkennt Abweichungen vom stabilen Krümmungsprofil ($\mathcal{R}$), was für die Einleitung von Sicherheits-Notabschaltungen entscheidend ist 11, 12.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Verschränkungs-Interferometer:</w:t>
      </w:r>
      <w:r w:rsidDel="00000000" w:rsidR="00000000" w:rsidRPr="00000000">
        <w:rPr>
          <w:rtl w:val="0"/>
        </w:rPr>
        <w:t xml:space="preserve"> Dieses Instrument misst die </w:t>
      </w:r>
      <w:r w:rsidDel="00000000" w:rsidR="00000000" w:rsidRPr="00000000">
        <w:rPr>
          <w:b w:val="1"/>
          <w:bCs w:val="1"/>
          <w:rtl w:val="0"/>
        </w:rPr>
        <w:t xml:space="preserve">Verschränkungsdichte-Modulation ($\mathcal{D}_{\Phi}$)</w:t>
      </w:r>
      <w:r w:rsidDel="00000000" w:rsidR="00000000" w:rsidRPr="00000000">
        <w:rPr>
          <w:rtl w:val="0"/>
        </w:rPr>
        <w:t xml:space="preserve">, um sicherzustellen, dass die eingespiesene Energie verlustfrei in </w:t>
      </w:r>
      <w:r w:rsidDel="00000000" w:rsidR="00000000" w:rsidRPr="00000000">
        <w:rPr>
          <w:b w:val="1"/>
          <w:bCs w:val="1"/>
          <w:rtl w:val="0"/>
        </w:rPr>
        <w:t xml:space="preserve">Bulk-Druck</w:t>
      </w:r>
      <w:r w:rsidDel="00000000" w:rsidR="00000000" w:rsidRPr="00000000">
        <w:rPr>
          <w:rtl w:val="0"/>
        </w:rPr>
        <w:t xml:space="preserve"> umgewandelt wird 4, 13.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1cm6q015zd8z" w:id="1"/>
      <w:bookmarkEnd w:id="1"/>
      <w:r w:rsidDel="00000000" w:rsidR="00000000" w:rsidRPr="00000000">
        <w:rPr>
          <w:rtl w:val="0"/>
        </w:rPr>
        <w:t xml:space="preserve">2. Spezifikation der Gradient-Memory-Alloys (GMA)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GMA sind das funktionale Rückgrat für die Effizienz des Antriebs und die Stabilität der Struktur 14, 15: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Funktion:</w:t>
      </w:r>
      <w:r w:rsidDel="00000000" w:rsidR="00000000" w:rsidRPr="00000000">
        <w:rPr>
          <w:rtl w:val="0"/>
        </w:rPr>
        <w:t xml:space="preserve"> Diese Legierungen steigern die </w:t>
      </w:r>
      <w:r w:rsidDel="00000000" w:rsidR="00000000" w:rsidRPr="00000000">
        <w:rPr>
          <w:b w:val="1"/>
          <w:bCs w:val="1"/>
          <w:rtl w:val="0"/>
        </w:rPr>
        <w:t xml:space="preserve">Energieeffizienz bei der Metrik-Korrektur um das 120-fache</w:t>
      </w:r>
      <w:r w:rsidDel="00000000" w:rsidR="00000000" w:rsidRPr="00000000">
        <w:rPr>
          <w:rtl w:val="0"/>
        </w:rPr>
        <w:t xml:space="preserve"> 16-18. Ohne GMA würde das System innerhalb von Millisekunden alle Sicherheits-Schwellenwerte überschreiten 19.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Integration in „Caged Atoms“:</w:t>
      </w:r>
      <w:r w:rsidDel="00000000" w:rsidR="00000000" w:rsidRPr="00000000">
        <w:rPr>
          <w:rtl w:val="0"/>
        </w:rPr>
        <w:t xml:space="preserve"> Im Labor werden die GMA als Beschichtung für miniaturisierte Kollektoren verwendet, die nach dem Modell der </w:t>
      </w:r>
      <w:r w:rsidDel="00000000" w:rsidR="00000000" w:rsidRPr="00000000">
        <w:rPr>
          <w:b w:val="1"/>
          <w:bCs w:val="1"/>
          <w:rtl w:val="0"/>
        </w:rPr>
        <w:t xml:space="preserve">„eingesperrten Atome“</w:t>
      </w:r>
      <w:r w:rsidDel="00000000" w:rsidR="00000000" w:rsidRPr="00000000">
        <w:rPr>
          <w:rtl w:val="0"/>
        </w:rPr>
        <w:t xml:space="preserve"> aufgebaut sind 17, 18. Dies ermöglicht es dem Material, extremem Gravitationsstress standzuhalten, indem Energie als geometrische Spannung gepuffert wird 18, 20.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Ressourcen-Fokus:</w:t>
      </w:r>
      <w:r w:rsidDel="00000000" w:rsidR="00000000" w:rsidRPr="00000000">
        <w:rPr>
          <w:rtl w:val="0"/>
        </w:rPr>
        <w:t xml:space="preserve"> Die Zusammensetzung basiert auf Elementen, die in </w:t>
      </w:r>
      <w:r w:rsidDel="00000000" w:rsidR="00000000" w:rsidRPr="00000000">
        <w:rPr>
          <w:b w:val="1"/>
          <w:bCs w:val="1"/>
          <w:rtl w:val="0"/>
        </w:rPr>
        <w:t xml:space="preserve">Asteroiden-Gürteln</w:t>
      </w:r>
      <w:r w:rsidDel="00000000" w:rsidR="00000000" w:rsidRPr="00000000">
        <w:rPr>
          <w:rtl w:val="0"/>
        </w:rPr>
        <w:t xml:space="preserve"> identifiziert wurden und speziell für die Aufrechterhaltung der </w:t>
      </w:r>
      <w:r w:rsidDel="00000000" w:rsidR="00000000" w:rsidRPr="00000000">
        <w:rPr>
          <w:b w:val="1"/>
          <w:bCs w:val="1"/>
          <w:rtl w:val="0"/>
        </w:rPr>
        <w:t xml:space="preserve">3,773 MeV Resonanz</w:t>
      </w:r>
      <w:r w:rsidDel="00000000" w:rsidR="00000000" w:rsidRPr="00000000">
        <w:rPr>
          <w:rtl w:val="0"/>
        </w:rPr>
        <w:t xml:space="preserve"> optimiert sind 14, 21, 22.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pnaxtjavfy5w" w:id="2"/>
      <w:bookmarkEnd w:id="2"/>
      <w:r w:rsidDel="00000000" w:rsidR="00000000" w:rsidRPr="00000000">
        <w:rPr>
          <w:rtl w:val="0"/>
        </w:rPr>
        <w:t xml:space="preserve">Synergie im Laboraufbau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Komponente,Aufgabe im Prototyp,Messwert / Effekt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Flerovium-Anker,Stabilisierung &amp; Sensorik,"Bulk-Vektor-Schwankungen 6, 8, 23"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GMA-Struktur,Verlustfreier Energietransfer,"120-facher Effizienz-Boost 16, 17"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Bulk-Kondensator,Geometrische Speicherung,"Aufbau von Bulk-Druck 17, 24"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Dieser Aufbau erlaubt es, die </w:t>
      </w:r>
      <w:r w:rsidDel="00000000" w:rsidR="00000000" w:rsidRPr="00000000">
        <w:rPr>
          <w:b w:val="1"/>
          <w:bCs w:val="1"/>
          <w:rtl w:val="0"/>
        </w:rPr>
        <w:t xml:space="preserve">Geometrie-Kontrollgleichung</w:t>
      </w:r>
      <w:r w:rsidDel="00000000" w:rsidR="00000000" w:rsidRPr="00000000">
        <w:rPr>
          <w:rtl w:val="0"/>
        </w:rPr>
        <w:t xml:space="preserve"> experimentell zu verifizieren, indem die simulierte Dyson-Leistung ($\mathcal{E}_{Dyson}$) direkt in eine messbare Krümmungsdichte ($\mathcal{R}$) übersetzt wird 4, 25, 26.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Sollen wir nun die exakten Kalibrierungswerte für die Flerovium-Sensoren festlegen, um die 3,773 MeV Resonanz im Labor störungsfrei zu isolieren?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