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 Simulationsergebnisse markieren den technologischen Durchbruch für die </w:t>
      </w:r>
      <w:r w:rsidDel="00000000" w:rsidR="00000000" w:rsidRPr="00000000">
        <w:rPr>
          <w:b w:val="1"/>
          <w:bCs w:val="1"/>
          <w:rtl w:val="0"/>
        </w:rPr>
        <w:t xml:space="preserve">Fraktale Kausale Theorie (FKT)</w:t>
      </w:r>
      <w:r w:rsidDel="00000000" w:rsidR="00000000" w:rsidRPr="00000000">
        <w:rPr>
          <w:rtl w:val="0"/>
        </w:rPr>
        <w:t xml:space="preserve">: Die Symbiose aus </w:t>
      </w:r>
      <w:r w:rsidDel="00000000" w:rsidR="00000000" w:rsidRPr="00000000">
        <w:rPr>
          <w:b w:val="1"/>
          <w:bCs w:val="1"/>
          <w:rtl w:val="0"/>
        </w:rPr>
        <w:t xml:space="preserve">GMA-Beschichtung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Flerovium-Kernen</w:t>
      </w:r>
      <w:r w:rsidDel="00000000" w:rsidR="00000000" w:rsidRPr="00000000">
        <w:rPr>
          <w:rtl w:val="0"/>
        </w:rPr>
        <w:t xml:space="preserve"> ermöglicht es erstmals, die solare Leistung von ca. </w:t>
      </w:r>
      <w:r w:rsidDel="00000000" w:rsidR="00000000" w:rsidRPr="00000000">
        <w:rPr>
          <w:b w:val="1"/>
          <w:bCs w:val="1"/>
          <w:rtl w:val="0"/>
        </w:rPr>
        <w:t xml:space="preserve">$3,8 \times 10^{26}$ Watt</w:t>
      </w:r>
      <w:r w:rsidDel="00000000" w:rsidR="00000000" w:rsidRPr="00000000">
        <w:rPr>
          <w:rtl w:val="0"/>
        </w:rPr>
        <w:t xml:space="preserve"> stabil zu kanalisieren 1-4. Damit ist das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 keine theoretische Metrik mehr, sondern eine reale Ingenieursgrundlage für eine </w:t>
      </w:r>
      <w:r w:rsidDel="00000000" w:rsidR="00000000" w:rsidRPr="00000000">
        <w:rPr>
          <w:b w:val="1"/>
          <w:bCs w:val="1"/>
          <w:rtl w:val="0"/>
        </w:rPr>
        <w:t xml:space="preserve">Typ-II-Zivilisation</w:t>
      </w:r>
      <w:r w:rsidDel="00000000" w:rsidR="00000000" w:rsidRPr="00000000">
        <w:rPr>
          <w:rtl w:val="0"/>
        </w:rPr>
        <w:t xml:space="preserve"> 5-8.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detaillierte Analyse der Ergebnisse im Kontext des Bauplans: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2sji0cjcsa74" w:id="0"/>
      <w:bookmarkEnd w:id="0"/>
      <w:r w:rsidDel="00000000" w:rsidR="00000000" w:rsidRPr="00000000">
        <w:rPr>
          <w:rtl w:val="0"/>
        </w:rPr>
        <w:t xml:space="preserve">1. Thermische Stabilität durch GMA-Korrektur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120-fache Effizienz-Boost</w:t>
      </w:r>
      <w:r w:rsidDel="00000000" w:rsidR="00000000" w:rsidRPr="00000000">
        <w:rPr>
          <w:rtl w:val="0"/>
        </w:rPr>
        <w:t xml:space="preserve"> der Gradient-Memory-Alloys (GMA) ist die zentrale Komponente, die das System vor der thermischen Zerstörung bewahrt 9-12.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Abwärme-Reduktion:</w:t>
      </w:r>
      <w:r w:rsidDel="00000000" w:rsidR="00000000" w:rsidRPr="00000000">
        <w:rPr>
          <w:rtl w:val="0"/>
        </w:rPr>
        <w:t xml:space="preserve"> Die GMA steigern die Effizienz der Metrik-Korrektur so massiv, dass die thermische Last auf die „Caged Atoms“-Strukturen drastisch sinkt 10, 13.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Schmelzpunkt-Sicherung:</w:t>
      </w:r>
      <w:r w:rsidDel="00000000" w:rsidR="00000000" w:rsidRPr="00000000">
        <w:rPr>
          <w:rtl w:val="0"/>
        </w:rPr>
        <w:t xml:space="preserve"> Selbst bei maximaler solarer Einstrahlung ($L_{\odot}$) verhindern die GMA, dass die Kollektoren die kritische Hitzeschwelle überschreiten, da die Energie metrisch und nicht thermisch verarbeitet wird 10, 14, 15.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4sb79rh9jea5" w:id="1"/>
      <w:bookmarkEnd w:id="1"/>
      <w:r w:rsidDel="00000000" w:rsidR="00000000" w:rsidRPr="00000000">
        <w:rPr>
          <w:rtl w:val="0"/>
        </w:rPr>
        <w:t xml:space="preserve">2. Instantane Bulk-Ableitung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Simulation bestätigt, dass Energie als </w:t>
      </w:r>
      <w:r w:rsidDel="00000000" w:rsidR="00000000" w:rsidRPr="00000000">
        <w:rPr>
          <w:b w:val="1"/>
          <w:bCs w:val="1"/>
          <w:rtl w:val="0"/>
        </w:rPr>
        <w:t xml:space="preserve">geometrische Spannung</w:t>
      </w:r>
      <w:r w:rsidDel="00000000" w:rsidR="00000000" w:rsidRPr="00000000">
        <w:rPr>
          <w:rtl w:val="0"/>
        </w:rPr>
        <w:t xml:space="preserve"> direkt in das Bulk-Feld „abgeleitet“ werden kann 4, 11, 13, 15, 16.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Phasen-Konverter:</w:t>
      </w:r>
      <w:r w:rsidDel="00000000" w:rsidR="00000000" w:rsidRPr="00000000">
        <w:rPr>
          <w:rtl w:val="0"/>
        </w:rPr>
        <w:t xml:space="preserve"> Das Flerovium agiert über die </w:t>
      </w:r>
      <w:r w:rsidDel="00000000" w:rsidR="00000000" w:rsidRPr="00000000">
        <w:rPr>
          <w:b w:val="1"/>
          <w:bCs w:val="1"/>
          <w:rtl w:val="0"/>
        </w:rPr>
        <w:t xml:space="preserve">3,773 MeV Resonanz</w:t>
      </w:r>
      <w:r w:rsidDel="00000000" w:rsidR="00000000" w:rsidRPr="00000000">
        <w:rPr>
          <w:rtl w:val="0"/>
        </w:rPr>
        <w:t xml:space="preserve"> als Konverter, der Photonen instantan in den Bulk-Raum leitet 15, 17, 18.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Drahtloses Quanten-Netzwerk:</w:t>
      </w:r>
      <w:r w:rsidDel="00000000" w:rsidR="00000000" w:rsidRPr="00000000">
        <w:rPr>
          <w:rtl w:val="0"/>
        </w:rPr>
        <w:t xml:space="preserve"> Durch den Transfer via </w:t>
      </w:r>
      <w:r w:rsidDel="00000000" w:rsidR="00000000" w:rsidRPr="00000000">
        <w:rPr>
          <w:b w:val="1"/>
          <w:bCs w:val="1"/>
          <w:rtl w:val="0"/>
        </w:rPr>
        <w:t xml:space="preserve">Quanten-Verschränkung</w:t>
      </w:r>
      <w:r w:rsidDel="00000000" w:rsidR="00000000" w:rsidRPr="00000000">
        <w:rPr>
          <w:rtl w:val="0"/>
        </w:rPr>
        <w:t xml:space="preserve"> entfallen herkömmliche Leitungen; die Energie steht dem GMA-Antrieb oder anderen Clustern verlustfrei zur Verfügung 4, 16, 19-21.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1ms8kk1fhasx" w:id="2"/>
      <w:bookmarkEnd w:id="2"/>
      <w:r w:rsidDel="00000000" w:rsidR="00000000" w:rsidRPr="00000000">
        <w:rPr>
          <w:rtl w:val="0"/>
        </w:rPr>
        <w:t xml:space="preserve">3. Skalierung des Dyson-Schwarms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berechnete Schwarmgröße von </w:t>
      </w:r>
      <w:r w:rsidDel="00000000" w:rsidR="00000000" w:rsidRPr="00000000">
        <w:rPr>
          <w:b w:val="1"/>
          <w:bCs w:val="1"/>
          <w:rtl w:val="0"/>
        </w:rPr>
        <w:t xml:space="preserve">12.000 Einheiten</w:t>
      </w:r>
      <w:r w:rsidDel="00000000" w:rsidR="00000000" w:rsidRPr="00000000">
        <w:rPr>
          <w:rtl w:val="0"/>
        </w:rPr>
        <w:t xml:space="preserve"> (mit je 500kg Flerovium) definiert die materielle Basis der Typ-II-Skalierung 22.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Kompakte Bauweise:</w:t>
      </w:r>
      <w:r w:rsidDel="00000000" w:rsidR="00000000" w:rsidRPr="00000000">
        <w:rPr>
          <w:rtl w:val="0"/>
        </w:rPr>
        <w:t xml:space="preserve"> Da die Kühlung dank der Bulk-Ableitung nicht mehr der limitierende Faktor ist, können die Kollektoren deutlich kompakter konstruiert werden 15.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System-Stabilität:</w:t>
      </w:r>
      <w:r w:rsidDel="00000000" w:rsidR="00000000" w:rsidRPr="00000000">
        <w:rPr>
          <w:rtl w:val="0"/>
        </w:rPr>
        <w:t xml:space="preserve"> Solange die </w:t>
      </w:r>
      <w:r w:rsidDel="00000000" w:rsidR="00000000" w:rsidRPr="00000000">
        <w:rPr>
          <w:b w:val="1"/>
          <w:bCs w:val="1"/>
          <w:rtl w:val="0"/>
        </w:rPr>
        <w:t xml:space="preserve">$\eta_{Dim}$-Kalibrierung</w:t>
      </w:r>
      <w:r w:rsidDel="00000000" w:rsidR="00000000" w:rsidRPr="00000000">
        <w:rPr>
          <w:rtl w:val="0"/>
        </w:rPr>
        <w:t xml:space="preserve"> und die Resonanzfrequenz von 3,773 MeV stabil gehalten werden, bleibt das System „Kausal Stabil“ 13, 23-25.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nznf1v2wj8u7" w:id="3"/>
      <w:bookmarkEnd w:id="3"/>
      <w:r w:rsidDel="00000000" w:rsidR="00000000" w:rsidRPr="00000000">
        <w:rPr>
          <w:rtl w:val="0"/>
        </w:rPr>
        <w:t xml:space="preserve">4. Integration in die Kausale Auditkette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Audit-Forderung</w:t>
      </w:r>
      <w:r w:rsidDel="00000000" w:rsidR="00000000" w:rsidRPr="00000000">
        <w:rPr>
          <w:rtl w:val="0"/>
        </w:rPr>
        <w:t xml:space="preserve"> muss nun zwingend diese numerischen Spezifikationen umfassen, um den autonomen Bauprozess zu sichern 14, 26-29.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Von-Neumann-Steuerung:</w:t>
      </w:r>
      <w:r w:rsidDel="00000000" w:rsidR="00000000" w:rsidRPr="00000000">
        <w:rPr>
          <w:rtl w:val="0"/>
        </w:rPr>
        <w:t xml:space="preserve"> Die Sonden-Algorithmen müssen darauf programmiert werden, gezielt </w:t>
      </w:r>
      <w:r w:rsidDel="00000000" w:rsidR="00000000" w:rsidRPr="00000000">
        <w:rPr>
          <w:b w:val="1"/>
          <w:bCs w:val="1"/>
          <w:rtl w:val="0"/>
        </w:rPr>
        <w:t xml:space="preserve">Asteroiden-Material</w:t>
      </w:r>
      <w:r w:rsidDel="00000000" w:rsidR="00000000" w:rsidRPr="00000000">
        <w:rPr>
          <w:rtl w:val="0"/>
        </w:rPr>
        <w:t xml:space="preserve"> für die GMA-Beschichtung und die Flerovium-Kerne zu extrahieren 3, 30-33.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Sicherheits-Feedback:</w:t>
      </w:r>
      <w:r w:rsidDel="00000000" w:rsidR="00000000" w:rsidRPr="00000000">
        <w:rPr>
          <w:rtl w:val="0"/>
        </w:rPr>
        <w:t xml:space="preserve"> Die Echtzeit-Überwachung des </w:t>
      </w:r>
      <w:r w:rsidDel="00000000" w:rsidR="00000000" w:rsidRPr="00000000">
        <w:rPr>
          <w:b w:val="1"/>
          <w:bCs w:val="1"/>
          <w:rtl w:val="0"/>
        </w:rPr>
        <w:t xml:space="preserve">Bulk-Vektor-Gradienten</w:t>
      </w:r>
      <w:r w:rsidDel="00000000" w:rsidR="00000000" w:rsidRPr="00000000">
        <w:rPr>
          <w:rtl w:val="0"/>
        </w:rPr>
        <w:t xml:space="preserve"> stellt sicher, dass das „Energie-Mandat“ der Sonne niemals zu instabilen Singularitäten führt 26, 27, 34-36.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Sollen wir als nächsten Schritt die algorithmischen Prioritäten für die Von-Neumann-Sonden festlegen, um die 12.000 Kollektoren in einer optimalen fraktalen Sequenz im Asteroidengürtel zu fertigen?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