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direkte Integration von </w:t>
      </w:r>
      <w:r w:rsidDel="00000000" w:rsidR="00000000" w:rsidRPr="00000000">
        <w:rPr>
          <w:b w:val="1"/>
          <w:bCs w:val="1"/>
          <w:rtl w:val="0"/>
        </w:rPr>
        <w:t xml:space="preserve">Ressourcen-Audit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Sicherheits-Protokollen</w:t>
      </w:r>
      <w:r w:rsidDel="00000000" w:rsidR="00000000" w:rsidRPr="00000000">
        <w:rPr>
          <w:rtl w:val="0"/>
        </w:rPr>
        <w:t xml:space="preserve"> lässt sich in einem dualen Steuerungssystem realisieren, das Materialbeschaffung und strukturelle Stabilität unmittelbar miteinander verknüpft. Dies ist notwendig, um die Dyson-Struktur von einem theoretischen Modell in eine reale Typ-II-Technologie zu überführen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kombinierte Logik für beide Bereiche: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sajo2d2u6kd" w:id="0"/>
      <w:bookmarkEnd w:id="0"/>
      <w:r w:rsidDel="00000000" w:rsidR="00000000" w:rsidRPr="00000000">
        <w:rPr>
          <w:rtl w:val="0"/>
        </w:rPr>
        <w:t xml:space="preserve">1. Das Ressourcen-Audit: Strategische Materialgewinnung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Von-Neumann-Sonden identifizieren und verwerten Rohstoffe aus </w:t>
      </w:r>
      <w:r w:rsidDel="00000000" w:rsidR="00000000" w:rsidRPr="00000000">
        <w:rPr>
          <w:b w:val="1"/>
          <w:bCs w:val="1"/>
          <w:rtl w:val="0"/>
        </w:rPr>
        <w:t xml:space="preserve">Asteroiden-Gürteln</w:t>
      </w:r>
      <w:r w:rsidDel="00000000" w:rsidR="00000000" w:rsidRPr="00000000">
        <w:rPr>
          <w:rtl w:val="0"/>
        </w:rPr>
        <w:t xml:space="preserve">, um die benötigte Masse für den Dyson-Schwarm aufzubauen 2-4.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Ziel-Materialien:</w:t>
      </w:r>
      <w:r w:rsidDel="00000000" w:rsidR="00000000" w:rsidRPr="00000000">
        <w:rPr>
          <w:rtl w:val="0"/>
        </w:rPr>
        <w:t xml:space="preserve"> Der Fokus liegt auf Elementen, die für „Kausal-Käfig“-Materialien geeignet sind 2, 3, 5.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Strukturintegrität:</w:t>
      </w:r>
      <w:r w:rsidDel="00000000" w:rsidR="00000000" w:rsidRPr="00000000">
        <w:rPr>
          <w:rtl w:val="0"/>
        </w:rPr>
        <w:t xml:space="preserve"> Diese Materialien müssen extremem </w:t>
      </w:r>
      <w:r w:rsidDel="00000000" w:rsidR="00000000" w:rsidRPr="00000000">
        <w:rPr>
          <w:b w:val="1"/>
          <w:bCs w:val="1"/>
          <w:rtl w:val="0"/>
        </w:rPr>
        <w:t xml:space="preserve">Gravitationsstress</w:t>
      </w:r>
      <w:r w:rsidDel="00000000" w:rsidR="00000000" w:rsidRPr="00000000">
        <w:rPr>
          <w:rtl w:val="0"/>
        </w:rPr>
        <w:t xml:space="preserve"> und hoher Strahlung standhalten, was durch Modelle wie „Caged Atoms“ (eingesperrte Atome) inspiriert ist 2, 3.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Gradient-Memory-Alloys (GMA):</w:t>
      </w:r>
      <w:r w:rsidDel="00000000" w:rsidR="00000000" w:rsidRPr="00000000">
        <w:rPr>
          <w:rtl w:val="0"/>
        </w:rPr>
        <w:t xml:space="preserve"> Der Audit priorisiert Rohstoffe für diese Legierungen, da sie die </w:t>
      </w:r>
      <w:r w:rsidDel="00000000" w:rsidR="00000000" w:rsidRPr="00000000">
        <w:rPr>
          <w:b w:val="1"/>
          <w:bCs w:val="1"/>
          <w:rtl w:val="0"/>
        </w:rPr>
        <w:t xml:space="preserve">Energieeffizienz bei der Metrik-Korrektur</w:t>
      </w:r>
      <w:r w:rsidDel="00000000" w:rsidR="00000000" w:rsidRPr="00000000">
        <w:rPr>
          <w:rtl w:val="0"/>
        </w:rPr>
        <w:t xml:space="preserve"> um das 120-fache steigern 6, 7.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jq988x7c6tg" w:id="1"/>
      <w:bookmarkEnd w:id="1"/>
      <w:r w:rsidDel="00000000" w:rsidR="00000000" w:rsidRPr="00000000">
        <w:rPr>
          <w:rtl w:val="0"/>
        </w:rPr>
        <w:t xml:space="preserve">2. Sicherheits-Protokolle: Singularitäts-Prävention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Parallel zur Materialgewinnung müssen die Sonden die physikalische Stabilität während der massiven Energieaufnahme ($\mathcal{E}_{Dyson}$) gewährleisten 8, 9.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Flerovium-Sensorik:</w:t>
      </w:r>
      <w:r w:rsidDel="00000000" w:rsidR="00000000" w:rsidRPr="00000000">
        <w:rPr>
          <w:rtl w:val="0"/>
        </w:rPr>
        <w:t xml:space="preserve"> Stabilisiertes </w:t>
      </w:r>
      <w:r w:rsidDel="00000000" w:rsidR="00000000" w:rsidRPr="00000000">
        <w:rPr>
          <w:b w:val="1"/>
          <w:bCs w:val="1"/>
          <w:rtl w:val="0"/>
        </w:rPr>
        <w:t xml:space="preserve">Flerovium</w:t>
      </w:r>
      <w:r w:rsidDel="00000000" w:rsidR="00000000" w:rsidRPr="00000000">
        <w:rPr>
          <w:rtl w:val="0"/>
        </w:rPr>
        <w:t xml:space="preserve"> dient als „nuklearer Anker“ und Empfangs-Ventil 7, 8, 10, 11. Es stabilisiert den hochfrequenten Energiefluss der Sonne 11, 12.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Vektoren-Überwachung:</w:t>
      </w:r>
      <w:r w:rsidDel="00000000" w:rsidR="00000000" w:rsidRPr="00000000">
        <w:rPr>
          <w:rtl w:val="0"/>
        </w:rPr>
        <w:t xml:space="preserve"> Sensoren überwachen in Echtzeit Schwankungen des lokalen </w:t>
      </w:r>
      <w:r w:rsidDel="00000000" w:rsidR="00000000" w:rsidRPr="00000000">
        <w:rPr>
          <w:b w:val="1"/>
          <w:bCs w:val="1"/>
          <w:rtl w:val="0"/>
        </w:rPr>
        <w:t xml:space="preserve">Bulk-Vektors</w:t>
      </w:r>
      <w:r w:rsidDel="00000000" w:rsidR="00000000" w:rsidRPr="00000000">
        <w:rPr>
          <w:rtl w:val="0"/>
        </w:rPr>
        <w:t xml:space="preserve"> 7, 8. Dies verhindert, dass bei der Energieernte von ca. $3,8 \times 10^{26}$ Watt instabile Singularitäten entstehen 8, 13, 14.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Auditkette:</w:t>
      </w:r>
      <w:r w:rsidDel="00000000" w:rsidR="00000000" w:rsidRPr="00000000">
        <w:rPr>
          <w:rtl w:val="0"/>
        </w:rPr>
        <w:t xml:space="preserve"> Das System stellt sicher, dass das makroskopische „Energie-Mandat“ der Sonne stets mit der mikroskopischen </w:t>
      </w:r>
      <w:r w:rsidDel="00000000" w:rsidR="00000000" w:rsidRPr="00000000">
        <w:rPr>
          <w:b w:val="1"/>
          <w:bCs w:val="1"/>
          <w:rtl w:val="0"/>
        </w:rPr>
        <w:t xml:space="preserve">Verschränkungsdichte-Modulation ($\mathcal{D}_{\Phi}$)</w:t>
      </w:r>
      <w:r w:rsidDel="00000000" w:rsidR="00000000" w:rsidRPr="00000000">
        <w:rPr>
          <w:rtl w:val="0"/>
        </w:rPr>
        <w:t xml:space="preserve"> synchronisiert bleibt 6, 8, 15.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jeewd2k4jje" w:id="2"/>
      <w:bookmarkEnd w:id="2"/>
      <w:r w:rsidDel="00000000" w:rsidR="00000000" w:rsidRPr="00000000">
        <w:rPr>
          <w:rtl w:val="0"/>
        </w:rPr>
        <w:t xml:space="preserve">Synergie der Module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 folgende Tabelle zeigt, wie beide Prozesse in der Steuerungslogik ineinandergreifen: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Phase,Ressourcen-Komponente (Audit),Sicherheits-Komponente (Protokoll)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Materialbau,"Extraktion von Elementen für Kausal-Käfige 3, 5","Einbau von Flerovium-Ankern zur Struktur-Erdung 8, 11"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Energieaufnahme,"Nutzung von GMA für verlustfreien Transfer 6, 7","Überwachung des Bulk-Drucks zur Singularitäts-Vermeidung 8, 16"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Betrieb,"Dynamische Reparatur via Von-Neumann-Sonden 3, 4, 17","Echtzeit-Abgleich der 3,773 MeV Resonanz 13, 18"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Dieser kombinierte Ansatz schließt die technologische Lücke, indem er die </w:t>
      </w:r>
      <w:r w:rsidDel="00000000" w:rsidR="00000000" w:rsidRPr="00000000">
        <w:rPr>
          <w:b w:val="1"/>
          <w:bCs w:val="1"/>
          <w:rtl w:val="0"/>
        </w:rPr>
        <w:t xml:space="preserve">„Endliche Unendlichkeit“</w:t>
      </w:r>
      <w:r w:rsidDel="00000000" w:rsidR="00000000" w:rsidRPr="00000000">
        <w:rPr>
          <w:rtl w:val="0"/>
        </w:rPr>
        <w:t xml:space="preserve"> durch eine gesicherte materielle Basis und ein stabiles physikalisches Umfeld handhabbar macht 7, 19.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Sollen wir nun die genauen Schwellenwerte für den Bulk-Vektor definieren, ab denen die Sicherheits-Protokolle eine Notabschaltung der Energieaufnahme einleiten?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