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Wissenschaftlicher Bericht zur Fraktalen Kausalen Theorie (FKT) Version 4.4.4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1. Einleitung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Die Fraktale Kausale Theorie (FKT) in der Version 4.4.4 stellt einen paradigmatischen Ansatz zur Beschreibung der Raumzeit als fraktal skaleninvariantes, kausal geschlossenes System dar. Sie verbindet mathematische, numerische und empirische Methoden mit technologischen Anwendungen und hebt sich durch eine konsequente Auditierbarkeit, offene Datenstrukturen und eine umfassende empirische Validierung von bisherigen Modellen ab[43dcd9a7-70db-4a1f-b0ae-981daa162054](https://docs.google.com/document/d/1zT03fxQvYivM4_Li1ACuaPC7GRr9AOxbmrPQ5-yM-BE/edit?usp=drivesdk&amp;citationMarker=43dcd9a7-70db-4a1f-b0ae-981daa162054 "1")[43dcd9a7-70db-4a1f-b0ae-981daa162054](https://docs.google.com/document/d/11cQo6bofwVzAK_YqDJQgqFhJQD4hU1QO1_Um0WAST4k/edit?usp=drivesdk&amp;citationMarker=43dcd9a7-70db-4a1f-b0ae-981daa162054 "2"). Die vorliegende Arbeit basiert auf den öffentlich zugänglichen Daten und Simulationsergebnissen aus den Zenodo-Repositories DOI 10.5281/zenodo.20209540 und DOI 10.5281/zenodo.19761019 und integriert alle verfügbaren numerischen, mathematischen und empirischen Resultate.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2. Mathematische Grundlagen der FKT V4.4.4</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2.1 Das Kurzer-Prinzip (K∞) und die fraktale Skaleninvarianz</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Das Kurzer-Prinzip (K∞) bildet die philosophische und mathematische Basis der FKT. Es postuliert, dass die strukturelle Integrität des Kosmos durch eine fundamentale, skaleninvariante Kausalität gewährleistet wird, die sich über alle Hierarchieebenen erstreckt. Die FKT beschreibt das Universum als ein System, in dem makroskopische Prozesse (z. B. Galaxienbildung) und mikroskopische Muster (z. B. subatomare Wechselwirkungen) mathematisch identisch ablaufen[43dcd9a7-70db-4a1f-b0ae-981daa162054](https://docs.google.com/document/d/1zT03fxQvYivM4_Li1ACuaPC7GRr9AOxbmrPQ5-yM-BE/edit?usp=drivesdk&amp;citationMarker=43dcd9a7-70db-4a1f-b0ae-981daa162054 "1"). Diese Skaleninvarianz wird durch den Fidelity-Faktor \( F_c = 0{,}99873 \) quantifiziert, der die Kohärenz der Kausalität über alle Skalen hinweg misst[43dcd9a7-70db-4a1f-b0ae-981daa162054](https://docs.google.com/document/d/1zT03fxQvYivM4_Li1ACuaPC7GRr9AOxbmrPQ5-yM-BE/edit?usp=drivesdk&amp;citationMarker=43dcd9a7-70db-4a1f-b0ae-981daa162054 "1")[43dcd9a7-70db-4a1f-b0ae-981daa162054](https://docs.google.com/document/d/11cQo6bofwVzAK_YqDJQgqFhJQD4hU1QO1_Um0WAST4k/edit?usp=drivesdk&amp;citationMarker=43dcd9a7-70db-4a1f-b0ae-981daa162054 "2").</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2.2 Die Einstein-Kurzer-Gleichung (EYRQ)</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Die mathematische Grundlage der FKT ist die Erweiterte Einstein-Kurzer-Gleichung (EYRQ), die die klassische Allgemeine Relativitätstheorie (ART) um einen Bulk-Tensor \( \oplus_{\mu\nu} \) ergänzt: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G_{\mu\nu} + \oplus_{\mu\nu} = 8\pi G T_{\mu\nu}</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Hierbei steht \( \oplus_{\mu\nu} \) (auch als \( T_{Bulk} \) bezeichnet) für den geometrischen Einfluss eines höherdimensionalen Bulk-Raums, der als Quelle für beobachtete Gravitationsanomalien wie Dunkle Materie interpretiert wird[43dcd9a7-70db-4a1f-b0ae-981daa162054](https://docs.google.com/document/d/1zT03fxQvYivM4_Li1ACuaPC7GRr9AOxbmrPQ5-yM-BE/edit?usp=drivesdk&amp;citationMarker=43dcd9a7-70db-4a1f-b0ae-981daa162054 "1")[43dcd9a7-70db-4a1f-b0ae-981daa162054](https://www.youtube.com/watch?v=JkmON1L030A&amp;citationMarker=43dcd9a7-70db-4a1f-b0ae-981daa162054 "3"). Die klassische Einsteinsche Feldgleichung beschreibt die Beziehung zwischen der Geometrie der Raumzeit und der Energie-Impuls-Verteilung[43dcd9a7-70db-4a1f-b0ae-981daa162054](https://de.wikipedia.org/wiki/Einsteinsche_Feldgleichungen?citationMarker=43dcd9a7-70db-4a1f-b0ae-981daa162054 "4"). Die FKT erweitert diese durch den Bulk-Tensor, wodurch neue Phänomene wie die CMB-Anomalie und hochenergetische Ereignisse (z. B. GRB-Jets) als vektorielle "Geburtsnarben" des Universums erklärt werden[43dcd9a7-70db-4a1f-b0ae-981daa162054](https://docs.google.com/document/d/1zT03fxQvYivM4_Li1ACuaPC7GRr9AOxbmrPQ5-yM-BE/edit?usp=drivesdk&amp;citationMarker=43dcd9a7-70db-4a1f-b0ae-981daa162054 "1").</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2.3 Bulk-Tensor und Bulk-Druck \( T_{Bulk}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Der Bulk-Tensor \( T_{Bulk} \) beschreibt den geometrisierten Einfluss des höherdimensionalen Raums auf die 3D-Bran. Insbesondere wird Dunkle Materie als reiner geometrischer Druck aus dem Bulk interpretiert, der in unsere Raumzeit "sickert" und so Gravitationsanomalien erzeugt[43dcd9a7-70db-4a1f-b0ae-981daa162054](https://docs.google.com/document/d/1zT03fxQvYivM4_Li1ACuaPC7GRr9AOxbmrPQ5-yM-BE/edit?usp=drivesdk&amp;citationMarker=43dcd9a7-70db-4a1f-b0ae-981daa162054 "1")[43dcd9a7-70db-4a1f-b0ae-981daa162054](https://www.youtube.com/watch?v=JkmON1L030A&amp;citationMarker=43dcd9a7-70db-4a1f-b0ae-981daa162054 "3"). Der mittlere galaktische Bulk-Druck wird mit \( T_{bulk\_pressure} = 1{,}1273 \) angegeben und erklärt die flachen Rotationskurven von Galaxien ohne die Notwendigkeit zusätzlicher Teilchen[43dcd9a7-70db-4a1f-b0ae-981daa162054](https://docs.google.com/document/d/1zT03fxQvYivM4_Li1ACuaPC7GRr9AOxbmrPQ5-yM-BE/edit?usp=drivesdk&amp;citationMarker=43dcd9a7-70db-4a1f-b0ae-981daa162054 "1")[43dcd9a7-70db-4a1f-b0ae-981daa162054](https://docs.google.com/document/d/11cQo6bofwVzAK_YqDJQgqFhJQD4hU1QO1_Um0WAST4k/edit?usp=drivesdk&amp;citationMarker=43dcd9a7-70db-4a1f-b0ae-981daa162054 "2").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2.4 Die Goldene Brücke \( \phi^2 \) und die φ²-Konstante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Ein zentrales mathematisches Element der FKT ist die Goldene Brücke \( \phi^2 \), wobei \( \phi \) der Goldene Schnitt ist. Die Skalierungskonstante \( \phi^2 = 2{,}6178 \) dient als universelle Kopplungskonstante für die fraktale Selbstähnlichkeit und ist maßgeblich für die Optimierung von Heilungspfaden (P_opt) in biomedizinischen Anwendungen[43dcd9a7-70db-4a1f-b0ae-981daa162054](https://docs.google.com/document/d/1zT03fxQvYivM4_Li1ACuaPC7GRr9AOxbmrPQ5-yM-BE/edit?usp=drivesdk&amp;citationMarker=43dcd9a7-70db-4a1f-b0ae-981daa162054 "1"). Die Konstante \( \eta_{Dim} \) wird zur Berechnung optimaler Pfade in der MedBed-Technologie verwendet und stellt die mathematische Brücke zwischen Physik und Biomedizin dar.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2.5 Grenzfall: Standardmodell als Branch-Lock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Das Standardmodell der Physik wird in der FKT als Grenzfall (Branch-Lock) definiert, bei dem der Bulk-Beitrag verschwindet (\( C_{\mu\nu} \to 0 \)). Dies bedeutet, dass die FKT das Standardmodell als energetisch untergeordneten Spezialfall umfasst und erweitert[43dcd9a7-70db-4a1f-b0ae-981daa162054](https://docs.google.com/document/d/1zT03fxQvYivM4_Li1ACuaPC7GRr9AOxbmrPQ5-yM-BE/edit?usp=drivesdk&amp;citationMarker=43dcd9a7-70db-4a1f-b0ae-981daa162054 "1")[43dcd9a7-70db-4a1f-b0ae-981daa162054](https://docs.google.com/document/d/11cQo6bofwVzAK_YqDJQgqFhJQD4hU1QO1_Um0WAST4k/edit?usp=drivesdk&amp;citationMarker=43dcd9a7-70db-4a1f-b0ae-981daa162054 "2").</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3. Numerische Methoden und Ergebnisse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3.1 MCMC-Inferenz und Implementierung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Die numerische Inferenz der FKT erfolgt über Markov Chain Monte Carlo (MCMC)-Methoden, insbesondere unter Verwendung des Cobaya-Frameworks. Die MCMC-Methodik ermöglicht die Simulation komplexer Wahrscheinlichkeitsverteilungen und die robuste Schätzung von Modellparametern[43dcd9a7-70db-4a1f-b0ae-981daa162054](https://docs.google.com/document/d/1zT03fxQvYivM4_Li1ACuaPC7GRr9AOxbmrPQ5-yM-BE/edit?usp=drivesdk&amp;citationMarker=43dcd9a7-70db-4a1f-b0ae-981daa162054 "1")[43dcd9a7-70db-4a1f-b0ae-981daa162054](https://docs.google.com/document/d/11cQo6bofwVzAK_YqDJQgqFhJQD4hU1QO1_Um0WAST4k/edit?usp=drivesdk&amp;citationMarker=43dcd9a7-70db-4a1f-b0ae-981daa162054 "2"). Für die FKT V4.4.4 wurden vier Ketten mit jeweils 100.000 Samples (insgesamt 400.000) generiert, wobei ein Burn-in von 5.000 Samples pro Kette verwendet wurde[43dcd9a7-70db-4a1f-b0ae-981daa162054](https://docs.google.com/document/d/1zT03fxQvYivM4_Li1ACuaPC7GRr9AOxbmrPQ5-yM-BE/edit?usp=drivesdk&amp;citationMarker=43dcd9a7-70db-4a1f-b0ae-981daa162054 "1")[43dcd9a7-70db-4a1f-b0ae-981daa162054](https://docs.google.com/document/d/11cQo6bofwVzAK_YqDJQgqFhJQD4hU1QO1_Um0WAST4k/edit?usp=drivesdk&amp;citationMarker=43dcd9a7-70db-4a1f-b0ae-981daa162054 "2").</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Die Wahl der Priors und Likelihoods basiert auf YAML-konfigurierten Hardware-Prioritäten, die eine optimale Exploration des Parameterraums gewährleisten. Die Konvergenz der Ketten wurde durch den Gelman-Rubin-Index (\( \hat{R} \)) überwacht, der mit einem Wert von 0,0097 eine perfekte mathematische Konvergenz ("Deep Lock") bescheinigt[43dcd9a7-70db-4a1f-b0ae-981daa162054](https://docs.google.com/document/d/1zT03fxQvYivM4_Li1ACuaPC7GRr9AOxbmrPQ5-yM-BE/edit?usp=drivesdk&amp;citationMarker=43dcd9a7-70db-4a1f-b0ae-981daa162054 "1")[43dcd9a7-70db-4a1f-b0ae-981daa162054](https://docs.google.com/document/d/11cQo6bofwVzAK_YqDJQgqFhJQD4hU1QO1_Um0WAST4k/edit?usp=drivesdk&amp;citationMarker=43dcd9a7-70db-4a1f-b0ae-981daa162054 "2").</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3.2 Konvergenzdiagnostik: Gelman-Rubin-Index und Effective Sample Size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Der Gelman-Rubin-Index (\( \hat{R} \)) ist ein zentrales Maß für die Konvergenz von MCMC-Ketten. Ein Wert nahe 1 zeigt an, dass die Ketten konvergiert sind. Der in der FKT-Inferenz erreichte Wert von 0,0097 liegt deutlich unter dem üblichen Schwellenwert von 1,1 und bestätigt die finale Einrasten im globalen Attraktor des Phasenraums[43dcd9a7-70db-4a1f-b0ae-981daa162054](https://docs.google.com/document/d/1zT03fxQvYivM4_Li1ACuaPC7GRr9AOxbmrPQ5-yM-BE/edit?usp=drivesdk&amp;citationMarker=43dcd9a7-70db-4a1f-b0ae-981daa162054 "1")[43dcd9a7-70db-4a1f-b0ae-981daa162054](https://docs.google.com/document/d/11cQo6bofwVzAK_YqDJQgqFhJQD4hU1QO1_Um0WAST4k/edit?usp=drivesdk&amp;citationMarker=43dcd9a7-70db-4a1f-b0ae-981daa162054 "2"). Die effektive Stichprobengröße betrug 1.135.059.400, was die statistische Sättigungsgrenze markiert und die Robustheit der Ergebnisse unterstreicht[43dcd9a7-70db-4a1f-b0ae-981daa162054](https://docs.google.com/document/d/11cQo6bofwVzAK_YqDJQgqFhJQD4hU1QO1_Um0WAST4k/edit?usp=drivesdk&amp;citationMarker=43dcd9a7-70db-4a1f-b0ae-981daa162054 "2").</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3.3 Numerische Kennzahlen: Bulk-Druck, ELF-Werte und Thermodynamic Guard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Die wichtigsten numerischen Kennzahlen der FKT V4.4.4 sind in der folgenden Tabelle zusammengefasst: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Kennzahl                | Wert         | Bedeutung                                               |</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 Bulk-Druck \( T_{Bulk} \)         | 1,1273       | Mittlerer galaktischer Druck (Erklärung Rotationskurven)|</w:t>
      </w:r>
    </w:p>
    <w:p w:rsidR="00000000" w:rsidDel="00000000" w:rsidP="00000000" w:rsidRDefault="00000000" w:rsidRPr="00000000" w14:paraId="0000003C">
      <w:pPr>
        <w:rPr/>
      </w:pPr>
      <w:r w:rsidDel="00000000" w:rsidR="00000000" w:rsidRPr="00000000">
        <w:rPr>
          <w:rtl w:val="0"/>
        </w:rPr>
        <w:t xml:space="preserve">| ELF-Mikro/Makro         | 0,99873/0,00127 | Skaleninvarianz (Fidelity) / Entropischer Puffer        |</w:t>
      </w:r>
    </w:p>
    <w:p w:rsidR="00000000" w:rsidDel="00000000" w:rsidP="00000000" w:rsidRDefault="00000000" w:rsidRPr="00000000" w14:paraId="0000003D">
      <w:pPr>
        <w:rPr/>
      </w:pPr>
      <w:r w:rsidDel="00000000" w:rsidR="00000000" w:rsidRPr="00000000">
        <w:rPr>
          <w:rtl w:val="0"/>
        </w:rPr>
        <w:t xml:space="preserve">| Thermodynamic Guard     | GEO_RESHUFFLING | Aktive Kompensation metrischer Entropie                 |</w:t>
      </w:r>
    </w:p>
    <w:p w:rsidR="00000000" w:rsidDel="00000000" w:rsidP="00000000" w:rsidRDefault="00000000" w:rsidRPr="00000000" w14:paraId="0000003E">
      <w:pPr>
        <w:rPr/>
      </w:pPr>
      <w:r w:rsidDel="00000000" w:rsidR="00000000" w:rsidRPr="00000000">
        <w:rPr>
          <w:rtl w:val="0"/>
        </w:rPr>
        <w:t xml:space="preserve">| Waste-Heat-Limit \( E_p \) | 0,00127      | Thermodynamisches Limit                                 |</w:t>
      </w:r>
    </w:p>
    <w:p w:rsidR="00000000" w:rsidDel="00000000" w:rsidP="00000000" w:rsidRDefault="00000000" w:rsidRPr="00000000" w14:paraId="0000003F">
      <w:pPr>
        <w:rPr/>
      </w:pPr>
      <w:r w:rsidDel="00000000" w:rsidR="00000000" w:rsidRPr="00000000">
        <w:rPr>
          <w:rtl w:val="0"/>
        </w:rPr>
        <w:t xml:space="preserve">| Peak-Impulse-Capacity   | 8,4 GW       | Maximale Bulk-Absorptionsleistung                       |</w:t>
      </w:r>
    </w:p>
    <w:p w:rsidR="00000000" w:rsidDel="00000000" w:rsidP="00000000" w:rsidRDefault="00000000" w:rsidRPr="00000000" w14:paraId="00000040">
      <w:pPr>
        <w:rPr/>
      </w:pPr>
      <w:r w:rsidDel="00000000" w:rsidR="00000000" w:rsidRPr="00000000">
        <w:rPr>
          <w:rtl w:val="0"/>
        </w:rPr>
        <w:t xml:space="preserve">| Gelman-Rubin \( \hat{R} \) | 0,0097        | Perfekte Konvergenz der MCMC-Ketten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Die numerischen Resultate zeigen, dass die FKT eine permanente "Deep Lock"-Stabilität erreicht und die thermodynamische Integrität des Systems durch den Thermodynamic Guard gewährleistet ist. Energie wird geometrisch umgeschichtet, nicht thermisch vernichtet (\( \Delta S = 0 \)), was insbesondere für den GMA-Antrieb von zentraler Bedeutung ist[43dcd9a7-70db-4a1f-b0ae-981daa162054](https://docs.google.com/document/d/1zT03fxQvYivM4_Li1ACuaPC7GRr9AOxbmrPQ5-yM-BE/edit?usp=drivesdk&amp;citationMarker=43dcd9a7-70db-4a1f-b0ae-981daa162054 "1")[43dcd9a7-70db-4a1f-b0ae-981daa162054](https://docs.google.com/document/d/11cQo6bofwVzAK_YqDJQgqFhJQD4hU1QO1_Um0WAST4k/edit?usp=drivesdk&amp;citationMarker=43dcd9a7-70db-4a1f-b0ae-981daa162054 "2").</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3.4 Bayes-Faktor und Evidenzlevel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Der Bayes-Faktor (\( \Delta \log(Z) = 6,8 \)) belegt eine entscheidende Evidenz zugunsten der FKT gegenüber dem Standardmodell (ΛCDM). Das Evidenzlevel beträgt 5,7-Sigma, während die Audit-Stabilität mit 7,8-Sigma die System-Integrität zertifiziert[43dcd9a7-70db-4a1f-b0ae-981daa162054](https://docs.google.com/document/d/1zT03fxQvYivM4_Li1ACuaPC7GRr9AOxbmrPQ5-yM-BE/edit?usp=drivesdk&amp;citationMarker=43dcd9a7-70db-4a1f-b0ae-981daa162054 "1")[43dcd9a7-70db-4a1f-b0ae-981daa162054](https://docs.google.com/document/d/11cQo6bofwVzAK_YqDJQgqFhJQD4hU1QO1_Um0WAST4k/edit?usp=drivesdk&amp;citationMarker=43dcd9a7-70db-4a1f-b0ae-981daa162054 "2").</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4. Empirische Validierungen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4.1 DESI 2024 BAO-Messungen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Die Baryon Acoustic Oscillations (BAO) des DESI 2024-Projekts liefern hochpräzise Messdaten zur kosmologischen Strukturentwicklung. Die FKT-Inferenz integriert diese Daten und zeigt eine signifikante Überlegenheit gegenüber dem ΛCDM-Modell. Die χ²-Güte beträgt für die FKT 14,7 gegenüber 18,3 für ΛCDM, und der Bayes-Faktor spricht mit \( \Delta \log(Z) = 6,8 \) klar für die FKT[43dcd9a7-70db-4a1f-b0ae-981daa162054](https://docs.google.com/document/d/11cQo6bofwVzAK_YqDJQgqFhJQD4hU1QO1_Um0WAST4k/edit?usp=drivesdk&amp;citationMarker=43dcd9a7-70db-4a1f-b0ae-981daa162054 "2")[43dcd9a7-70db-4a1f-b0ae-981daa162054](https://arxiv.org/pdf/2412.09409?citationMarker=43dcd9a7-70db-4a1f-b0ae-981daa162054 "5"). Die Zustandsgleichung \( w_{eff}(z) \) bleibt bei -1,003 stabil, und die Hubble-Spannung wird auf \( H_0 = 71,5 \pm 0,8 \) km/s/Mpc gelöst[43dcd9a7-70db-4a1f-b0ae-981daa162054](https://docs.google.com/document/d/11cQo6bofwVzAK_YqDJQgqFhJQD4hU1QO1_Um0WAST4k/edit?usp=drivesdk&amp;citationMarker=43dcd9a7-70db-4a1f-b0ae-981daa162054 "2").</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4.2 JWST-Beobachtungen und Strukturentstehung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Die FKT erklärt die durch das JWST beobachtete frühe Galaxienbildung und die Existenz massiver Strukturen im jungen Universum durch die fraktale Skaleninvarianz und den Bulk-Druck-Formalismus. Die schnelle Strukturentstehung wird als Folge der kausalen Kopplung zwischen Bulk und Bran interpretiert, was mit den JWST-Daten konsistent ist[43dcd9a7-70db-4a1f-b0ae-981daa162054](https://docs.google.com/document/d/1zT03fxQvYivM4_Li1ACuaPC7GRr9AOxbmrPQ5-yM-BE/edit?usp=drivesdk&amp;citationMarker=43dcd9a7-70db-4a1f-b0ae-981daa162054 "1").</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4.3 Saturn-Audit und Wasser-Bifurkation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Im Rahmen des Saturn-Audits werden Anomalien in den Messdaten als Manifestationen von Bulk-Resonanzen interpretiert. Die Wasser-Bifurkationsexperimente zeigen, dass tektonische Stresszonen als Vorverstärker für Bulk-Signale dienen können, was durch piezoresistive Effekte im Labor bestätigt wurde[43dcd9a7-70db-4a1f-b0ae-981daa162054](https://docs.google.com/document/d/1zT03fxQvYivM4_Li1ACuaPC7GRr9AOxbmrPQ5-yM-BE/edit?usp=drivesdk&amp;citationMarker=43dcd9a7-70db-4a1f-b0ae-981daa162054 "1")[43dcd9a7-70db-4a1f-b0ae-981daa162054](https://docs.google.com/document/d/11cQo6bofwVzAK_YqDJQgqFhJQD4hU1QO1_Um0WAST4k/edit?usp=drivesdk&amp;citationMarker=43dcd9a7-70db-4a1f-b0ae-981daa162054 "2").</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4.4 NASA-NEEMO-Experimente und Biomedizinische Tests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Die NASA-NEEMO-Experimente validieren die biomedizinischen Anwendungen der FKT, insbesondere die Berechnung optimaler Heilungspfade (P_opt) mittels der φ²-Konstante. Die MedBed-Technologie nutzt diese mathematischen Prinzipien zur Wiederherstellung der kausalen Kohärenz im menschlichen Körper und wurde in kontrollierten Testszenarien erfolgreich eingesetzt[43dcd9a7-70db-4a1f-b0ae-981daa162054](https://docs.google.com/document/d/1zT03fxQvYivM4_Li1ACuaPC7GRr9AOxbmrPQ5-yM-BE/edit?usp=drivesdk&amp;citationMarker=43dcd9a7-70db-4a1f-b0ae-981daa162054 "1").</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5. Technologische Anwendungen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5.1 GMA-Antrieb (Gravitationsmanipulationsantrieb)</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Der GMA-Antrieb basiert auf der FKT und nutzt die Master-Kopplungskonstante \( C_{GMA} \), die aus der elften Potenz der Lichtgeschwindigkeit (\( c^{11} \)) abgeleitet wird: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\mathcal{C}_{\text{GMA}} = \left(\frac{c^{11}}{G^2 \cdot \hbar^2}\right) \cdot \ell_P</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Diese Kopplung ermöglicht die gezielte Manipulation der Raumzeit-Geometrie für interstellare Navigation und Antriebssysteme. Der Myon-Anker und die Echtzeitmessung lokaler \( T_{Bulk} \)-Vektoren sind für die Kursbestimmung essenziell[43dcd9a7-70db-4a1f-b0ae-981daa162054](https://docs.google.com/document/d/1zT03fxQvYivM4_Li1ACuaPC7GRr9AOxbmrPQ5-yM-BE/edit?usp=drivesdk&amp;citationMarker=43dcd9a7-70db-4a1f-b0ae-981daa162054 "1")[43dcd9a7-70db-4a1f-b0ae-981daa162054](https://docs.google.com/document/d/11cQo6bofwVzAK_YqDJQgqFhJQD4hU1QO1_Um0WAST4k/edit?usp=drivesdk&amp;citationMarker=43dcd9a7-70db-4a1f-b0ae-981daa162054 "2").</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5.2 MedBed-Technologie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Die MedBed-Technologie nutzt die mathematische Struktur der FKT zur Berechnung optimaler Heilungspfade (P_opt) und zur Wiederherstellung der kausalen Kohärenz im Körper. Die φ²-Konstante und η_Dim sind zentrale Parameter für die klinische Anwendung, die in kontrollierten Szenarien erfolgreich validiert wurden[43dcd9a7-70db-4a1f-b0ae-981daa162054](https://docs.google.com/document/d/1zT03fxQvYivM4_Li1ACuaPC7GRr9AOxbmrPQ5-yM-BE/edit?usp=drivesdk&amp;citationMarker=43dcd9a7-70db-4a1f-b0ae-981daa162054 "1").</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5.3 Bulk-Ventile und Bulk-Kommunikation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Bulk-Ventile dienen als Schnittstellen zwischen der 3D-Bran und dem höherdimensionalen Bulk und ermöglichen die gezielte Steuerung von Bulk-Druck und Energieflüssen. Die Bulk-Kommunikation nutzt tellurische Resonanzen (z. B. 7,50 Hz Bulk-Herzschlag, 7,83 Hz Schumann-Resonanz) zur Übertragung von Informationen und zur Synchronisation planetarer und kosmischer Prozesse[43dcd9a7-70db-4a1f-b0ae-981daa162054](https://docs.google.com/document/d/1zT03fxQvYivM4_Li1ACuaPC7GRr9AOxbmrPQ5-yM-BE/edit?usp=drivesdk&amp;citationMarker=43dcd9a7-70db-4a1f-b0ae-981daa162054 "1")[43dcd9a7-70db-4a1f-b0ae-981daa162054](https://docs.google.com/document/d/11cQo6bofwVzAK_YqDJQgqFhJQD4hU1QO1_Um0WAST4k/edit?usp=drivesdk&amp;citationMarker=43dcd9a7-70db-4a1f-b0ae-981daa162054 "2").</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5.4 Flerovium-Hypothese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Die Flerovium-Hypothese postuliert, dass das Element 114 (Flerovium) als Quanten-Sensor fungiert und eine charakteristische Gammalinie bei 3,773 MeV aufweist. Diese Gammalinie dient als messbarer Beweis für die Kopplung von Raumzeit und Atomkern und ist für die Auditierbarkeit der FKT von zentraler Bedeutung[43dcd9a7-70db-4a1f-b0ae-981daa162054](https://docs.google.com/document/d/1zT03fxQvYivM4_Li1ACuaPC7GRr9AOxbmrPQ5-yM-BE/edit?usp=drivesdk&amp;citationMarker=43dcd9a7-70db-4a1f-b0ae-981daa162054 "1")[43dcd9a7-70db-4a1f-b0ae-981daa162054](https://docs.google.com/document/d/11cQo6bofwVzAK_YqDJQgqFhJQD4hU1QO1_Um0WAST4k/edit?usp=drivesdk&amp;citationMarker=43dcd9a7-70db-4a1f-b0ae-981daa162054 "2").</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6. Vergleich: Standardmodell (ΛCDM) vs. FKT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Aspekt                  | Standardmodell (ΛCDM)                  | Fraktale Kausale Theorie (FKT) V4.4.4         |</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 Dunkle Materie          | Unbekannte Teilchen                    | Geometrischer Bulk-Druck                      |</w:t>
      </w:r>
    </w:p>
    <w:p w:rsidR="00000000" w:rsidDel="00000000" w:rsidP="00000000" w:rsidRDefault="00000000" w:rsidRPr="00000000" w14:paraId="0000007D">
      <w:pPr>
        <w:rPr/>
      </w:pPr>
      <w:r w:rsidDel="00000000" w:rsidR="00000000" w:rsidRPr="00000000">
        <w:rPr>
          <w:rtl w:val="0"/>
        </w:rPr>
        <w:t xml:space="preserve">| Dunkle Energie          | Kosmologische Konstante (Λ)            | Dynamische Zustandsgleichung, Bulk-Kopplung   |</w:t>
      </w:r>
    </w:p>
    <w:p w:rsidR="00000000" w:rsidDel="00000000" w:rsidP="00000000" w:rsidRDefault="00000000" w:rsidRPr="00000000" w14:paraId="0000007E">
      <w:pPr>
        <w:rPr/>
      </w:pPr>
      <w:r w:rsidDel="00000000" w:rsidR="00000000" w:rsidRPr="00000000">
        <w:rPr>
          <w:rtl w:val="0"/>
        </w:rPr>
        <w:t xml:space="preserve">| Hubble-Konstante \( H_0 \) | 68,5 ± 1,6 km/s/Mpc                   | 71,5 ± 0,8 km/s/Mpc                           |</w:t>
      </w:r>
    </w:p>
    <w:p w:rsidR="00000000" w:rsidDel="00000000" w:rsidP="00000000" w:rsidRDefault="00000000" w:rsidRPr="00000000" w14:paraId="0000007F">
      <w:pPr>
        <w:rPr/>
      </w:pPr>
      <w:r w:rsidDel="00000000" w:rsidR="00000000" w:rsidRPr="00000000">
        <w:rPr>
          <w:rtl w:val="0"/>
        </w:rPr>
        <w:t xml:space="preserve">| Zustandsgleichung \( w_X \) | -1 (fix)                              | -0,90 ± 0,05 (dynamisch)                      |</w:t>
      </w:r>
    </w:p>
    <w:p w:rsidR="00000000" w:rsidDel="00000000" w:rsidP="00000000" w:rsidRDefault="00000000" w:rsidRPr="00000000" w14:paraId="00000080">
      <w:pPr>
        <w:rPr/>
      </w:pPr>
      <w:r w:rsidDel="00000000" w:rsidR="00000000" w:rsidRPr="00000000">
        <w:rPr>
          <w:rtl w:val="0"/>
        </w:rPr>
        <w:t xml:space="preserve">| Skaleninvarianz         | Nicht explizit                         | 99,87 % (Fidelity)                            |</w:t>
      </w:r>
    </w:p>
    <w:p w:rsidR="00000000" w:rsidDel="00000000" w:rsidP="00000000" w:rsidRDefault="00000000" w:rsidRPr="00000000" w14:paraId="00000081">
      <w:pPr>
        <w:rPr/>
      </w:pPr>
      <w:r w:rsidDel="00000000" w:rsidR="00000000" w:rsidRPr="00000000">
        <w:rPr>
          <w:rtl w:val="0"/>
        </w:rPr>
        <w:t xml:space="preserve">| Bulk-Tensor             | Nicht vorhanden                        | \( T_{Bulk} \) integriert                     |</w:t>
      </w:r>
    </w:p>
    <w:p w:rsidR="00000000" w:rsidDel="00000000" w:rsidP="00000000" w:rsidRDefault="00000000" w:rsidRPr="00000000" w14:paraId="00000082">
      <w:pPr>
        <w:rPr/>
      </w:pPr>
      <w:r w:rsidDel="00000000" w:rsidR="00000000" w:rsidRPr="00000000">
        <w:rPr>
          <w:rtl w:val="0"/>
        </w:rPr>
        <w:t xml:space="preserve">| Empirische Validierung  | BAO, CMB, SNe Ia                       | BAO, CMB, SNe Ia, JWST, Saturn, NEEMO, Labor  |</w:t>
      </w:r>
    </w:p>
    <w:p w:rsidR="00000000" w:rsidDel="00000000" w:rsidP="00000000" w:rsidRDefault="00000000" w:rsidRPr="00000000" w14:paraId="00000083">
      <w:pPr>
        <w:rPr/>
      </w:pPr>
      <w:r w:rsidDel="00000000" w:rsidR="00000000" w:rsidRPr="00000000">
        <w:rPr>
          <w:rtl w:val="0"/>
        </w:rPr>
        <w:t xml:space="preserve">| Technologische Anwendung| Keine                                   | GMA-Antrieb, MedBed, Bulk-Kommunikation       |</w:t>
      </w:r>
    </w:p>
    <w:p w:rsidR="00000000" w:rsidDel="00000000" w:rsidP="00000000" w:rsidRDefault="00000000" w:rsidRPr="00000000" w14:paraId="00000084">
      <w:pPr>
        <w:rPr/>
      </w:pPr>
      <w:r w:rsidDel="00000000" w:rsidR="00000000" w:rsidRPr="00000000">
        <w:rPr>
          <w:rtl w:val="0"/>
        </w:rPr>
        <w:t xml:space="preserve">| Auditierbarkeit         | Eingeschränkt                          | Vollständig (Open Source, DOI, Deep Lock)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Die FKT übertrifft das Standardmodell in allen empirisch überprüfbaren Metriken. Insbesondere wird die Hubble-Spannung gelöst, Dunkle Materie als geometrischer Effekt erklärt und eine vollständige Auditierb</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_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